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9"/>
          <w:szCs w:val="9"/>
          <w:b w:val="1"/>
          <w:bCs w:val="1"/>
          <w:color w:val="auto"/>
        </w:rPr>
        <w:t>As filed with the Securities and Exchange Commission on January 10, 2025.</w:t>
      </w:r>
    </w:p>
    <w:p>
      <w:pPr>
        <w:spacing w:after="0" w:line="21" w:lineRule="exact"/>
        <w:rPr>
          <w:sz w:val="24"/>
          <w:szCs w:val="24"/>
          <w:color w:val="auto"/>
        </w:rPr>
      </w:pPr>
    </w:p>
    <w:p>
      <w:pPr>
        <w:ind w:left="9300"/>
        <w:spacing w:after="0"/>
        <w:rPr>
          <w:sz w:val="20"/>
          <w:szCs w:val="20"/>
          <w:color w:val="auto"/>
        </w:rPr>
      </w:pPr>
      <w:r>
        <w:rPr>
          <w:rFonts w:ascii="Times New Roman" w:cs="Times New Roman" w:eastAsia="Times New Roman" w:hAnsi="Times New Roman"/>
          <w:sz w:val="9"/>
          <w:szCs w:val="9"/>
          <w:b w:val="1"/>
          <w:bCs w:val="1"/>
          <w:color w:val="auto"/>
        </w:rPr>
        <w:t>Registration Statement No. 333-</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UNITED STATES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0"/>
          <w:szCs w:val="10"/>
          <w:b w:val="1"/>
          <w:bCs w:val="1"/>
          <w:color w:val="auto"/>
        </w:rPr>
        <w:t>Washington, D.C. 20549</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 F-1</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REGISTRATION STATEMENT</w:t>
      </w:r>
    </w:p>
    <w:p>
      <w:pPr>
        <w:jc w:val="center"/>
        <w:spacing w:after="0" w:line="234" w:lineRule="auto"/>
        <w:rPr>
          <w:sz w:val="20"/>
          <w:szCs w:val="20"/>
          <w:color w:val="auto"/>
        </w:rPr>
      </w:pPr>
      <w:r>
        <w:rPr>
          <w:rFonts w:ascii="Times New Roman" w:cs="Times New Roman" w:eastAsia="Times New Roman" w:hAnsi="Times New Roman"/>
          <w:sz w:val="10"/>
          <w:szCs w:val="10"/>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10"/>
          <w:szCs w:val="10"/>
          <w:b w:val="1"/>
          <w:bCs w:val="1"/>
          <w:i w:val="1"/>
          <w:iCs w:val="1"/>
          <w:color w:val="auto"/>
        </w:rPr>
        <w:t>THE SECURITIES ACT OF 1933</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(Exact name of registrant as specified in its charter)</w:t>
      </w:r>
    </w:p>
    <w:p>
      <w:pPr>
        <w:sectPr>
          <w:pgSz w:w="11900" w:h="16840" w:orient="portrait"/>
          <w:cols w:equalWidth="0" w:num="1">
            <w:col w:w="10620"/>
          </w:cols>
          <w:pgMar w:left="640" w:top="1033" w:right="640" w:bottom="1440" w:gutter="0" w:footer="0" w:header="0"/>
        </w:sectPr>
      </w:pPr>
    </w:p>
    <w:p>
      <w:pPr>
        <w:spacing w:after="0" w:line="53"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0"/>
          <w:szCs w:val="10"/>
          <w:b w:val="1"/>
          <w:bCs w:val="1"/>
          <w:color w:val="auto"/>
        </w:rPr>
        <w:t>United Kingdom</w:t>
      </w:r>
    </w:p>
    <w:p>
      <w:pPr>
        <w:spacing w:after="0" w:line="10"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9"/>
          <w:szCs w:val="9"/>
          <w:b w:val="1"/>
          <w:bCs w:val="1"/>
          <w:color w:val="auto"/>
        </w:rPr>
        <w:t>(State or other jurisdiction of</w:t>
      </w:r>
    </w:p>
    <w:p>
      <w:pPr>
        <w:spacing w:after="0" w:line="9"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0"/>
          <w:szCs w:val="10"/>
          <w:b w:val="1"/>
          <w:bCs w:val="1"/>
          <w:color w:val="auto"/>
        </w:rPr>
        <w:t>7370</w:t>
      </w:r>
    </w:p>
    <w:p>
      <w:pPr>
        <w:spacing w:after="0" w:line="10"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9"/>
          <w:szCs w:val="9"/>
          <w:b w:val="1"/>
          <w:bCs w:val="1"/>
          <w:color w:val="auto"/>
        </w:rPr>
        <w:t>(Primary Standard Industrial</w:t>
      </w:r>
    </w:p>
    <w:p>
      <w:pPr>
        <w:spacing w:after="0" w:line="9"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9"/>
          <w:szCs w:val="9"/>
          <w:b w:val="1"/>
          <w:bCs w:val="1"/>
          <w:color w:val="auto"/>
        </w:rPr>
        <w:t>Classification Code Number)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0"/>
          <w:szCs w:val="10"/>
          <w:b w:val="1"/>
          <w:bCs w:val="1"/>
          <w:color w:val="auto"/>
        </w:rPr>
        <w:t>Not Applicable</w:t>
      </w:r>
    </w:p>
    <w:p>
      <w:pPr>
        <w:spacing w:after="0" w:line="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50" w:lineRule="exact"/>
        <w:rPr>
          <w:sz w:val="24"/>
          <w:szCs w:val="24"/>
          <w:color w:val="auto"/>
        </w:rPr>
      </w:pPr>
    </w:p>
    <w:p>
      <w:pPr>
        <w:sectPr>
          <w:pgSz w:w="11900" w:h="16840" w:orient="portrait"/>
          <w:cols w:equalWidth="0" w:num="3">
            <w:col w:w="3960" w:space="720"/>
            <w:col w:w="3240" w:space="720"/>
            <w:col w:w="1980"/>
          </w:cols>
          <w:pgMar w:left="640" w:top="1033" w:right="640" w:bottom="1440" w:gutter="0" w:footer="0" w:header="0"/>
          <w:type w:val="continuous"/>
        </w:sectPr>
      </w:pPr>
    </w:p>
    <w:p>
      <w:pPr>
        <w:ind w:left="4680"/>
        <w:spacing w:after="0"/>
        <w:rPr>
          <w:sz w:val="20"/>
          <w:szCs w:val="20"/>
          <w:color w:val="auto"/>
        </w:rPr>
      </w:pPr>
      <w:r>
        <w:rPr>
          <w:rFonts w:ascii="Times New Roman" w:cs="Times New Roman" w:eastAsia="Times New Roman" w:hAnsi="Times New Roman"/>
          <w:sz w:val="10"/>
          <w:szCs w:val="10"/>
          <w:b w:val="1"/>
          <w:bCs w:val="1"/>
          <w:color w:val="auto"/>
        </w:rPr>
        <w:t>3rd Floor, 80 New Bond Street</w:t>
      </w:r>
    </w:p>
    <w:p>
      <w:pPr>
        <w:spacing w:after="0" w:line="7"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0"/>
          <w:szCs w:val="10"/>
          <w:b w:val="1"/>
          <w:bCs w:val="1"/>
          <w:color w:val="auto"/>
        </w:rPr>
        <w:t>London, W1S 1SB</w:t>
      </w:r>
    </w:p>
    <w:p>
      <w:pPr>
        <w:ind w:left="4960"/>
        <w:spacing w:after="0" w:line="234" w:lineRule="auto"/>
        <w:rPr>
          <w:sz w:val="20"/>
          <w:szCs w:val="20"/>
          <w:color w:val="auto"/>
        </w:rPr>
      </w:pPr>
      <w:r>
        <w:rPr>
          <w:rFonts w:ascii="Times New Roman" w:cs="Times New Roman" w:eastAsia="Times New Roman" w:hAnsi="Times New Roman"/>
          <w:sz w:val="10"/>
          <w:szCs w:val="10"/>
          <w:b w:val="1"/>
          <w:bCs w:val="1"/>
          <w:color w:val="auto"/>
        </w:rPr>
        <w:t>United Kingdom</w:t>
      </w:r>
    </w:p>
    <w:p>
      <w:pPr>
        <w:ind w:left="4920"/>
        <w:spacing w:after="0" w:line="235" w:lineRule="auto"/>
        <w:rPr>
          <w:sz w:val="20"/>
          <w:szCs w:val="20"/>
          <w:color w:val="auto"/>
        </w:rPr>
      </w:pPr>
      <w:r>
        <w:rPr>
          <w:rFonts w:ascii="Times New Roman" w:cs="Times New Roman" w:eastAsia="Times New Roman" w:hAnsi="Times New Roman"/>
          <w:sz w:val="10"/>
          <w:szCs w:val="10"/>
          <w:b w:val="1"/>
          <w:bCs w:val="1"/>
          <w:color w:val="auto"/>
        </w:rPr>
        <w:t>(+44 77 8094 7233)</w:t>
      </w:r>
    </w:p>
    <w:p>
      <w:pPr>
        <w:ind w:left="2920"/>
        <w:spacing w:after="0"/>
        <w:rPr>
          <w:sz w:val="20"/>
          <w:szCs w:val="20"/>
          <w:color w:val="auto"/>
        </w:rPr>
      </w:pPr>
      <w:r>
        <w:rPr>
          <w:rFonts w:ascii="Times New Roman" w:cs="Times New Roman" w:eastAsia="Times New Roman" w:hAnsi="Times New Roman"/>
          <w:sz w:val="9"/>
          <w:szCs w:val="9"/>
          <w:b w:val="1"/>
          <w:bCs w:val="1"/>
          <w:color w:val="auto"/>
        </w:rPr>
        <w:t>(Address, including zip code and telephone number, including area code, of registrant’s principal executive offices)</w:t>
      </w:r>
    </w:p>
    <w:p>
      <w:pPr>
        <w:spacing w:after="0" w:line="35"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0"/>
          <w:szCs w:val="10"/>
          <w:b w:val="1"/>
          <w:bCs w:val="1"/>
          <w:color w:val="auto"/>
        </w:rPr>
        <w:t>Cogency Global Inc.</w:t>
      </w:r>
    </w:p>
    <w:p>
      <w:pPr>
        <w:spacing w:after="0" w:line="7"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0"/>
          <w:szCs w:val="10"/>
          <w:b w:val="1"/>
          <w:bCs w:val="1"/>
          <w:color w:val="auto"/>
        </w:rPr>
        <w:t>122 East 42nd Street, 18th Floor</w:t>
      </w:r>
    </w:p>
    <w:p>
      <w:pPr>
        <w:ind w:left="4840"/>
        <w:spacing w:after="0" w:line="234" w:lineRule="auto"/>
        <w:rPr>
          <w:sz w:val="20"/>
          <w:szCs w:val="20"/>
          <w:color w:val="auto"/>
        </w:rPr>
      </w:pPr>
      <w:r>
        <w:rPr>
          <w:rFonts w:ascii="Times New Roman" w:cs="Times New Roman" w:eastAsia="Times New Roman" w:hAnsi="Times New Roman"/>
          <w:sz w:val="10"/>
          <w:szCs w:val="10"/>
          <w:b w:val="1"/>
          <w:bCs w:val="1"/>
          <w:color w:val="auto"/>
        </w:rPr>
        <w:t>New York, N.Y. 10016</w:t>
      </w:r>
    </w:p>
    <w:p>
      <w:pPr>
        <w:ind w:left="4840"/>
        <w:spacing w:after="0" w:line="235" w:lineRule="auto"/>
        <w:rPr>
          <w:sz w:val="20"/>
          <w:szCs w:val="20"/>
          <w:color w:val="auto"/>
        </w:rPr>
      </w:pPr>
      <w:r>
        <w:rPr>
          <w:rFonts w:ascii="Times New Roman" w:cs="Times New Roman" w:eastAsia="Times New Roman" w:hAnsi="Times New Roman"/>
          <w:sz w:val="10"/>
          <w:szCs w:val="10"/>
          <w:b w:val="1"/>
          <w:bCs w:val="1"/>
          <w:color w:val="auto"/>
        </w:rPr>
        <w:t>Tel: +1 (212) 947-7200</w:t>
      </w:r>
    </w:p>
    <w:p>
      <w:pPr>
        <w:ind w:left="3220"/>
        <w:spacing w:after="0"/>
        <w:rPr>
          <w:sz w:val="20"/>
          <w:szCs w:val="20"/>
          <w:color w:val="auto"/>
        </w:rPr>
      </w:pPr>
      <w:r>
        <w:rPr>
          <w:rFonts w:ascii="Times New Roman" w:cs="Times New Roman" w:eastAsia="Times New Roman" w:hAnsi="Times New Roman"/>
          <w:sz w:val="10"/>
          <w:szCs w:val="10"/>
          <w:b w:val="1"/>
          <w:bCs w:val="1"/>
          <w:color w:val="auto"/>
        </w:rPr>
        <w:t>(Name, address, including zip code, and telephone number, including area code, of agent for service)</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Copies to:</w:t>
      </w:r>
    </w:p>
    <w:p>
      <w:pPr>
        <w:sectPr>
          <w:pgSz w:w="11900" w:h="16840" w:orient="portrait"/>
          <w:cols w:equalWidth="0" w:num="1">
            <w:col w:w="10620"/>
          </w:cols>
          <w:pgMar w:left="640" w:top="1033" w:right="640" w:bottom="1440" w:gutter="0" w:footer="0" w:header="0"/>
          <w:type w:val="continuous"/>
        </w:sectPr>
      </w:pP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Gerry Williams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Penny Minna</w:t>
      </w:r>
    </w:p>
    <w:p>
      <w:pPr>
        <w:jc w:val="center"/>
        <w:spacing w:after="0" w:line="234" w:lineRule="auto"/>
        <w:rPr>
          <w:sz w:val="20"/>
          <w:szCs w:val="20"/>
          <w:color w:val="auto"/>
        </w:rPr>
      </w:pPr>
      <w:r>
        <w:rPr>
          <w:rFonts w:ascii="Times New Roman" w:cs="Times New Roman" w:eastAsia="Times New Roman" w:hAnsi="Times New Roman"/>
          <w:sz w:val="10"/>
          <w:szCs w:val="10"/>
          <w:b w:val="1"/>
          <w:bCs w:val="1"/>
          <w:color w:val="auto"/>
        </w:rPr>
        <w:t>DLA Piper LLP</w:t>
      </w:r>
    </w:p>
    <w:p>
      <w:pPr>
        <w:jc w:val="center"/>
        <w:spacing w:after="0" w:line="235" w:lineRule="auto"/>
        <w:rPr>
          <w:sz w:val="20"/>
          <w:szCs w:val="20"/>
          <w:color w:val="auto"/>
        </w:rPr>
      </w:pPr>
      <w:r>
        <w:rPr>
          <w:rFonts w:ascii="Times New Roman" w:cs="Times New Roman" w:eastAsia="Times New Roman" w:hAnsi="Times New Roman"/>
          <w:sz w:val="10"/>
          <w:szCs w:val="10"/>
          <w:b w:val="1"/>
          <w:bCs w:val="1"/>
          <w:color w:val="auto"/>
        </w:rPr>
        <w:t>1201 W Peachtree St NE #2800</w:t>
      </w:r>
    </w:p>
    <w:p>
      <w:pPr>
        <w:jc w:val="center"/>
        <w:spacing w:after="0" w:line="235" w:lineRule="auto"/>
        <w:rPr>
          <w:sz w:val="20"/>
          <w:szCs w:val="20"/>
          <w:color w:val="auto"/>
        </w:rPr>
      </w:pPr>
      <w:r>
        <w:rPr>
          <w:rFonts w:ascii="Times New Roman" w:cs="Times New Roman" w:eastAsia="Times New Roman" w:hAnsi="Times New Roman"/>
          <w:sz w:val="10"/>
          <w:szCs w:val="10"/>
          <w:b w:val="1"/>
          <w:bCs w:val="1"/>
          <w:color w:val="auto"/>
        </w:rPr>
        <w:t>Atlanta, GA 30309</w:t>
      </w:r>
    </w:p>
    <w:p>
      <w:pPr>
        <w:ind w:left="5240" w:hanging="236"/>
        <w:spacing w:after="0"/>
        <w:tabs>
          <w:tab w:leader="none" w:pos="5240" w:val="left"/>
        </w:tabs>
        <w:numPr>
          <w:ilvl w:val="0"/>
          <w:numId w:val="1"/>
        </w:numPr>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b w:val="1"/>
          <w:bCs w:val="1"/>
          <w:color w:val="auto"/>
        </w:rPr>
        <w:t>736-7800</w:t>
      </w:r>
    </w:p>
    <w:p>
      <w:pPr>
        <w:spacing w:after="0" w:line="23" w:lineRule="exact"/>
        <w:rPr>
          <w:rFonts w:ascii="Times New Roman" w:cs="Times New Roman" w:eastAsia="Times New Roman" w:hAnsi="Times New Roman"/>
          <w:sz w:val="10"/>
          <w:szCs w:val="10"/>
          <w:b w:val="1"/>
          <w:bCs w:val="1"/>
          <w:color w:val="auto"/>
        </w:rPr>
      </w:pPr>
    </w:p>
    <w:p>
      <w:pPr>
        <w:spacing w:after="0"/>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b w:val="1"/>
          <w:bCs w:val="1"/>
          <w:color w:val="auto"/>
        </w:rPr>
        <w:t xml:space="preserve">Approximate date of commencement of proposed sale to the public: </w:t>
      </w:r>
      <w:r>
        <w:rPr>
          <w:rFonts w:ascii="Times New Roman" w:cs="Times New Roman" w:eastAsia="Times New Roman" w:hAnsi="Times New Roman"/>
          <w:sz w:val="10"/>
          <w:szCs w:val="10"/>
          <w:color w:val="auto"/>
        </w:rPr>
        <w:t>As soon as practicable after this Registration Statement becomes effective.</w:t>
      </w:r>
    </w:p>
    <w:p>
      <w:pPr>
        <w:spacing w:after="0" w:line="15" w:lineRule="exact"/>
        <w:rPr>
          <w:rFonts w:ascii="Times New Roman" w:cs="Times New Roman" w:eastAsia="Times New Roman" w:hAnsi="Times New Roman"/>
          <w:sz w:val="10"/>
          <w:szCs w:val="10"/>
          <w:b w:val="1"/>
          <w:bCs w:val="1"/>
          <w:color w:val="auto"/>
        </w:rPr>
      </w:pPr>
    </w:p>
    <w:p>
      <w:pPr>
        <w:spacing w:after="0" w:line="115" w:lineRule="exact"/>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0"/>
          <w:szCs w:val="10"/>
          <w:color w:val="auto"/>
        </w:rPr>
        <w:t>☐</w:t>
      </w:r>
    </w:p>
    <w:p>
      <w:pPr>
        <w:spacing w:after="0" w:line="57" w:lineRule="exact"/>
        <w:rPr>
          <w:sz w:val="24"/>
          <w:szCs w:val="24"/>
          <w:color w:val="auto"/>
        </w:rPr>
      </w:pPr>
    </w:p>
    <w:p>
      <w:pPr>
        <w:ind w:right="40"/>
        <w:spacing w:after="0" w:line="127" w:lineRule="exact"/>
        <w:rPr>
          <w:sz w:val="20"/>
          <w:szCs w:val="20"/>
          <w:color w:val="auto"/>
        </w:rPr>
      </w:pPr>
      <w:r>
        <w:rPr>
          <w:rFonts w:ascii="Times New Roman" w:cs="Times New Roman" w:eastAsia="Times New Roman" w:hAnsi="Times New Roman"/>
          <w:sz w:val="10"/>
          <w:szCs w:val="10"/>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115" w:lineRule="exact"/>
        <w:rPr>
          <w:sz w:val="20"/>
          <w:szCs w:val="20"/>
          <w:color w:val="auto"/>
        </w:rPr>
      </w:pPr>
      <w:r>
        <w:rPr>
          <w:rFonts w:ascii="Times New Roman" w:cs="Times New Roman" w:eastAsia="Times New Roman" w:hAnsi="Times New Roman"/>
          <w:sz w:val="10"/>
          <w:szCs w:val="10"/>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35"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35"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10"/>
          <w:szCs w:val="10"/>
          <w:color w:val="auto"/>
        </w:rPr>
        <w:t>☐</w:t>
      </w:r>
    </w:p>
    <w:p>
      <w:pPr>
        <w:spacing w:after="0" w:line="44"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Emerging growth company</w:t>
      </w:r>
      <w:r>
        <w:rPr>
          <w:rFonts w:ascii="MS PGothic" w:cs="MS PGothic" w:eastAsia="MS PGothic" w:hAnsi="MS PGothic"/>
          <w:sz w:val="10"/>
          <w:szCs w:val="10"/>
          <w:color w:val="auto"/>
        </w:rPr>
        <w:t>☒</w:t>
      </w:r>
    </w:p>
    <w:p>
      <w:pPr>
        <w:spacing w:after="0" w:line="13"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55" w:lineRule="exact"/>
        <w:rPr>
          <w:sz w:val="24"/>
          <w:szCs w:val="24"/>
          <w:color w:val="auto"/>
        </w:rPr>
      </w:pPr>
    </w:p>
    <w:p>
      <w:pPr>
        <w:ind w:right="140"/>
        <w:spacing w:after="0" w:line="247" w:lineRule="auto"/>
        <w:rPr>
          <w:sz w:val="20"/>
          <w:szCs w:val="20"/>
          <w:color w:val="auto"/>
        </w:rPr>
      </w:pPr>
      <w:r>
        <w:rPr>
          <w:rFonts w:ascii="Times New Roman" w:cs="Times New Roman" w:eastAsia="Times New Roman" w:hAnsi="Times New Roman"/>
          <w:sz w:val="10"/>
          <w:szCs w:val="10"/>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U.S.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248285</wp:posOffset>
            </wp:positionV>
            <wp:extent cx="6778625" cy="34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type w:val="continuous"/>
        </w:sectPr>
      </w:pPr>
    </w:p>
    <w:bookmarkStart w:id="1" w:name="page2"/>
    <w:bookmarkEnd w:id="1"/>
    <w:p>
      <w:pPr>
        <w:jc w:val="center"/>
        <w:ind w:right="60"/>
        <w:spacing w:after="0" w:line="259" w:lineRule="auto"/>
        <w:rPr>
          <w:sz w:val="20"/>
          <w:szCs w:val="20"/>
          <w:color w:val="auto"/>
        </w:rPr>
      </w:pPr>
      <w:r>
        <w:rPr>
          <w:rFonts w:ascii="Times New Roman" w:cs="Times New Roman" w:eastAsia="Times New Roman" w:hAnsi="Times New Roman"/>
          <w:sz w:val="10"/>
          <w:szCs w:val="10"/>
          <w:b w:val="1"/>
          <w:bCs w:val="1"/>
          <w:color w:val="FC0000"/>
        </w:rPr>
        <w:t>The information in this prospectus is not complete and may be changed. No securities may be sold pursuant to this prospectus until the registration statement filed with the Securities and Exchange Commission is effective. This prospectus is not an offer to sell and is not soliciting an offer to buy the securities in any jurisdiction where the offer or sale is not permitted.</w:t>
      </w:r>
    </w:p>
    <w:p>
      <w:pPr>
        <w:spacing w:after="0" w:line="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b w:val="1"/>
          <w:bCs w:val="1"/>
          <w:color w:val="FC0000"/>
        </w:rPr>
        <w:t>SUBJECT TO COMPLETION, DATED January 10, 2025</w:t>
      </w:r>
    </w:p>
    <w:p>
      <w:pPr>
        <w:spacing w:after="0" w:line="1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b w:val="1"/>
          <w:bCs w:val="1"/>
          <w:color w:val="FC0000"/>
        </w:rPr>
        <w:t>PRELIMINARY PROSPECTUS</w:t>
      </w:r>
    </w:p>
    <w:p>
      <w:pPr>
        <w:spacing w:after="0" w:line="1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1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 xml:space="preserve">Up to 58,444,822 Ordinary Shares </w:t>
      </w:r>
      <w:r>
        <w:rPr>
          <w:rFonts w:ascii="Times New Roman" w:cs="Times New Roman" w:eastAsia="Times New Roman" w:hAnsi="Times New Roman"/>
          <w:sz w:val="10"/>
          <w:szCs w:val="10"/>
          <w:b w:val="1"/>
          <w:bCs w:val="1"/>
          <w:i w:val="1"/>
          <w:iCs w:val="1"/>
          <w:color w:val="auto"/>
        </w:rPr>
        <w:t>(for resale)</w:t>
      </w:r>
    </w:p>
    <w:p>
      <w:pPr>
        <w:spacing w:after="0" w:line="350" w:lineRule="exact"/>
        <w:rPr>
          <w:sz w:val="20"/>
          <w:szCs w:val="20"/>
          <w:color w:val="auto"/>
        </w:rPr>
      </w:pPr>
    </w:p>
    <w:p>
      <w:pPr>
        <w:jc w:val="both"/>
        <w:ind w:right="340"/>
        <w:spacing w:after="0" w:line="247" w:lineRule="auto"/>
        <w:rPr>
          <w:sz w:val="20"/>
          <w:szCs w:val="20"/>
          <w:color w:val="auto"/>
        </w:rPr>
      </w:pPr>
      <w:r>
        <w:rPr>
          <w:rFonts w:ascii="Times New Roman" w:cs="Times New Roman" w:eastAsia="Times New Roman" w:hAnsi="Times New Roman"/>
          <w:sz w:val="10"/>
          <w:szCs w:val="10"/>
          <w:color w:val="auto"/>
        </w:rPr>
        <w:t>This prospectus relates to the resale by certain selling securityholders named herein (the “</w:t>
      </w:r>
      <w:r>
        <w:rPr>
          <w:rFonts w:ascii="Times New Roman" w:cs="Times New Roman" w:eastAsia="Times New Roman" w:hAnsi="Times New Roman"/>
          <w:sz w:val="10"/>
          <w:szCs w:val="10"/>
          <w:b w:val="1"/>
          <w:bCs w:val="1"/>
          <w:i w:val="1"/>
          <w:iCs w:val="1"/>
          <w:color w:val="auto"/>
        </w:rPr>
        <w:t>Selling Holders</w:t>
      </w:r>
      <w:r>
        <w:rPr>
          <w:rFonts w:ascii="Times New Roman" w:cs="Times New Roman" w:eastAsia="Times New Roman" w:hAnsi="Times New Roman"/>
          <w:sz w:val="10"/>
          <w:szCs w:val="10"/>
          <w:color w:val="auto"/>
        </w:rPr>
        <w:t>”) of an aggregate of up to 58,444,822 Ordinary Shares, consisting of (i) up to 8,070,845 Ordinary Shares issued upon exercise of certain Convertible Notes (as defined herein) by certain Selling Holders; (ii) up to 425,171 Ordinary Shares issuable upon conversion of certain Promissory Notes (as defined herein) (iii) up to 1,413,946 Ordinary Shares issued upon conversion of the YA Notes (as defined herein); and (iv) up to 48,534,860 Ordinary Shares issuable pursuant to the Second A&amp;R YA Agreement (as defined herein).</w:t>
      </w:r>
    </w:p>
    <w:p>
      <w:pPr>
        <w:spacing w:after="0" w:line="104"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9"/>
          <w:szCs w:val="9"/>
          <w:color w:val="auto"/>
        </w:rPr>
        <w:t xml:space="preserve">Certain of the Selling Holders may have acquired the securities registered hereunder at prices substantially below current market prices and may therefore have incentive to sell their securities in this offering. Public securityholders who purchased their Rezolve securities at higher prices than the Selling Holders may experience lower rates of return (if any) than the Selling Holders, due to differences in purchase prices and the potential trading price at which they may be able to sell (see “ </w:t>
      </w:r>
      <w:r>
        <w:rPr>
          <w:rFonts w:ascii="Times New Roman" w:cs="Times New Roman" w:eastAsia="Times New Roman" w:hAnsi="Times New Roman"/>
          <w:sz w:val="9"/>
          <w:szCs w:val="9"/>
          <w:i w:val="1"/>
          <w:iCs w:val="1"/>
          <w:color w:val="auto"/>
        </w:rPr>
        <w:t>Risk Factors</w:t>
      </w:r>
      <w:r>
        <w:rPr>
          <w:rFonts w:ascii="Arial" w:cs="Arial" w:eastAsia="Arial" w:hAnsi="Arial"/>
          <w:sz w:val="9"/>
          <w:szCs w:val="9"/>
          <w:i w:val="1"/>
          <w:iCs w:val="1"/>
          <w:color w:val="auto"/>
        </w:rPr>
        <w:t xml:space="preserve"> </w:t>
      </w:r>
      <w:r>
        <w:rPr>
          <w:rFonts w:ascii="Times New Roman" w:cs="Times New Roman" w:eastAsia="Times New Roman" w:hAnsi="Times New Roman"/>
          <w:sz w:val="9"/>
          <w:szCs w:val="9"/>
          <w:i w:val="1"/>
          <w:iCs w:val="1"/>
          <w:color w:val="auto"/>
        </w:rPr>
        <w:t>—</w:t>
      </w:r>
      <w:r>
        <w:rPr>
          <w:rFonts w:ascii="Arial" w:cs="Arial" w:eastAsia="Arial" w:hAnsi="Arial"/>
          <w:sz w:val="9"/>
          <w:szCs w:val="9"/>
          <w:i w:val="1"/>
          <w:iCs w:val="1"/>
          <w:color w:val="auto"/>
        </w:rPr>
        <w:t xml:space="preserve"> </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i w:val="1"/>
          <w:iCs w:val="1"/>
          <w:color w:val="auto"/>
        </w:rPr>
        <w:t>Risks Related to Ownership of Ordinary</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i w:val="1"/>
          <w:iCs w:val="1"/>
          <w:color w:val="auto"/>
        </w:rPr>
        <w:t>Shares and Rezolve Operating as a Public Company</w:t>
      </w:r>
      <w:r>
        <w:rPr>
          <w:rFonts w:ascii="Arial" w:cs="Arial" w:eastAsia="Arial" w:hAnsi="Arial"/>
          <w:sz w:val="9"/>
          <w:szCs w:val="9"/>
          <w:i w:val="1"/>
          <w:iCs w:val="1"/>
          <w:color w:val="auto"/>
        </w:rPr>
        <w:t xml:space="preserve"> </w:t>
      </w:r>
      <w:r>
        <w:rPr>
          <w:rFonts w:ascii="Times New Roman" w:cs="Times New Roman" w:eastAsia="Times New Roman" w:hAnsi="Times New Roman"/>
          <w:sz w:val="9"/>
          <w:szCs w:val="9"/>
          <w:i w:val="1"/>
          <w:iCs w:val="1"/>
          <w:color w:val="auto"/>
        </w:rPr>
        <w:t>—</w:t>
      </w:r>
      <w:r>
        <w:rPr>
          <w:rFonts w:ascii="Arial" w:cs="Arial" w:eastAsia="Arial" w:hAnsi="Arial"/>
          <w:sz w:val="9"/>
          <w:szCs w:val="9"/>
          <w:i w:val="1"/>
          <w:iCs w:val="1"/>
          <w:color w:val="auto"/>
        </w:rPr>
        <w:t xml:space="preserve"> </w:t>
      </w:r>
      <w:r>
        <w:rPr>
          <w:rFonts w:ascii="Times New Roman" w:cs="Times New Roman" w:eastAsia="Times New Roman" w:hAnsi="Times New Roman"/>
          <w:sz w:val="9"/>
          <w:szCs w:val="9"/>
          <w:i w:val="1"/>
          <w:iCs w:val="1"/>
          <w:color w:val="auto"/>
        </w:rPr>
        <w:t xml:space="preserve"> The trading price of Ordinary Shares could be volatile, and the value of Ordinary Shares may decline.</w:t>
      </w:r>
      <w:r>
        <w:rPr>
          <w:rFonts w:ascii="Times New Roman" w:cs="Times New Roman" w:eastAsia="Times New Roman" w:hAnsi="Times New Roman"/>
          <w:sz w:val="9"/>
          <w:szCs w:val="9"/>
          <w:color w:val="auto"/>
        </w:rPr>
        <w:t>”). The Ordinary Shares being offered for resale pursuant to this prospectus by the Selling Holders represent</w:t>
      </w:r>
      <w:r>
        <w:rPr>
          <w:rFonts w:ascii="Times New Roman" w:cs="Times New Roman" w:eastAsia="Times New Roman" w:hAnsi="Times New Roman"/>
          <w:sz w:val="9"/>
          <w:szCs w:val="9"/>
          <w:i w:val="1"/>
          <w:iCs w:val="1"/>
          <w:color w:val="auto"/>
        </w:rPr>
        <w:t xml:space="preserve"> </w:t>
      </w:r>
      <w:r>
        <w:rPr>
          <w:rFonts w:ascii="Times New Roman" w:cs="Times New Roman" w:eastAsia="Times New Roman" w:hAnsi="Times New Roman"/>
          <w:sz w:val="9"/>
          <w:szCs w:val="9"/>
          <w:color w:val="auto"/>
        </w:rPr>
        <w:t>approximately [x]% of the outstanding Ordinary Shares as of the date of this prospectus. Given the substantial number of Ordinary Shares being registered for potential resale by Selling Holders pursuant to this prospectus, the sale of shares by the Selling Holders, or the perception in the market that the Selling Securityholders of a large number of shares intend to sell shares, could increase the volatility of the market price of the Ordinary Shares or result in a significant decline in the public trading price of the Ordinary Shares.</w:t>
      </w:r>
    </w:p>
    <w:p>
      <w:pPr>
        <w:spacing w:after="0" w:line="95"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0"/>
          <w:szCs w:val="10"/>
          <w:color w:val="auto"/>
        </w:rPr>
        <w:t>This prospectus provides you with a general description of such securities and the general manner in which the Selling Holders may offer or sell the securities. More specific terms of any securities that the Selling 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101" w:lineRule="exact"/>
        <w:rPr>
          <w:sz w:val="20"/>
          <w:szCs w:val="20"/>
          <w:color w:val="auto"/>
        </w:rPr>
      </w:pPr>
    </w:p>
    <w:p>
      <w:pPr>
        <w:jc w:val="both"/>
        <w:ind w:right="120"/>
        <w:spacing w:after="0" w:line="245" w:lineRule="auto"/>
        <w:rPr>
          <w:sz w:val="20"/>
          <w:szCs w:val="20"/>
          <w:color w:val="auto"/>
        </w:rPr>
      </w:pPr>
      <w:r>
        <w:rPr>
          <w:rFonts w:ascii="Times New Roman" w:cs="Times New Roman" w:eastAsia="Times New Roman" w:hAnsi="Times New Roman"/>
          <w:sz w:val="10"/>
          <w:szCs w:val="10"/>
          <w:color w:val="auto"/>
        </w:rPr>
        <w:t xml:space="preserve">We will not receive any proceeds from the sale of the Ordinary Shares by the Selling Holders pursuant to this prospectus. We will pay the expenses, other than underwriting discounts and commissions, associated with the sale of securities pursuant to this prospectus. Our registration of the securities covered by this prospectus does not mean that either the Selling Holders will issue, offer or sell, as applicable, any of the securities. The Selling Holders may offer and sell the securities covered by this prospectus in a number of different ways and at varying prices. We provide more information in the section entitled </w:t>
      </w:r>
      <w:r>
        <w:rPr>
          <w:rFonts w:ascii="Times New Roman" w:cs="Times New Roman" w:eastAsia="Times New Roman" w:hAnsi="Times New Roman"/>
          <w:sz w:val="10"/>
          <w:szCs w:val="10"/>
          <w:i w:val="1"/>
          <w:iCs w:val="1"/>
          <w:color w:val="auto"/>
        </w:rPr>
        <w:t>“Plan of Distribution.”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You should read this prospectus and any prospectus supplement or amendment carefully before you invest in our securities.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Ordinary Shares and the Public Warrants are traded on The Nasdaq Stock Market LLC (“</w:t>
      </w:r>
      <w:r>
        <w:rPr>
          <w:rFonts w:ascii="Times New Roman" w:cs="Times New Roman" w:eastAsia="Times New Roman" w:hAnsi="Times New Roman"/>
          <w:sz w:val="10"/>
          <w:szCs w:val="10"/>
          <w:b w:val="1"/>
          <w:bCs w:val="1"/>
          <w:i w:val="1"/>
          <w:iCs w:val="1"/>
          <w:color w:val="auto"/>
        </w:rPr>
        <w:t>Nasdaq</w:t>
      </w:r>
      <w:r>
        <w:rPr>
          <w:rFonts w:ascii="Times New Roman" w:cs="Times New Roman" w:eastAsia="Times New Roman" w:hAnsi="Times New Roman"/>
          <w:sz w:val="10"/>
          <w:szCs w:val="10"/>
          <w:color w:val="auto"/>
        </w:rPr>
        <w:t>”) under the symbols “RZLV." On January 8, 2025, the closing price of the Ordinary Shares was $2.97 per share.</w:t>
      </w:r>
    </w:p>
    <w:p>
      <w:pPr>
        <w:spacing w:after="0" w:line="1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0"/>
          <w:szCs w:val="10"/>
          <w:color w:val="auto"/>
        </w:rPr>
        <w:t>Given the substantial amount of redemptions in connection with the Business Combination, and the relative lack of liquidity in our stock, sales of the Ordinary Shares under the registration statement of which this prospectus is a part could result in a significant decline in the market price of our securities.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 xml:space="preserve">Investing in our securities involves risks. See </w:t>
      </w:r>
      <w:r>
        <w:rPr>
          <w:rFonts w:ascii="Times New Roman" w:cs="Times New Roman" w:eastAsia="Times New Roman" w:hAnsi="Times New Roman"/>
          <w:sz w:val="10"/>
          <w:szCs w:val="10"/>
          <w:b w:val="1"/>
          <w:bCs w:val="1"/>
          <w:i w:val="1"/>
          <w:iCs w:val="1"/>
          <w:color w:val="auto"/>
        </w:rPr>
        <w:t>“Risk Factors”</w:t>
      </w:r>
      <w:r>
        <w:rPr>
          <w:rFonts w:ascii="Times New Roman" w:cs="Times New Roman" w:eastAsia="Times New Roman" w:hAnsi="Times New Roman"/>
          <w:sz w:val="10"/>
          <w:szCs w:val="10"/>
          <w:b w:val="1"/>
          <w:bCs w:val="1"/>
          <w:color w:val="auto"/>
        </w:rPr>
        <w:t xml:space="preserve"> beginning on page [x] and in any applicable prospectus supplement.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None of the U.S. Securities and Exchange Commission or any state securities commission has approved or disapproved of the securities or determined if this prospectus is accurate or adequate. Any representation to the contrary is a criminal offense.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780" w:type="dxa"/>
            <w:vAlign w:val="bottom"/>
          </w:tcPr>
          <w:p>
            <w:pPr>
              <w:ind w:left="4400"/>
              <w:spacing w:after="0"/>
              <w:rPr>
                <w:sz w:val="20"/>
                <w:szCs w:val="20"/>
                <w:color w:val="auto"/>
              </w:rPr>
            </w:pPr>
            <w:r>
              <w:rPr>
                <w:rFonts w:ascii="Times New Roman" w:cs="Times New Roman" w:eastAsia="Times New Roman" w:hAnsi="Times New Roman"/>
                <w:sz w:val="10"/>
                <w:szCs w:val="10"/>
                <w:b w:val="1"/>
                <w:bCs w:val="1"/>
                <w:color w:val="auto"/>
              </w:rPr>
              <w:t>The date of this prospectus is</w:t>
            </w:r>
          </w:p>
        </w:tc>
        <w:tc>
          <w:tcPr>
            <w:tcW w:w="4840" w:type="dxa"/>
            <w:vAlign w:val="bottom"/>
          </w:tcPr>
          <w:p>
            <w:pPr>
              <w:jc w:val="right"/>
              <w:ind w:right="4351"/>
              <w:spacing w:after="0"/>
              <w:rPr>
                <w:sz w:val="20"/>
                <w:szCs w:val="20"/>
                <w:color w:val="auto"/>
              </w:rPr>
            </w:pPr>
            <w:r>
              <w:rPr>
                <w:rFonts w:ascii="Times New Roman" w:cs="Times New Roman" w:eastAsia="Times New Roman" w:hAnsi="Times New Roman"/>
                <w:sz w:val="10"/>
                <w:szCs w:val="10"/>
                <w:b w:val="1"/>
                <w:bCs w:val="1"/>
                <w:color w:val="auto"/>
              </w:rPr>
              <w:t>, 2025.</w:t>
            </w:r>
          </w:p>
        </w:tc>
      </w:tr>
      <w:tr>
        <w:trPr>
          <w:trHeight w:val="422"/>
        </w:trPr>
        <w:tc>
          <w:tcPr>
            <w:tcW w:w="5780" w:type="dxa"/>
            <w:vAlign w:val="bottom"/>
            <w:tcBorders>
              <w:bottom w:val="single" w:sz="8" w:color="EEEEEE"/>
            </w:tcBorders>
          </w:tcPr>
          <w:p>
            <w:pPr>
              <w:spacing w:after="0"/>
              <w:rPr>
                <w:sz w:val="24"/>
                <w:szCs w:val="24"/>
                <w:color w:val="auto"/>
              </w:rPr>
            </w:pPr>
          </w:p>
        </w:tc>
        <w:tc>
          <w:tcPr>
            <w:tcW w:w="48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3" w:right="60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27"/>
        </w:trPr>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0" w:type="dxa"/>
            <w:vAlign w:val="bottom"/>
            <w:gridSpan w:val="2"/>
          </w:tcPr>
          <w:p>
            <w:pPr>
              <w:ind w:left="1220"/>
              <w:spacing w:after="0"/>
              <w:rPr>
                <w:sz w:val="20"/>
                <w:szCs w:val="20"/>
                <w:color w:val="auto"/>
              </w:rPr>
            </w:pPr>
            <w:r>
              <w:rPr>
                <w:rFonts w:ascii="Times New Roman" w:cs="Times New Roman" w:eastAsia="Times New Roman" w:hAnsi="Times New Roman"/>
                <w:sz w:val="10"/>
                <w:szCs w:val="10"/>
                <w:b w:val="1"/>
                <w:bCs w:val="1"/>
                <w:color w:val="auto"/>
              </w:rPr>
              <w:t>TABLE OF CONTENTS</w:t>
            </w: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8160" w:type="dxa"/>
            <w:vAlign w:val="bottom"/>
            <w:gridSpan w:val="22"/>
          </w:tcPr>
          <w:p>
            <w:pPr>
              <w:spacing w:after="0"/>
              <w:rPr>
                <w:rFonts w:ascii="Times New Roman" w:cs="Times New Roman" w:eastAsia="Times New Roman" w:hAnsi="Times New Roman"/>
                <w:sz w:val="10"/>
                <w:szCs w:val="10"/>
                <w:color w:val="0000FF"/>
              </w:rPr>
            </w:pPr>
            <w:hyperlink w:anchor="page4">
              <w:r>
                <w:rPr>
                  <w:rFonts w:ascii="Times New Roman" w:cs="Times New Roman" w:eastAsia="Times New Roman" w:hAnsi="Times New Roman"/>
                  <w:sz w:val="10"/>
                  <w:szCs w:val="10"/>
                  <w:color w:val="0000FF"/>
                </w:rPr>
                <w:t>ABOUT THIS PROSPECTUS</w:t>
              </w:r>
            </w:hyperlink>
          </w:p>
        </w:tc>
        <w:tc>
          <w:tcPr>
            <w:tcW w:w="2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ii</w:t>
            </w:r>
          </w:p>
        </w:tc>
        <w:tc>
          <w:tcPr>
            <w:tcW w:w="0" w:type="dxa"/>
            <w:vAlign w:val="bottom"/>
          </w:tcPr>
          <w:p>
            <w:pPr>
              <w:spacing w:after="0"/>
              <w:rPr>
                <w:sz w:val="1"/>
                <w:szCs w:val="1"/>
                <w:color w:val="auto"/>
              </w:rPr>
            </w:pPr>
          </w:p>
        </w:tc>
      </w:tr>
      <w:tr>
        <w:trPr>
          <w:trHeight w:val="93"/>
        </w:trPr>
        <w:tc>
          <w:tcPr>
            <w:tcW w:w="1200" w:type="dxa"/>
            <w:vAlign w:val="bottom"/>
            <w:tcBorders>
              <w:top w:val="single" w:sz="8" w:color="0000FF"/>
            </w:tcBorders>
            <w:gridSpan w:val="11"/>
          </w:tcPr>
          <w:p>
            <w:pPr>
              <w:spacing w:after="0" w:line="93" w:lineRule="exact"/>
              <w:rPr>
                <w:rFonts w:ascii="Times New Roman" w:cs="Times New Roman" w:eastAsia="Times New Roman" w:hAnsi="Times New Roman"/>
                <w:sz w:val="10"/>
                <w:szCs w:val="10"/>
                <w:color w:val="0000FF"/>
              </w:rPr>
            </w:pPr>
            <w:hyperlink w:anchor="page6">
              <w:r>
                <w:rPr>
                  <w:rFonts w:ascii="Times New Roman" w:cs="Times New Roman" w:eastAsia="Times New Roman" w:hAnsi="Times New Roman"/>
                  <w:sz w:val="10"/>
                  <w:szCs w:val="10"/>
                  <w:color w:val="0000FF"/>
                </w:rPr>
                <w:t>TRADEMARKS</w:t>
              </w:r>
            </w:hyperlink>
          </w:p>
        </w:tc>
        <w:tc>
          <w:tcPr>
            <w:tcW w:w="6960" w:type="dxa"/>
            <w:vAlign w:val="bottom"/>
            <w:gridSpan w:val="11"/>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iv</w:t>
            </w: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v</w:t>
            </w:r>
          </w:p>
        </w:tc>
        <w:tc>
          <w:tcPr>
            <w:tcW w:w="0" w:type="dxa"/>
            <w:vAlign w:val="bottom"/>
          </w:tcPr>
          <w:p>
            <w:pPr>
              <w:spacing w:after="0" w:line="20" w:lineRule="exact"/>
              <w:rPr>
                <w:sz w:val="1"/>
                <w:szCs w:val="1"/>
                <w:color w:val="auto"/>
              </w:rPr>
            </w:pPr>
          </w:p>
        </w:tc>
      </w:tr>
      <w:tr>
        <w:trPr>
          <w:trHeight w:val="93"/>
        </w:trPr>
        <w:tc>
          <w:tcPr>
            <w:tcW w:w="1120" w:type="dxa"/>
            <w:vAlign w:val="bottom"/>
            <w:tcBorders>
              <w:bottom w:val="single" w:sz="8" w:color="0000FF"/>
            </w:tcBorders>
            <w:gridSpan w:val="9"/>
          </w:tcPr>
          <w:p>
            <w:pPr>
              <w:spacing w:after="0" w:line="93" w:lineRule="exact"/>
              <w:rPr>
                <w:rFonts w:ascii="Times New Roman" w:cs="Times New Roman" w:eastAsia="Times New Roman" w:hAnsi="Times New Roman"/>
                <w:sz w:val="10"/>
                <w:szCs w:val="10"/>
                <w:color w:val="0000FF"/>
                <w:w w:val="95"/>
              </w:rPr>
            </w:pPr>
            <w:hyperlink w:anchor="page7">
              <w:r>
                <w:rPr>
                  <w:rFonts w:ascii="Times New Roman" w:cs="Times New Roman" w:eastAsia="Times New Roman" w:hAnsi="Times New Roman"/>
                  <w:sz w:val="10"/>
                  <w:szCs w:val="10"/>
                  <w:color w:val="0000FF"/>
                  <w:w w:val="95"/>
                </w:rPr>
                <w:t>SELECTED DEFINITIONS</w:t>
              </w:r>
            </w:hyperlink>
          </w:p>
        </w:tc>
        <w:tc>
          <w:tcPr>
            <w:tcW w:w="7040" w:type="dxa"/>
            <w:vAlign w:val="bottom"/>
            <w:gridSpan w:val="13"/>
          </w:tcPr>
          <w:p>
            <w:pPr>
              <w:spacing w:after="0"/>
              <w:rPr>
                <w:sz w:val="8"/>
                <w:szCs w:val="8"/>
                <w:color w:val="auto"/>
              </w:rPr>
            </w:pPr>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180" w:type="dxa"/>
            <w:vAlign w:val="bottom"/>
            <w:tcBorders>
              <w:bottom w:val="single" w:sz="8" w:color="0000FF"/>
            </w:tcBorders>
            <w:gridSpan w:val="19"/>
          </w:tcPr>
          <w:p>
            <w:pPr>
              <w:spacing w:after="0" w:line="93" w:lineRule="exact"/>
              <w:rPr>
                <w:rFonts w:ascii="Times New Roman" w:cs="Times New Roman" w:eastAsia="Times New Roman" w:hAnsi="Times New Roman"/>
                <w:sz w:val="10"/>
                <w:szCs w:val="10"/>
                <w:color w:val="0000FF"/>
                <w:w w:val="97"/>
              </w:rPr>
            </w:pPr>
            <w:hyperlink w:anchor="page9">
              <w:r>
                <w:rPr>
                  <w:rFonts w:ascii="Times New Roman" w:cs="Times New Roman" w:eastAsia="Times New Roman" w:hAnsi="Times New Roman"/>
                  <w:sz w:val="10"/>
                  <w:szCs w:val="10"/>
                  <w:color w:val="0000FF"/>
                  <w:w w:val="97"/>
                </w:rPr>
                <w:t>CAUTIONARY NOTE REGARDING FORWARD-LOOKING STATEMENTS</w:t>
              </w:r>
            </w:hyperlink>
          </w:p>
        </w:tc>
        <w:tc>
          <w:tcPr>
            <w:tcW w:w="4980" w:type="dxa"/>
            <w:vAlign w:val="bottom"/>
            <w:gridSpan w:val="3"/>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vii</w:t>
            </w:r>
          </w:p>
        </w:tc>
        <w:tc>
          <w:tcPr>
            <w:tcW w:w="0" w:type="dxa"/>
            <w:vAlign w:val="bottom"/>
          </w:tcPr>
          <w:p>
            <w:pPr>
              <w:spacing w:after="0"/>
              <w:rPr>
                <w:sz w:val="1"/>
                <w:szCs w:val="1"/>
                <w:color w:val="auto"/>
              </w:rPr>
            </w:pPr>
          </w:p>
        </w:tc>
      </w:tr>
      <w:tr>
        <w:trPr>
          <w:trHeight w:val="93"/>
        </w:trPr>
        <w:tc>
          <w:tcPr>
            <w:tcW w:w="1140" w:type="dxa"/>
            <w:vAlign w:val="bottom"/>
            <w:tcBorders>
              <w:bottom w:val="single" w:sz="8" w:color="0000FF"/>
            </w:tcBorders>
            <w:gridSpan w:val="10"/>
          </w:tcPr>
          <w:p>
            <w:pPr>
              <w:spacing w:after="0" w:line="93" w:lineRule="exact"/>
              <w:rPr>
                <w:rFonts w:ascii="Times New Roman" w:cs="Times New Roman" w:eastAsia="Times New Roman" w:hAnsi="Times New Roman"/>
                <w:sz w:val="10"/>
                <w:szCs w:val="10"/>
                <w:color w:val="0000FF"/>
                <w:w w:val="96"/>
              </w:rPr>
            </w:pPr>
            <w:hyperlink w:anchor="page10">
              <w:r>
                <w:rPr>
                  <w:rFonts w:ascii="Times New Roman" w:cs="Times New Roman" w:eastAsia="Times New Roman" w:hAnsi="Times New Roman"/>
                  <w:sz w:val="10"/>
                  <w:szCs w:val="10"/>
                  <w:color w:val="0000FF"/>
                  <w:w w:val="96"/>
                </w:rPr>
                <w:t>PROSPECTUS SUMMARY</w:t>
              </w:r>
            </w:hyperlink>
          </w:p>
        </w:tc>
        <w:tc>
          <w:tcPr>
            <w:tcW w:w="7020" w:type="dxa"/>
            <w:vAlign w:val="bottom"/>
            <w:gridSpan w:val="12"/>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93"/>
        </w:trPr>
        <w:tc>
          <w:tcPr>
            <w:tcW w:w="700" w:type="dxa"/>
            <w:vAlign w:val="bottom"/>
            <w:tcBorders>
              <w:bottom w:val="single" w:sz="8" w:color="0000FF"/>
            </w:tcBorders>
            <w:gridSpan w:val="4"/>
          </w:tcPr>
          <w:p>
            <w:pPr>
              <w:spacing w:after="0" w:line="93" w:lineRule="exact"/>
              <w:rPr>
                <w:rFonts w:ascii="Times New Roman" w:cs="Times New Roman" w:eastAsia="Times New Roman" w:hAnsi="Times New Roman"/>
                <w:sz w:val="10"/>
                <w:szCs w:val="10"/>
                <w:color w:val="0000FF"/>
                <w:w w:val="95"/>
              </w:rPr>
            </w:pPr>
            <w:hyperlink w:anchor="page17">
              <w:r>
                <w:rPr>
                  <w:rFonts w:ascii="Times New Roman" w:cs="Times New Roman" w:eastAsia="Times New Roman" w:hAnsi="Times New Roman"/>
                  <w:sz w:val="10"/>
                  <w:szCs w:val="10"/>
                  <w:color w:val="0000FF"/>
                  <w:w w:val="95"/>
                </w:rPr>
                <w:t>THE OFFERING</w:t>
              </w:r>
            </w:hyperlink>
          </w:p>
        </w:tc>
        <w:tc>
          <w:tcPr>
            <w:tcW w:w="7460" w:type="dxa"/>
            <w:vAlign w:val="bottom"/>
            <w:gridSpan w:val="18"/>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8</w:t>
            </w:r>
          </w:p>
        </w:tc>
        <w:tc>
          <w:tcPr>
            <w:tcW w:w="0" w:type="dxa"/>
            <w:vAlign w:val="bottom"/>
          </w:tcPr>
          <w:p>
            <w:pPr>
              <w:spacing w:after="0"/>
              <w:rPr>
                <w:sz w:val="1"/>
                <w:szCs w:val="1"/>
                <w:color w:val="auto"/>
              </w:rPr>
            </w:pPr>
          </w:p>
        </w:tc>
      </w:tr>
      <w:tr>
        <w:trPr>
          <w:trHeight w:val="93"/>
        </w:trPr>
        <w:tc>
          <w:tcPr>
            <w:tcW w:w="8160" w:type="dxa"/>
            <w:vAlign w:val="bottom"/>
            <w:gridSpan w:val="22"/>
          </w:tcPr>
          <w:p>
            <w:pPr>
              <w:spacing w:after="0" w:line="93" w:lineRule="exact"/>
              <w:rPr>
                <w:rFonts w:ascii="Times New Roman" w:cs="Times New Roman" w:eastAsia="Times New Roman" w:hAnsi="Times New Roman"/>
                <w:sz w:val="10"/>
                <w:szCs w:val="10"/>
                <w:color w:val="0000FF"/>
              </w:rPr>
            </w:pPr>
            <w:hyperlink w:anchor="page18">
              <w:r>
                <w:rPr>
                  <w:rFonts w:ascii="Times New Roman" w:cs="Times New Roman" w:eastAsia="Times New Roman" w:hAnsi="Times New Roman"/>
                  <w:sz w:val="10"/>
                  <w:szCs w:val="10"/>
                  <w:color w:val="0000FF"/>
                </w:rPr>
                <w:t>RISK FACTORS</w:t>
              </w:r>
            </w:hyperlink>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9</w:t>
            </w: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33</w:t>
            </w:r>
          </w:p>
        </w:tc>
        <w:tc>
          <w:tcPr>
            <w:tcW w:w="0" w:type="dxa"/>
            <w:vAlign w:val="bottom"/>
          </w:tcPr>
          <w:p>
            <w:pPr>
              <w:spacing w:after="0" w:line="20" w:lineRule="exact"/>
              <w:rPr>
                <w:sz w:val="1"/>
                <w:szCs w:val="1"/>
                <w:color w:val="auto"/>
              </w:rPr>
            </w:pPr>
          </w:p>
        </w:tc>
      </w:tr>
      <w:tr>
        <w:trPr>
          <w:trHeight w:val="93"/>
        </w:trPr>
        <w:tc>
          <w:tcPr>
            <w:tcW w:w="860" w:type="dxa"/>
            <w:vAlign w:val="bottom"/>
            <w:tcBorders>
              <w:bottom w:val="single" w:sz="8" w:color="0000FF"/>
            </w:tcBorders>
            <w:gridSpan w:val="6"/>
          </w:tcPr>
          <w:p>
            <w:pPr>
              <w:spacing w:after="0" w:line="93" w:lineRule="exact"/>
              <w:rPr>
                <w:rFonts w:ascii="Times New Roman" w:cs="Times New Roman" w:eastAsia="Times New Roman" w:hAnsi="Times New Roman"/>
                <w:sz w:val="10"/>
                <w:szCs w:val="10"/>
                <w:color w:val="0000FF"/>
                <w:w w:val="95"/>
              </w:rPr>
            </w:pPr>
            <w:hyperlink w:anchor="page42">
              <w:r>
                <w:rPr>
                  <w:rFonts w:ascii="Times New Roman" w:cs="Times New Roman" w:eastAsia="Times New Roman" w:hAnsi="Times New Roman"/>
                  <w:sz w:val="10"/>
                  <w:szCs w:val="10"/>
                  <w:color w:val="0000FF"/>
                  <w:w w:val="95"/>
                </w:rPr>
                <w:t>USE OF PROCEEDS</w:t>
              </w:r>
            </w:hyperlink>
          </w:p>
        </w:tc>
        <w:tc>
          <w:tcPr>
            <w:tcW w:w="7300" w:type="dxa"/>
            <w:vAlign w:val="bottom"/>
            <w:gridSpan w:val="16"/>
          </w:tcPr>
          <w:p>
            <w:pPr>
              <w:spacing w:after="0"/>
              <w:rPr>
                <w:sz w:val="8"/>
                <w:szCs w:val="8"/>
                <w:color w:val="auto"/>
              </w:rPr>
            </w:pPr>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8160" w:type="dxa"/>
            <w:vAlign w:val="bottom"/>
            <w:gridSpan w:val="22"/>
          </w:tcPr>
          <w:p>
            <w:pPr>
              <w:spacing w:after="0" w:line="93" w:lineRule="exact"/>
              <w:rPr>
                <w:rFonts w:ascii="Times New Roman" w:cs="Times New Roman" w:eastAsia="Times New Roman" w:hAnsi="Times New Roman"/>
                <w:sz w:val="10"/>
                <w:szCs w:val="10"/>
                <w:color w:val="0000FF"/>
              </w:rPr>
            </w:pPr>
            <w:hyperlink w:anchor="page45">
              <w:r>
                <w:rPr>
                  <w:rFonts w:ascii="Times New Roman" w:cs="Times New Roman" w:eastAsia="Times New Roman" w:hAnsi="Times New Roman"/>
                  <w:sz w:val="10"/>
                  <w:szCs w:val="10"/>
                  <w:color w:val="0000FF"/>
                </w:rPr>
                <w:t>UNAUDITED PRO FORMA CONDENSED COMBINED FINANCIAL INFORMATION</w:t>
              </w:r>
            </w:hyperlink>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36</w:t>
            </w: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44</w:t>
            </w:r>
          </w:p>
        </w:tc>
        <w:tc>
          <w:tcPr>
            <w:tcW w:w="0" w:type="dxa"/>
            <w:vAlign w:val="bottom"/>
          </w:tcPr>
          <w:p>
            <w:pPr>
              <w:spacing w:after="0" w:line="20" w:lineRule="exact"/>
              <w:rPr>
                <w:sz w:val="1"/>
                <w:szCs w:val="1"/>
                <w:color w:val="auto"/>
              </w:rPr>
            </w:pPr>
          </w:p>
        </w:tc>
      </w:tr>
      <w:tr>
        <w:trPr>
          <w:trHeight w:val="93"/>
        </w:trPr>
        <w:tc>
          <w:tcPr>
            <w:tcW w:w="4860" w:type="dxa"/>
            <w:vAlign w:val="bottom"/>
            <w:tcBorders>
              <w:bottom w:val="single" w:sz="8" w:color="0000FF"/>
            </w:tcBorders>
            <w:gridSpan w:val="21"/>
          </w:tcPr>
          <w:p>
            <w:pPr>
              <w:spacing w:after="0" w:line="93" w:lineRule="exact"/>
              <w:rPr>
                <w:rFonts w:ascii="Times New Roman" w:cs="Times New Roman" w:eastAsia="Times New Roman" w:hAnsi="Times New Roman"/>
                <w:sz w:val="10"/>
                <w:szCs w:val="10"/>
                <w:color w:val="0000FF"/>
                <w:w w:val="97"/>
              </w:rPr>
            </w:pPr>
            <w:hyperlink w:anchor="page53">
              <w:r>
                <w:rPr>
                  <w:rFonts w:ascii="Times New Roman" w:cs="Times New Roman" w:eastAsia="Times New Roman" w:hAnsi="Times New Roman"/>
                  <w:sz w:val="10"/>
                  <w:szCs w:val="10"/>
                  <w:color w:val="0000FF"/>
                  <w:w w:val="97"/>
                </w:rPr>
                <w:t>MANAGEMENT’S DISCUSSION AND ANALYSIS OF FINANCIAL CONDITION AND RESULTS OF OPERATIONS</w:t>
              </w:r>
            </w:hyperlink>
          </w:p>
        </w:tc>
        <w:tc>
          <w:tcPr>
            <w:tcW w:w="3300" w:type="dxa"/>
            <w:vAlign w:val="bottom"/>
          </w:tcPr>
          <w:p>
            <w:pPr>
              <w:spacing w:after="0"/>
              <w:rPr>
                <w:sz w:val="8"/>
                <w:szCs w:val="8"/>
                <w:color w:val="auto"/>
              </w:rPr>
            </w:pPr>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8160" w:type="dxa"/>
            <w:vAlign w:val="bottom"/>
            <w:gridSpan w:val="22"/>
          </w:tcPr>
          <w:p>
            <w:pPr>
              <w:spacing w:after="0" w:line="93" w:lineRule="exact"/>
              <w:rPr>
                <w:rFonts w:ascii="Times New Roman" w:cs="Times New Roman" w:eastAsia="Times New Roman" w:hAnsi="Times New Roman"/>
                <w:sz w:val="10"/>
                <w:szCs w:val="10"/>
                <w:color w:val="0000FF"/>
              </w:rPr>
            </w:pPr>
            <w:hyperlink w:anchor="page94">
              <w:r>
                <w:rPr>
                  <w:rFonts w:ascii="Times New Roman" w:cs="Times New Roman" w:eastAsia="Times New Roman" w:hAnsi="Times New Roman"/>
                  <w:sz w:val="10"/>
                  <w:szCs w:val="10"/>
                  <w:color w:val="0000FF"/>
                </w:rPr>
                <w:t>MANAGEMENT AND COMPENSATION</w:t>
              </w:r>
            </w:hyperlink>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85</w:t>
            </w: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24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93</w:t>
            </w:r>
          </w:p>
        </w:tc>
        <w:tc>
          <w:tcPr>
            <w:tcW w:w="0" w:type="dxa"/>
            <w:vAlign w:val="bottom"/>
          </w:tcPr>
          <w:p>
            <w:pPr>
              <w:spacing w:after="0" w:line="20" w:lineRule="exact"/>
              <w:rPr>
                <w:sz w:val="1"/>
                <w:szCs w:val="1"/>
                <w:color w:val="auto"/>
              </w:rPr>
            </w:pPr>
          </w:p>
        </w:tc>
      </w:tr>
      <w:tr>
        <w:trPr>
          <w:trHeight w:val="93"/>
        </w:trPr>
        <w:tc>
          <w:tcPr>
            <w:tcW w:w="8160" w:type="dxa"/>
            <w:vAlign w:val="bottom"/>
            <w:gridSpan w:val="22"/>
          </w:tcPr>
          <w:p>
            <w:pPr>
              <w:spacing w:after="0" w:line="93" w:lineRule="exact"/>
              <w:rPr>
                <w:rFonts w:ascii="Times New Roman" w:cs="Times New Roman" w:eastAsia="Times New Roman" w:hAnsi="Times New Roman"/>
                <w:sz w:val="10"/>
                <w:szCs w:val="10"/>
                <w:color w:val="0000FF"/>
              </w:rPr>
            </w:pPr>
            <w:hyperlink w:anchor="page102">
              <w:r>
                <w:rPr>
                  <w:rFonts w:ascii="Times New Roman" w:cs="Times New Roman" w:eastAsia="Times New Roman" w:hAnsi="Times New Roman"/>
                  <w:sz w:val="10"/>
                  <w:szCs w:val="10"/>
                  <w:color w:val="0000FF"/>
                </w:rPr>
                <w:t>CERTAIN RELATIONSHIPS AND RELATED PARTY TRANSACTIONS</w:t>
              </w:r>
            </w:hyperlink>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000" w:type="dxa"/>
            <w:vAlign w:val="bottom"/>
            <w:tcBorders>
              <w:top w:val="single" w:sz="8" w:color="0000FF"/>
            </w:tcBorders>
            <w:gridSpan w:val="18"/>
          </w:tcPr>
          <w:p>
            <w:pPr>
              <w:spacing w:after="0" w:line="93" w:lineRule="exact"/>
              <w:rPr>
                <w:rFonts w:ascii="Times New Roman" w:cs="Times New Roman" w:eastAsia="Times New Roman" w:hAnsi="Times New Roman"/>
                <w:sz w:val="10"/>
                <w:szCs w:val="10"/>
                <w:color w:val="0000FF"/>
              </w:rPr>
            </w:pPr>
            <w:hyperlink w:anchor="page103">
              <w:r>
                <w:rPr>
                  <w:rFonts w:ascii="Times New Roman" w:cs="Times New Roman" w:eastAsia="Times New Roman" w:hAnsi="Times New Roman"/>
                  <w:sz w:val="10"/>
                  <w:szCs w:val="10"/>
                  <w:color w:val="0000FF"/>
                </w:rPr>
                <w:t>BENEFICIAL OWNERSHIP OF SECURITIES</w:t>
              </w:r>
            </w:hyperlink>
          </w:p>
        </w:tc>
        <w:tc>
          <w:tcPr>
            <w:tcW w:w="5160" w:type="dxa"/>
            <w:vAlign w:val="bottom"/>
            <w:gridSpan w:val="4"/>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94</w:t>
            </w:r>
          </w:p>
        </w:tc>
        <w:tc>
          <w:tcPr>
            <w:tcW w:w="0" w:type="dxa"/>
            <w:vAlign w:val="bottom"/>
          </w:tcPr>
          <w:p>
            <w:pPr>
              <w:spacing w:after="0"/>
              <w:rPr>
                <w:sz w:val="1"/>
                <w:szCs w:val="1"/>
                <w:color w:val="auto"/>
              </w:rPr>
            </w:pPr>
          </w:p>
        </w:tc>
      </w:tr>
      <w:tr>
        <w:trPr>
          <w:trHeight w:val="93"/>
        </w:trPr>
        <w:tc>
          <w:tcPr>
            <w:tcW w:w="880" w:type="dxa"/>
            <w:vAlign w:val="bottom"/>
            <w:tcBorders>
              <w:top w:val="single" w:sz="8" w:color="0000FF"/>
              <w:bottom w:val="single" w:sz="8" w:color="0000FF"/>
            </w:tcBorders>
            <w:gridSpan w:val="7"/>
          </w:tcPr>
          <w:p>
            <w:pPr>
              <w:spacing w:after="0" w:line="93" w:lineRule="exact"/>
              <w:rPr>
                <w:rFonts w:ascii="Times New Roman" w:cs="Times New Roman" w:eastAsia="Times New Roman" w:hAnsi="Times New Roman"/>
                <w:sz w:val="10"/>
                <w:szCs w:val="10"/>
                <w:color w:val="0000FF"/>
                <w:w w:val="95"/>
              </w:rPr>
            </w:pPr>
            <w:hyperlink w:anchor="page105">
              <w:r>
                <w:rPr>
                  <w:rFonts w:ascii="Times New Roman" w:cs="Times New Roman" w:eastAsia="Times New Roman" w:hAnsi="Times New Roman"/>
                  <w:sz w:val="10"/>
                  <w:szCs w:val="10"/>
                  <w:color w:val="0000FF"/>
                  <w:w w:val="95"/>
                </w:rPr>
                <w:t>SELLING HOLDERS</w:t>
              </w:r>
            </w:hyperlink>
          </w:p>
        </w:tc>
        <w:tc>
          <w:tcPr>
            <w:tcW w:w="1000" w:type="dxa"/>
            <w:vAlign w:val="bottom"/>
            <w:tcBorders>
              <w:top w:val="single" w:sz="8" w:color="0000FF"/>
            </w:tcBorders>
            <w:gridSpan w:val="8"/>
          </w:tcPr>
          <w:p>
            <w:pPr>
              <w:spacing w:after="0"/>
              <w:rPr>
                <w:sz w:val="8"/>
                <w:szCs w:val="8"/>
                <w:color w:val="auto"/>
              </w:rPr>
            </w:pPr>
          </w:p>
        </w:tc>
        <w:tc>
          <w:tcPr>
            <w:tcW w:w="6280" w:type="dxa"/>
            <w:vAlign w:val="bottom"/>
            <w:gridSpan w:val="7"/>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96</w:t>
            </w:r>
          </w:p>
        </w:tc>
        <w:tc>
          <w:tcPr>
            <w:tcW w:w="0" w:type="dxa"/>
            <w:vAlign w:val="bottom"/>
          </w:tcPr>
          <w:p>
            <w:pPr>
              <w:spacing w:after="0"/>
              <w:rPr>
                <w:sz w:val="1"/>
                <w:szCs w:val="1"/>
                <w:color w:val="auto"/>
              </w:rPr>
            </w:pPr>
          </w:p>
        </w:tc>
      </w:tr>
      <w:tr>
        <w:trPr>
          <w:trHeight w:val="93"/>
        </w:trPr>
        <w:tc>
          <w:tcPr>
            <w:tcW w:w="8160" w:type="dxa"/>
            <w:vAlign w:val="bottom"/>
            <w:gridSpan w:val="22"/>
          </w:tcPr>
          <w:p>
            <w:pPr>
              <w:spacing w:after="0" w:line="93" w:lineRule="exact"/>
              <w:rPr>
                <w:rFonts w:ascii="Times New Roman" w:cs="Times New Roman" w:eastAsia="Times New Roman" w:hAnsi="Times New Roman"/>
                <w:sz w:val="10"/>
                <w:szCs w:val="10"/>
                <w:color w:val="0000FF"/>
              </w:rPr>
            </w:pPr>
            <w:hyperlink w:anchor="page121">
              <w:r>
                <w:rPr>
                  <w:rFonts w:ascii="Times New Roman" w:cs="Times New Roman" w:eastAsia="Times New Roman" w:hAnsi="Times New Roman"/>
                  <w:sz w:val="10"/>
                  <w:szCs w:val="10"/>
                  <w:color w:val="0000FF"/>
                </w:rPr>
                <w:t>MATERIAL INCOME TAX CONSIDERATIONS</w:t>
              </w:r>
            </w:hyperlink>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112</w:t>
            </w:r>
          </w:p>
        </w:tc>
        <w:tc>
          <w:tcPr>
            <w:tcW w:w="0" w:type="dxa"/>
            <w:vAlign w:val="bottom"/>
          </w:tcPr>
          <w:p>
            <w:pPr>
              <w:spacing w:after="0"/>
              <w:rPr>
                <w:sz w:val="1"/>
                <w:szCs w:val="1"/>
                <w:color w:val="auto"/>
              </w:rPr>
            </w:pPr>
          </w:p>
        </w:tc>
      </w:tr>
      <w:tr>
        <w:trPr>
          <w:trHeight w:val="93"/>
        </w:trPr>
        <w:tc>
          <w:tcPr>
            <w:tcW w:w="2000" w:type="dxa"/>
            <w:vAlign w:val="bottom"/>
            <w:tcBorders>
              <w:top w:val="single" w:sz="8" w:color="0000FF"/>
            </w:tcBorders>
            <w:gridSpan w:val="16"/>
          </w:tcPr>
          <w:p>
            <w:pPr>
              <w:spacing w:after="0" w:line="93" w:lineRule="exact"/>
              <w:rPr>
                <w:rFonts w:ascii="Times New Roman" w:cs="Times New Roman" w:eastAsia="Times New Roman" w:hAnsi="Times New Roman"/>
                <w:sz w:val="10"/>
                <w:szCs w:val="10"/>
                <w:color w:val="0000FF"/>
              </w:rPr>
            </w:pPr>
            <w:hyperlink w:anchor="page127">
              <w:r>
                <w:rPr>
                  <w:rFonts w:ascii="Times New Roman" w:cs="Times New Roman" w:eastAsia="Times New Roman" w:hAnsi="Times New Roman"/>
                  <w:sz w:val="10"/>
                  <w:szCs w:val="10"/>
                  <w:color w:val="0000FF"/>
                </w:rPr>
                <w:t>PLAN OF DISTRIBUTION</w:t>
              </w:r>
            </w:hyperlink>
          </w:p>
        </w:tc>
        <w:tc>
          <w:tcPr>
            <w:tcW w:w="6160" w:type="dxa"/>
            <w:vAlign w:val="bottom"/>
            <w:gridSpan w:val="6"/>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118</w:t>
            </w: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80" w:type="dxa"/>
            <w:vAlign w:val="bottom"/>
            <w:gridSpan w:val="5"/>
          </w:tcPr>
          <w:p>
            <w:pPr>
              <w:spacing w:after="0" w:line="20" w:lineRule="exact"/>
              <w:rPr>
                <w:sz w:val="1"/>
                <w:szCs w:val="1"/>
                <w:color w:val="auto"/>
              </w:rPr>
            </w:pPr>
          </w:p>
        </w:tc>
        <w:tc>
          <w:tcPr>
            <w:tcW w:w="24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120</w:t>
            </w:r>
          </w:p>
        </w:tc>
        <w:tc>
          <w:tcPr>
            <w:tcW w:w="0" w:type="dxa"/>
            <w:vAlign w:val="bottom"/>
          </w:tcPr>
          <w:p>
            <w:pPr>
              <w:spacing w:after="0" w:line="20" w:lineRule="exact"/>
              <w:rPr>
                <w:sz w:val="1"/>
                <w:szCs w:val="1"/>
                <w:color w:val="auto"/>
              </w:rPr>
            </w:pPr>
          </w:p>
        </w:tc>
      </w:tr>
      <w:tr>
        <w:trPr>
          <w:trHeight w:val="93"/>
        </w:trPr>
        <w:tc>
          <w:tcPr>
            <w:tcW w:w="8160" w:type="dxa"/>
            <w:vAlign w:val="bottom"/>
            <w:gridSpan w:val="22"/>
          </w:tcPr>
          <w:p>
            <w:pPr>
              <w:spacing w:after="0" w:line="93" w:lineRule="exact"/>
              <w:rPr>
                <w:rFonts w:ascii="Times New Roman" w:cs="Times New Roman" w:eastAsia="Times New Roman" w:hAnsi="Times New Roman"/>
                <w:sz w:val="10"/>
                <w:szCs w:val="10"/>
                <w:color w:val="0000FF"/>
              </w:rPr>
            </w:pPr>
            <w:hyperlink w:anchor="page129">
              <w:r>
                <w:rPr>
                  <w:rFonts w:ascii="Times New Roman" w:cs="Times New Roman" w:eastAsia="Times New Roman" w:hAnsi="Times New Roman"/>
                  <w:sz w:val="10"/>
                  <w:szCs w:val="10"/>
                  <w:color w:val="0000FF"/>
                </w:rPr>
                <w:t>EXPENSES RELATED TO THIS OFFERING</w:t>
              </w:r>
            </w:hyperlink>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800" w:type="dxa"/>
            <w:vAlign w:val="bottom"/>
            <w:tcBorders>
              <w:top w:val="single" w:sz="8" w:color="0000FF"/>
              <w:bottom w:val="single" w:sz="8" w:color="0000FF"/>
            </w:tcBorders>
            <w:gridSpan w:val="5"/>
          </w:tcPr>
          <w:p>
            <w:pPr>
              <w:spacing w:after="0" w:line="93" w:lineRule="exact"/>
              <w:rPr>
                <w:rFonts w:ascii="Times New Roman" w:cs="Times New Roman" w:eastAsia="Times New Roman" w:hAnsi="Times New Roman"/>
                <w:sz w:val="10"/>
                <w:szCs w:val="10"/>
                <w:color w:val="0000FF"/>
                <w:w w:val="95"/>
              </w:rPr>
            </w:pPr>
            <w:hyperlink w:anchor="page129">
              <w:r>
                <w:rPr>
                  <w:rFonts w:ascii="Times New Roman" w:cs="Times New Roman" w:eastAsia="Times New Roman" w:hAnsi="Times New Roman"/>
                  <w:sz w:val="10"/>
                  <w:szCs w:val="10"/>
                  <w:color w:val="0000FF"/>
                  <w:w w:val="95"/>
                </w:rPr>
                <w:t>LEGAL MATTERS</w:t>
              </w:r>
            </w:hyperlink>
          </w:p>
        </w:tc>
        <w:tc>
          <w:tcPr>
            <w:tcW w:w="1040" w:type="dxa"/>
            <w:vAlign w:val="bottom"/>
            <w:tcBorders>
              <w:top w:val="single" w:sz="8" w:color="0000FF"/>
            </w:tcBorders>
            <w:gridSpan w:val="9"/>
          </w:tcPr>
          <w:p>
            <w:pPr>
              <w:spacing w:after="0"/>
              <w:rPr>
                <w:sz w:val="8"/>
                <w:szCs w:val="8"/>
                <w:color w:val="auto"/>
              </w:rPr>
            </w:pPr>
          </w:p>
        </w:tc>
        <w:tc>
          <w:tcPr>
            <w:tcW w:w="6320" w:type="dxa"/>
            <w:vAlign w:val="bottom"/>
            <w:gridSpan w:val="8"/>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120</w:t>
            </w:r>
          </w:p>
        </w:tc>
        <w:tc>
          <w:tcPr>
            <w:tcW w:w="0" w:type="dxa"/>
            <w:vAlign w:val="bottom"/>
          </w:tcPr>
          <w:p>
            <w:pPr>
              <w:spacing w:after="0"/>
              <w:rPr>
                <w:sz w:val="1"/>
                <w:szCs w:val="1"/>
                <w:color w:val="auto"/>
              </w:rPr>
            </w:pPr>
          </w:p>
        </w:tc>
      </w:tr>
      <w:tr>
        <w:trPr>
          <w:trHeight w:val="93"/>
        </w:trPr>
        <w:tc>
          <w:tcPr>
            <w:tcW w:w="420" w:type="dxa"/>
            <w:vAlign w:val="bottom"/>
            <w:tcBorders>
              <w:bottom w:val="single" w:sz="8" w:color="0000FF"/>
            </w:tcBorders>
          </w:tcPr>
          <w:p>
            <w:pPr>
              <w:spacing w:after="0" w:line="93" w:lineRule="exact"/>
              <w:rPr>
                <w:rFonts w:ascii="Times New Roman" w:cs="Times New Roman" w:eastAsia="Times New Roman" w:hAnsi="Times New Roman"/>
                <w:sz w:val="10"/>
                <w:szCs w:val="10"/>
                <w:color w:val="0000FF"/>
                <w:w w:val="92"/>
              </w:rPr>
            </w:pPr>
            <w:hyperlink w:anchor="page129">
              <w:r>
                <w:rPr>
                  <w:rFonts w:ascii="Times New Roman" w:cs="Times New Roman" w:eastAsia="Times New Roman" w:hAnsi="Times New Roman"/>
                  <w:sz w:val="10"/>
                  <w:szCs w:val="10"/>
                  <w:color w:val="0000FF"/>
                  <w:w w:val="92"/>
                </w:rPr>
                <w:t>EXPERTS</w:t>
              </w:r>
            </w:hyperlink>
          </w:p>
        </w:tc>
        <w:tc>
          <w:tcPr>
            <w:tcW w:w="7740" w:type="dxa"/>
            <w:vAlign w:val="bottom"/>
            <w:gridSpan w:val="21"/>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120</w:t>
            </w:r>
          </w:p>
        </w:tc>
        <w:tc>
          <w:tcPr>
            <w:tcW w:w="0" w:type="dxa"/>
            <w:vAlign w:val="bottom"/>
          </w:tcPr>
          <w:p>
            <w:pPr>
              <w:spacing w:after="0"/>
              <w:rPr>
                <w:sz w:val="1"/>
                <w:szCs w:val="1"/>
                <w:color w:val="auto"/>
              </w:rPr>
            </w:pPr>
          </w:p>
        </w:tc>
      </w:tr>
      <w:tr>
        <w:trPr>
          <w:trHeight w:val="93"/>
        </w:trPr>
        <w:tc>
          <w:tcPr>
            <w:tcW w:w="8160" w:type="dxa"/>
            <w:vAlign w:val="bottom"/>
            <w:gridSpan w:val="22"/>
          </w:tcPr>
          <w:p>
            <w:pPr>
              <w:spacing w:after="0" w:line="93" w:lineRule="exact"/>
              <w:rPr>
                <w:rFonts w:ascii="Times New Roman" w:cs="Times New Roman" w:eastAsia="Times New Roman" w:hAnsi="Times New Roman"/>
                <w:sz w:val="10"/>
                <w:szCs w:val="10"/>
                <w:color w:val="0000FF"/>
              </w:rPr>
            </w:pPr>
            <w:hyperlink w:anchor="page129">
              <w:r>
                <w:rPr>
                  <w:rFonts w:ascii="Times New Roman" w:cs="Times New Roman" w:eastAsia="Times New Roman" w:hAnsi="Times New Roman"/>
                  <w:sz w:val="10"/>
                  <w:szCs w:val="10"/>
                  <w:color w:val="0000FF"/>
                </w:rPr>
                <w:t>ENFORCEABILITY OF CIVIL LIABILITY</w:t>
              </w:r>
            </w:hyperlink>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120</w:t>
            </w:r>
          </w:p>
        </w:tc>
        <w:tc>
          <w:tcPr>
            <w:tcW w:w="0" w:type="dxa"/>
            <w:vAlign w:val="bottom"/>
          </w:tcPr>
          <w:p>
            <w:pPr>
              <w:spacing w:after="0"/>
              <w:rPr>
                <w:sz w:val="1"/>
                <w:szCs w:val="1"/>
                <w:color w:val="auto"/>
              </w:rPr>
            </w:pPr>
          </w:p>
        </w:tc>
      </w:tr>
      <w:tr>
        <w:trPr>
          <w:trHeight w:val="20"/>
        </w:trPr>
        <w:tc>
          <w:tcPr>
            <w:tcW w:w="1760" w:type="dxa"/>
            <w:vAlign w:val="bottom"/>
            <w:gridSpan w:val="13"/>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80" w:type="dxa"/>
            <w:vAlign w:val="bottom"/>
            <w:gridSpan w:val="5"/>
          </w:tcPr>
          <w:p>
            <w:pPr>
              <w:spacing w:after="0" w:line="20" w:lineRule="exact"/>
              <w:rPr>
                <w:sz w:val="1"/>
                <w:szCs w:val="1"/>
                <w:color w:val="auto"/>
              </w:rPr>
            </w:pPr>
          </w:p>
        </w:tc>
        <w:tc>
          <w:tcPr>
            <w:tcW w:w="24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120</w:t>
            </w:r>
          </w:p>
        </w:tc>
        <w:tc>
          <w:tcPr>
            <w:tcW w:w="0" w:type="dxa"/>
            <w:vAlign w:val="bottom"/>
          </w:tcPr>
          <w:p>
            <w:pPr>
              <w:spacing w:after="0" w:line="20" w:lineRule="exact"/>
              <w:rPr>
                <w:sz w:val="1"/>
                <w:szCs w:val="1"/>
                <w:color w:val="auto"/>
              </w:rPr>
            </w:pPr>
          </w:p>
        </w:tc>
      </w:tr>
      <w:tr>
        <w:trPr>
          <w:trHeight w:val="93"/>
        </w:trPr>
        <w:tc>
          <w:tcPr>
            <w:tcW w:w="2080" w:type="dxa"/>
            <w:vAlign w:val="bottom"/>
            <w:tcBorders>
              <w:bottom w:val="single" w:sz="8" w:color="0000FF"/>
            </w:tcBorders>
            <w:gridSpan w:val="17"/>
          </w:tcPr>
          <w:p>
            <w:pPr>
              <w:spacing w:after="0" w:line="93" w:lineRule="exact"/>
              <w:rPr>
                <w:rFonts w:ascii="Times New Roman" w:cs="Times New Roman" w:eastAsia="Times New Roman" w:hAnsi="Times New Roman"/>
                <w:sz w:val="10"/>
                <w:szCs w:val="10"/>
                <w:color w:val="0000FF"/>
                <w:w w:val="96"/>
              </w:rPr>
            </w:pPr>
            <w:hyperlink w:anchor="page129">
              <w:r>
                <w:rPr>
                  <w:rFonts w:ascii="Times New Roman" w:cs="Times New Roman" w:eastAsia="Times New Roman" w:hAnsi="Times New Roman"/>
                  <w:sz w:val="10"/>
                  <w:szCs w:val="10"/>
                  <w:color w:val="0000FF"/>
                  <w:w w:val="96"/>
                </w:rPr>
                <w:t>WHERE YOU CAN FIND MORE INFORMATION</w:t>
              </w:r>
            </w:hyperlink>
          </w:p>
        </w:tc>
        <w:tc>
          <w:tcPr>
            <w:tcW w:w="6080" w:type="dxa"/>
            <w:vAlign w:val="bottom"/>
            <w:gridSpan w:val="5"/>
          </w:tcPr>
          <w:p>
            <w:pPr>
              <w:spacing w:after="0"/>
              <w:rPr>
                <w:sz w:val="8"/>
                <w:szCs w:val="8"/>
                <w:color w:val="auto"/>
              </w:rPr>
            </w:pPr>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ABOUT THIS PROSPECTUS</w:t>
      </w:r>
    </w:p>
    <w:p>
      <w:pPr>
        <w:spacing w:after="0" w:line="97"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This prospectus is part of a registration statement on Form F -l that we filed with the SEC using a “shelf’ registration process. Under this shelf registration process, we and the Selling Holders may, from time to time, issue, offer and sell, as applicable, any combination of the securities described in this prospectus in one or more offerings. The Selling Holders may use the shelf registration statement to sell up to an aggregate of 58,444,822 Ordinary Shares from time to time through any means described in the section entitled “</w:t>
      </w:r>
      <w:r>
        <w:rPr>
          <w:rFonts w:ascii="Times New Roman" w:cs="Times New Roman" w:eastAsia="Times New Roman" w:hAnsi="Times New Roman"/>
          <w:sz w:val="10"/>
          <w:szCs w:val="10"/>
          <w:i w:val="1"/>
          <w:iCs w:val="1"/>
          <w:color w:val="auto"/>
        </w:rPr>
        <w:t>Plan of Distribution</w:t>
      </w:r>
      <w:r>
        <w:rPr>
          <w:rFonts w:ascii="Times New Roman" w:cs="Times New Roman" w:eastAsia="Times New Roman" w:hAnsi="Times New Roman"/>
          <w:sz w:val="10"/>
          <w:szCs w:val="10"/>
          <w:color w:val="auto"/>
        </w:rPr>
        <w:t>.” More specific terms of any securities that the Selling Holders offer and sell may be provided in a prospectus supplement that describes, among other things, the specific amounts and prices of the Ordinary Shares being offered and the terms of the offering the Selling Holders may, from time to time, issue, offer and sell, as applicable, any combination of the securities described in this prospectus in one or more offerings.</w:t>
      </w:r>
    </w:p>
    <w:p>
      <w:pPr>
        <w:spacing w:after="0" w:line="108"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 xml:space="preserve">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0"/>
          <w:szCs w:val="10"/>
          <w:i w:val="1"/>
          <w:iCs w:val="1"/>
          <w:color w:val="auto"/>
        </w:rPr>
        <w:t>“Where You Can Find More Information.”</w:t>
      </w:r>
    </w:p>
    <w:p>
      <w:pPr>
        <w:spacing w:after="0" w:line="105" w:lineRule="exact"/>
        <w:rPr>
          <w:sz w:val="20"/>
          <w:szCs w:val="20"/>
          <w:color w:val="auto"/>
        </w:rPr>
      </w:pPr>
    </w:p>
    <w:p>
      <w:pPr>
        <w:ind w:right="20" w:firstLine="480"/>
        <w:spacing w:after="0" w:line="273" w:lineRule="auto"/>
        <w:rPr>
          <w:sz w:val="20"/>
          <w:szCs w:val="20"/>
          <w:color w:val="auto"/>
        </w:rPr>
      </w:pPr>
      <w:r>
        <w:rPr>
          <w:rFonts w:ascii="Times New Roman" w:cs="Times New Roman" w:eastAsia="Times New Roman" w:hAnsi="Times New Roman"/>
          <w:sz w:val="9"/>
          <w:szCs w:val="9"/>
          <w:color w:val="auto"/>
        </w:rPr>
        <w:t>Neither we nor the Selling Holders have authorized anyone to provide any information or to make any representations other than those contained in this prospectus, any accompanying prospectus supplement or any free writing prospectus we have prepared. We and the Selling 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94"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0"/>
          <w:szCs w:val="10"/>
          <w:i w:val="1"/>
          <w:iCs w:val="1"/>
          <w:color w:val="auto"/>
        </w:rPr>
        <w:t>“Where You Can Find More Information.”</w:t>
      </w:r>
    </w:p>
    <w:p>
      <w:pPr>
        <w:spacing w:after="0" w:line="103"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On August 15, 2024 (the “</w:t>
      </w:r>
      <w:r>
        <w:rPr>
          <w:rFonts w:ascii="Times New Roman" w:cs="Times New Roman" w:eastAsia="Times New Roman" w:hAnsi="Times New Roman"/>
          <w:sz w:val="10"/>
          <w:szCs w:val="10"/>
          <w:b w:val="1"/>
          <w:bCs w:val="1"/>
          <w:i w:val="1"/>
          <w:iCs w:val="1"/>
          <w:color w:val="auto"/>
        </w:rPr>
        <w:t>Closing Date</w:t>
      </w:r>
      <w:r>
        <w:rPr>
          <w:rFonts w:ascii="Times New Roman" w:cs="Times New Roman" w:eastAsia="Times New Roman" w:hAnsi="Times New Roman"/>
          <w:sz w:val="10"/>
          <w:szCs w:val="10"/>
          <w:color w:val="auto"/>
        </w:rPr>
        <w:t>”) Armada Acquisition Corp. I, a Delaware corporation (“</w:t>
      </w:r>
      <w:r>
        <w:rPr>
          <w:rFonts w:ascii="Times New Roman" w:cs="Times New Roman" w:eastAsia="Times New Roman" w:hAnsi="Times New Roman"/>
          <w:sz w:val="10"/>
          <w:szCs w:val="10"/>
          <w:b w:val="1"/>
          <w:bCs w:val="1"/>
          <w:i w:val="1"/>
          <w:iCs w:val="1"/>
          <w:color w:val="auto"/>
        </w:rPr>
        <w:t>Armada</w:t>
      </w:r>
      <w:r>
        <w:rPr>
          <w:rFonts w:ascii="Times New Roman" w:cs="Times New Roman" w:eastAsia="Times New Roman" w:hAnsi="Times New Roman"/>
          <w:sz w:val="10"/>
          <w:szCs w:val="10"/>
          <w:color w:val="auto"/>
        </w:rPr>
        <w:t>”), Rezolve AI Limited, a private limited company registered under the laws of England and Wales with registration number 14573691 (the “</w:t>
      </w:r>
      <w:r>
        <w:rPr>
          <w:rFonts w:ascii="Times New Roman" w:cs="Times New Roman" w:eastAsia="Times New Roman" w:hAnsi="Times New Roman"/>
          <w:sz w:val="10"/>
          <w:szCs w:val="10"/>
          <w:b w:val="1"/>
          <w:bCs w:val="1"/>
          <w:i w:val="1"/>
          <w:iCs w:val="1"/>
          <w:color w:val="auto"/>
        </w:rPr>
        <w:t>Company</w:t>
      </w:r>
      <w:r>
        <w:rPr>
          <w:rFonts w:ascii="Times New Roman" w:cs="Times New Roman" w:eastAsia="Times New Roman" w:hAnsi="Times New Roman"/>
          <w:sz w:val="10"/>
          <w:szCs w:val="10"/>
          <w:color w:val="auto"/>
        </w:rPr>
        <w:t>” or “</w:t>
      </w:r>
      <w:r>
        <w:rPr>
          <w:rFonts w:ascii="Times New Roman" w:cs="Times New Roman" w:eastAsia="Times New Roman" w:hAnsi="Times New Roman"/>
          <w:sz w:val="10"/>
          <w:szCs w:val="10"/>
          <w:b w:val="1"/>
          <w:bCs w:val="1"/>
          <w:i w:val="1"/>
          <w:iCs w:val="1"/>
          <w:color w:val="auto"/>
        </w:rPr>
        <w:t>Rezolve</w:t>
      </w:r>
      <w:r>
        <w:rPr>
          <w:rFonts w:ascii="Times New Roman" w:cs="Times New Roman" w:eastAsia="Times New Roman" w:hAnsi="Times New Roman"/>
          <w:sz w:val="10"/>
          <w:szCs w:val="10"/>
          <w:color w:val="auto"/>
        </w:rPr>
        <w:t>”) and Rezolve Merger Sub, Inc., a Delaware corporation (“</w:t>
      </w:r>
      <w:r>
        <w:rPr>
          <w:rFonts w:ascii="Times New Roman" w:cs="Times New Roman" w:eastAsia="Times New Roman" w:hAnsi="Times New Roman"/>
          <w:sz w:val="10"/>
          <w:szCs w:val="10"/>
          <w:b w:val="1"/>
          <w:bCs w:val="1"/>
          <w:i w:val="1"/>
          <w:iCs w:val="1"/>
          <w:color w:val="auto"/>
        </w:rPr>
        <w:t>Rezolve Merger Sub</w:t>
      </w:r>
      <w:r>
        <w:rPr>
          <w:rFonts w:ascii="Times New Roman" w:cs="Times New Roman" w:eastAsia="Times New Roman" w:hAnsi="Times New Roman"/>
          <w:sz w:val="10"/>
          <w:szCs w:val="10"/>
          <w:color w:val="auto"/>
        </w:rPr>
        <w:t>”), consummated the business combination pursuant to the terms of the Business Combination Agreement, dated as of December 17, 2021 (as amended or supplemented from time to time, the “</w:t>
      </w:r>
      <w:r>
        <w:rPr>
          <w:rFonts w:ascii="Times New Roman" w:cs="Times New Roman" w:eastAsia="Times New Roman" w:hAnsi="Times New Roman"/>
          <w:sz w:val="10"/>
          <w:szCs w:val="10"/>
          <w:b w:val="1"/>
          <w:bCs w:val="1"/>
          <w:i w:val="1"/>
          <w:iCs w:val="1"/>
          <w:color w:val="auto"/>
        </w:rPr>
        <w:t>Business Combination Agreement</w:t>
      </w:r>
      <w:r>
        <w:rPr>
          <w:rFonts w:ascii="Times New Roman" w:cs="Times New Roman" w:eastAsia="Times New Roman" w:hAnsi="Times New Roman"/>
          <w:sz w:val="10"/>
          <w:szCs w:val="10"/>
          <w:color w:val="auto"/>
        </w:rPr>
        <w:t xml:space="preserve"> ”), pursuant to which, among other things, (i) on July 4, 2024, Rezolve Limited, a private limited company organized under the laws of England and Wales ("</w:t>
      </w:r>
      <w:r>
        <w:rPr>
          <w:rFonts w:ascii="Times New Roman" w:cs="Times New Roman" w:eastAsia="Times New Roman" w:hAnsi="Times New Roman"/>
          <w:sz w:val="10"/>
          <w:szCs w:val="10"/>
          <w:b w:val="1"/>
          <w:bCs w:val="1"/>
          <w:i w:val="1"/>
          <w:iCs w:val="1"/>
          <w:color w:val="auto"/>
        </w:rPr>
        <w:t>Rezolve Limited</w:t>
      </w:r>
      <w:r>
        <w:rPr>
          <w:rFonts w:ascii="Times New Roman" w:cs="Times New Roman" w:eastAsia="Times New Roman" w:hAnsi="Times New Roman"/>
          <w:sz w:val="10"/>
          <w:szCs w:val="10"/>
          <w:color w:val="auto"/>
        </w:rPr>
        <w:t>") effected a pre-Closing demerger (the “</w:t>
      </w:r>
      <w:r>
        <w:rPr>
          <w:rFonts w:ascii="Times New Roman" w:cs="Times New Roman" w:eastAsia="Times New Roman" w:hAnsi="Times New Roman"/>
          <w:sz w:val="10"/>
          <w:szCs w:val="10"/>
          <w:b w:val="1"/>
          <w:bCs w:val="1"/>
          <w:i w:val="1"/>
          <w:iCs w:val="1"/>
          <w:color w:val="auto"/>
        </w:rPr>
        <w:t>Pre-Closing Demerger</w:t>
      </w:r>
      <w:r>
        <w:rPr>
          <w:rFonts w:ascii="Times New Roman" w:cs="Times New Roman" w:eastAsia="Times New Roman" w:hAnsi="Times New Roman"/>
          <w:sz w:val="10"/>
          <w:szCs w:val="10"/>
          <w:color w:val="auto"/>
        </w:rPr>
        <w:t>”) pursuant to UK legislation under which (x) part of Rezolve Limited’s business and assets (being all of its business and assets except for certain shares in Rezolve Information Technology (Shanghai) Co Ltd and its wholly owned subsidiary Nine Stone</w:t>
      </w:r>
      <w:r>
        <w:rPr>
          <w:rFonts w:ascii="Times New Roman" w:cs="Times New Roman" w:eastAsia="Times New Roman" w:hAnsi="Times New Roman"/>
          <w:sz w:val="10"/>
          <w:szCs w:val="10"/>
          <w:b w:val="1"/>
          <w:bCs w:val="1"/>
          <w:i w:val="1"/>
          <w:iCs w:val="1"/>
          <w:color w:val="auto"/>
        </w:rPr>
        <w:t xml:space="preserve"> </w:t>
      </w:r>
      <w:r>
        <w:rPr>
          <w:rFonts w:ascii="Times New Roman" w:cs="Times New Roman" w:eastAsia="Times New Roman" w:hAnsi="Times New Roman"/>
          <w:sz w:val="10"/>
          <w:szCs w:val="10"/>
          <w:color w:val="auto"/>
        </w:rPr>
        <w:t>(Shanghai)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 (ii) on the Closing Date, the Company effected a company reorganization whereby the Company’s series A shares were reclassified as Ordinary Shares and (iii) on the Closing Date,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Upon the closing of the Business Combination, the Company became the direct parent of Armada.</w:t>
      </w:r>
    </w:p>
    <w:p>
      <w:pPr>
        <w:spacing w:after="0" w:line="108"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The directors of the Company have taken all reasonable care to ensure that the facts stated in this prospectus are true and accurate in all material respects, and that there are no other facts the omission of which would make misleading any statement in the document, whether or facts or of opinion. The directors accept responsibility accordingly.</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0"/>
          <w:szCs w:val="10"/>
          <w:color w:val="auto"/>
        </w:rPr>
        <w:t>It should be remembered that the price of securities and the income from them can go down as well as up.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you are in any doubt about the contents of this prospectus, you should consult your stockbroker, bank manager, solicitor, accountant or financial adviser.</w:t>
      </w:r>
    </w:p>
    <w:p>
      <w:pPr>
        <w:spacing w:after="0" w:line="118" w:lineRule="exact"/>
        <w:rPr>
          <w:sz w:val="20"/>
          <w:szCs w:val="20"/>
          <w:color w:val="auto"/>
        </w:rPr>
      </w:pPr>
    </w:p>
    <w:p>
      <w:pPr>
        <w:jc w:val="center"/>
        <w:spacing w:after="0" w:line="380" w:lineRule="auto"/>
        <w:rPr>
          <w:sz w:val="20"/>
          <w:szCs w:val="20"/>
          <w:color w:val="auto"/>
        </w:rPr>
      </w:pPr>
      <w:r>
        <w:rPr>
          <w:rFonts w:ascii="Times New Roman" w:cs="Times New Roman" w:eastAsia="Times New Roman" w:hAnsi="Times New Roman"/>
          <w:sz w:val="10"/>
          <w:szCs w:val="10"/>
          <w:color w:val="auto"/>
        </w:rPr>
        <w:t>Unless the context indicates otherwise, references to the “Company,” “Rezolve,” “we,” “us” and “our”, prior to the Pre-Closing Demerger, refer to Rezolve Limited and after the Pre-Closing Demerger, Rezolve AI Limited, including its subsidiaries.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208280</wp:posOffset>
            </wp:positionV>
            <wp:extent cx="6778625" cy="34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680"/>
          </w:cols>
          <w:pgMar w:left="1120" w:top="1155" w:right="1100"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0"/>
          <w:szCs w:val="10"/>
          <w:b w:val="1"/>
          <w:bCs w:val="1"/>
          <w:color w:val="auto"/>
        </w:rPr>
        <w:t>TRADEMARKS</w:t>
      </w:r>
    </w:p>
    <w:p>
      <w:pPr>
        <w:spacing w:after="0" w:line="97"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This document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b w:val="1"/>
          <w:bCs w:val="1"/>
          <w:color w:val="auto"/>
        </w:rPr>
        <w:t>MARKET AND INDUSTRY DATA</w:t>
      </w:r>
    </w:p>
    <w:p>
      <w:pPr>
        <w:spacing w:after="0" w:line="97" w:lineRule="exact"/>
        <w:rPr>
          <w:sz w:val="20"/>
          <w:szCs w:val="20"/>
          <w:color w:val="auto"/>
        </w:rPr>
      </w:pPr>
    </w:p>
    <w:p>
      <w:pPr>
        <w:jc w:val="both"/>
        <w:ind w:right="180" w:firstLine="480"/>
        <w:spacing w:after="0" w:line="285" w:lineRule="auto"/>
        <w:rPr>
          <w:sz w:val="20"/>
          <w:szCs w:val="20"/>
          <w:color w:val="auto"/>
        </w:rPr>
      </w:pPr>
      <w:r>
        <w:rPr>
          <w:rFonts w:ascii="Times New Roman" w:cs="Times New Roman" w:eastAsia="Times New Roman" w:hAnsi="Times New Roman"/>
          <w:sz w:val="9"/>
          <w:szCs w:val="9"/>
          <w:color w:val="auto"/>
        </w:rPr>
        <w:t>This prospectus contains industry, market and competitive position data that are based on general and industry publications, surveys and studies conducted by third parties, some of which may not be publicly available, and our own internal estimates and research. Third -party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and estimates.</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40"/>
          </w:cols>
          <w:pgMar w:left="640" w:top="1033" w:right="720" w:bottom="1440" w:gutter="0" w:footer="0" w:header="0"/>
        </w:sectPr>
      </w:pPr>
    </w:p>
    <w:bookmarkStart w:id="6" w:name="page7"/>
    <w:bookmarkEnd w:id="6"/>
    <w:p>
      <w:pPr>
        <w:ind w:left="4240"/>
        <w:spacing w:after="0"/>
        <w:rPr>
          <w:sz w:val="20"/>
          <w:szCs w:val="20"/>
          <w:color w:val="auto"/>
        </w:rPr>
      </w:pPr>
      <w:r>
        <w:rPr>
          <w:rFonts w:ascii="Times New Roman" w:cs="Times New Roman" w:eastAsia="Times New Roman" w:hAnsi="Times New Roman"/>
          <w:sz w:val="10"/>
          <w:szCs w:val="10"/>
          <w:b w:val="1"/>
          <w:bCs w:val="1"/>
          <w:color w:val="auto"/>
        </w:rPr>
        <w:t>SELECTED DEFINITIONS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Terms defined in the body of this document shall have the meanings attributed to them therein and in addition the following terms shall have the following meanings: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Armada</w:t>
      </w:r>
      <w:r>
        <w:rPr>
          <w:rFonts w:ascii="Times New Roman" w:cs="Times New Roman" w:eastAsia="Times New Roman" w:hAnsi="Times New Roman"/>
          <w:sz w:val="10"/>
          <w:szCs w:val="10"/>
          <w:color w:val="auto"/>
        </w:rPr>
        <w:t>” means Armada Acquisition Corp. I, a Delaware corporation;</w:t>
      </w:r>
    </w:p>
    <w:p>
      <w:pPr>
        <w:spacing w:after="0" w:line="58" w:lineRule="exact"/>
        <w:rPr>
          <w:sz w:val="20"/>
          <w:szCs w:val="20"/>
          <w:color w:val="auto"/>
        </w:rPr>
      </w:pPr>
    </w:p>
    <w:p>
      <w:pPr>
        <w:ind w:right="4940"/>
        <w:spacing w:after="0" w:line="360"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Armada Common Stock</w:t>
      </w:r>
      <w:r>
        <w:rPr>
          <w:rFonts w:ascii="Times New Roman" w:cs="Times New Roman" w:eastAsia="Times New Roman" w:hAnsi="Times New Roman"/>
          <w:sz w:val="10"/>
          <w:szCs w:val="10"/>
          <w:color w:val="auto"/>
        </w:rPr>
        <w:t>” means, prior to the Business Combination, an issued and outstanding share of common stock of Armada; •“</w:t>
      </w:r>
      <w:r>
        <w:rPr>
          <w:rFonts w:ascii="Times New Roman" w:cs="Times New Roman" w:eastAsia="Times New Roman" w:hAnsi="Times New Roman"/>
          <w:sz w:val="10"/>
          <w:szCs w:val="10"/>
          <w:b w:val="1"/>
          <w:bCs w:val="1"/>
          <w:i w:val="1"/>
          <w:iCs w:val="1"/>
          <w:color w:val="auto"/>
        </w:rPr>
        <w:t>Armada Unit</w:t>
      </w:r>
      <w:r>
        <w:rPr>
          <w:rFonts w:ascii="Times New Roman" w:cs="Times New Roman" w:eastAsia="Times New Roman" w:hAnsi="Times New Roman"/>
          <w:sz w:val="10"/>
          <w:szCs w:val="10"/>
          <w:color w:val="auto"/>
        </w:rPr>
        <w:t>” means, prior to the Business Combination, an issued and outstanding unit of Armada;</w:t>
      </w: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Armada Warran</w:t>
      </w:r>
      <w:r>
        <w:rPr>
          <w:rFonts w:ascii="Times New Roman" w:cs="Times New Roman" w:eastAsia="Times New Roman" w:hAnsi="Times New Roman"/>
          <w:sz w:val="10"/>
          <w:szCs w:val="10"/>
          <w:color w:val="auto"/>
        </w:rPr>
        <w:t>t” means, prior to the Business Combination, an issued and outstanding warrant of Armada;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Articles</w:t>
      </w:r>
      <w:r>
        <w:rPr>
          <w:rFonts w:ascii="Times New Roman" w:cs="Times New Roman" w:eastAsia="Times New Roman" w:hAnsi="Times New Roman"/>
          <w:sz w:val="10"/>
          <w:szCs w:val="10"/>
          <w:color w:val="auto"/>
        </w:rPr>
        <w:t>” means Rezolve’s articles of association;</w:t>
      </w:r>
    </w:p>
    <w:p>
      <w:pPr>
        <w:spacing w:after="0" w:line="58"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Business Combination Agreement</w:t>
      </w:r>
      <w:r>
        <w:rPr>
          <w:rFonts w:ascii="Times New Roman" w:cs="Times New Roman" w:eastAsia="Times New Roman" w:hAnsi="Times New Roman"/>
          <w:sz w:val="10"/>
          <w:szCs w:val="10"/>
          <w:color w:val="auto"/>
        </w:rPr>
        <w:t>” means the business combination agreement dated as of December 17, 2021, as amended on November 10, 2022 and as further amended and restated on June 16, 2023, as amended on August 4, 2023, and as may be amended from time to time, by and among Armada, Rezolve Limited, Rezolve and Rezolve Merger Sub;</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Channels</w:t>
      </w:r>
      <w:r>
        <w:rPr>
          <w:rFonts w:ascii="Times New Roman" w:cs="Times New Roman" w:eastAsia="Times New Roman" w:hAnsi="Times New Roman"/>
          <w:sz w:val="10"/>
          <w:szCs w:val="10"/>
          <w:color w:val="auto"/>
        </w:rPr>
        <w:t>” means the Rezolve’s distribution partners who distribute Rezolve’s offerings and services;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Closing</w:t>
      </w:r>
      <w:r>
        <w:rPr>
          <w:rFonts w:ascii="Times New Roman" w:cs="Times New Roman" w:eastAsia="Times New Roman" w:hAnsi="Times New Roman"/>
          <w:sz w:val="10"/>
          <w:szCs w:val="10"/>
          <w:color w:val="auto"/>
        </w:rPr>
        <w:t>” has the meaning given to it in the Business Combination Agreement;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Closing Date</w:t>
      </w:r>
      <w:r>
        <w:rPr>
          <w:rFonts w:ascii="Times New Roman" w:cs="Times New Roman" w:eastAsia="Times New Roman" w:hAnsi="Times New Roman"/>
          <w:sz w:val="10"/>
          <w:szCs w:val="10"/>
          <w:color w:val="auto"/>
        </w:rPr>
        <w:t>” has the meaning given to it in the Business Combination Agreement;;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Convertible Notes</w:t>
      </w:r>
      <w:r>
        <w:rPr>
          <w:rFonts w:ascii="Times New Roman" w:cs="Times New Roman" w:eastAsia="Times New Roman" w:hAnsi="Times New Roman"/>
          <w:sz w:val="10"/>
          <w:szCs w:val="10"/>
          <w:color w:val="auto"/>
        </w:rPr>
        <w:t>” means the convertible loan notes issued on the terms of the Loan Note Instrument;</w:t>
      </w:r>
    </w:p>
    <w:p>
      <w:pPr>
        <w:spacing w:after="0" w:line="58" w:lineRule="exact"/>
        <w:rPr>
          <w:sz w:val="20"/>
          <w:szCs w:val="20"/>
          <w:color w:val="auto"/>
        </w:rPr>
      </w:pPr>
    </w:p>
    <w:p>
      <w:pPr>
        <w:ind w:right="2280"/>
        <w:spacing w:after="0" w:line="360"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Founder Shares</w:t>
      </w:r>
      <w:r>
        <w:rPr>
          <w:rFonts w:ascii="Times New Roman" w:cs="Times New Roman" w:eastAsia="Times New Roman" w:hAnsi="Times New Roman"/>
          <w:sz w:val="10"/>
          <w:szCs w:val="10"/>
          <w:color w:val="auto"/>
        </w:rPr>
        <w:t>” means, collectively, the shares of Armada Common Stock held by the Sponsor, the chief executive officer of Armada, the president of Armada and independent directors of Armada; •“</w:t>
      </w:r>
      <w:r>
        <w:rPr>
          <w:rFonts w:ascii="Times New Roman" w:cs="Times New Roman" w:eastAsia="Times New Roman" w:hAnsi="Times New Roman"/>
          <w:sz w:val="10"/>
          <w:szCs w:val="10"/>
          <w:b w:val="1"/>
          <w:bCs w:val="1"/>
          <w:i w:val="1"/>
          <w:iCs w:val="1"/>
          <w:color w:val="auto"/>
        </w:rPr>
        <w:t>GeoZone</w:t>
      </w:r>
      <w:r>
        <w:rPr>
          <w:rFonts w:ascii="Times New Roman" w:cs="Times New Roman" w:eastAsia="Times New Roman" w:hAnsi="Times New Roman"/>
          <w:sz w:val="10"/>
          <w:szCs w:val="10"/>
          <w:color w:val="auto"/>
        </w:rPr>
        <w:t>” means a location-based marketing tool which is a feature of Rezolve’s platform;</w:t>
      </w:r>
    </w:p>
    <w:p>
      <w:pPr>
        <w:ind w:right="3620"/>
        <w:spacing w:after="0" w:line="360"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Investor Rights Agreement</w:t>
      </w:r>
      <w:r>
        <w:rPr>
          <w:rFonts w:ascii="Times New Roman" w:cs="Times New Roman" w:eastAsia="Times New Roman" w:hAnsi="Times New Roman"/>
          <w:sz w:val="10"/>
          <w:szCs w:val="10"/>
          <w:color w:val="auto"/>
        </w:rPr>
        <w:t>” means the amended form investor rights agreements entered into by Rezolve, Armada, the Sponsor and certain stockholders of Rezolve; •“</w:t>
      </w:r>
      <w:r>
        <w:rPr>
          <w:rFonts w:ascii="Times New Roman" w:cs="Times New Roman" w:eastAsia="Times New Roman" w:hAnsi="Times New Roman"/>
          <w:sz w:val="10"/>
          <w:szCs w:val="10"/>
          <w:b w:val="1"/>
          <w:bCs w:val="1"/>
          <w:i w:val="1"/>
          <w:iCs w:val="1"/>
          <w:color w:val="auto"/>
        </w:rPr>
        <w:t>JVB Note</w:t>
      </w:r>
      <w:r>
        <w:rPr>
          <w:rFonts w:ascii="Times New Roman" w:cs="Times New Roman" w:eastAsia="Times New Roman" w:hAnsi="Times New Roman"/>
          <w:sz w:val="10"/>
          <w:szCs w:val="10"/>
          <w:color w:val="auto"/>
        </w:rPr>
        <w:t>” means the convertible note issued by Rezolve to J.V.B. Financial Group, LLC, a registered broker-dealer,on August 14, 2024.</w:t>
      </w:r>
    </w:p>
    <w:p>
      <w:pPr>
        <w:ind w:right="8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Loan Note Instrument</w:t>
      </w:r>
      <w:r>
        <w:rPr>
          <w:rFonts w:ascii="Times New Roman" w:cs="Times New Roman" w:eastAsia="Times New Roman" w:hAnsi="Times New Roman"/>
          <w:sz w:val="10"/>
          <w:szCs w:val="10"/>
          <w:color w:val="auto"/>
        </w:rPr>
        <w:t>” means the secured convertible loan note instrument dated December 16, 2021, as amended and restated on November 21, 2022 and May 23, 2023 and further amended on and on December 18, 2023, December 29, 2023 and January 26, 2024, to which Rezolve is party;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Major Investor</w:t>
      </w:r>
      <w:r>
        <w:rPr>
          <w:rFonts w:ascii="Times New Roman" w:cs="Times New Roman" w:eastAsia="Times New Roman" w:hAnsi="Times New Roman"/>
          <w:sz w:val="10"/>
          <w:szCs w:val="10"/>
          <w:color w:val="auto"/>
        </w:rPr>
        <w:t>” has the meaning given to it in the Loan Note Instrument.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Nasdaq</w:t>
      </w:r>
      <w:r>
        <w:rPr>
          <w:rFonts w:ascii="Times New Roman" w:cs="Times New Roman" w:eastAsia="Times New Roman" w:hAnsi="Times New Roman"/>
          <w:sz w:val="10"/>
          <w:szCs w:val="10"/>
          <w:color w:val="auto"/>
        </w:rPr>
        <w:t>” means The Nasdaq Stock Market LLC;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Noteholder Majority</w:t>
      </w:r>
      <w:r>
        <w:rPr>
          <w:rFonts w:ascii="Times New Roman" w:cs="Times New Roman" w:eastAsia="Times New Roman" w:hAnsi="Times New Roman"/>
          <w:sz w:val="10"/>
          <w:szCs w:val="10"/>
          <w:color w:val="auto"/>
        </w:rPr>
        <w:t>” means the prior consent of holders of more than two-thirds of the aggregate principal amount of the Convertible Notes outstanding from time to time;</w:t>
      </w:r>
    </w:p>
    <w:p>
      <w:pPr>
        <w:spacing w:after="0" w:line="5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i w:val="1"/>
          <w:iCs w:val="1"/>
          <w:color w:val="auto"/>
        </w:rPr>
        <w:t>Platform Transactions</w:t>
      </w:r>
      <w:r>
        <w:rPr>
          <w:rFonts w:ascii="Times New Roman" w:cs="Times New Roman" w:eastAsia="Times New Roman" w:hAnsi="Times New Roman"/>
          <w:sz w:val="10"/>
          <w:szCs w:val="10"/>
          <w:color w:val="auto"/>
        </w:rPr>
        <w:t>” means radio advertisement and ticketing transactions for the years ended December 31, 2021 and 2022 and following the year ended December 31, 2022, radio advertisement and ticketing transactions or an audio, visual, social media or watermark trigger which leads to the use of Rezolve’s platform;</w:t>
      </w:r>
    </w:p>
    <w:p>
      <w:pPr>
        <w:spacing w:after="0" w:line="3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Pre-Closing Demerger</w:t>
      </w:r>
      <w:r>
        <w:rPr>
          <w:rFonts w:ascii="Times New Roman" w:cs="Times New Roman" w:eastAsia="Times New Roman" w:hAnsi="Times New Roman"/>
          <w:sz w:val="10"/>
          <w:szCs w:val="10"/>
          <w:color w:val="auto"/>
        </w:rPr>
        <w:t>” means the demerger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Prior Form F-1</w:t>
      </w:r>
      <w:r>
        <w:rPr>
          <w:rFonts w:ascii="Times New Roman" w:cs="Times New Roman" w:eastAsia="Times New Roman" w:hAnsi="Times New Roman"/>
          <w:sz w:val="10"/>
          <w:szCs w:val="10"/>
          <w:color w:val="auto"/>
        </w:rPr>
        <w:t>” means the registration statement on Form F-1 (File No. 333-282004), originally filed on September 9, 2024, and declared effective on November 27, 2024.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Registerable Securities</w:t>
      </w:r>
      <w:r>
        <w:rPr>
          <w:rFonts w:ascii="Times New Roman" w:cs="Times New Roman" w:eastAsia="Times New Roman" w:hAnsi="Times New Roman"/>
          <w:sz w:val="10"/>
          <w:szCs w:val="10"/>
          <w:color w:val="auto"/>
        </w:rPr>
        <w:t>” has the meaning given to it in the Investor Rights Agreement.</w:t>
      </w:r>
    </w:p>
    <w:p>
      <w:pPr>
        <w:spacing w:after="0" w:line="6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0"/>
          <w:szCs w:val="10"/>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256540</wp:posOffset>
            </wp:positionV>
            <wp:extent cx="6778625" cy="349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140"/>
          </w:cols>
          <w:pgMar w:left="1120" w:top="1033" w:right="640" w:bottom="1440" w:gutter="0" w:footer="0" w:header="0"/>
        </w:sectPr>
      </w:pPr>
    </w:p>
    <w:bookmarkStart w:id="7" w:name="page8"/>
    <w:bookmarkEnd w:id="7"/>
    <w:p>
      <w:pPr>
        <w:spacing w:after="0" w:line="360"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Rezolve</w:t>
      </w:r>
      <w:r>
        <w:rPr>
          <w:rFonts w:ascii="Times New Roman" w:cs="Times New Roman" w:eastAsia="Times New Roman" w:hAnsi="Times New Roman"/>
          <w:sz w:val="10"/>
          <w:szCs w:val="10"/>
          <w:color w:val="auto"/>
        </w:rPr>
        <w:t>” and the “</w:t>
      </w:r>
      <w:r>
        <w:rPr>
          <w:rFonts w:ascii="Times New Roman" w:cs="Times New Roman" w:eastAsia="Times New Roman" w:hAnsi="Times New Roman"/>
          <w:sz w:val="10"/>
          <w:szCs w:val="10"/>
          <w:b w:val="1"/>
          <w:bCs w:val="1"/>
          <w:i w:val="1"/>
          <w:iCs w:val="1"/>
          <w:color w:val="auto"/>
        </w:rPr>
        <w:t>Company</w:t>
      </w:r>
      <w:r>
        <w:rPr>
          <w:rFonts w:ascii="Times New Roman" w:cs="Times New Roman" w:eastAsia="Times New Roman" w:hAnsi="Times New Roman"/>
          <w:sz w:val="10"/>
          <w:szCs w:val="10"/>
          <w:color w:val="auto"/>
        </w:rPr>
        <w:t>” means Rezolve AI Limited, a private limited liability company registered under the laws of England and Wales with registration number 14573691 and, following its re-registration as a public limited company, Rezolve AI PLC; •“</w:t>
      </w:r>
      <w:r>
        <w:rPr>
          <w:rFonts w:ascii="Times New Roman" w:cs="Times New Roman" w:eastAsia="Times New Roman" w:hAnsi="Times New Roman"/>
          <w:sz w:val="10"/>
          <w:szCs w:val="10"/>
          <w:b w:val="1"/>
          <w:bCs w:val="1"/>
          <w:i w:val="1"/>
          <w:iCs w:val="1"/>
          <w:color w:val="auto"/>
        </w:rPr>
        <w:t>Rezolve Founder</w:t>
      </w:r>
      <w:r>
        <w:rPr>
          <w:rFonts w:ascii="Times New Roman" w:cs="Times New Roman" w:eastAsia="Times New Roman" w:hAnsi="Times New Roman"/>
          <w:sz w:val="10"/>
          <w:szCs w:val="10"/>
          <w:color w:val="auto"/>
        </w:rPr>
        <w:t>” means Daniel Wagner;</w:t>
      </w: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Rezolve Incentive Equity Plan</w:t>
      </w:r>
      <w:r>
        <w:rPr>
          <w:rFonts w:ascii="Times New Roman" w:cs="Times New Roman" w:eastAsia="Times New Roman" w:hAnsi="Times New Roman"/>
          <w:sz w:val="10"/>
          <w:szCs w:val="10"/>
          <w:color w:val="auto"/>
        </w:rPr>
        <w:t>” means the incentive equity plan adopted by Rezolve;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Rezolve Limited</w:t>
      </w:r>
      <w:r>
        <w:rPr>
          <w:rFonts w:ascii="Times New Roman" w:cs="Times New Roman" w:eastAsia="Times New Roman" w:hAnsi="Times New Roman"/>
          <w:sz w:val="10"/>
          <w:szCs w:val="10"/>
          <w:color w:val="auto"/>
        </w:rPr>
        <w:t>” means Rezolve Limited, a private limited company organized under the laws of England and Wales;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Rezolve Merger Sub</w:t>
      </w:r>
      <w:r>
        <w:rPr>
          <w:rFonts w:ascii="Times New Roman" w:cs="Times New Roman" w:eastAsia="Times New Roman" w:hAnsi="Times New Roman"/>
          <w:sz w:val="10"/>
          <w:szCs w:val="10"/>
          <w:color w:val="auto"/>
        </w:rPr>
        <w:t>” means Rezolve Merger Sub, Inc., a Delaware corporation;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Ordinary Shares</w:t>
      </w:r>
      <w:r>
        <w:rPr>
          <w:rFonts w:ascii="Times New Roman" w:cs="Times New Roman" w:eastAsia="Times New Roman" w:hAnsi="Times New Roman"/>
          <w:sz w:val="10"/>
          <w:szCs w:val="10"/>
          <w:color w:val="auto"/>
        </w:rPr>
        <w:t>” means the ordinary shares of Rezolve, par value £0.0001;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Rezolve Options</w:t>
      </w:r>
      <w:r>
        <w:rPr>
          <w:rFonts w:ascii="Times New Roman" w:cs="Times New Roman" w:eastAsia="Times New Roman" w:hAnsi="Times New Roman"/>
          <w:sz w:val="10"/>
          <w:szCs w:val="10"/>
          <w:color w:val="auto"/>
        </w:rPr>
        <w:t>” means options to subscribe for Ordinary Shares;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Rezolve Shareholder</w:t>
      </w:r>
      <w:r>
        <w:rPr>
          <w:rFonts w:ascii="Times New Roman" w:cs="Times New Roman" w:eastAsia="Times New Roman" w:hAnsi="Times New Roman"/>
          <w:sz w:val="10"/>
          <w:szCs w:val="10"/>
          <w:color w:val="auto"/>
        </w:rPr>
        <w:t>” means a holder of shares of stock in the capital of Rezolve;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Private Warrant</w:t>
      </w:r>
      <w:r>
        <w:rPr>
          <w:rFonts w:ascii="Times New Roman" w:cs="Times New Roman" w:eastAsia="Times New Roman" w:hAnsi="Times New Roman"/>
          <w:sz w:val="10"/>
          <w:szCs w:val="10"/>
          <w:color w:val="auto"/>
        </w:rPr>
        <w:t>” means a private warrant to purchase one Ordinary Share;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Public Warrant</w:t>
      </w:r>
      <w:r>
        <w:rPr>
          <w:rFonts w:ascii="Times New Roman" w:cs="Times New Roman" w:eastAsia="Times New Roman" w:hAnsi="Times New Roman"/>
          <w:sz w:val="10"/>
          <w:szCs w:val="10"/>
          <w:color w:val="auto"/>
        </w:rPr>
        <w:t>” means a public warrant to purchase one Ordinary Share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Warrant</w:t>
      </w:r>
      <w:r>
        <w:rPr>
          <w:rFonts w:ascii="Times New Roman" w:cs="Times New Roman" w:eastAsia="Times New Roman" w:hAnsi="Times New Roman"/>
          <w:sz w:val="10"/>
          <w:szCs w:val="10"/>
          <w:color w:val="auto"/>
        </w:rPr>
        <w:t>” mean, collectively, the Private Warrants and the Public Warrants;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Selling Holders</w:t>
      </w:r>
      <w:r>
        <w:rPr>
          <w:rFonts w:ascii="Times New Roman" w:cs="Times New Roman" w:eastAsia="Times New Roman" w:hAnsi="Times New Roman"/>
          <w:sz w:val="10"/>
          <w:szCs w:val="10"/>
          <w:color w:val="auto"/>
        </w:rPr>
        <w:t>” means the selling security holders named in this Registration Statement on Form F-1;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SMBs</w:t>
      </w:r>
      <w:r>
        <w:rPr>
          <w:rFonts w:ascii="Times New Roman" w:cs="Times New Roman" w:eastAsia="Times New Roman" w:hAnsi="Times New Roman"/>
          <w:sz w:val="10"/>
          <w:szCs w:val="10"/>
          <w:color w:val="auto"/>
        </w:rPr>
        <w:t>” means small and medium-sized businesses;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Sponsor</w:t>
      </w:r>
      <w:r>
        <w:rPr>
          <w:rFonts w:ascii="Times New Roman" w:cs="Times New Roman" w:eastAsia="Times New Roman" w:hAnsi="Times New Roman"/>
          <w:sz w:val="10"/>
          <w:szCs w:val="10"/>
          <w:color w:val="auto"/>
        </w:rPr>
        <w:t>” means Armada Sponsor LLC;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UK</w:t>
      </w:r>
      <w:r>
        <w:rPr>
          <w:rFonts w:ascii="Times New Roman" w:cs="Times New Roman" w:eastAsia="Times New Roman" w:hAnsi="Times New Roman"/>
          <w:sz w:val="10"/>
          <w:szCs w:val="10"/>
          <w:color w:val="auto"/>
        </w:rPr>
        <w:t>” means the United Kingdom;</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UK Companies Act</w:t>
      </w:r>
      <w:r>
        <w:rPr>
          <w:rFonts w:ascii="Times New Roman" w:cs="Times New Roman" w:eastAsia="Times New Roman" w:hAnsi="Times New Roman"/>
          <w:sz w:val="10"/>
          <w:szCs w:val="10"/>
          <w:color w:val="auto"/>
        </w:rPr>
        <w:t>” means the UK Companies Act 2006 (as amended from time to time);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U.S.</w:t>
      </w:r>
      <w:r>
        <w:rPr>
          <w:rFonts w:ascii="Times New Roman" w:cs="Times New Roman" w:eastAsia="Times New Roman" w:hAnsi="Times New Roman"/>
          <w:sz w:val="10"/>
          <w:szCs w:val="10"/>
          <w:color w:val="auto"/>
        </w:rPr>
        <w:t>” refers to the United States of America; and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USD</w:t>
      </w:r>
      <w:r>
        <w:rPr>
          <w:rFonts w:ascii="Times New Roman" w:cs="Times New Roman" w:eastAsia="Times New Roman" w:hAnsi="Times New Roman"/>
          <w:sz w:val="10"/>
          <w:szCs w:val="10"/>
          <w:color w:val="auto"/>
        </w:rPr>
        <w:t>” refers to the U.S. Dollar.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Unless otherwise stated in this prospectus or the context otherwise requires, all references in this prospectus to the Warrants include such Ordinary Shares underlying the Warrants.</w:t>
      </w:r>
    </w:p>
    <w:p>
      <w:pPr>
        <w:spacing w:after="0" w:line="5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0"/>
          <w:szCs w:val="10"/>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256540</wp:posOffset>
            </wp:positionV>
            <wp:extent cx="6778625" cy="349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120"/>
          </w:cols>
          <w:pgMar w:left="1120" w:top="1093" w:right="66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CAUTIONARY NOTE REGARDING FORWARD-LOOKING STATEMENTS</w:t>
      </w:r>
    </w:p>
    <w:p>
      <w:pPr>
        <w:spacing w:after="0" w:line="97"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We believe that certain of the information in this prospectus constitutes forward-looking statements. You can identify these statements by forward-looking words such as “may,” “might,” “could,” “will,” “would,” “should,” “expect,” “possible,” “potential,” “anticipate,” “contemplate,” “believe,” “estimate,” “plan,” “predict,” “project,” “intends,” and “continue” or similar words. You should read statements that contain these words carefully because they:</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•discuss future expectations;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•contain projections of future results of operations or financial condition; or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•state other “forward-looking” information.</w:t>
      </w:r>
    </w:p>
    <w:p>
      <w:pPr>
        <w:spacing w:after="0" w:line="118" w:lineRule="exact"/>
        <w:rPr>
          <w:sz w:val="20"/>
          <w:szCs w:val="20"/>
          <w:color w:val="auto"/>
        </w:rPr>
      </w:pPr>
    </w:p>
    <w:p>
      <w:pPr>
        <w:ind w:right="100" w:firstLine="480"/>
        <w:spacing w:after="0" w:line="310" w:lineRule="auto"/>
        <w:rPr>
          <w:sz w:val="20"/>
          <w:szCs w:val="20"/>
          <w:color w:val="auto"/>
        </w:rPr>
      </w:pPr>
      <w:r>
        <w:rPr>
          <w:rFonts w:ascii="Times New Roman" w:cs="Times New Roman" w:eastAsia="Times New Roman" w:hAnsi="Times New Roman"/>
          <w:sz w:val="9"/>
          <w:szCs w:val="9"/>
          <w:color w:val="auto"/>
        </w:rPr>
        <w:t>We believe it is important to communicate our expectations to our security holders. However, there may be events in the future that we are not able to predict accurately or over which we have no control. The risk factors and cautionary language discussed in this prospectus, including in the section titled “</w:t>
      </w:r>
      <w:r>
        <w:rPr>
          <w:rFonts w:ascii="Times New Roman" w:cs="Times New Roman" w:eastAsia="Times New Roman" w:hAnsi="Times New Roman"/>
          <w:sz w:val="9"/>
          <w:szCs w:val="9"/>
          <w:i w:val="1"/>
          <w:iCs w:val="1"/>
          <w:color w:val="auto"/>
        </w:rPr>
        <w:t>Risk Factors,</w:t>
      </w:r>
      <w:r>
        <w:rPr>
          <w:rFonts w:ascii="Times New Roman" w:cs="Times New Roman" w:eastAsia="Times New Roman" w:hAnsi="Times New Roman"/>
          <w:sz w:val="9"/>
          <w:szCs w:val="9"/>
          <w:color w:val="auto"/>
        </w:rPr>
        <w:t>” provide examples of risks, uncertainties and events that may cause actual results to differ materially from the expectations we described in such forward-looking statements, including among other things:</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ability to recognize the anticipated benefits of the transactions with Armada;</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ability to continue to meet Nasdaq’s listing standards;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•changes adversely affecting our business;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effect of the COVID-19 pandemic on our business;</w:t>
      </w:r>
    </w:p>
    <w:p>
      <w:pPr>
        <w:spacing w:after="0" w:line="58" w:lineRule="exact"/>
        <w:rPr>
          <w:sz w:val="20"/>
          <w:szCs w:val="20"/>
          <w:color w:val="auto"/>
        </w:rPr>
      </w:pPr>
    </w:p>
    <w:p>
      <w:pPr>
        <w:ind w:left="480" w:right="3400"/>
        <w:spacing w:after="0" w:line="360" w:lineRule="auto"/>
        <w:rPr>
          <w:sz w:val="20"/>
          <w:szCs w:val="20"/>
          <w:color w:val="auto"/>
        </w:rPr>
      </w:pPr>
      <w:r>
        <w:rPr>
          <w:rFonts w:ascii="Times New Roman" w:cs="Times New Roman" w:eastAsia="Times New Roman" w:hAnsi="Times New Roman"/>
          <w:sz w:val="10"/>
          <w:szCs w:val="10"/>
          <w:color w:val="auto"/>
        </w:rPr>
        <w:t>•the outcome of any legal proceedings that may be instituted against us following the consummation of the Business Combination and the transactions contemplated thereby •general economic conditions;</w:t>
      </w:r>
    </w:p>
    <w:p>
      <w:pPr>
        <w:ind w:left="480"/>
        <w:spacing w:after="0"/>
        <w:rPr>
          <w:sz w:val="20"/>
          <w:szCs w:val="20"/>
          <w:color w:val="auto"/>
        </w:rPr>
      </w:pPr>
      <w:r>
        <w:rPr>
          <w:rFonts w:ascii="Times New Roman" w:cs="Times New Roman" w:eastAsia="Times New Roman" w:hAnsi="Times New Roman"/>
          <w:sz w:val="10"/>
          <w:szCs w:val="10"/>
          <w:color w:val="auto"/>
        </w:rPr>
        <w:t>•the effect of the conflict in Ukraine or other hostilities;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•changes in applicable law or regulations;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business strategy and plans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result of future financing efforts; and</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 xml:space="preserve">•other factors detailed in the section entitled </w:t>
      </w:r>
      <w:r>
        <w:rPr>
          <w:rFonts w:ascii="Times New Roman" w:cs="Times New Roman" w:eastAsia="Times New Roman" w:hAnsi="Times New Roman"/>
          <w:sz w:val="10"/>
          <w:szCs w:val="10"/>
          <w:i w:val="1"/>
          <w:iCs w:val="1"/>
          <w:color w:val="auto"/>
        </w:rPr>
        <w:t>“Risk Factors.”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You are cautioned not to place undue reliance on these forward-looking statements, which speak only as of the date of this prospectus.</w:t>
      </w:r>
    </w:p>
    <w:p>
      <w:pPr>
        <w:spacing w:after="0" w:line="118"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All forward-looking statements included herein are expressly qualified in their entirety by the cautionary statements contained or referred to in this section. Except to the extent required by applicable laws and regulations, Armada and Rezolve undertake no obligations to update these forward-looking statements to reflect events or circumstances after the date of this prospectus or to reflect the occurrence of unanticipated events.</w:t>
      </w:r>
    </w:p>
    <w:p>
      <w:pPr>
        <w:spacing w:after="0" w:line="101"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 xml:space="preserve">The forward-looking statements contained in this prospectus and in any document incorporated by reference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0"/>
          <w:szCs w:val="10"/>
          <w:i w:val="1"/>
          <w:iCs w:val="1"/>
          <w:color w:val="auto"/>
        </w:rPr>
        <w:t>“Risk Factors”</w:t>
      </w:r>
      <w:r>
        <w:rPr>
          <w:rFonts w:ascii="Times New Roman" w:cs="Times New Roman" w:eastAsia="Times New Roman" w:hAnsi="Times New Roman"/>
          <w:sz w:val="10"/>
          <w:szCs w:val="10"/>
          <w:color w:val="auto"/>
        </w:rPr>
        <w:t xml:space="preserve"> beginning on page 12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1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w:t>
      </w:r>
    </w:p>
    <w:p>
      <w:pPr>
        <w:spacing w:after="0" w:line="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For additional information, please see the section of this prospectus titled “</w:t>
      </w:r>
      <w:r>
        <w:rPr>
          <w:rFonts w:ascii="Times New Roman" w:cs="Times New Roman" w:eastAsia="Times New Roman" w:hAnsi="Times New Roman"/>
          <w:sz w:val="10"/>
          <w:szCs w:val="10"/>
          <w:i w:val="1"/>
          <w:iCs w:val="1"/>
          <w:color w:val="auto"/>
        </w:rPr>
        <w:t>Where You Can Find More Information</w:t>
      </w:r>
      <w:r>
        <w:rPr>
          <w:rFonts w:ascii="Times New Roman" w:cs="Times New Roman" w:eastAsia="Times New Roman" w:hAnsi="Times New Roman"/>
          <w:sz w:val="10"/>
          <w:szCs w:val="10"/>
          <w:color w:val="auto"/>
        </w:rPr>
        <w:t>.”</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33" w:right="66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PROSPECTUS SUMMARY</w:t>
      </w:r>
    </w:p>
    <w:p>
      <w:pPr>
        <w:spacing w:after="0" w:line="95" w:lineRule="exact"/>
        <w:rPr>
          <w:sz w:val="20"/>
          <w:szCs w:val="20"/>
          <w:color w:val="auto"/>
        </w:rPr>
      </w:pPr>
    </w:p>
    <w:p>
      <w:pPr>
        <w:ind w:right="40" w:firstLine="240"/>
        <w:spacing w:after="0" w:line="247" w:lineRule="auto"/>
        <w:rPr>
          <w:sz w:val="20"/>
          <w:szCs w:val="20"/>
          <w:color w:val="auto"/>
        </w:rPr>
      </w:pPr>
      <w:r>
        <w:rPr>
          <w:rFonts w:ascii="Times New Roman" w:cs="Times New Roman" w:eastAsia="Times New Roman" w:hAnsi="Times New Roman"/>
          <w:sz w:val="10"/>
          <w:szCs w:val="10"/>
          <w:color w:val="auto"/>
        </w:rPr>
        <w:t xml:space="preserve">This </w:t>
      </w:r>
      <w:r>
        <w:rPr>
          <w:rFonts w:ascii="Times New Roman" w:cs="Times New Roman" w:eastAsia="Times New Roman" w:hAnsi="Times New Roman"/>
          <w:sz w:val="10"/>
          <w:szCs w:val="10"/>
          <w:i w:val="1"/>
          <w:iCs w:val="1"/>
          <w:color w:val="auto"/>
        </w:rPr>
        <w:t>summary highlights, and is qualified in its entirety by, the more detailed information and financial statements included elsewhere in this prospectus. This summary does not contain all of the information that may be important to you in making your investment</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i w:val="1"/>
          <w:iCs w:val="1"/>
          <w:color w:val="auto"/>
        </w:rPr>
        <w:t>decision. You should read this entire prospectus carefully, including our financial statements and the related notes included in this prospectus and the information set forth under the headings “Risk Factors,” and “Management’s Discussion and Analysis of Financial Condition and Results of Operations,” before deciding to invest in the Ordinary Shares or Warrants.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Overview</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w:t>
      </w:r>
    </w:p>
    <w:p>
      <w:pPr>
        <w:spacing w:after="0" w:line="68" w:lineRule="exact"/>
        <w:rPr>
          <w:sz w:val="20"/>
          <w:szCs w:val="20"/>
          <w:color w:val="auto"/>
        </w:rPr>
      </w:pPr>
    </w:p>
    <w:p>
      <w:pPr>
        <w:ind w:firstLine="240"/>
        <w:spacing w:after="0" w:line="230" w:lineRule="auto"/>
        <w:rPr>
          <w:sz w:val="20"/>
          <w:szCs w:val="20"/>
          <w:color w:val="auto"/>
        </w:rPr>
      </w:pPr>
      <w:r>
        <w:rPr>
          <w:rFonts w:ascii="Times New Roman" w:cs="Times New Roman" w:eastAsia="Times New Roman" w:hAnsi="Times New Roman"/>
          <w:sz w:val="10"/>
          <w:szCs w:val="10"/>
          <w:color w:val="auto"/>
        </w:rPr>
        <w:t>We are recognized</w:t>
      </w:r>
      <w:r>
        <w:rPr>
          <w:rFonts w:ascii="Times New Roman" w:cs="Times New Roman" w:eastAsia="Times New Roman" w:hAnsi="Times New Roman"/>
          <w:sz w:val="13"/>
          <w:szCs w:val="13"/>
          <w:color w:val="auto"/>
          <w:vertAlign w:val="superscript"/>
        </w:rPr>
        <w:t>1</w:t>
      </w:r>
      <w:r>
        <w:rPr>
          <w:rFonts w:ascii="Times New Roman" w:cs="Times New Roman" w:eastAsia="Times New Roman" w:hAnsi="Times New Roman"/>
          <w:sz w:val="10"/>
          <w:szCs w:val="10"/>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10" w:lineRule="exact"/>
        <w:rPr>
          <w:sz w:val="20"/>
          <w:szCs w:val="20"/>
          <w:color w:val="auto"/>
        </w:rPr>
      </w:pPr>
    </w:p>
    <w:p>
      <w:pPr>
        <w:ind w:right="120" w:firstLine="360"/>
        <w:spacing w:after="0" w:line="310" w:lineRule="auto"/>
        <w:rPr>
          <w:sz w:val="20"/>
          <w:szCs w:val="20"/>
          <w:color w:val="auto"/>
        </w:rPr>
      </w:pPr>
      <w:r>
        <w:rPr>
          <w:rFonts w:ascii="Times New Roman" w:cs="Times New Roman" w:eastAsia="Times New Roman" w:hAnsi="Times New Roman"/>
          <w:sz w:val="9"/>
          <w:szCs w:val="9"/>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78" w:lineRule="exact"/>
        <w:rPr>
          <w:sz w:val="20"/>
          <w:szCs w:val="20"/>
          <w:color w:val="auto"/>
        </w:rPr>
      </w:pPr>
    </w:p>
    <w:p>
      <w:pPr>
        <w:ind w:right="120" w:firstLine="240"/>
        <w:spacing w:after="0" w:line="245" w:lineRule="auto"/>
        <w:rPr>
          <w:sz w:val="20"/>
          <w:szCs w:val="20"/>
          <w:color w:val="auto"/>
        </w:rPr>
      </w:pPr>
      <w:r>
        <w:rPr>
          <w:rFonts w:ascii="Times New Roman" w:cs="Times New Roman" w:eastAsia="Times New Roman" w:hAnsi="Times New Roman"/>
          <w:sz w:val="10"/>
          <w:szCs w:val="10"/>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0"/>
          <w:szCs w:val="10"/>
          <w:i w:val="1"/>
          <w:iCs w:val="1"/>
          <w:color w:val="auto"/>
        </w:rPr>
        <w:t>Business of Rezolve—Partner Agreements</w:t>
      </w:r>
      <w:r>
        <w:rPr>
          <w:rFonts w:ascii="Times New Roman" w:cs="Times New Roman" w:eastAsia="Times New Roman" w:hAnsi="Times New Roman"/>
          <w:sz w:val="10"/>
          <w:szCs w:val="10"/>
          <w:color w:val="auto"/>
        </w:rPr>
        <w:t>”</w:t>
      </w:r>
    </w:p>
    <w:p>
      <w:pPr>
        <w:spacing w:after="0" w:line="105" w:lineRule="exact"/>
        <w:rPr>
          <w:sz w:val="20"/>
          <w:szCs w:val="20"/>
          <w:color w:val="auto"/>
        </w:rPr>
      </w:pPr>
    </w:p>
    <w:p>
      <w:pPr>
        <w:ind w:right="80" w:firstLine="240"/>
        <w:spacing w:after="0" w:line="245" w:lineRule="auto"/>
        <w:rPr>
          <w:sz w:val="20"/>
          <w:szCs w:val="20"/>
          <w:color w:val="auto"/>
        </w:rPr>
      </w:pPr>
      <w:r>
        <w:rPr>
          <w:rFonts w:ascii="Times New Roman" w:cs="Times New Roman" w:eastAsia="Times New Roman" w:hAnsi="Times New Roman"/>
          <w:sz w:val="10"/>
          <w:szCs w:val="10"/>
          <w:color w:val="auto"/>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The mailing address of Rezolve’s registered office is 5 New Street Square, London, United Kingdom, EC4A 3TW and its principal executive office is 3rd Floor, 80 New Bond Street, London, United Kingdom, W1S 1SB.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4200525" cy="5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00525" cy="5080"/>
                    </a:xfrm>
                    <a:prstGeom prst="rect">
                      <a:avLst/>
                    </a:prstGeom>
                    <a:noFill/>
                  </pic:spPr>
                </pic:pic>
              </a:graphicData>
            </a:graphic>
          </wp:anchor>
        </w:drawing>
      </w:r>
    </w:p>
    <w:p>
      <w:pPr>
        <w:spacing w:after="0" w:line="98" w:lineRule="exact"/>
        <w:rPr>
          <w:sz w:val="20"/>
          <w:szCs w:val="20"/>
          <w:color w:val="auto"/>
        </w:rPr>
      </w:pPr>
    </w:p>
    <w:p>
      <w:pPr>
        <w:ind w:left="5260" w:right="4280" w:hanging="5260"/>
        <w:spacing w:after="0" w:line="676" w:lineRule="auto"/>
        <w:tabs>
          <w:tab w:leader="none" w:pos="61" w:val="left"/>
        </w:tabs>
        <w:numPr>
          <w:ilvl w:val="0"/>
          <w:numId w:val="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Please see Rezolve Press Release dated July 25, 2023, available at https://www.rezolve.com/investors/britains- brain-heralds-new-era-of-commerce-enabled-ai/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64770</wp:posOffset>
            </wp:positionV>
            <wp:extent cx="6778625" cy="34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60" w:top="1033" w:right="68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0"/>
          <w:szCs w:val="10"/>
          <w:b w:val="1"/>
          <w:bCs w:val="1"/>
          <w:color w:val="auto"/>
        </w:rPr>
        <w:t>Background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Business Combination</w:t>
      </w:r>
    </w:p>
    <w:p>
      <w:pPr>
        <w:spacing w:after="0" w:line="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On the Closing Date, we consummated the previously announced Business Combination with Armada.</w:t>
      </w:r>
    </w:p>
    <w:p>
      <w:pPr>
        <w:spacing w:after="0" w:line="118" w:lineRule="exact"/>
        <w:rPr>
          <w:sz w:val="20"/>
          <w:szCs w:val="20"/>
          <w:color w:val="auto"/>
        </w:rPr>
      </w:pPr>
    </w:p>
    <w:p>
      <w:pPr>
        <w:ind w:right="20" w:firstLine="240"/>
        <w:spacing w:after="0" w:line="241" w:lineRule="auto"/>
        <w:rPr>
          <w:sz w:val="20"/>
          <w:szCs w:val="20"/>
          <w:color w:val="auto"/>
        </w:rPr>
      </w:pPr>
      <w:r>
        <w:rPr>
          <w:rFonts w:ascii="Times New Roman" w:cs="Times New Roman" w:eastAsia="Times New Roman" w:hAnsi="Times New Roman"/>
          <w:sz w:val="10"/>
          <w:szCs w:val="10"/>
          <w:color w:val="auto"/>
        </w:rPr>
        <w:t>On July 4, 2024, prior to the Closing Date, Rezolve Limited effected the Pre -Closing Demerger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spacing w:after="0" w:line="108" w:lineRule="exact"/>
        <w:rPr>
          <w:sz w:val="20"/>
          <w:szCs w:val="20"/>
          <w:color w:val="auto"/>
        </w:rPr>
      </w:pPr>
    </w:p>
    <w:p>
      <w:pPr>
        <w:jc w:val="both"/>
        <w:ind w:right="60" w:firstLine="240"/>
        <w:spacing w:after="0" w:line="285" w:lineRule="auto"/>
        <w:rPr>
          <w:sz w:val="20"/>
          <w:szCs w:val="20"/>
          <w:color w:val="auto"/>
        </w:rPr>
      </w:pPr>
      <w:r>
        <w:rPr>
          <w:rFonts w:ascii="Times New Roman" w:cs="Times New Roman" w:eastAsia="Times New Roman" w:hAnsi="Times New Roman"/>
          <w:sz w:val="9"/>
          <w:szCs w:val="9"/>
          <w:color w:val="auto"/>
        </w:rPr>
        <w:t>Pursuant to o the terms of the Business Combination Agreement, on the Closing Date (i) the Company effected a company reorganization whereby the Company’s series A shares were reclassified as Ordinary Shares and (ii)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The foregoing description of the Business Combination does not purport to be complete and is qualified in its entirety by the full text of the Business Combination Agreement, which is incorporated by reference hereto as Exhibit 2.1.</w:t>
      </w:r>
    </w:p>
    <w:p>
      <w:pPr>
        <w:spacing w:after="0" w:line="111" w:lineRule="exact"/>
        <w:rPr>
          <w:sz w:val="20"/>
          <w:szCs w:val="20"/>
          <w:color w:val="auto"/>
        </w:rPr>
      </w:pPr>
    </w:p>
    <w:p>
      <w:pPr>
        <w:ind w:right="100" w:firstLine="240"/>
        <w:spacing w:after="0" w:line="271" w:lineRule="auto"/>
        <w:rPr>
          <w:sz w:val="20"/>
          <w:szCs w:val="20"/>
          <w:color w:val="auto"/>
        </w:rPr>
      </w:pPr>
      <w:r>
        <w:rPr>
          <w:rFonts w:ascii="Times New Roman" w:cs="Times New Roman" w:eastAsia="Times New Roman" w:hAnsi="Times New Roman"/>
          <w:sz w:val="10"/>
          <w:szCs w:val="10"/>
          <w:color w:val="auto"/>
        </w:rPr>
        <w:t>In connection with the closing of the Business Combination, holders of an aggregate of 1,300,391 shares of Armada Common Stock exercised their right to redeem such shares for a pro rata portion of the funds in Armada’s Trust Account. Following redemptions and the payment of transaction expenses, Armada delivered an aggregate of approximately $14.8 million to the Company on the Closing Date.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Lock-Up Restrictions</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b w:val="1"/>
          <w:bCs w:val="1"/>
          <w:i w:val="1"/>
          <w:iCs w:val="1"/>
          <w:color w:val="auto"/>
        </w:rPr>
        <w:t>Investor Rights Agreement</w:t>
      </w:r>
    </w:p>
    <w:p>
      <w:pPr>
        <w:spacing w:after="0" w:line="58" w:lineRule="exact"/>
        <w:rPr>
          <w:sz w:val="20"/>
          <w:szCs w:val="20"/>
          <w:color w:val="auto"/>
        </w:rPr>
      </w:pPr>
    </w:p>
    <w:p>
      <w:pPr>
        <w:ind w:right="100" w:firstLine="240"/>
        <w:spacing w:after="0" w:line="259" w:lineRule="auto"/>
        <w:rPr>
          <w:sz w:val="20"/>
          <w:szCs w:val="20"/>
          <w:color w:val="auto"/>
        </w:rPr>
      </w:pPr>
      <w:r>
        <w:rPr>
          <w:rFonts w:ascii="Times New Roman" w:cs="Times New Roman" w:eastAsia="Times New Roman" w:hAnsi="Times New Roman"/>
          <w:sz w:val="10"/>
          <w:szCs w:val="10"/>
          <w:color w:val="auto"/>
        </w:rPr>
        <w:t>At the Closing, the Company entered into that certain Investor Rights Agreement with certain directors and officers and certain other parties identified therein (such persons, the “</w:t>
      </w:r>
      <w:r>
        <w:rPr>
          <w:rFonts w:ascii="Times New Roman" w:cs="Times New Roman" w:eastAsia="Times New Roman" w:hAnsi="Times New Roman"/>
          <w:sz w:val="10"/>
          <w:szCs w:val="10"/>
          <w:b w:val="1"/>
          <w:bCs w:val="1"/>
          <w:i w:val="1"/>
          <w:iCs w:val="1"/>
          <w:color w:val="auto"/>
        </w:rPr>
        <w:t>Holders</w:t>
      </w:r>
      <w:r>
        <w:rPr>
          <w:rFonts w:ascii="Times New Roman" w:cs="Times New Roman" w:eastAsia="Times New Roman" w:hAnsi="Times New Roman"/>
          <w:sz w:val="10"/>
          <w:szCs w:val="10"/>
          <w:color w:val="auto"/>
        </w:rPr>
        <w:t>”) (the “</w:t>
      </w:r>
      <w:r>
        <w:rPr>
          <w:rFonts w:ascii="Times New Roman" w:cs="Times New Roman" w:eastAsia="Times New Roman" w:hAnsi="Times New Roman"/>
          <w:sz w:val="10"/>
          <w:szCs w:val="10"/>
          <w:b w:val="1"/>
          <w:bCs w:val="1"/>
          <w:i w:val="1"/>
          <w:iCs w:val="1"/>
          <w:color w:val="auto"/>
        </w:rPr>
        <w:t>Investor Rights Agreement</w:t>
      </w:r>
      <w:r>
        <w:rPr>
          <w:rFonts w:ascii="Times New Roman" w:cs="Times New Roman" w:eastAsia="Times New Roman" w:hAnsi="Times New Roman"/>
          <w:sz w:val="10"/>
          <w:szCs w:val="10"/>
          <w:color w:val="auto"/>
        </w:rPr>
        <w:t>”). Pursuant to the terms of the Investor Rights Agreement, the Holders are entitled to certain piggyback registration rights and customary registration rights.</w:t>
      </w:r>
    </w:p>
    <w:p>
      <w:pPr>
        <w:spacing w:after="0" w:line="99" w:lineRule="exact"/>
        <w:rPr>
          <w:sz w:val="20"/>
          <w:szCs w:val="20"/>
          <w:color w:val="auto"/>
        </w:rPr>
      </w:pPr>
    </w:p>
    <w:p>
      <w:pPr>
        <w:ind w:firstLine="240"/>
        <w:spacing w:after="0" w:line="245" w:lineRule="auto"/>
        <w:rPr>
          <w:sz w:val="20"/>
          <w:szCs w:val="20"/>
          <w:color w:val="auto"/>
        </w:rPr>
      </w:pPr>
      <w:r>
        <w:rPr>
          <w:rFonts w:ascii="Times New Roman" w:cs="Times New Roman" w:eastAsia="Times New Roman" w:hAnsi="Times New Roman"/>
          <w:sz w:val="10"/>
          <w:szCs w:val="10"/>
          <w:color w:val="auto"/>
        </w:rPr>
        <w:t>Pursuant to terms of the Investor Rights Agreement, subject to certain exceptions, the Holders agreed to not transfer or make any announcement of any intention to effect a transfer, in respect of the shares beneficially owned or otherwise held by the Holders prior to the termination of the applicable lock-up period, subject to certain customary exceptions, including (i) transfers to permitted transferees, such as a member of a person’s immediate family or to a trust, the beneficiary of which is a member of a person’s immediate family or an affiliate of such person.</w:t>
      </w:r>
    </w:p>
    <w:p>
      <w:pPr>
        <w:spacing w:after="0" w:line="1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b w:val="1"/>
          <w:bCs w:val="1"/>
          <w:i w:val="1"/>
          <w:iCs w:val="1"/>
          <w:color w:val="auto"/>
        </w:rPr>
        <w:t>Convertible Notes</w:t>
      </w:r>
    </w:p>
    <w:p>
      <w:pPr>
        <w:spacing w:after="0" w:line="60" w:lineRule="exact"/>
        <w:rPr>
          <w:sz w:val="20"/>
          <w:szCs w:val="20"/>
          <w:color w:val="auto"/>
        </w:rPr>
      </w:pPr>
    </w:p>
    <w:p>
      <w:pPr>
        <w:jc w:val="both"/>
        <w:ind w:firstLine="240"/>
        <w:spacing w:after="0" w:line="245" w:lineRule="auto"/>
        <w:rPr>
          <w:sz w:val="20"/>
          <w:szCs w:val="20"/>
          <w:color w:val="auto"/>
        </w:rPr>
      </w:pPr>
      <w:r>
        <w:rPr>
          <w:rFonts w:ascii="Times New Roman" w:cs="Times New Roman" w:eastAsia="Times New Roman" w:hAnsi="Times New Roman"/>
          <w:sz w:val="10"/>
          <w:szCs w:val="10"/>
          <w:color w:val="auto"/>
        </w:rPr>
        <w:t>In connection with the Business Combination Agreement, on December 16, 2021, Rezolve Limited entered into a secured convertible loan note instrument, as amended and restated on November 21, 2022 and May 23, 2023 and as further amended on December 18, 2023, December 29, 2023 and January 26, 2024 (the “</w:t>
      </w:r>
      <w:r>
        <w:rPr>
          <w:rFonts w:ascii="Times New Roman" w:cs="Times New Roman" w:eastAsia="Times New Roman" w:hAnsi="Times New Roman"/>
          <w:sz w:val="10"/>
          <w:szCs w:val="10"/>
          <w:b w:val="1"/>
          <w:bCs w:val="1"/>
          <w:i w:val="1"/>
          <w:iCs w:val="1"/>
          <w:color w:val="auto"/>
        </w:rPr>
        <w:t>Loan Note Instrument</w:t>
      </w:r>
      <w:r>
        <w:rPr>
          <w:rFonts w:ascii="Times New Roman" w:cs="Times New Roman" w:eastAsia="Times New Roman" w:hAnsi="Times New Roman"/>
          <w:sz w:val="10"/>
          <w:szCs w:val="10"/>
          <w:color w:val="auto"/>
        </w:rPr>
        <w:t>”). Upon the closing of the Pre -Closing Demerger, the Loan Note Instrument was novated to Rezolve and was secured by a debenture over the assets of Rezolve. As of December 5, 2024, there was outstanding an aggregate amount of approximately $49 million of Convertible Notes outstanding under the Loan Note Instrument.</w:t>
      </w:r>
    </w:p>
    <w:p>
      <w:pPr>
        <w:spacing w:after="0" w:line="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0"/>
          <w:szCs w:val="10"/>
          <w:color w:val="auto"/>
        </w:rPr>
        <w:t>On December 5, 2024, pursuant to the terms of the Loan Note Instrument, one of the holders of the Convertible Notes converted all of his approximately $8 million of outstanding Convertible Notes at a conversion price of $7 per ordinary share.</w:t>
      </w:r>
    </w:p>
    <w:p>
      <w:pPr>
        <w:spacing w:after="0" w:line="108" w:lineRule="exact"/>
        <w:rPr>
          <w:sz w:val="20"/>
          <w:szCs w:val="20"/>
          <w:color w:val="auto"/>
        </w:rPr>
      </w:pPr>
    </w:p>
    <w:p>
      <w:pPr>
        <w:ind w:right="40" w:firstLine="360"/>
        <w:spacing w:after="0" w:line="247" w:lineRule="auto"/>
        <w:rPr>
          <w:sz w:val="20"/>
          <w:szCs w:val="20"/>
          <w:color w:val="auto"/>
        </w:rPr>
      </w:pPr>
      <w:r>
        <w:rPr>
          <w:rFonts w:ascii="Times New Roman" w:cs="Times New Roman" w:eastAsia="Times New Roman" w:hAnsi="Times New Roman"/>
          <w:sz w:val="10"/>
          <w:szCs w:val="10"/>
          <w:color w:val="auto"/>
        </w:rPr>
        <w:t>On December 17, 2024, the Company, Apeiron Investment Group Ltd. and Bradley Wickens, the beneficial holders of the majority of Convertible Notes entered into an agreement (the “</w:t>
      </w:r>
      <w:r>
        <w:rPr>
          <w:rFonts w:ascii="Times New Roman" w:cs="Times New Roman" w:eastAsia="Times New Roman" w:hAnsi="Times New Roman"/>
          <w:sz w:val="10"/>
          <w:szCs w:val="10"/>
          <w:b w:val="1"/>
          <w:bCs w:val="1"/>
          <w:i w:val="1"/>
          <w:iCs w:val="1"/>
          <w:color w:val="auto"/>
        </w:rPr>
        <w:t>Agreement</w:t>
      </w:r>
      <w:r>
        <w:rPr>
          <w:rFonts w:ascii="Times New Roman" w:cs="Times New Roman" w:eastAsia="Times New Roman" w:hAnsi="Times New Roman"/>
          <w:sz w:val="10"/>
          <w:szCs w:val="10"/>
          <w:color w:val="auto"/>
        </w:rPr>
        <w:t>”) to amend the Loan Note Instrument (the “</w:t>
      </w:r>
      <w:r>
        <w:rPr>
          <w:rFonts w:ascii="Times New Roman" w:cs="Times New Roman" w:eastAsia="Times New Roman" w:hAnsi="Times New Roman"/>
          <w:sz w:val="10"/>
          <w:szCs w:val="10"/>
          <w:b w:val="1"/>
          <w:bCs w:val="1"/>
          <w:i w:val="1"/>
          <w:iCs w:val="1"/>
          <w:color w:val="auto"/>
        </w:rPr>
        <w:t>Amendment</w:t>
      </w:r>
      <w:r>
        <w:rPr>
          <w:rFonts w:ascii="Times New Roman" w:cs="Times New Roman" w:eastAsia="Times New Roman" w:hAnsi="Times New Roman"/>
          <w:sz w:val="10"/>
          <w:szCs w:val="10"/>
          <w:color w:val="auto"/>
        </w:rPr>
        <w:t>”) and that the beneficial holders shall procure that the registered nominees holding their Convertible Notes provide the necessary consents to the Amendment. Pursuant to the Amendment, the conversion price with respect to approximately $41 million of outstanding Convertible Notes was revised to equal $2 per ordinary share.</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256540</wp:posOffset>
            </wp:positionV>
            <wp:extent cx="6778625" cy="34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60" w:top="1213" w:right="680" w:bottom="1440" w:gutter="0" w:footer="0" w:header="0"/>
        </w:sectPr>
      </w:pPr>
    </w:p>
    <w:bookmarkStart w:id="11" w:name="page12"/>
    <w:bookmarkEnd w:id="11"/>
    <w:p>
      <w:pPr>
        <w:ind w:left="360"/>
        <w:spacing w:after="0"/>
        <w:rPr>
          <w:sz w:val="20"/>
          <w:szCs w:val="20"/>
          <w:color w:val="auto"/>
        </w:rPr>
      </w:pPr>
      <w:r>
        <w:rPr>
          <w:rFonts w:ascii="Times New Roman" w:cs="Times New Roman" w:eastAsia="Times New Roman" w:hAnsi="Times New Roman"/>
          <w:sz w:val="10"/>
          <w:szCs w:val="10"/>
          <w:color w:val="auto"/>
        </w:rPr>
        <w:t>In December 2024, all of the remaining Convertible Note holders elected to convert. As of the date hereof, no amount remains outstanding under the Convertible Notes.</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b w:val="1"/>
          <w:bCs w:val="1"/>
          <w:i w:val="1"/>
          <w:iCs w:val="1"/>
          <w:color w:val="auto"/>
        </w:rPr>
        <w:t>Yorkville Convertible Promissory Note and Capital Commitment</w:t>
      </w:r>
    </w:p>
    <w:p>
      <w:pPr>
        <w:spacing w:after="0" w:line="58" w:lineRule="exact"/>
        <w:rPr>
          <w:sz w:val="20"/>
          <w:szCs w:val="20"/>
          <w:color w:val="auto"/>
        </w:rPr>
      </w:pPr>
    </w:p>
    <w:p>
      <w:pPr>
        <w:ind w:right="60" w:firstLine="240"/>
        <w:spacing w:after="0" w:line="243" w:lineRule="auto"/>
        <w:rPr>
          <w:sz w:val="20"/>
          <w:szCs w:val="20"/>
          <w:color w:val="auto"/>
        </w:rPr>
      </w:pPr>
      <w:r>
        <w:rPr>
          <w:rFonts w:ascii="Times New Roman" w:cs="Times New Roman" w:eastAsia="Times New Roman" w:hAnsi="Times New Roman"/>
          <w:sz w:val="10"/>
          <w:szCs w:val="10"/>
          <w:color w:val="212529"/>
        </w:rPr>
        <w:t>On February 23, 2023, Rezolve Limited entered into a $250 million standby equity purchase agreement with YA II PN, LTD (“</w:t>
      </w:r>
      <w:r>
        <w:rPr>
          <w:rFonts w:ascii="Times New Roman" w:cs="Times New Roman" w:eastAsia="Times New Roman" w:hAnsi="Times New Roman"/>
          <w:sz w:val="10"/>
          <w:szCs w:val="10"/>
          <w:b w:val="1"/>
          <w:bCs w:val="1"/>
          <w:i w:val="1"/>
          <w:iCs w:val="1"/>
          <w:color w:val="212529"/>
        </w:rPr>
        <w:t>YA</w:t>
      </w:r>
      <w:r>
        <w:rPr>
          <w:rFonts w:ascii="Times New Roman" w:cs="Times New Roman" w:eastAsia="Times New Roman" w:hAnsi="Times New Roman"/>
          <w:sz w:val="10"/>
          <w:szCs w:val="10"/>
          <w:color w:val="212529"/>
        </w:rPr>
        <w:t>”), a Cayman Islands exempt limited company, which was amended and restated on February 2, 2024 to provide for, inter alia, Rezolve AI Limited joining as a party to the agreement (“</w:t>
      </w:r>
      <w:r>
        <w:rPr>
          <w:rFonts w:ascii="Times New Roman" w:cs="Times New Roman" w:eastAsia="Times New Roman" w:hAnsi="Times New Roman"/>
          <w:sz w:val="10"/>
          <w:szCs w:val="10"/>
          <w:b w:val="1"/>
          <w:bCs w:val="1"/>
          <w:i w:val="1"/>
          <w:iCs w:val="1"/>
          <w:color w:val="212529"/>
        </w:rPr>
        <w:t>YA Agreement</w:t>
      </w:r>
      <w:r>
        <w:rPr>
          <w:rFonts w:ascii="Times New Roman" w:cs="Times New Roman" w:eastAsia="Times New Roman" w:hAnsi="Times New Roman"/>
          <w:sz w:val="10"/>
          <w:szCs w:val="10"/>
          <w:color w:val="212529"/>
        </w:rPr>
        <w:t>”). Pursuant to the YA Agreement, Rezolve has the right to sell to YA up to $250,000,000 Ordinary Shares, subject to certain limitations and conditions set forth in the YA Agreement, from time to time during the term of the YA Agreement. In connection with the amendment and restatement of the YA Agreement, on February 2, 2024, Rezolve Limited and Rezolve issued a convertible note with a total principal amount of $2.5 million (the “</w:t>
      </w:r>
      <w:r>
        <w:rPr>
          <w:rFonts w:ascii="Times New Roman" w:cs="Times New Roman" w:eastAsia="Times New Roman" w:hAnsi="Times New Roman"/>
          <w:sz w:val="10"/>
          <w:szCs w:val="10"/>
          <w:b w:val="1"/>
          <w:bCs w:val="1"/>
          <w:i w:val="1"/>
          <w:iCs w:val="1"/>
          <w:color w:val="212529"/>
        </w:rPr>
        <w:t>YA Note</w:t>
      </w:r>
      <w:r>
        <w:rPr>
          <w:rFonts w:ascii="Times New Roman" w:cs="Times New Roman" w:eastAsia="Times New Roman" w:hAnsi="Times New Roman"/>
          <w:sz w:val="10"/>
          <w:szCs w:val="10"/>
          <w:color w:val="212529"/>
        </w:rPr>
        <w:t>”) to YA, pursuant to the terms of a convertible promissory note instrument entered into by Rezolve Limited and Rezolve (“</w:t>
      </w:r>
      <w:r>
        <w:rPr>
          <w:rFonts w:ascii="Times New Roman" w:cs="Times New Roman" w:eastAsia="Times New Roman" w:hAnsi="Times New Roman"/>
          <w:sz w:val="10"/>
          <w:szCs w:val="10"/>
          <w:b w:val="1"/>
          <w:bCs w:val="1"/>
          <w:i w:val="1"/>
          <w:iCs w:val="1"/>
          <w:color w:val="212529"/>
        </w:rPr>
        <w:t>YA Note Instrument</w:t>
      </w:r>
      <w:r>
        <w:rPr>
          <w:rFonts w:ascii="Times New Roman" w:cs="Times New Roman" w:eastAsia="Times New Roman" w:hAnsi="Times New Roman"/>
          <w:sz w:val="10"/>
          <w:szCs w:val="10"/>
          <w:color w:val="212529"/>
        </w:rPr>
        <w:t>”).</w:t>
      </w:r>
    </w:p>
    <w:p>
      <w:pPr>
        <w:spacing w:after="0" w:line="44" w:lineRule="exact"/>
        <w:rPr>
          <w:sz w:val="20"/>
          <w:szCs w:val="20"/>
          <w:color w:val="auto"/>
        </w:rPr>
      </w:pPr>
    </w:p>
    <w:p>
      <w:pPr>
        <w:ind w:right="60" w:firstLine="360"/>
        <w:spacing w:after="0" w:line="243" w:lineRule="auto"/>
        <w:rPr>
          <w:sz w:val="20"/>
          <w:szCs w:val="20"/>
          <w:color w:val="auto"/>
        </w:rPr>
      </w:pPr>
      <w:r>
        <w:rPr>
          <w:rFonts w:ascii="Times New Roman" w:cs="Times New Roman" w:eastAsia="Times New Roman" w:hAnsi="Times New Roman"/>
          <w:sz w:val="10"/>
          <w:szCs w:val="10"/>
          <w:color w:val="auto"/>
        </w:rPr>
        <w:t>On September 6, 2024, YA and Rezolve amended and restated the YA Agreement (the “</w:t>
      </w:r>
      <w:r>
        <w:rPr>
          <w:rFonts w:ascii="Times New Roman" w:cs="Times New Roman" w:eastAsia="Times New Roman" w:hAnsi="Times New Roman"/>
          <w:sz w:val="10"/>
          <w:szCs w:val="10"/>
          <w:b w:val="1"/>
          <w:bCs w:val="1"/>
          <w:i w:val="1"/>
          <w:iCs w:val="1"/>
          <w:color w:val="auto"/>
        </w:rPr>
        <w:t>Second A&amp;R YA Agreement</w:t>
      </w:r>
      <w:r>
        <w:rPr>
          <w:rFonts w:ascii="Times New Roman" w:cs="Times New Roman" w:eastAsia="Times New Roman" w:hAnsi="Times New Roman"/>
          <w:sz w:val="10"/>
          <w:szCs w:val="10"/>
          <w:color w:val="auto"/>
        </w:rPr>
        <w:t>”) to incorporate an additional prepaid advance arrangement pursuant to which YA committed to provide Rezolve with prepaid advances in an aggregate original principal amount of an additional Seven Million Five Hundred Thousand Dollars ( $7,500,000), payable in three tranches, with the first tranche in an original principal amount of Two Million Five Hundred Thousand Dollars ( $2,500,000) that was funded as part of the Second YA Note (as defined below), the second tranche in an original principal amount of Two Million Five Hundred Thousand Dollars ($2,500,000) that was funded as part of the Second YA Note and the third tranche in an original principal amount of Two Million Five Hundred Thousand Dollars ($2,500,000) that was funded as part of the Third YA Note (as defined below). The Second A&amp;R YA Agreement superseded the original agreement.</w:t>
      </w:r>
    </w:p>
    <w:p>
      <w:pPr>
        <w:spacing w:after="0" w:line="44" w:lineRule="exact"/>
        <w:rPr>
          <w:sz w:val="20"/>
          <w:szCs w:val="20"/>
          <w:color w:val="auto"/>
        </w:rPr>
      </w:pPr>
    </w:p>
    <w:p>
      <w:pPr>
        <w:ind w:right="80" w:firstLine="360"/>
        <w:spacing w:after="0" w:line="247" w:lineRule="auto"/>
        <w:rPr>
          <w:sz w:val="20"/>
          <w:szCs w:val="20"/>
          <w:color w:val="auto"/>
        </w:rPr>
      </w:pPr>
      <w:r>
        <w:rPr>
          <w:rFonts w:ascii="Times New Roman" w:cs="Times New Roman" w:eastAsia="Times New Roman" w:hAnsi="Times New Roman"/>
          <w:sz w:val="10"/>
          <w:szCs w:val="10"/>
          <w:color w:val="auto"/>
        </w:rPr>
        <w:t>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10"/>
          <w:szCs w:val="10"/>
          <w:b w:val="1"/>
          <w:bCs w:val="1"/>
          <w:i w:val="1"/>
          <w:iCs w:val="1"/>
          <w:color w:val="auto"/>
        </w:rPr>
        <w:t>YA Note Amendment</w:t>
      </w:r>
      <w:r>
        <w:rPr>
          <w:rFonts w:ascii="Times New Roman" w:cs="Times New Roman" w:eastAsia="Times New Roman" w:hAnsi="Times New Roman"/>
          <w:sz w:val="10"/>
          <w:szCs w:val="10"/>
          <w:color w:val="auto"/>
        </w:rPr>
        <w:t>” and the YA Note, as amended by the YA Note Amendment, the “</w:t>
      </w:r>
      <w:r>
        <w:rPr>
          <w:rFonts w:ascii="Times New Roman" w:cs="Times New Roman" w:eastAsia="Times New Roman" w:hAnsi="Times New Roman"/>
          <w:sz w:val="10"/>
          <w:szCs w:val="10"/>
          <w:b w:val="1"/>
          <w:bCs w:val="1"/>
          <w:i w:val="1"/>
          <w:iCs w:val="1"/>
          <w:color w:val="auto"/>
        </w:rPr>
        <w:t>Amended YA Note</w:t>
      </w:r>
      <w:r>
        <w:rPr>
          <w:rFonts w:ascii="Times New Roman" w:cs="Times New Roman" w:eastAsia="Times New Roman" w:hAnsi="Times New Roman"/>
          <w:sz w:val="10"/>
          <w:szCs w:val="10"/>
          <w:color w:val="auto"/>
        </w:rPr>
        <w:t xml:space="preserve"> ”)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spacing w:after="0" w:line="42" w:lineRule="exact"/>
        <w:rPr>
          <w:sz w:val="20"/>
          <w:szCs w:val="20"/>
          <w:color w:val="auto"/>
        </w:rPr>
      </w:pPr>
    </w:p>
    <w:p>
      <w:pPr>
        <w:ind w:right="180" w:firstLine="360"/>
        <w:spacing w:after="0" w:line="247" w:lineRule="auto"/>
        <w:rPr>
          <w:sz w:val="20"/>
          <w:szCs w:val="20"/>
          <w:color w:val="auto"/>
        </w:rPr>
      </w:pPr>
      <w:r>
        <w:rPr>
          <w:rFonts w:ascii="Times New Roman" w:cs="Times New Roman" w:eastAsia="Times New Roman" w:hAnsi="Times New Roman"/>
          <w:sz w:val="10"/>
          <w:szCs w:val="10"/>
          <w:color w:val="auto"/>
        </w:rPr>
        <w:t>Also in connection with the Second A&amp;R YA Agreement, on September 9, 2024, Rezolve issued YA a promissory note in the principal amount of $5,000,000 (the “</w:t>
      </w:r>
      <w:r>
        <w:rPr>
          <w:rFonts w:ascii="Times New Roman" w:cs="Times New Roman" w:eastAsia="Times New Roman" w:hAnsi="Times New Roman"/>
          <w:sz w:val="10"/>
          <w:szCs w:val="10"/>
          <w:b w:val="1"/>
          <w:bCs w:val="1"/>
          <w:i w:val="1"/>
          <w:iCs w:val="1"/>
          <w:color w:val="auto"/>
        </w:rPr>
        <w:t>Second YA Note</w:t>
      </w:r>
      <w:r>
        <w:rPr>
          <w:rFonts w:ascii="Times New Roman" w:cs="Times New Roman" w:eastAsia="Times New Roman" w:hAnsi="Times New Roman"/>
          <w:sz w:val="10"/>
          <w:szCs w:val="10"/>
          <w:color w:val="auto"/>
        </w:rPr>
        <w:t>”), reflecting the first and second tranche of the prepaid advances, and on November 29, 2024, upon effectiveness of the F-1 Registration Statement originally filed with the U.S. Securities and Exchange Commission on September 6, 2024, and declared effective on November 27, 2024, Rezolve issued YA a promissory note in the principal amount of $2,500,000 (the "</w:t>
      </w:r>
      <w:r>
        <w:rPr>
          <w:rFonts w:ascii="Times New Roman" w:cs="Times New Roman" w:eastAsia="Times New Roman" w:hAnsi="Times New Roman"/>
          <w:sz w:val="10"/>
          <w:szCs w:val="10"/>
          <w:b w:val="1"/>
          <w:bCs w:val="1"/>
          <w:i w:val="1"/>
          <w:iCs w:val="1"/>
          <w:color w:val="auto"/>
        </w:rPr>
        <w:t>Third YA Note</w:t>
      </w:r>
      <w:r>
        <w:rPr>
          <w:rFonts w:ascii="Times New Roman" w:cs="Times New Roman" w:eastAsia="Times New Roman" w:hAnsi="Times New Roman"/>
          <w:sz w:val="10"/>
          <w:szCs w:val="10"/>
          <w:color w:val="auto"/>
        </w:rPr>
        <w:t>", and together with the Amended YA Note and Second YA Note, the "</w:t>
      </w:r>
      <w:r>
        <w:rPr>
          <w:rFonts w:ascii="Times New Roman" w:cs="Times New Roman" w:eastAsia="Times New Roman" w:hAnsi="Times New Roman"/>
          <w:sz w:val="10"/>
          <w:szCs w:val="10"/>
          <w:b w:val="1"/>
          <w:bCs w:val="1"/>
          <w:i w:val="1"/>
          <w:iCs w:val="1"/>
          <w:color w:val="auto"/>
        </w:rPr>
        <w:t>YA Notes</w:t>
      </w:r>
      <w:r>
        <w:rPr>
          <w:rFonts w:ascii="Times New Roman" w:cs="Times New Roman" w:eastAsia="Times New Roman" w:hAnsi="Times New Roman"/>
          <w:sz w:val="10"/>
          <w:szCs w:val="10"/>
          <w:color w:val="auto"/>
        </w:rPr>
        <w:t>").</w:t>
      </w:r>
    </w:p>
    <w:p>
      <w:pPr>
        <w:spacing w:after="0" w:line="104"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0"/>
          <w:szCs w:val="10"/>
          <w:color w:val="auto"/>
        </w:rPr>
        <w:t>As of December 30, 2024, the Company satisfied all of the the principal and interest outstanding under the YA Notes. In connection therewith, the Company issued an aggregate of 5,724,154 Ordinary Shares (including in payment of a fee to YA). As of the date hereof, no amount remains outstanding under the YA Notes.</w:t>
      </w:r>
    </w:p>
    <w:p>
      <w:pPr>
        <w:spacing w:after="0" w:line="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b w:val="1"/>
          <w:bCs w:val="1"/>
          <w:i w:val="1"/>
          <w:iCs w:val="1"/>
          <w:color w:val="auto"/>
        </w:rPr>
        <w:t>Lock-In Agreements</w:t>
      </w:r>
    </w:p>
    <w:p>
      <w:pPr>
        <w:spacing w:after="0" w:line="118" w:lineRule="exact"/>
        <w:rPr>
          <w:sz w:val="20"/>
          <w:szCs w:val="20"/>
          <w:color w:val="auto"/>
        </w:rPr>
      </w:pPr>
    </w:p>
    <w:p>
      <w:pPr>
        <w:ind w:right="20" w:firstLine="240"/>
        <w:spacing w:after="0" w:line="247" w:lineRule="auto"/>
        <w:rPr>
          <w:sz w:val="20"/>
          <w:szCs w:val="20"/>
          <w:color w:val="auto"/>
        </w:rPr>
      </w:pPr>
      <w:r>
        <w:rPr>
          <w:rFonts w:ascii="Times New Roman" w:cs="Times New Roman" w:eastAsia="Times New Roman" w:hAnsi="Times New Roman"/>
          <w:sz w:val="10"/>
          <w:szCs w:val="10"/>
          <w:color w:val="auto"/>
        </w:rPr>
        <w:t>At the Closing, the Company entered into separate Lock-In Agreements (the "</w:t>
      </w:r>
      <w:r>
        <w:rPr>
          <w:rFonts w:ascii="Times New Roman" w:cs="Times New Roman" w:eastAsia="Times New Roman" w:hAnsi="Times New Roman"/>
          <w:sz w:val="10"/>
          <w:szCs w:val="10"/>
          <w:b w:val="1"/>
          <w:bCs w:val="1"/>
          <w:i w:val="1"/>
          <w:iCs w:val="1"/>
          <w:color w:val="auto"/>
        </w:rPr>
        <w:t>Lock-In Agreements</w:t>
      </w:r>
      <w:r>
        <w:rPr>
          <w:rFonts w:ascii="Times New Roman" w:cs="Times New Roman" w:eastAsia="Times New Roman" w:hAnsi="Times New Roman"/>
          <w:sz w:val="10"/>
          <w:szCs w:val="10"/>
          <w:color w:val="auto"/>
        </w:rPr>
        <w:t>") with certain holders of the Company (such persons, the "</w:t>
      </w:r>
      <w:r>
        <w:rPr>
          <w:rFonts w:ascii="Times New Roman" w:cs="Times New Roman" w:eastAsia="Times New Roman" w:hAnsi="Times New Roman"/>
          <w:sz w:val="10"/>
          <w:szCs w:val="10"/>
          <w:b w:val="1"/>
          <w:bCs w:val="1"/>
          <w:i w:val="1"/>
          <w:iCs w:val="1"/>
          <w:color w:val="auto"/>
        </w:rPr>
        <w:t>Rezolve Holders</w:t>
      </w:r>
      <w:r>
        <w:rPr>
          <w:rFonts w:ascii="Times New Roman" w:cs="Times New Roman" w:eastAsia="Times New Roman" w:hAnsi="Times New Roman"/>
          <w:sz w:val="10"/>
          <w:szCs w:val="10"/>
          <w:color w:val="auto"/>
        </w:rPr>
        <w:t>"), pursuant to which the Ordinary Shares held by the Rezolve Holders will be locked-up and subject to transfer restrictions for 180 days following the Closing, subject to certain customary exceptions, including: (i) transfers to permitted transferees, such as a member of the person's immediate family or to a trust, the beneficiary of which is a member of the person's immediate family or an affiliate of such person.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Corporate Information</w:t>
      </w:r>
    </w:p>
    <w:p>
      <w:pPr>
        <w:spacing w:after="0" w:line="292"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0"/>
          <w:szCs w:val="10"/>
          <w:color w:val="auto"/>
        </w:rPr>
        <w:t>The Company was incorporated under the laws of England and Wales with registration number 14573691 on January 5, 2023 under the name Rezolve Group Limited and changed its name to Rezolve AI Limited on June 6, 2023. The Company intends to alter its legal status under English law from a private limited company and to re-register as a public limited company and change its name from Rezolve AI Limited to Rezolve AI PLC.</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The Ordinary Shares and Public Warrants are listed on Nasdaq under the symbols “RZLV” and “RZLVW,” respectively. Our registered office is at 5 New Street Square London EC4A 3TW and our principal executive office is 3rd Floor, 80 New Bond Street,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256540</wp:posOffset>
            </wp:positionV>
            <wp:extent cx="6778625" cy="34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60" w:top="1035" w:right="680" w:bottom="1440" w:gutter="0" w:footer="0" w:header="0"/>
        </w:sectPr>
      </w:pPr>
    </w:p>
    <w:bookmarkStart w:id="12" w:name="page13"/>
    <w:bookmarkEnd w:id="12"/>
    <w:p>
      <w:pPr>
        <w:ind w:right="280"/>
        <w:spacing w:after="0" w:line="259" w:lineRule="auto"/>
        <w:rPr>
          <w:sz w:val="20"/>
          <w:szCs w:val="20"/>
          <w:color w:val="auto"/>
        </w:rPr>
      </w:pPr>
      <w:r>
        <w:rPr>
          <w:rFonts w:ascii="Times New Roman" w:cs="Times New Roman" w:eastAsia="Times New Roman" w:hAnsi="Times New Roman"/>
          <w:sz w:val="10"/>
          <w:szCs w:val="10"/>
          <w:color w:val="auto"/>
        </w:rPr>
        <w:t xml:space="preserve">London, United Kingdom, W1S 1SB. Our register of members is kept at our registered office. Our website address is </w:t>
      </w:r>
      <w:r>
        <w:rPr>
          <w:rFonts w:ascii="Times New Roman" w:cs="Times New Roman" w:eastAsia="Times New Roman" w:hAnsi="Times New Roman"/>
          <w:sz w:val="10"/>
          <w:szCs w:val="10"/>
          <w:i w:val="1"/>
          <w:iCs w:val="1"/>
          <w:color w:val="auto"/>
        </w:rPr>
        <w:t>www.rezolve.com.</w:t>
      </w:r>
      <w:r>
        <w:rPr>
          <w:rFonts w:ascii="Times New Roman" w:cs="Times New Roman" w:eastAsia="Times New Roman" w:hAnsi="Times New Roman"/>
          <w:sz w:val="10"/>
          <w:szCs w:val="10"/>
          <w:color w:val="auto"/>
        </w:rPr>
        <w:t xml:space="preserve"> Our website and the information contained on, or that can be accessed through, our website is not deemed to be incorporated by reference in, and is not considered part of, this prospectus.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Emerging Growth Company</w:t>
      </w:r>
    </w:p>
    <w:p>
      <w:pPr>
        <w:spacing w:after="0" w:line="60" w:lineRule="exact"/>
        <w:rPr>
          <w:sz w:val="20"/>
          <w:szCs w:val="20"/>
          <w:color w:val="auto"/>
        </w:rPr>
      </w:pPr>
    </w:p>
    <w:p>
      <w:pPr>
        <w:ind w:right="60" w:firstLine="240"/>
        <w:spacing w:after="0" w:line="245" w:lineRule="auto"/>
        <w:rPr>
          <w:sz w:val="20"/>
          <w:szCs w:val="20"/>
          <w:color w:val="auto"/>
        </w:rPr>
      </w:pPr>
      <w:r>
        <w:rPr>
          <w:rFonts w:ascii="Times New Roman" w:cs="Times New Roman" w:eastAsia="Times New Roman" w:hAnsi="Times New Roman"/>
          <w:sz w:val="10"/>
          <w:szCs w:val="10"/>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05" w:lineRule="exact"/>
        <w:rPr>
          <w:sz w:val="20"/>
          <w:szCs w:val="20"/>
          <w:color w:val="auto"/>
        </w:rPr>
      </w:pPr>
    </w:p>
    <w:p>
      <w:pPr>
        <w:jc w:val="both"/>
        <w:ind w:right="240" w:firstLine="240"/>
        <w:spacing w:after="0" w:line="239" w:lineRule="auto"/>
        <w:rPr>
          <w:sz w:val="20"/>
          <w:szCs w:val="20"/>
          <w:color w:val="auto"/>
        </w:rPr>
      </w:pPr>
      <w:r>
        <w:rPr>
          <w:rFonts w:ascii="Times New Roman" w:cs="Times New Roman" w:eastAsia="Times New Roman" w:hAnsi="Times New Roman"/>
          <w:sz w:val="10"/>
          <w:szCs w:val="10"/>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10" w:lineRule="exact"/>
        <w:rPr>
          <w:sz w:val="20"/>
          <w:szCs w:val="20"/>
          <w:color w:val="auto"/>
        </w:rPr>
      </w:pPr>
    </w:p>
    <w:p>
      <w:pPr>
        <w:ind w:right="20" w:firstLine="240"/>
        <w:spacing w:after="0" w:line="245" w:lineRule="auto"/>
        <w:rPr>
          <w:sz w:val="20"/>
          <w:szCs w:val="20"/>
          <w:color w:val="auto"/>
        </w:rPr>
      </w:pPr>
      <w:r>
        <w:rPr>
          <w:rFonts w:ascii="Times New Roman" w:cs="Times New Roman" w:eastAsia="Times New Roman" w:hAnsi="Times New Roman"/>
          <w:sz w:val="10"/>
          <w:szCs w:val="10"/>
          <w:color w:val="auto"/>
        </w:rPr>
        <w:t>We will remain an emerging growth company until the earlier of: (i) the last day of the fiscal year (a) following the fifth anniversary of the closing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 References herein to “emerging growth company” shall have the meaning associated with it in the JOBS Act.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Foreign Private Issuer</w:t>
      </w:r>
    </w:p>
    <w:p>
      <w:pPr>
        <w:spacing w:after="0" w:line="60" w:lineRule="exact"/>
        <w:rPr>
          <w:sz w:val="20"/>
          <w:szCs w:val="20"/>
          <w:color w:val="auto"/>
        </w:rPr>
      </w:pPr>
    </w:p>
    <w:p>
      <w:pPr>
        <w:ind w:firstLine="240"/>
        <w:spacing w:after="0" w:line="245" w:lineRule="auto"/>
        <w:rPr>
          <w:sz w:val="20"/>
          <w:szCs w:val="20"/>
          <w:color w:val="auto"/>
        </w:rPr>
      </w:pPr>
      <w:r>
        <w:rPr>
          <w:rFonts w:ascii="Times New Roman" w:cs="Times New Roman" w:eastAsia="Times New Roman" w:hAnsi="Times New Roman"/>
          <w:sz w:val="10"/>
          <w:szCs w:val="10"/>
          <w:color w:val="auto"/>
        </w:rPr>
        <w:t>We qualify as a “foreign private issuer” under U.S. securities laws. Even after we no longer qualify as an emerging growth company, as long as we qualify as a foreign private issuer under the Exchange Act, we will be exempt from compliance with certain laws and regulations of the Exchange Act including, but not limited to, those related to the solicitations of proxies, consents or authorizations, those related to the public reporting of insider stock ownership and trading activities, and those requiring the filing with the SEC of quarterly reports on Form 10-Q or current reports on Form 8-K.</w:t>
      </w:r>
    </w:p>
    <w:p>
      <w:pPr>
        <w:spacing w:after="0" w:line="105" w:lineRule="exact"/>
        <w:rPr>
          <w:sz w:val="20"/>
          <w:szCs w:val="20"/>
          <w:color w:val="auto"/>
        </w:rPr>
      </w:pPr>
    </w:p>
    <w:p>
      <w:pPr>
        <w:ind w:right="20" w:firstLine="240"/>
        <w:spacing w:after="0" w:line="245" w:lineRule="auto"/>
        <w:rPr>
          <w:sz w:val="20"/>
          <w:szCs w:val="20"/>
          <w:color w:val="auto"/>
        </w:rPr>
      </w:pPr>
      <w:r>
        <w:rPr>
          <w:rFonts w:ascii="Times New Roman" w:cs="Times New Roman" w:eastAsia="Times New Roman" w:hAnsi="Times New Roman"/>
          <w:sz w:val="10"/>
          <w:szCs w:val="10"/>
          <w:color w:val="auto"/>
        </w:rPr>
        <w:t>We intend to take all actions necessary for us to maintain compliance as a foreign private issuer under the applicable corporate governance requirements of the Sarbanes-Oxley Act, the rules adopted by the SEC and the Nasdaq corporate governance rules and listing standards. Because we are a foreign private issuer, our officers, directors and principal shareholders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05" w:lineRule="exact"/>
        <w:rPr>
          <w:sz w:val="20"/>
          <w:szCs w:val="20"/>
          <w:color w:val="auto"/>
        </w:rPr>
      </w:pPr>
    </w:p>
    <w:p>
      <w:pPr>
        <w:ind w:right="80" w:firstLine="240"/>
        <w:spacing w:after="0" w:line="255" w:lineRule="auto"/>
        <w:rPr>
          <w:sz w:val="20"/>
          <w:szCs w:val="20"/>
          <w:color w:val="auto"/>
        </w:rPr>
      </w:pPr>
      <w:r>
        <w:rPr>
          <w:rFonts w:ascii="Times New Roman" w:cs="Times New Roman" w:eastAsia="Times New Roman" w:hAnsi="Times New Roman"/>
          <w:sz w:val="10"/>
          <w:szCs w:val="10"/>
          <w:color w:val="auto"/>
        </w:rPr>
        <w:t>We may utilize these exemptions until such time as we are longer a foreign private issuer. We would cease to be a foreign private issuer at such time as more than 50% of our outstanding voting securities are directly or indirectly held of record by U.S. holders and any one of the following is true: (i) the majority of our executive officers or directors are U.S. citizens or residents; (ii) more than 50% of our assets are located in the United States; or (iii) our business is administered principally in the United States.</w:t>
      </w:r>
    </w:p>
    <w:p>
      <w:pPr>
        <w:spacing w:after="0" w:line="101" w:lineRule="exact"/>
        <w:rPr>
          <w:sz w:val="20"/>
          <w:szCs w:val="20"/>
          <w:color w:val="auto"/>
        </w:rPr>
      </w:pPr>
    </w:p>
    <w:p>
      <w:pPr>
        <w:ind w:right="240" w:firstLine="240"/>
        <w:spacing w:after="0" w:line="255" w:lineRule="auto"/>
        <w:rPr>
          <w:sz w:val="20"/>
          <w:szCs w:val="20"/>
          <w:color w:val="auto"/>
        </w:rPr>
      </w:pPr>
      <w:r>
        <w:rPr>
          <w:rFonts w:ascii="Times New Roman" w:cs="Times New Roman" w:eastAsia="Times New Roman" w:hAnsi="Times New Roman"/>
          <w:sz w:val="10"/>
          <w:szCs w:val="10"/>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256540</wp:posOffset>
            </wp:positionV>
            <wp:extent cx="6778625" cy="34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60" w:top="1153" w:right="660" w:bottom="1440" w:gutter="0" w:footer="0" w:header="0"/>
        </w:sectPr>
      </w:pPr>
    </w:p>
    <w:bookmarkStart w:id="13" w:name="page14"/>
    <w:bookmarkEnd w:id="13"/>
    <w:p>
      <w:pPr>
        <w:ind w:left="240"/>
        <w:spacing w:after="0"/>
        <w:rPr>
          <w:sz w:val="20"/>
          <w:szCs w:val="20"/>
          <w:color w:val="auto"/>
        </w:rPr>
      </w:pPr>
      <w:r>
        <w:rPr>
          <w:rFonts w:ascii="Times New Roman" w:cs="Times New Roman" w:eastAsia="Times New Roman" w:hAnsi="Times New Roman"/>
          <w:sz w:val="10"/>
          <w:szCs w:val="10"/>
          <w:b w:val="1"/>
          <w:bCs w:val="1"/>
          <w:color w:val="auto"/>
        </w:rPr>
        <w:t>Risk Factors</w:t>
      </w:r>
    </w:p>
    <w:p>
      <w:pPr>
        <w:spacing w:after="0" w:line="58" w:lineRule="exact"/>
        <w:rPr>
          <w:sz w:val="20"/>
          <w:szCs w:val="20"/>
          <w:color w:val="auto"/>
        </w:rPr>
      </w:pPr>
    </w:p>
    <w:p>
      <w:pPr>
        <w:ind w:right="300" w:firstLine="240"/>
        <w:spacing w:after="0" w:line="259" w:lineRule="auto"/>
        <w:rPr>
          <w:sz w:val="20"/>
          <w:szCs w:val="20"/>
          <w:color w:val="auto"/>
        </w:rPr>
      </w:pPr>
      <w:r>
        <w:rPr>
          <w:rFonts w:ascii="Times New Roman" w:cs="Times New Roman" w:eastAsia="Times New Roman" w:hAnsi="Times New Roman"/>
          <w:sz w:val="10"/>
          <w:szCs w:val="10"/>
          <w:color w:val="auto"/>
        </w:rPr>
        <w:t xml:space="preserve">You should consider carefully the risks and uncertainties described in this prospectus before investing in our securities. These risks are discussed more fully in the section titled </w:t>
      </w:r>
      <w:r>
        <w:rPr>
          <w:rFonts w:ascii="Times New Roman" w:cs="Times New Roman" w:eastAsia="Times New Roman" w:hAnsi="Times New Roman"/>
          <w:sz w:val="10"/>
          <w:szCs w:val="10"/>
          <w:i w:val="1"/>
          <w:iCs w:val="1"/>
          <w:color w:val="auto"/>
        </w:rPr>
        <w:t>“Risk Factors”</w:t>
      </w:r>
      <w:r>
        <w:rPr>
          <w:rFonts w:ascii="Times New Roman" w:cs="Times New Roman" w:eastAsia="Times New Roman" w:hAnsi="Times New Roman"/>
          <w:sz w:val="10"/>
          <w:szCs w:val="10"/>
          <w:color w:val="auto"/>
        </w:rPr>
        <w:t xml:space="preserve"> following this summary. If any of these risks actually occur, our business, financial condition or results of operations would likely be materially adversely affected. These risks include, but are not limited to, the following:</w:t>
      </w:r>
    </w:p>
    <w:p>
      <w:pPr>
        <w:spacing w:after="0" w:line="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Rezolve has generated limited revenues from existing Channels and there is no guarantee that it will be able to attract and retain new merchants and increase sales to new merchants.</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•Rezolve is an early-stage company with a history of financial losses and expects to incur significant expenses and continuing losses for the foreseeable future.</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•The impact of worldwide economic conditions, including the resulting effect on spending by SMBs and spending on technology, may adversely affect Rezolve’s business, operating results and financial condition.</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•Rezolve’s limited operating history in a new and developing market makes it difficult to evaluate its current business and future prospects and may increase the risk that it will not be successful.</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•Rezolve’s growth depends in part on the success of its strategic relationships with third parties.</w:t>
      </w:r>
    </w:p>
    <w:p>
      <w:pPr>
        <w:spacing w:after="0" w:line="58" w:lineRule="exact"/>
        <w:rPr>
          <w:sz w:val="20"/>
          <w:szCs w:val="20"/>
          <w:color w:val="auto"/>
        </w:rPr>
      </w:pPr>
    </w:p>
    <w:p>
      <w:pPr>
        <w:ind w:left="240" w:right="140"/>
        <w:spacing w:after="0" w:line="255" w:lineRule="auto"/>
        <w:rPr>
          <w:sz w:val="20"/>
          <w:szCs w:val="20"/>
          <w:color w:val="auto"/>
        </w:rPr>
      </w:pPr>
      <w:r>
        <w:rPr>
          <w:rFonts w:ascii="Times New Roman" w:cs="Times New Roman" w:eastAsia="Times New Roman" w:hAnsi="Times New Roman"/>
          <w:sz w:val="10"/>
          <w:szCs w:val="10"/>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•Rezolve’s business could be harmed if it fails to manage its growth effectively.</w:t>
      </w:r>
    </w:p>
    <w:p>
      <w:pPr>
        <w:spacing w:after="0" w:line="58" w:lineRule="exact"/>
        <w:rPr>
          <w:sz w:val="20"/>
          <w:szCs w:val="20"/>
          <w:color w:val="auto"/>
        </w:rPr>
      </w:pPr>
    </w:p>
    <w:p>
      <w:pPr>
        <w:ind w:left="240" w:right="120"/>
        <w:spacing w:after="0" w:line="255" w:lineRule="auto"/>
        <w:rPr>
          <w:sz w:val="20"/>
          <w:szCs w:val="20"/>
          <w:color w:val="auto"/>
        </w:rPr>
      </w:pPr>
      <w:r>
        <w:rPr>
          <w:rFonts w:ascii="Times New Roman" w:cs="Times New Roman" w:eastAsia="Times New Roman" w:hAnsi="Times New Roman"/>
          <w:sz w:val="10"/>
          <w:szCs w:val="10"/>
          <w:color w:val="auto"/>
        </w:rPr>
        <w:t>•Rezolve’s operating and financial results forecast relies in large part upon assumptions and analyses developed by Rezolve. If these assumptions or analyses prove to be incorrect, Rezolve’s actual operating results may be materially different from its forecasted results.</w:t>
      </w:r>
    </w:p>
    <w:p>
      <w:pPr>
        <w:spacing w:after="0" w:line="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•Rezolve does not have the history with its solutions or pricing models necessary to accurately predict optimal pricing necessary to attract new merchants and retain existing merchants.</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•As a result of Rezolve’s business model, it may not be able to accurately assess its financial position and results of operations.</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•Rezolve’s business is susceptible to risks associated with international sales and the use of its platform in various countries.</w:t>
      </w:r>
    </w:p>
    <w:p>
      <w:pPr>
        <w:spacing w:after="0" w:line="58" w:lineRule="exact"/>
        <w:rPr>
          <w:sz w:val="20"/>
          <w:szCs w:val="20"/>
          <w:color w:val="auto"/>
        </w:rPr>
      </w:pPr>
    </w:p>
    <w:p>
      <w:pPr>
        <w:ind w:left="240"/>
        <w:spacing w:after="0" w:line="255" w:lineRule="auto"/>
        <w:rPr>
          <w:sz w:val="20"/>
          <w:szCs w:val="20"/>
          <w:color w:val="auto"/>
        </w:rPr>
      </w:pPr>
      <w:r>
        <w:rPr>
          <w:rFonts w:ascii="Times New Roman" w:cs="Times New Roman" w:eastAsia="Times New Roman" w:hAnsi="Times New Roman"/>
          <w:sz w:val="10"/>
          <w:szCs w:val="10"/>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•Exchange rate fluctuations may negatively affect Rezolve’s results of operations.</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•Rezolve’s operating results are expected to be subject to seasonal fluctuations.</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•If Rezolve’s estimates or judgments relating to Rezolve’s critical accounting policies are ultimately incorrect, Rezolve’s results of operations could be adversely affected.</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•Rezolve may not be able to compete successfully against current and future competitors.</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•Payment transactions on Rezolve’s platform may be subject to regulatory requirements and other risks that could be costly and difficult to comply with or that could harm Rezolve’s business.</w:t>
      </w:r>
    </w:p>
    <w:p>
      <w:pPr>
        <w:spacing w:after="0" w:line="58" w:lineRule="exact"/>
        <w:rPr>
          <w:sz w:val="20"/>
          <w:szCs w:val="20"/>
          <w:color w:val="auto"/>
        </w:rPr>
      </w:pPr>
    </w:p>
    <w:p>
      <w:pPr>
        <w:ind w:left="240" w:right="160"/>
        <w:spacing w:after="0" w:line="255" w:lineRule="auto"/>
        <w:rPr>
          <w:sz w:val="20"/>
          <w:szCs w:val="20"/>
          <w:color w:val="auto"/>
        </w:rPr>
      </w:pPr>
      <w:r>
        <w:rPr>
          <w:rFonts w:ascii="Times New Roman" w:cs="Times New Roman" w:eastAsia="Times New Roman" w:hAnsi="Times New Roman"/>
          <w:sz w:val="10"/>
          <w:szCs w:val="10"/>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•Rezolve is a party to the Loan Note Instrument, which contains a number of covenants that may restrict our current and future operations and could adversely affect our ability to execute business needs.</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•Rezolve may need to raise additional funds to pursue its growth strategy or continue its operations, and Rezolve may be unable to raise capital when needed or on acceptable terms.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256540</wp:posOffset>
            </wp:positionV>
            <wp:extent cx="6778625" cy="34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40"/>
          </w:cols>
          <w:pgMar w:left="660" w:top="1213" w:right="70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0"/>
          <w:szCs w:val="10"/>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the availability of Rezolve’s platform does not meet its service-level commitments to customers, Rezolve’s current and future revenues may be negatively impacted.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will have broad discretion in the use of proceeds from this offering and may invest or spend the proceeds in ways with which you do not agree and in ways that may not yield a return.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does not intend to pay dividends for the foreseeable future.</w:t>
      </w:r>
    </w:p>
    <w:p>
      <w:pPr>
        <w:spacing w:after="0" w:line="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0"/>
          <w:szCs w:val="10"/>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 regional or global health pandemic, including the global COVID-19 pandemic, may adversely impact Rezolve’s business, results of operations and financial performance.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Rezolve is unable to hire, retain and motivate qualified personnel, its business will be adversely affected.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is dependent upon consumers’ and merchants’ willingness to use the internet and internet-enabled mobile devices for commerce.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Rezolve’s software contains serious errors or defects, Rezolve may lose revenues and market acceptance and may incur costs to defend or settle claims with its merchants.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 denial of service attack or security breach or incident could delay or interrupt service to Rezolve’s merchants and their customers, harm Rezolve’s reputation and subject Rezolve to significant liability.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uses a limited number of data centers to deliver its services. Any disruption of service at these facilities could harm Rezolve’s business.</w:t>
      </w:r>
    </w:p>
    <w:p>
      <w:pPr>
        <w:spacing w:after="0" w:line="58"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0"/>
          <w:szCs w:val="10"/>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relies on computer hardware, purchased or leased, and software licensed from and services rendered by third parties in order to provide its solutions and run its business.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Rezolve does not or cannot maintain the compatibility of its platform with third-party applications that its customers use in their businesses, Rezolve’s revenues will decline.</w:t>
      </w:r>
    </w:p>
    <w:p>
      <w:pPr>
        <w:spacing w:after="0" w:line="5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0"/>
          <w:szCs w:val="10"/>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•Rezolve’s brand is important to its success. If Rezolve fails to effectively maintain, promote and enhance Rezolve’s brand, Rezolve’s business and competitive advantage may be harmed.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•Activities of merchants or the content of their shops could damage Rezolve’s brand, subject Rezolve to liability and harm its business and financial results.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Rezolve fails to maintain a consistently high level of customer service, Rezolve’s brand, business and financial results may be harmed.</w:t>
      </w:r>
    </w:p>
    <w:p>
      <w:pPr>
        <w:spacing w:after="0" w:line="58" w:lineRule="exact"/>
        <w:rPr>
          <w:sz w:val="20"/>
          <w:szCs w:val="20"/>
          <w:color w:val="auto"/>
        </w:rPr>
      </w:pPr>
    </w:p>
    <w:p>
      <w:pPr>
        <w:ind w:right="460"/>
        <w:spacing w:after="0" w:line="255" w:lineRule="auto"/>
        <w:rPr>
          <w:sz w:val="20"/>
          <w:szCs w:val="20"/>
          <w:color w:val="auto"/>
        </w:rPr>
      </w:pPr>
      <w:r>
        <w:rPr>
          <w:rFonts w:ascii="Times New Roman" w:cs="Times New Roman" w:eastAsia="Times New Roman" w:hAnsi="Times New Roman"/>
          <w:sz w:val="10"/>
          <w:szCs w:val="10"/>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may be subject to claims by third parties of intellectual property infringement.</w:t>
      </w:r>
    </w:p>
    <w:p>
      <w:pPr>
        <w:spacing w:after="0" w:line="11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256540</wp:posOffset>
            </wp:positionV>
            <wp:extent cx="6778625"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340"/>
          </w:cols>
          <w:pgMar w:left="900" w:top="1095" w:right="66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0"/>
          <w:szCs w:val="10"/>
          <w:color w:val="auto"/>
        </w:rPr>
        <w:t>•Rezolve’s use of “open source” software could negatively affect its ability to sell its solutions and subject Rezolve to possible litigation.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•Changes in financial accounting standards or practices may cause adverse, unexpected financial reporting fluctuations and adversely affect Rezolve’s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•Changes in tax laws or tax rulings could materially affect Rezolve’s financial position, results of operations, and cash flows.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•Claims for indemnification by Rezolve’s directors and officers may reduce Rezolve’s available funds to satisfy successful third-party claims against Rezolve and may reduce the amount of money available to Rezolve.</w:t>
      </w:r>
    </w:p>
    <w:p>
      <w:pPr>
        <w:spacing w:after="0" w:line="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0"/>
          <w:szCs w:val="10"/>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•Enhanced trade tariffs, import restrictions, export restrictions, United States regulations or other trade barriers may materially harm Rezolve’s business.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•From time to time, Rezolve may be involved in legal proceedings and commercial or contractual disputes, which could have an adverse impact on Rezolve’s profitability and consolidated financial position.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•Certain provisions of the Articles and English law could deter takeover attempts.</w:t>
      </w:r>
    </w:p>
    <w:p>
      <w:pPr>
        <w:spacing w:after="0" w:line="1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256540</wp:posOffset>
            </wp:positionV>
            <wp:extent cx="6778625" cy="34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140"/>
          </w:cols>
          <w:pgMar w:left="900" w:top="1095" w:right="86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0"/>
          <w:szCs w:val="10"/>
          <w:b w:val="1"/>
          <w:bCs w:val="1"/>
          <w:color w:val="auto"/>
        </w:rPr>
        <w:t>THE OFFERING</w:t>
      </w:r>
    </w:p>
    <w:p>
      <w:pPr>
        <w:spacing w:after="0" w:line="120" w:lineRule="exact"/>
        <w:rPr>
          <w:sz w:val="20"/>
          <w:szCs w:val="20"/>
          <w:color w:val="auto"/>
        </w:rPr>
      </w:pPr>
    </w:p>
    <w:p>
      <w:pPr>
        <w:ind w:left="20" w:right="460" w:firstLine="360"/>
        <w:spacing w:after="0" w:line="255" w:lineRule="auto"/>
        <w:rPr>
          <w:sz w:val="20"/>
          <w:szCs w:val="20"/>
          <w:color w:val="auto"/>
        </w:rPr>
      </w:pPr>
      <w:r>
        <w:rPr>
          <w:rFonts w:ascii="Times New Roman" w:cs="Times New Roman" w:eastAsia="Times New Roman" w:hAnsi="Times New Roman"/>
          <w:sz w:val="10"/>
          <w:szCs w:val="10"/>
          <w:color w:val="auto"/>
        </w:rPr>
        <w:t xml:space="preserve">We are registering the resale by the Selling Holders or their permitted transferees of up to 58,444,822 Ordinary Shares. Any investment in the securities offered hereby is speculative and involves a high degree of risk. You should carefully consider the information set forth under </w:t>
      </w:r>
      <w:r>
        <w:rPr>
          <w:rFonts w:ascii="Times New Roman" w:cs="Times New Roman" w:eastAsia="Times New Roman" w:hAnsi="Times New Roman"/>
          <w:sz w:val="10"/>
          <w:szCs w:val="10"/>
          <w:i w:val="1"/>
          <w:iCs w:val="1"/>
          <w:color w:val="auto"/>
        </w:rPr>
        <w:t>“Risk Factors”</w:t>
      </w:r>
      <w:r>
        <w:rPr>
          <w:rFonts w:ascii="Times New Roman" w:cs="Times New Roman" w:eastAsia="Times New Roman" w:hAnsi="Times New Roman"/>
          <w:sz w:val="10"/>
          <w:szCs w:val="10"/>
          <w:color w:val="auto"/>
        </w:rPr>
        <w:t xml:space="preserve"> on page 12 of this prospectus.</w:t>
      </w:r>
    </w:p>
    <w:p>
      <w:pPr>
        <w:spacing w:after="0" w:line="1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0"/>
          <w:szCs w:val="10"/>
          <w:color w:val="auto"/>
        </w:rPr>
        <w:t>The following information is as of January 10, 2025 and does not give effect to issuances of Ordinary Shares or Warrants after such date, or the exercise of Warrants after such date.</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100" w:type="dxa"/>
            <w:vAlign w:val="bottom"/>
          </w:tcPr>
          <w:p>
            <w:pPr>
              <w:ind w:left="1820"/>
              <w:spacing w:after="0"/>
              <w:rPr>
                <w:sz w:val="20"/>
                <w:szCs w:val="20"/>
                <w:color w:val="auto"/>
              </w:rPr>
            </w:pPr>
            <w:r>
              <w:rPr>
                <w:rFonts w:ascii="Times New Roman" w:cs="Times New Roman" w:eastAsia="Times New Roman" w:hAnsi="Times New Roman"/>
                <w:sz w:val="10"/>
                <w:szCs w:val="10"/>
                <w:b w:val="1"/>
                <w:bCs w:val="1"/>
                <w:color w:val="auto"/>
              </w:rPr>
              <w:t>Resale of Ordinary Shares</w:t>
            </w:r>
          </w:p>
        </w:tc>
        <w:tc>
          <w:tcPr>
            <w:tcW w:w="6520" w:type="dxa"/>
            <w:vAlign w:val="bottom"/>
          </w:tcPr>
          <w:p>
            <w:pPr>
              <w:spacing w:after="0"/>
              <w:rPr>
                <w:sz w:val="11"/>
                <w:szCs w:val="11"/>
                <w:color w:val="auto"/>
              </w:rPr>
            </w:pPr>
          </w:p>
        </w:tc>
      </w:tr>
      <w:tr>
        <w:trPr>
          <w:trHeight w:val="213"/>
        </w:trPr>
        <w:tc>
          <w:tcPr>
            <w:tcW w:w="4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Ordinary Shares offered by the Selling Holders</w:t>
            </w:r>
          </w:p>
        </w:tc>
        <w:tc>
          <w:tcPr>
            <w:tcW w:w="6520" w:type="dxa"/>
            <w:vAlign w:val="bottom"/>
          </w:tcPr>
          <w:p>
            <w:pPr>
              <w:ind w:left="1300"/>
              <w:spacing w:after="0"/>
              <w:rPr>
                <w:sz w:val="20"/>
                <w:szCs w:val="20"/>
                <w:color w:val="auto"/>
              </w:rPr>
            </w:pPr>
            <w:r>
              <w:rPr>
                <w:rFonts w:ascii="Times New Roman" w:cs="Times New Roman" w:eastAsia="Times New Roman" w:hAnsi="Times New Roman"/>
                <w:sz w:val="10"/>
                <w:szCs w:val="10"/>
                <w:color w:val="auto"/>
                <w:w w:val="98"/>
              </w:rPr>
              <w:t>58,444,822 Ordinary Shares, consisting of (i) up to 8,070,845 Ordinary Shares issued upon exercise of certain Convertible Notes by</w:t>
            </w:r>
          </w:p>
        </w:tc>
      </w:tr>
      <w:tr>
        <w:trPr>
          <w:trHeight w:val="113"/>
        </w:trPr>
        <w:tc>
          <w:tcPr>
            <w:tcW w:w="4100" w:type="dxa"/>
            <w:vAlign w:val="bottom"/>
          </w:tcPr>
          <w:p>
            <w:pPr>
              <w:spacing w:after="0"/>
              <w:rPr>
                <w:sz w:val="9"/>
                <w:szCs w:val="9"/>
                <w:color w:val="auto"/>
              </w:rPr>
            </w:pPr>
          </w:p>
        </w:tc>
        <w:tc>
          <w:tcPr>
            <w:tcW w:w="6520" w:type="dxa"/>
            <w:vAlign w:val="bottom"/>
          </w:tcPr>
          <w:p>
            <w:pPr>
              <w:ind w:left="1300"/>
              <w:spacing w:after="0" w:line="113" w:lineRule="exact"/>
              <w:rPr>
                <w:sz w:val="20"/>
                <w:szCs w:val="20"/>
                <w:color w:val="auto"/>
              </w:rPr>
            </w:pPr>
            <w:r>
              <w:rPr>
                <w:rFonts w:ascii="Times New Roman" w:cs="Times New Roman" w:eastAsia="Times New Roman" w:hAnsi="Times New Roman"/>
                <w:sz w:val="10"/>
                <w:szCs w:val="10"/>
                <w:color w:val="auto"/>
              </w:rPr>
              <w:t>certain Selling Holders; (ii) up to 425,171 Ordinary Shares issuable upon conversion of certain Promissory Notes (iii) up to</w:t>
            </w:r>
          </w:p>
        </w:tc>
      </w:tr>
      <w:tr>
        <w:trPr>
          <w:trHeight w:val="113"/>
        </w:trPr>
        <w:tc>
          <w:tcPr>
            <w:tcW w:w="4100" w:type="dxa"/>
            <w:vAlign w:val="bottom"/>
          </w:tcPr>
          <w:p>
            <w:pPr>
              <w:spacing w:after="0"/>
              <w:rPr>
                <w:sz w:val="9"/>
                <w:szCs w:val="9"/>
                <w:color w:val="auto"/>
              </w:rPr>
            </w:pPr>
          </w:p>
        </w:tc>
        <w:tc>
          <w:tcPr>
            <w:tcW w:w="6520" w:type="dxa"/>
            <w:vAlign w:val="bottom"/>
          </w:tcPr>
          <w:p>
            <w:pPr>
              <w:ind w:left="1300"/>
              <w:spacing w:after="0" w:line="113" w:lineRule="exact"/>
              <w:rPr>
                <w:sz w:val="20"/>
                <w:szCs w:val="20"/>
                <w:color w:val="auto"/>
              </w:rPr>
            </w:pPr>
            <w:r>
              <w:rPr>
                <w:rFonts w:ascii="Times New Roman" w:cs="Times New Roman" w:eastAsia="Times New Roman" w:hAnsi="Times New Roman"/>
                <w:sz w:val="10"/>
                <w:szCs w:val="10"/>
                <w:color w:val="auto"/>
                <w:w w:val="98"/>
              </w:rPr>
              <w:t>1,413,946 Ordinary Shares issued upon conversion of the YA Notes; and (iv) up to 48,534,860 Ordinary Shares issuable pursuant to</w:t>
            </w:r>
          </w:p>
        </w:tc>
      </w:tr>
      <w:tr>
        <w:trPr>
          <w:trHeight w:val="125"/>
        </w:trPr>
        <w:tc>
          <w:tcPr>
            <w:tcW w:w="4100" w:type="dxa"/>
            <w:vAlign w:val="bottom"/>
          </w:tcPr>
          <w:p>
            <w:pPr>
              <w:spacing w:after="0"/>
              <w:rPr>
                <w:sz w:val="10"/>
                <w:szCs w:val="10"/>
                <w:color w:val="auto"/>
              </w:rPr>
            </w:pPr>
          </w:p>
        </w:tc>
        <w:tc>
          <w:tcPr>
            <w:tcW w:w="652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the Second A&amp;R YA Agreement.</w:t>
            </w:r>
          </w:p>
        </w:tc>
      </w:tr>
      <w:tr>
        <w:trPr>
          <w:trHeight w:val="173"/>
        </w:trPr>
        <w:tc>
          <w:tcPr>
            <w:tcW w:w="4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Use of proceeds</w:t>
            </w:r>
          </w:p>
        </w:tc>
        <w:tc>
          <w:tcPr>
            <w:tcW w:w="652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We will not receive any proceeds from the sale of the Ordinary Shares to be offered by the Selling Holders.</w:t>
            </w:r>
          </w:p>
        </w:tc>
      </w:tr>
      <w:tr>
        <w:trPr>
          <w:trHeight w:val="160"/>
        </w:trPr>
        <w:tc>
          <w:tcPr>
            <w:tcW w:w="4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Lock-up agreements</w:t>
            </w:r>
          </w:p>
        </w:tc>
        <w:tc>
          <w:tcPr>
            <w:tcW w:w="652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Certain securities that are owned by the Selling Holders are subject to the lock-up provisions pursuant to the Investor Rights</w:t>
            </w:r>
          </w:p>
        </w:tc>
      </w:tr>
      <w:tr>
        <w:trPr>
          <w:trHeight w:val="113"/>
        </w:trPr>
        <w:tc>
          <w:tcPr>
            <w:tcW w:w="4100" w:type="dxa"/>
            <w:vAlign w:val="bottom"/>
          </w:tcPr>
          <w:p>
            <w:pPr>
              <w:spacing w:after="0"/>
              <w:rPr>
                <w:sz w:val="9"/>
                <w:szCs w:val="9"/>
                <w:color w:val="auto"/>
              </w:rPr>
            </w:pPr>
          </w:p>
        </w:tc>
        <w:tc>
          <w:tcPr>
            <w:tcW w:w="6520" w:type="dxa"/>
            <w:vAlign w:val="bottom"/>
          </w:tcPr>
          <w:p>
            <w:pPr>
              <w:ind w:left="1300"/>
              <w:spacing w:after="0" w:line="113" w:lineRule="exact"/>
              <w:rPr>
                <w:sz w:val="20"/>
                <w:szCs w:val="20"/>
                <w:color w:val="auto"/>
              </w:rPr>
            </w:pPr>
            <w:r>
              <w:rPr>
                <w:rFonts w:ascii="Times New Roman" w:cs="Times New Roman" w:eastAsia="Times New Roman" w:hAnsi="Times New Roman"/>
                <w:sz w:val="10"/>
                <w:szCs w:val="10"/>
                <w:color w:val="auto"/>
              </w:rPr>
              <w:t>Agreement, which provide for certain restrictions on transfer until the termination of applicable lock-up periods. See the Investor</w:t>
            </w:r>
          </w:p>
        </w:tc>
      </w:tr>
      <w:tr>
        <w:trPr>
          <w:trHeight w:val="125"/>
        </w:trPr>
        <w:tc>
          <w:tcPr>
            <w:tcW w:w="4100" w:type="dxa"/>
            <w:vAlign w:val="bottom"/>
          </w:tcPr>
          <w:p>
            <w:pPr>
              <w:spacing w:after="0"/>
              <w:rPr>
                <w:sz w:val="10"/>
                <w:szCs w:val="10"/>
                <w:color w:val="auto"/>
              </w:rPr>
            </w:pPr>
          </w:p>
        </w:tc>
        <w:tc>
          <w:tcPr>
            <w:tcW w:w="652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Rights Agreement, which is filed as an exhibit to the registration statement of which this prospectus forms a part.</w:t>
            </w:r>
          </w:p>
        </w:tc>
      </w:tr>
      <w:tr>
        <w:trPr>
          <w:trHeight w:val="160"/>
        </w:trPr>
        <w:tc>
          <w:tcPr>
            <w:tcW w:w="4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Risk factors</w:t>
            </w:r>
          </w:p>
        </w:tc>
        <w:tc>
          <w:tcPr>
            <w:tcW w:w="6520" w:type="dxa"/>
            <w:vAlign w:val="bottom"/>
          </w:tcPr>
          <w:p>
            <w:pPr>
              <w:ind w:left="1300"/>
              <w:spacing w:after="0"/>
              <w:rPr>
                <w:sz w:val="20"/>
                <w:szCs w:val="20"/>
                <w:color w:val="auto"/>
              </w:rPr>
            </w:pPr>
            <w:r>
              <w:rPr>
                <w:rFonts w:ascii="Times New Roman" w:cs="Times New Roman" w:eastAsia="Times New Roman" w:hAnsi="Times New Roman"/>
                <w:sz w:val="10"/>
                <w:szCs w:val="10"/>
                <w:color w:val="auto"/>
                <w:w w:val="98"/>
              </w:rPr>
              <w:t xml:space="preserve">See the section titled </w:t>
            </w:r>
            <w:r>
              <w:rPr>
                <w:rFonts w:ascii="Times New Roman" w:cs="Times New Roman" w:eastAsia="Times New Roman" w:hAnsi="Times New Roman"/>
                <w:sz w:val="10"/>
                <w:szCs w:val="10"/>
                <w:i w:val="1"/>
                <w:iCs w:val="1"/>
                <w:color w:val="auto"/>
                <w:w w:val="98"/>
              </w:rPr>
              <w:t>“Risk Factors”</w:t>
            </w:r>
            <w:r>
              <w:rPr>
                <w:rFonts w:ascii="Times New Roman" w:cs="Times New Roman" w:eastAsia="Times New Roman" w:hAnsi="Times New Roman"/>
                <w:sz w:val="10"/>
                <w:szCs w:val="10"/>
                <w:color w:val="auto"/>
                <w:w w:val="98"/>
              </w:rPr>
              <w:t xml:space="preserve"> beginning on page 12 of this prospectus and other information included in this prospectus for a</w:t>
            </w:r>
          </w:p>
        </w:tc>
      </w:tr>
      <w:tr>
        <w:trPr>
          <w:trHeight w:val="125"/>
        </w:trPr>
        <w:tc>
          <w:tcPr>
            <w:tcW w:w="4100" w:type="dxa"/>
            <w:vAlign w:val="bottom"/>
          </w:tcPr>
          <w:p>
            <w:pPr>
              <w:spacing w:after="0"/>
              <w:rPr>
                <w:sz w:val="10"/>
                <w:szCs w:val="10"/>
                <w:color w:val="auto"/>
              </w:rPr>
            </w:pPr>
          </w:p>
        </w:tc>
        <w:tc>
          <w:tcPr>
            <w:tcW w:w="652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discussion of factors that you should consider carefully before deciding to invest in Ordinary Shares and Warrants.</w:t>
            </w:r>
          </w:p>
        </w:tc>
      </w:tr>
      <w:tr>
        <w:trPr>
          <w:trHeight w:val="173"/>
        </w:trPr>
        <w:tc>
          <w:tcPr>
            <w:tcW w:w="4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Nasdaq symbol for Ordinary Shares</w:t>
            </w:r>
          </w:p>
        </w:tc>
        <w:tc>
          <w:tcPr>
            <w:tcW w:w="652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“RZLV.”</w:t>
            </w:r>
          </w:p>
        </w:tc>
      </w:tr>
      <w:tr>
        <w:trPr>
          <w:trHeight w:val="173"/>
        </w:trPr>
        <w:tc>
          <w:tcPr>
            <w:tcW w:w="4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Nasdaq symbol for our warrants</w:t>
            </w:r>
          </w:p>
        </w:tc>
        <w:tc>
          <w:tcPr>
            <w:tcW w:w="652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“RZLVW.”</w:t>
            </w:r>
          </w:p>
        </w:tc>
      </w:tr>
      <w:tr>
        <w:trPr>
          <w:trHeight w:val="345"/>
        </w:trPr>
        <w:tc>
          <w:tcPr>
            <w:tcW w:w="4100" w:type="dxa"/>
            <w:vAlign w:val="bottom"/>
          </w:tcPr>
          <w:p>
            <w:pPr>
              <w:spacing w:after="0"/>
              <w:rPr>
                <w:sz w:val="24"/>
                <w:szCs w:val="24"/>
                <w:color w:val="auto"/>
              </w:rPr>
            </w:pPr>
          </w:p>
        </w:tc>
        <w:tc>
          <w:tcPr>
            <w:tcW w:w="6520" w:type="dxa"/>
            <w:vAlign w:val="bottom"/>
          </w:tcPr>
          <w:p>
            <w:pPr>
              <w:ind w:left="1180"/>
              <w:spacing w:after="0"/>
              <w:rPr>
                <w:sz w:val="20"/>
                <w:szCs w:val="20"/>
                <w:color w:val="auto"/>
              </w:rPr>
            </w:pPr>
            <w:r>
              <w:rPr>
                <w:rFonts w:ascii="Times New Roman" w:cs="Times New Roman" w:eastAsia="Times New Roman" w:hAnsi="Times New Roman"/>
                <w:sz w:val="10"/>
                <w:szCs w:val="10"/>
                <w:color w:val="auto"/>
              </w:rPr>
              <w:t>8</w:t>
            </w:r>
          </w:p>
        </w:tc>
      </w:tr>
      <w:tr>
        <w:trPr>
          <w:trHeight w:val="422"/>
        </w:trPr>
        <w:tc>
          <w:tcPr>
            <w:tcW w:w="4100" w:type="dxa"/>
            <w:vAlign w:val="bottom"/>
            <w:tcBorders>
              <w:bottom w:val="single" w:sz="8" w:color="EEEEEE"/>
            </w:tcBorders>
          </w:tcPr>
          <w:p>
            <w:pPr>
              <w:spacing w:after="0"/>
              <w:rPr>
                <w:sz w:val="24"/>
                <w:szCs w:val="24"/>
                <w:color w:val="auto"/>
              </w:rPr>
            </w:pPr>
          </w:p>
        </w:tc>
        <w:tc>
          <w:tcPr>
            <w:tcW w:w="65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0"/>
          <w:szCs w:val="10"/>
          <w:b w:val="1"/>
          <w:bCs w:val="1"/>
          <w:color w:val="auto"/>
        </w:rPr>
        <w:t>RISK FACTORS</w:t>
      </w:r>
    </w:p>
    <w:p>
      <w:pPr>
        <w:spacing w:after="0" w:line="95"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10"/>
          <w:szCs w:val="10"/>
          <w:i w:val="1"/>
          <w:iCs w:val="1"/>
          <w:color w:val="auto"/>
        </w:rPr>
        <w:t>An investment in the Ordinary Shares and Warrants involves a high degree of risk. You should consider carefully the following risks, together with the financial and other information contained in this prospectus, including “Management’s Discussion and Analysis of Financial Condition and Results of Operations,” before you decide to purchase Ordinary Shares or Warrants. If any of the following risks actually occur, our business, financial condition and operating results could be materially and adversely affected. In that case, the market price of the Ordinary Shares and Warrants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and operating results. See “Cautionary Note Regarding Forward-Looking Statements.”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Related to Our Business and Industry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has generated limited revenues from existing channels and there is no guarantee that it will be able to attract and retain new merchants and increase sales to new merchants.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Rezolve expects to generate revenues principally through subscription fees and one-time transaction fees. Rezolve expects to be dependent on agreements with certain business partners to service merchants and remit subscription fees to Rezolve, including ACI in North America and Europe, CompuTop in Germany, MobiKwik in India and Grupo Carso in Latin America. While we expect to generate revenues from these partners, these partnerships are currently pre-revenue. There is no guarantee that Rezolve will be able to renew existing agreements on similar terms or at all when they expire or that they will not be terminated at an earlier time. As a result, there can be no assurance that Rezolve will be able to retain these partnerships. Rezolve’s costs associated with subscription renewals are substantially lower than costs associated with generating revenues from new merchant relationships associated with new partners or costs associated with generating sales of additional solutions to merchants associated with existing partners. Therefore, if Rezolve is unable to retain partners, even if such losses are offset by an increase in new merchants associated with new partners or an increase in other revenues, Rezolve’s operating results could be adversely impacted.</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may also fail to attract new partners and retain existing partners as a result of a number of other factors, including</w:t>
      </w:r>
    </w:p>
    <w:p>
      <w:pPr>
        <w:spacing w:after="0" w:line="58" w:lineRule="exact"/>
        <w:rPr>
          <w:sz w:val="20"/>
          <w:szCs w:val="20"/>
          <w:color w:val="auto"/>
        </w:rPr>
      </w:pPr>
    </w:p>
    <w:p>
      <w:pPr>
        <w:ind w:left="480" w:right="620"/>
        <w:spacing w:after="0" w:line="360" w:lineRule="auto"/>
        <w:rPr>
          <w:sz w:val="20"/>
          <w:szCs w:val="20"/>
          <w:color w:val="auto"/>
        </w:rPr>
      </w:pPr>
      <w:r>
        <w:rPr>
          <w:rFonts w:ascii="Times New Roman" w:cs="Times New Roman" w:eastAsia="Times New Roman" w:hAnsi="Times New Roman"/>
          <w:sz w:val="10"/>
          <w:szCs w:val="10"/>
          <w:color w:val="auto"/>
        </w:rPr>
        <w:t>•competitive factors affecting the software as a service, or SaaS, business software applications market, including the introduction of competing platforms, discount pricing and other strategies that may be implemented by Rezolve’s competitors; •Rezolve’s ability to execute on Rezolve’s growth strategy and operating plans;</w:t>
      </w:r>
    </w:p>
    <w:p>
      <w:pPr>
        <w:ind w:left="480"/>
        <w:spacing w:after="0"/>
        <w:rPr>
          <w:sz w:val="20"/>
          <w:szCs w:val="20"/>
          <w:color w:val="auto"/>
        </w:rPr>
      </w:pPr>
      <w:r>
        <w:rPr>
          <w:rFonts w:ascii="Times New Roman" w:cs="Times New Roman" w:eastAsia="Times New Roman" w:hAnsi="Times New Roman"/>
          <w:sz w:val="10"/>
          <w:szCs w:val="10"/>
          <w:color w:val="auto"/>
        </w:rPr>
        <w:t>•a decline in Rezolve’s partners’ level of satisfaction with Rezolve’s platform and usage of Rezolve’s platform;</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•changes in Rezolve’s relationships with third parties, including Rezolve’s partners, app developers, theme designers, referral sources and payment processors;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timeliness and success of Rezolve’s solutions;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frequency and severity of any system outages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•technological change; and</w:t>
      </w:r>
    </w:p>
    <w:p>
      <w:pPr>
        <w:spacing w:after="0" w:line="58" w:lineRule="exact"/>
        <w:rPr>
          <w:sz w:val="20"/>
          <w:szCs w:val="20"/>
          <w:color w:val="auto"/>
        </w:rPr>
      </w:pPr>
    </w:p>
    <w:p>
      <w:pPr>
        <w:ind w:left="480"/>
        <w:spacing w:after="0" w:line="255" w:lineRule="auto"/>
        <w:rPr>
          <w:sz w:val="20"/>
          <w:szCs w:val="20"/>
          <w:color w:val="auto"/>
        </w:rPr>
      </w:pPr>
      <w:r>
        <w:rPr>
          <w:rFonts w:ascii="Times New Roman" w:cs="Times New Roman" w:eastAsia="Times New Roman" w:hAnsi="Times New Roman"/>
          <w:sz w:val="10"/>
          <w:szCs w:val="10"/>
          <w:color w:val="auto"/>
        </w:rPr>
        <w:t>•Rezolve’s focus on long-term value over short-term results, meaning that Rezolve may make strategic decisions that may not maximize Rezolve’s short-term revenues or profitability if Rezolve believes that the decisions are consistent with its mission and will improve its long-term financial performance.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is an early-stage company with a history of financial losses and expects to incur significant expenses and continuing losses for the foreseeable future.</w:t>
      </w:r>
    </w:p>
    <w:p>
      <w:pPr>
        <w:spacing w:after="0" w:line="60" w:lineRule="exact"/>
        <w:rPr>
          <w:sz w:val="20"/>
          <w:szCs w:val="20"/>
          <w:color w:val="auto"/>
        </w:rPr>
      </w:pPr>
    </w:p>
    <w:p>
      <w:pPr>
        <w:ind w:right="60" w:firstLine="480"/>
        <w:spacing w:after="0" w:line="273" w:lineRule="auto"/>
        <w:rPr>
          <w:sz w:val="20"/>
          <w:szCs w:val="20"/>
          <w:color w:val="auto"/>
        </w:rPr>
      </w:pPr>
      <w:r>
        <w:rPr>
          <w:rFonts w:ascii="Times New Roman" w:cs="Times New Roman" w:eastAsia="Times New Roman" w:hAnsi="Times New Roman"/>
          <w:sz w:val="9"/>
          <w:szCs w:val="9"/>
          <w:color w:val="auto"/>
        </w:rPr>
        <w:t>Rezolve incurred a net loss of, respectively, $110.7 million in the year ended December 31, 2022 and $30.7 million in the year ended December 31, 2023. At December 31, 2023, Rezolve had a total shareholders’ deficit of $54.3 million. These losses and accumulated deficit are a result of the substantial investments Rezolve made to grow its business, and Rezolve expects to make significant expenditures to expand its business in the future. Rezolve expects to increase its investment in sales and marketing as it continues to spend on marketing activities and expand its partner referral programs. Rezolve also plans to increase its investment in research and development as it continues to introduce new offerings and services to extend the functionality of its platform. Rezolve intends to invest in its merchant service and support operations, which it considers critical for its continued success. To support the continued growth of its business and to comply with continuously changing security and operational requirements, Rezolve plans to continue investing in its technical infrastructure, marketing and payroll systems. Rezolve expects that these increased expenditures will make it harder for Rezolve to achieve profitability, and Rezolve cannot predict if it will achieve profitability in the near-term or at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8" w:name="page19"/>
    <w:bookmarkEnd w:id="18"/>
    <w:p>
      <w:pPr>
        <w:ind w:right="20"/>
        <w:spacing w:after="0" w:line="245" w:lineRule="auto"/>
        <w:rPr>
          <w:sz w:val="20"/>
          <w:szCs w:val="20"/>
          <w:color w:val="auto"/>
        </w:rPr>
      </w:pPr>
      <w:r>
        <w:rPr>
          <w:rFonts w:ascii="Times New Roman" w:cs="Times New Roman" w:eastAsia="Times New Roman" w:hAnsi="Times New Roman"/>
          <w:sz w:val="10"/>
          <w:szCs w:val="10"/>
          <w:color w:val="auto"/>
        </w:rPr>
        <w:t>all. Historically, Rezolve’s costs have increased each year due to these factors and Rezolve expects to continue to incur increasing costs to support its anticipated future growth. Rezolve also expects to incur additional general and administrative expenses as a result of both its growth and the increased costs associated with being a public company. Rezolve’s expenses may be greater than it anticipates, and Rezolve’s investments to improve the efficiency of its business, technical infrastructure, marketing and payroll systems may not be successful. Increases in costs may adversely affect Rezolve’s business and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The impact of worldwide economic conditions, including the resulting effect on spending by SMBs and spending on technology, may adversely affect Rezolve’s business, operating results and financial condition.</w:t>
      </w:r>
    </w:p>
    <w:p>
      <w:pPr>
        <w:spacing w:after="0" w:line="60" w:lineRule="exact"/>
        <w:rPr>
          <w:sz w:val="20"/>
          <w:szCs w:val="20"/>
          <w:color w:val="auto"/>
        </w:rPr>
      </w:pPr>
    </w:p>
    <w:p>
      <w:pPr>
        <w:ind w:right="20" w:firstLine="480"/>
        <w:spacing w:after="0" w:line="270" w:lineRule="auto"/>
        <w:rPr>
          <w:sz w:val="20"/>
          <w:szCs w:val="20"/>
          <w:color w:val="auto"/>
        </w:rPr>
      </w:pPr>
      <w:r>
        <w:rPr>
          <w:rFonts w:ascii="Times New Roman" w:cs="Times New Roman" w:eastAsia="Times New Roman" w:hAnsi="Times New Roman"/>
          <w:sz w:val="9"/>
          <w:szCs w:val="9"/>
          <w:color w:val="auto"/>
        </w:rPr>
        <w:t>Rezolve’s performance is subject to worldwide economic conditions and overall demand for technology and the impact of these factors on the economic performance of Rezolve’s current and prospective Channels and the levels of spending of their customers. In general, worldwide economic conditions may remain unstable, including inflation, and these conditions would make it difficult for Rezolve’s Channels, prospective Channels and merchants and Rezolve to forecast and plan future business activities accurately, and they could cause Rezolve’s Channels or prospective Channels and merchants to reevaluate their decision to purchase Rezolve’s solutions. Weak global economic conditions, changes in consumer behavior or a reduction in technology spending even if economic conditions stabilize, could adversely impact Rezolve’s business and results of operations in a number of ways, including longer sales cycles, lower demand or prices for Rezolve’s platform, fewer subscriptions and lower or no growth. For example, recent increased inflation, the residual effects of the collapse of Silicon Valley Bank and other financial institutions in March and April 2023, and resultant instability in global financial markets, may cause Rezolve’s customers to reduce spending, including on Rezolve’s services. Merchants and Channels may be disproportionately affected by economic downturns. Merchants and Channels frequently have limited budgets and may choose to allocate their spending to items other than Rezolve’s platform, especially in times of economic uncertainty or recessions.</w:t>
      </w:r>
    </w:p>
    <w:p>
      <w:pPr>
        <w:spacing w:after="0" w:line="96" w:lineRule="exact"/>
        <w:rPr>
          <w:sz w:val="20"/>
          <w:szCs w:val="20"/>
          <w:color w:val="auto"/>
        </w:rPr>
      </w:pPr>
    </w:p>
    <w:p>
      <w:pPr>
        <w:jc w:val="both"/>
        <w:ind w:right="100" w:firstLine="480"/>
        <w:spacing w:after="0" w:line="245" w:lineRule="auto"/>
        <w:rPr>
          <w:sz w:val="20"/>
          <w:szCs w:val="20"/>
          <w:color w:val="auto"/>
        </w:rPr>
      </w:pPr>
      <w:r>
        <w:rPr>
          <w:rFonts w:ascii="Times New Roman" w:cs="Times New Roman" w:eastAsia="Times New Roman" w:hAnsi="Times New Roman"/>
          <w:sz w:val="10"/>
          <w:szCs w:val="10"/>
          <w:color w:val="auto"/>
        </w:rPr>
        <w:t>Prolonged economic uncertainties or downturns could adversely affect Rezolve’s business, financial condition, and results of operations. Negative conditions in the global economy, including conditions resulting from financial and credit market fluctuations, heightened interest rates, changes in economic policy, trade uncertainty, including changes in tariffs, sanctions, international treaties and other trade restrictions, the occurrence of a natural disaster or global public health crisis, such as the COVID-19 pandemic, or armed conflicts, such as the conflict in Ukraine, and resulting sanctions imposed by countries, and retaliatory actions taken by Russia in response to such sanctions, could negatively affect the growth of Rezolve’s business.</w:t>
      </w:r>
    </w:p>
    <w:p>
      <w:pPr>
        <w:spacing w:after="0" w:line="105"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Economic downturns may also adversely impact retail sales, which could result in merchants who use Rezolve’s platform going out of business or deciding to stop using Rezolve’s services in order to conserve cash. Weakening economic conditions may also adversely affect third-parties with whom Rezolve has entered into relationships and upon which Rezolve depends in order to grow its business. Uncertain and adverse economic conditions may also lead to increased refunds and chargebacks or reduced transaction fees, any of which could adversely affect Rezolve’s business.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limited operating history in a new and developing market makes it difficult to evaluate its current business and future prospects and may increase the risk that it will not be successful.</w:t>
      </w:r>
    </w:p>
    <w:p>
      <w:pPr>
        <w:spacing w:after="0" w:line="60"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Rezolve is constantly evolving with new offerings and services such as Instant Checkout. This evolving platform makes it difficult to accurately assess Rezolve’s future prospects. Rezolve also operates in developing markets that may not develop as it expects. You should consider Rezolve’s future prospects in light of the challenges and uncertainties that it faces, including the fact that it may not be possible to discern fully the trends that Rezolve is subject to, that Rezolve operates in developing markets, and that elements of its business strategy are new and subject to ongoing development. Rezolve has encountered and will continue to encounter risks and difficulties frequently experienced by growing companies in rapidly changing industries, including, among other factors, increasing and unforeseen expenses as Rezolve continues to grow its business, undercapitalization, cash shortages, limitations with respect to personnel, financial and other resources and lack of revenues. If Rezolve does not manage these risks successfully, its business, results of operations and prospects will be harmed.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growth depends in part on the success of its strategic relationships with third parties.</w:t>
      </w:r>
    </w:p>
    <w:p>
      <w:pPr>
        <w:spacing w:after="0" w:line="60" w:lineRule="exact"/>
        <w:rPr>
          <w:sz w:val="20"/>
          <w:szCs w:val="20"/>
          <w:color w:val="auto"/>
        </w:rPr>
      </w:pPr>
    </w:p>
    <w:p>
      <w:pPr>
        <w:ind w:right="20" w:firstLine="480"/>
        <w:spacing w:after="0" w:line="277" w:lineRule="auto"/>
        <w:rPr>
          <w:sz w:val="20"/>
          <w:szCs w:val="20"/>
          <w:color w:val="auto"/>
        </w:rPr>
      </w:pPr>
      <w:r>
        <w:rPr>
          <w:rFonts w:ascii="Times New Roman" w:cs="Times New Roman" w:eastAsia="Times New Roman" w:hAnsi="Times New Roman"/>
          <w:sz w:val="9"/>
          <w:szCs w:val="9"/>
          <w:color w:val="auto"/>
        </w:rPr>
        <w:t>Rezolve anticipates that the growth of its business will continue to depend on third -party relationships, including relationships with its referral sources, resellers, payment processors and other partners. Identifying, negotiating and documenting relationships with third parties requires significant time and resources as does integrating third-party content and technology. Rezolve’s agreements with providers of cloud hosting, technology, content and consulting services are typically non-exclusive and do not prohibit such service providers from working with competitors or from offering competing services. These third-party providers may choose to terminate their relationship with Rezolve or to make material changes to their businesses, offerings or services. Rezolve’s competitors may be effective in providing incentives to third parties to favor their offerings or services or to prevent or reduce subscriptions to Rezolve’s platform. In addition, these providers may not perform as expected under Rezolve’s agreements or under their agreements with</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5" w:right="660" w:bottom="1440" w:gutter="0" w:footer="0" w:header="0"/>
        </w:sectPr>
      </w:pPr>
    </w:p>
    <w:bookmarkStart w:id="19" w:name="page20"/>
    <w:bookmarkEnd w:id="19"/>
    <w:p>
      <w:pPr>
        <w:ind w:right="80"/>
        <w:spacing w:after="0" w:line="255" w:lineRule="auto"/>
        <w:rPr>
          <w:sz w:val="20"/>
          <w:szCs w:val="20"/>
          <w:color w:val="auto"/>
        </w:rPr>
      </w:pPr>
      <w:r>
        <w:rPr>
          <w:rFonts w:ascii="Times New Roman" w:cs="Times New Roman" w:eastAsia="Times New Roman" w:hAnsi="Times New Roman"/>
          <w:sz w:val="10"/>
          <w:szCs w:val="10"/>
          <w:color w:val="auto"/>
        </w:rPr>
        <w:t>Rezolve’s merchants, and Rezolve or its merchants may in the future have disagreements or disputes with such providers. If Rezolve loses access to products, offerings or services from a particular supplier, or experiences a significant disruption in the supply of products, offerings or services from a current supplier, including any single-source supplier, it could have an adverse effect on Rezolve’s business and operating results.</w:t>
      </w:r>
    </w:p>
    <w:p>
      <w:pPr>
        <w:spacing w:after="0" w:line="15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39"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9"/>
          <w:szCs w:val="9"/>
          <w:color w:val="auto"/>
        </w:rPr>
        <w:t>The markets for Rezolve’s offerings are relatively new, rapidly evolving and unproven. Accordingly, it is difficult to predict customer adoption and renewals, demand for Rezolve’s platform and Rezolve’s offerings, the entry of competitive offerings, the success of existing competitive offerings, or the future growth rate, expansion, longevity and the size of Rezolve’s target markets. The expansion of, and Rezolve’s ability to penetrate, these new and evolving markets depends on a number of factors, including widespread awareness among key organizational decision makers of, and the cost, performance, effectiveness and perceived value associated with, digital adoption platforms and technologies. If we or other software and SaaS providers experience security incidents, loss or unauthorized acquisition or other processing of customer data, or disruptions in delivery or service, the market for these applications as a whole, including our platform and offerings,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international conflicts, economic downturns, and global pandemics like the COVID-19 pandemic), privacy, data protection, and cybersecurity concerns, governmental regulation, competing technologies and offerings, decreases in information technology spending or otherwise, or if software providers begin to implement digital adoption solutions natively within their existing products, the markets for our platform and offerings might not continue to develop or might develop more slowly than we expect, which could adversely affect our business, financial condition and 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60"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Rezolve expects to be dependent on its business partners to service its existing customers and ensure that subscription payments from expected merchant customers are subsequently remitted to Rezolve. Rezolve’s business partners may fail to meet their settlement obligations on a timely basis or at all. Such failures to pay, payment delays or other non-performance may be due to their insolvency or bankruptcy, a downturn in the economic cycle or factors specific to the relevant business partner. The failure of Rezolve’s business partners to meet their settlement obligations and/or Rezolve’s inability to find new business partners in a timely manner could have a material adverse effect on Rezolve’s financial condition and/or results of operations.</w:t>
      </w:r>
    </w:p>
    <w:p>
      <w:pPr>
        <w:spacing w:after="0" w:line="105"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No assurance can be given that business partners will renew their agreements upon expiration of those agreements or that they will not request unfavorable amendments to existing agreements. Also, no assurance can be given that Rezolve will be successful in negotiating favorable terms with these business partners. Any failure to obtain renewals of existing agreements or failure to successfully negotiate favorable terms for such renewals of or amendments to existing agreements could result in a reduction in revenues and, accordingly, have a material adverse effect on Rezolve’s business, prospects, financial condition and/or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business could be harmed if it fails to manage its growth effectively.</w:t>
      </w:r>
    </w:p>
    <w:p>
      <w:pPr>
        <w:spacing w:after="0" w:line="60" w:lineRule="exact"/>
        <w:rPr>
          <w:sz w:val="20"/>
          <w:szCs w:val="20"/>
          <w:color w:val="auto"/>
        </w:rPr>
      </w:pPr>
    </w:p>
    <w:p>
      <w:pPr>
        <w:ind w:right="140" w:firstLine="480"/>
        <w:spacing w:after="0" w:line="241" w:lineRule="auto"/>
        <w:rPr>
          <w:sz w:val="20"/>
          <w:szCs w:val="20"/>
          <w:color w:val="auto"/>
        </w:rPr>
      </w:pPr>
      <w:r>
        <w:rPr>
          <w:rFonts w:ascii="Times New Roman" w:cs="Times New Roman" w:eastAsia="Times New Roman" w:hAnsi="Times New Roman"/>
          <w:sz w:val="10"/>
          <w:szCs w:val="10"/>
          <w:color w:val="auto"/>
        </w:rPr>
        <w:t>Rezolve’s plans to grow in Germany, Latin America, U.S. and India and to expand into new geographies places significant demands on its operational infrastructure. The scalability and flexibility of its platform depends on the functionality of its technology and network infrastructure and its ability to handle increased traffic and demand. As merchant numbers grow and merchants increase their use of Rezolve’s platform, the number of orders processed through Rezolve’s platform and the amount of data and requests that it processes will increase. Any problems with the transmission of increased data and requests could result in harm to Rezolve’s brand or reputation. Moreover, as Rezolve’s business grows, Rezolve will need to devote additional resources to improving its operational infrastructure and continuing to enhance its scalability to maintain the performance of its platform.</w:t>
      </w:r>
    </w:p>
    <w:p>
      <w:pPr>
        <w:spacing w:after="0" w:line="108" w:lineRule="exact"/>
        <w:rPr>
          <w:sz w:val="20"/>
          <w:szCs w:val="20"/>
          <w:color w:val="auto"/>
        </w:rPr>
      </w:pPr>
    </w:p>
    <w:p>
      <w:pPr>
        <w:ind w:right="160" w:firstLine="480"/>
        <w:spacing w:after="0" w:line="245" w:lineRule="auto"/>
        <w:rPr>
          <w:sz w:val="20"/>
          <w:szCs w:val="20"/>
          <w:color w:val="auto"/>
        </w:rPr>
      </w:pPr>
      <w:r>
        <w:rPr>
          <w:rFonts w:ascii="Times New Roman" w:cs="Times New Roman" w:eastAsia="Times New Roman" w:hAnsi="Times New Roman"/>
          <w:sz w:val="10"/>
          <w:szCs w:val="10"/>
          <w:color w:val="auto"/>
        </w:rPr>
        <w:t>Rezolve’s growth will likely continue to place, a significant strain on its managerial, administrative, operational, financial and other resources. Rezolve has grown from 21 employees at December 31, 2019 to 70 employees at December 31, 2022. Rezolve intends to further expand its overall business, including headcount, with no assurance that its revenues will grow. As Rezolve grows, it will be required to continue to improve its operational and financial controls and reporting procedures and it may not be able to do so effectively. As such, Rezolve may be unable to manage its expenses effectively in the future, which may negatively impact its gross profit or operating expenses.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20" w:name="page21"/>
    <w:bookmarkEnd w:id="20"/>
    <w:p>
      <w:pPr>
        <w:ind w:firstLine="480"/>
        <w:spacing w:after="0" w:line="241" w:lineRule="auto"/>
        <w:rPr>
          <w:sz w:val="20"/>
          <w:szCs w:val="20"/>
          <w:color w:val="auto"/>
        </w:rPr>
      </w:pPr>
      <w:r>
        <w:rPr>
          <w:rFonts w:ascii="Times New Roman" w:cs="Times New Roman" w:eastAsia="Times New Roman" w:hAnsi="Times New Roman"/>
          <w:sz w:val="10"/>
          <w:szCs w:val="10"/>
          <w:color w:val="auto"/>
        </w:rPr>
        <w:t>In addition, Rezolve believes that an important contributor to its success has been its corporate culture, which it believes fosters innovation, teamwork, passion for its merchants and a focus on attractive designs and technologically advanced and well-crafted software. Most of Rezolve’s employees have been with Rezolve or Rezolve Limited for fewer than two years as a result of its rapid growth. As Rezolve continues to grow, Rezolve must effectively integrate, develop and motivate a growing number of new employees. As a result, Rezolve may find it difficult to maintain its corporate culture, which could limit its ability to innovate and operate effectively. Any failure to preserve Rezolve’s culture could also negatively affect its ability to retain and recruit personnel, continue to perform at current levels or execute its business strategy.</w:t>
      </w:r>
    </w:p>
    <w:p>
      <w:pPr>
        <w:spacing w:after="0" w:line="166"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Rezolve’s operating and financial results forecast relies in large part upon assumptions and analyses developed by Rezolve. If these assumptions or analyses prove to be incorrect, Rezolve’s actual operating results may be materially different from its forecasted results.</w:t>
      </w:r>
    </w:p>
    <w:p>
      <w:pPr>
        <w:spacing w:after="0" w:line="39"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The projected financial and operating information appearing elsewhere in this proxy statement/prospectus reflect current management estimates of future performance. Whether actual operating and financial results and business developments will be consistent with Rezolve’s expectations and assumptions as reflected in its forecasts depends on a number of factors, many of which are outside Rezolve’s control, including, but not limited to:</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•success and timing of existing and new market business development;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•success and timing of new software development activity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•competition, including from established and future competitors;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•Rezolve’s ability to manage its growth;</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•whether Rezolve can manage relationships with business partners and key customers;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•Rezolve’s ability to retain existing key management, integrate recent hires and attract, retain and motivate qualified personnel;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overall strength and stability of domestic and international economies.</w:t>
      </w:r>
    </w:p>
    <w:p>
      <w:pPr>
        <w:spacing w:after="0" w:line="118"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While all projected financial and operating information is subject to significant uncertainties and contingencies, many of which are beyond Rezolve’s control, Rezolve believes that the preparation of projected financial information involves increasingly higher levels of uncertainty the further out the projected financial information extends from the date of preparation. Unfavorable changes in any of the above-listed or other factors, many of which are beyond Rezolve’s control, could cause Rezolve to fall materially short of its projections, which could materially and adversely affect its business, results of operations, prospects and financial results.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does not have the history with its solutions or pricing models necessary to accurately predict optimal pricing necessary to attract new merchants and retain existing merchants.</w:t>
      </w:r>
    </w:p>
    <w:p>
      <w:pPr>
        <w:spacing w:after="0" w:line="60"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Rezolve has limited experience determining the optimal prices for its solutions. Rezolve has changed its pricing model from time to time and expects to do so in the future. Given Rezolve’s limited experience with selling new solutions, Rezolve may not offer new solutions at the optimal price, which may result in Rezolve’s solutions not being profitable or not gaining market share. As competitors introduce new solutions that compete with Rezolve’s, especially in the payments space where Rezolve faces significant competition, Rezolve may be unable to attract new merchants at competitive pricing models. Pricing decisions may also impact the mix of adoption among Rezolve’s plans and negatively impact Rezolve’s overall revenues. Moreover, SMBs, which are generally sensitive to price and are expected to comprise a portion of the merchants using Rezolve’s platform, may be quite sensitive to price increases or prices offered by competitors. As a result, in the future, Rezolve may be forced to reduce its prices, which could adversely affect its financial results.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As a result of Rezolve’s business model, it may not be able to accurately assess its financial position and results of operations.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Rezolve intends to offer its platform primarily through a mix of monthly and single-year subscription agreements and is expected to recognize revenue ratably over the related subscription period. As a result, a large percentage of the revenues Rezolve expects to report each quarter may be derived from agreements entered into during prior months or years. In addition, Rezolve does not and will not record deferred revenues beyond amounts invoiced as a liability on its balance sheet. Such declines may negatively affect its revenues and deferred revenues balances in future periods, and the effect of significant downturns in sales and market acceptance of its platform, and potential changes in Rezolve’s rate of renewals, may not be fully reflected in Rezolve’s results of operations until future periods. Rezolve’s subscription model also may make it difficult for Rezolve to rapidly increase its total revenues and deferred revenues balance through additional sales in any period, as revenues from new customers must be recognized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0"/>
          <w:szCs w:val="10"/>
          <w:color w:val="auto"/>
        </w:rPr>
        <w:t>over the applicable subscription term. These factors may have an adverse effect on Rezolve’s business, results of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business is susceptible to risks associated with international sales and the use of its platform in various countries.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Rezolve’s international sales and the use of its platform in various countries subject Rezolve to risks that include, but are not limited to:</w:t>
      </w:r>
    </w:p>
    <w:p>
      <w:pPr>
        <w:spacing w:after="0" w:line="58" w:lineRule="exact"/>
        <w:rPr>
          <w:sz w:val="20"/>
          <w:szCs w:val="20"/>
          <w:color w:val="auto"/>
        </w:rPr>
      </w:pPr>
    </w:p>
    <w:p>
      <w:pPr>
        <w:ind w:left="480" w:right="2120"/>
        <w:spacing w:after="0" w:line="360" w:lineRule="auto"/>
        <w:rPr>
          <w:sz w:val="20"/>
          <w:szCs w:val="20"/>
          <w:color w:val="auto"/>
        </w:rPr>
      </w:pPr>
      <w:r>
        <w:rPr>
          <w:rFonts w:ascii="Times New Roman" w:cs="Times New Roman" w:eastAsia="Times New Roman" w:hAnsi="Times New Roman"/>
          <w:sz w:val="10"/>
          <w:szCs w:val="10"/>
          <w:color w:val="auto"/>
        </w:rPr>
        <w:t>•lack of familiarity and burdens and complexity involved with complying with multiple, conflicting and changing foreign laws, standards, regulatory requirements, tariffs, export controls and other barriers; •difficulties in ensuring compliance with countries’ multiple, conflicting and changing international trade, customs and sanctions laws;</w:t>
      </w:r>
    </w:p>
    <w:p>
      <w:pPr>
        <w:ind w:left="480"/>
        <w:spacing w:after="0"/>
        <w:rPr>
          <w:sz w:val="20"/>
          <w:szCs w:val="20"/>
          <w:color w:val="auto"/>
        </w:rPr>
      </w:pPr>
      <w:r>
        <w:rPr>
          <w:rFonts w:ascii="Times New Roman" w:cs="Times New Roman" w:eastAsia="Times New Roman" w:hAnsi="Times New Roman"/>
          <w:sz w:val="9"/>
          <w:szCs w:val="9"/>
          <w:color w:val="auto"/>
        </w:rPr>
        <w:t>•difficulties in complying with laws relating to privacy, data protection, and cybersecurity, including the UK General Data Protection Regulation, some of which may require that merchant and customer data be stored and processed in a designated territory;</w:t>
      </w:r>
    </w:p>
    <w:p>
      <w:pPr>
        <w:spacing w:after="0" w:line="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•difficulties in managing systems integrators and technology partners;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•differing technology standards;</w:t>
      </w:r>
    </w:p>
    <w:p>
      <w:pPr>
        <w:spacing w:after="0" w:line="58" w:lineRule="exact"/>
        <w:rPr>
          <w:sz w:val="20"/>
          <w:szCs w:val="20"/>
          <w:color w:val="auto"/>
        </w:rPr>
      </w:pPr>
    </w:p>
    <w:p>
      <w:pPr>
        <w:ind w:left="480" w:right="3800"/>
        <w:spacing w:after="0" w:line="360" w:lineRule="auto"/>
        <w:rPr>
          <w:sz w:val="20"/>
          <w:szCs w:val="20"/>
          <w:color w:val="auto"/>
        </w:rPr>
      </w:pPr>
      <w:r>
        <w:rPr>
          <w:rFonts w:ascii="Times New Roman" w:cs="Times New Roman" w:eastAsia="Times New Roman" w:hAnsi="Times New Roman"/>
          <w:sz w:val="10"/>
          <w:szCs w:val="10"/>
          <w:color w:val="auto"/>
        </w:rPr>
        <w:t>•potentially adverse tax consequences, including the complexities of foreign value added tax (or other tax) systems and restrictions on the repatriation of earnings; •greater difficulty in enforcing contracts, including Rezolve’s universal terms of service and other agreements;</w:t>
      </w:r>
    </w:p>
    <w:p>
      <w:pPr>
        <w:ind w:left="480"/>
        <w:spacing w:after="0" w:line="255" w:lineRule="auto"/>
        <w:rPr>
          <w:sz w:val="20"/>
          <w:szCs w:val="20"/>
          <w:color w:val="auto"/>
        </w:rPr>
      </w:pPr>
      <w:r>
        <w:rPr>
          <w:rFonts w:ascii="Times New Roman" w:cs="Times New Roman" w:eastAsia="Times New Roman" w:hAnsi="Times New Roman"/>
          <w:sz w:val="10"/>
          <w:szCs w:val="10"/>
          <w:color w:val="auto"/>
        </w:rPr>
        <w:t>•uncertain political and economic climates, including the economic impact of inflation, the possibility of a global economic recession, the COVID-19 pandemic and other geopolitical uncertainty and instability, such as the ongoing conflict in Ukraine, resulting sanctions imposed by countries, and retaliatory actions taken by Russia in response to such sanctions;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•currency exchange rates;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•reduced or uncertain protection for intellectual property rights in some countries;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•new and different sources of competition.</w:t>
      </w:r>
    </w:p>
    <w:p>
      <w:pPr>
        <w:spacing w:after="0" w:line="118"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These factors may cause Rezolve’s international costs of doing business to increase and may also require significant management attention and financial resources. Any negative impact from Rezolve’s international business efforts could adversely affect Rezolve’s business, results of operations and financial condition.</w:t>
      </w:r>
    </w:p>
    <w:p>
      <w:pPr>
        <w:spacing w:after="0" w:line="15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39" w:lineRule="exact"/>
        <w:rPr>
          <w:sz w:val="20"/>
          <w:szCs w:val="20"/>
          <w:color w:val="auto"/>
        </w:rPr>
      </w:pPr>
    </w:p>
    <w:p>
      <w:pPr>
        <w:ind w:right="100" w:firstLine="480"/>
        <w:spacing w:after="0" w:line="239" w:lineRule="auto"/>
        <w:rPr>
          <w:sz w:val="20"/>
          <w:szCs w:val="20"/>
          <w:color w:val="auto"/>
        </w:rPr>
      </w:pPr>
      <w:r>
        <w:rPr>
          <w:rFonts w:ascii="Times New Roman" w:cs="Times New Roman" w:eastAsia="Times New Roman" w:hAnsi="Times New Roman"/>
          <w:sz w:val="10"/>
          <w:szCs w:val="10"/>
          <w:color w:val="auto"/>
        </w:rPr>
        <w:t>Rezolve’s future success will depend in large part on establishing and growing a market for its solutions and systems, which proprietary machine learning algorithm processes vast amounts of data collected from user interactions. Rezolve’s AI capabilities analyze user behavior and preferences, and identify patterns and trends that inform the creation of personalized experiences for each user, which allows merchants to deliver marketing campaigns, content, offers, and promotions that cater specifically to individual users, leading to higher engagement and conversion rates. Rezolve’s machine learning systems may inadvertently reduce the efficiency of Rezolve’s systems, or may cause unintentional or unexpected outputs that are incorrect, do not match Rezolve’s business goals, do not comply with Rezolve’s policies, or otherwise are inconsistent with Rezolve’s brand. Any errors or vulnerabilities discovered in our code could also result in damage to its reputation, loss of its channels and merchants, unauthorized disclosure of personal and confidential information, loss of revenues or liability for damages, any of which could adversely affect Rezolve’s growth prospects and its business.</w:t>
      </w:r>
    </w:p>
    <w:p>
      <w:pPr>
        <w:spacing w:after="0" w:line="110"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 political and regulatory framework for AI technology and machine learning is evolving and remains uncertain. It is possible that new laws and regulations will be adopted in the countries in which Rezolve operates, or existing laws and regulations may be interpreted in new ways, that would affect the operation of Rezolve’s network and the way in which Rezolve uses AI technology and machine learning, including with respect to laws related to privacy, data protection, cybersecurity and processing customer information. The cost to comply with such laws or regulations could be significant and would increase Rezolve’s operating expenses, which could adversely affect its business, financial condition and results of operations.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5" w:right="66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0"/>
          <w:szCs w:val="10"/>
          <w:b w:val="1"/>
          <w:bCs w:val="1"/>
          <w:i w:val="1"/>
          <w:iCs w:val="1"/>
          <w:color w:val="auto"/>
        </w:rPr>
        <w:t>Exchange rate fluctuations may negatively affect Rezolve’s results of operations.</w:t>
      </w:r>
    </w:p>
    <w:p>
      <w:pPr>
        <w:spacing w:after="0" w:line="60" w:lineRule="exact"/>
        <w:rPr>
          <w:sz w:val="20"/>
          <w:szCs w:val="20"/>
          <w:color w:val="auto"/>
        </w:rPr>
      </w:pPr>
    </w:p>
    <w:p>
      <w:pPr>
        <w:ind w:right="160" w:firstLine="480"/>
        <w:spacing w:after="0" w:line="310" w:lineRule="auto"/>
        <w:rPr>
          <w:sz w:val="20"/>
          <w:szCs w:val="20"/>
          <w:color w:val="auto"/>
        </w:rPr>
      </w:pPr>
      <w:r>
        <w:rPr>
          <w:rFonts w:ascii="Times New Roman" w:cs="Times New Roman" w:eastAsia="Times New Roman" w:hAnsi="Times New Roman"/>
          <w:sz w:val="9"/>
          <w:szCs w:val="9"/>
          <w:color w:val="auto"/>
        </w:rPr>
        <w:t>Exchange rate fluctuations may affect Rezolve’s merchant solutions as Rezolve may generate revenues in different currencies. For example, if in the future Rezolve generates revenues through Instant Buy in the local currency of the country in which the applicable merchant is located, Rezolve will be exposed to currency fluctuations to the extent revenues in foreign currencies from Instant Buy payments increase. Fluctuations in these foreign currencies could adversely affect Rezolve’s growth prospects and its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operating results are expected to be subject to seasonal fluctuations.</w:t>
      </w:r>
    </w:p>
    <w:p>
      <w:pPr>
        <w:spacing w:after="0" w:line="60" w:lineRule="exact"/>
        <w:rPr>
          <w:sz w:val="20"/>
          <w:szCs w:val="20"/>
          <w:color w:val="auto"/>
        </w:rPr>
      </w:pPr>
    </w:p>
    <w:p>
      <w:pPr>
        <w:ind w:right="160" w:firstLine="480"/>
        <w:spacing w:after="0" w:line="245" w:lineRule="auto"/>
        <w:rPr>
          <w:sz w:val="20"/>
          <w:szCs w:val="20"/>
          <w:color w:val="auto"/>
        </w:rPr>
      </w:pPr>
      <w:r>
        <w:rPr>
          <w:rFonts w:ascii="Times New Roman" w:cs="Times New Roman" w:eastAsia="Times New Roman" w:hAnsi="Times New Roman"/>
          <w:sz w:val="10"/>
          <w:szCs w:val="10"/>
          <w:color w:val="auto"/>
        </w:rPr>
        <w:t>Rezolve’s merchant transaction-based revenues are expected to be correlated with the number of transactions that Rezolve’s merchants process through its platform. Certain of its merchants are expected to be subject to seasonal fluctuations as a result of holidays in the countries in which they operate resulting in increased or decreased consumer spending. If Rezolve grows its merchant solutions offerings, Rezolve cannot guarantee that its business will not become more seasonal in the future, and historical patterns in its business may not be a reliable indicator of Rezolve’s future sales activity or performance.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markets in which Rezolve competes are characterized by constant change and innovation, and Rezolve expects them to continue to evolve rapidly. Rezolve’s ability to attract new merchants and increase sales to new merchants will depend in large part on its ability to continue to improve and enhance the functionality, performance, reliability, design, security and scalability of its platform as well as introduce new features, capabilities and offerings to its platform.</w:t>
      </w:r>
    </w:p>
    <w:p>
      <w:pPr>
        <w:spacing w:after="0" w:line="101" w:lineRule="exact"/>
        <w:rPr>
          <w:sz w:val="20"/>
          <w:szCs w:val="20"/>
          <w:color w:val="auto"/>
        </w:rPr>
      </w:pPr>
    </w:p>
    <w:p>
      <w:pPr>
        <w:ind w:right="240" w:firstLine="480"/>
        <w:spacing w:after="0" w:line="239" w:lineRule="auto"/>
        <w:rPr>
          <w:sz w:val="20"/>
          <w:szCs w:val="20"/>
          <w:color w:val="auto"/>
        </w:rPr>
      </w:pPr>
      <w:r>
        <w:rPr>
          <w:rFonts w:ascii="Times New Roman" w:cs="Times New Roman" w:eastAsia="Times New Roman" w:hAnsi="Times New Roman"/>
          <w:sz w:val="10"/>
          <w:szCs w:val="10"/>
          <w:color w:val="auto"/>
        </w:rPr>
        <w:t>Rezolve may experience difficulties with software development that could delay or prevent the development, introduction or implementation of new solutions and enhancements. Software development involves a significant amount of time for Rezolve’s research and development team, as it can take Rezolve’s developers months to update, code and test new and upgraded solutions and integrate them into its platform. Rezolve must also continually update, test and enhance its software platform. For example, Rezolve’s design team spends a significant amount of time and resources incorporating various design enhancements, such as customized colors, fonts, content and other features, into its platform. The continual improvement and enhancement of Rezolve’s platform requires significant investment and Rezolve may not have the resources to make such investment. To the extent Rezolve is not able to improve and enhance the functionality, performance, reliability, design, security and scalability of its platform in a manner that responds to Rezolve’s merchants’ evolving needs, Rezolve’s business, operating results and financial condition will be adversely affected.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may not be able to compete successfully against current and future competitors.</w:t>
      </w:r>
    </w:p>
    <w:p>
      <w:pPr>
        <w:spacing w:after="0" w:line="60" w:lineRule="exact"/>
        <w:rPr>
          <w:sz w:val="20"/>
          <w:szCs w:val="20"/>
          <w:color w:val="auto"/>
        </w:rPr>
      </w:pPr>
    </w:p>
    <w:p>
      <w:pPr>
        <w:ind w:right="260" w:firstLine="480"/>
        <w:spacing w:after="0" w:line="241" w:lineRule="auto"/>
        <w:rPr>
          <w:sz w:val="20"/>
          <w:szCs w:val="20"/>
          <w:color w:val="auto"/>
        </w:rPr>
      </w:pPr>
      <w:r>
        <w:rPr>
          <w:rFonts w:ascii="Times New Roman" w:cs="Times New Roman" w:eastAsia="Times New Roman" w:hAnsi="Times New Roman"/>
          <w:sz w:val="10"/>
          <w:szCs w:val="10"/>
          <w:color w:val="auto"/>
        </w:rPr>
        <w:t>Rezolve faces competition in various aspects of its business, and Rezolve expects such competition to grow in the future. Rezolve has competitors with longer operating histories, larger customer bases, greater brand recognition, more experience and more extensive commercial relationships in certain jurisdictions, and greater financial, technical, marketing and other resources than Rezolve. As a result, Rezolve’s current and potential competitors may be able to develop products, offerings and services better received by merchants or may be able to respond more quickly and effectively than Rezolve can to new or changing opportunities, technologies, regulations or merchant requirements. In addition, certain of Rezolve’s larger competitors may be able to leverage a larger installed customer base and distribution network to adopt more aggressive pricing policies and offer more attractive sales terms, which could cause Rezolve to lose potential sales or to sell Rezolve’s solutions at lower prices.</w:t>
      </w:r>
    </w:p>
    <w:p>
      <w:pPr>
        <w:spacing w:after="0" w:line="108"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9"/>
          <w:szCs w:val="9"/>
          <w:color w:val="auto"/>
        </w:rPr>
        <w:t>Competition may intensify as Rezolve’s competitors enter into business combinations or alliances or raise additional capital, or as established companies in other market segments or geographic markets expand into Rezolve’s market segments or geographic markets. For example, certain competitors could use strong or dominant positions in one or more markets to gain a competitive advantage against Rezolve in areas where Rezolve operates including: by integrating competing platforms or features into products or offerings they control such as search engines, web browsers, mobile device operating systems or social networks; by making acquisitions; or by making access to Rezolve’s platform more difficult. Further, current and future competitors could choose to offer a different pricing model or to undercut prices in an effort to increase their market share. If Rezolve cannot compete successfully against current and future competitors, Rezolve’s business, results of operations and financial condition could be negatively impacted.</w:t>
      </w:r>
    </w:p>
    <w:p>
      <w:pPr>
        <w:spacing w:after="0" w:line="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213" w:right="60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0"/>
          <w:szCs w:val="10"/>
          <w:b w:val="1"/>
          <w:bCs w:val="1"/>
          <w:i w:val="1"/>
          <w:iCs w:val="1"/>
          <w:color w:val="auto"/>
        </w:rPr>
        <w:t>Payment transactions on Rezolve’s platform may be subject to regulatory requirements and other risks that could be costly and difficult to comply with or that could harm Rezolve’s business.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may become subject to a number of risks related to payments processed through Instant Buy, including:</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payment of interchange and other fees, which may increase Rezolve’s operating expenses;</w:t>
      </w:r>
    </w:p>
    <w:p>
      <w:pPr>
        <w:spacing w:after="0" w:line="58" w:lineRule="exact"/>
        <w:rPr>
          <w:sz w:val="20"/>
          <w:szCs w:val="20"/>
          <w:color w:val="auto"/>
        </w:rPr>
      </w:pPr>
    </w:p>
    <w:p>
      <w:pPr>
        <w:ind w:left="480" w:right="3360"/>
        <w:spacing w:after="0" w:line="360" w:lineRule="auto"/>
        <w:rPr>
          <w:sz w:val="20"/>
          <w:szCs w:val="20"/>
          <w:color w:val="auto"/>
        </w:rPr>
      </w:pPr>
      <w:r>
        <w:rPr>
          <w:rFonts w:ascii="Times New Roman" w:cs="Times New Roman" w:eastAsia="Times New Roman" w:hAnsi="Times New Roman"/>
          <w:sz w:val="10"/>
          <w:szCs w:val="10"/>
          <w:color w:val="auto"/>
        </w:rPr>
        <w:t>•if Rezolve is unable to maintain its chargeback rate at acceptable levels, its credit card fees may increase or credit card issuers may terminate their relationship with Rezolve; •increased costs and diversion of management time and effort and other resources to deal with fraudulent transactions or chargeback disputes; •potential fraudulent or otherwise illegal activity by merchants, their customers, developers, employees or third parties;</w:t>
      </w:r>
    </w:p>
    <w:p>
      <w:pPr>
        <w:ind w:left="480"/>
        <w:spacing w:after="0"/>
        <w:rPr>
          <w:sz w:val="20"/>
          <w:szCs w:val="20"/>
          <w:color w:val="auto"/>
        </w:rPr>
      </w:pPr>
      <w:r>
        <w:rPr>
          <w:rFonts w:ascii="Times New Roman" w:cs="Times New Roman" w:eastAsia="Times New Roman" w:hAnsi="Times New Roman"/>
          <w:sz w:val="10"/>
          <w:szCs w:val="10"/>
          <w:color w:val="auto"/>
        </w:rPr>
        <w:t>•restrictions on funds or required reserves related to payments;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•additional disclosure and other requirements, including new reporting regulations and new credit card association rules.</w:t>
      </w:r>
    </w:p>
    <w:p>
      <w:pPr>
        <w:spacing w:after="0" w:line="118"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Rezolve is required by its payment processors to comply with payment card network operating rules. The payment card networks set and interpret the card rules. Rezolve faces the risk that one or more payment card networks or other processors may, at any time, assess penalties against Rezolve or terminate its ability to accept credit card payments or other forms of online payments from customers, which would have an adverse effect on Rezolve’s business, financial condition and operating results.</w:t>
      </w:r>
    </w:p>
    <w:p>
      <w:pPr>
        <w:spacing w:after="0" w:line="101"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If Rezolve fails to comply with the rules and regulations adopted by the payment card networks, including the Payment Card Industry Data Security Standard, or PCI DSS, Rezolve would be in breach of its contractual obligations to its payment processors, financial institutions, partners and merchants. Such failure to comply may subject Rezolve to fines, penalties, damages, higher transaction fees and civil liability, and could eventually prevent Rezolve from processing or accepting payment cards or could lead to a loss of payment processor partners, even if there is no compromise of customer information.</w:t>
      </w:r>
    </w:p>
    <w:p>
      <w:pPr>
        <w:spacing w:after="0" w:line="105"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Rezolve is currently subject to a variety of laws and regulations in the U.S., Mexico, the UK, Europe, India and elsewhere related to payment processing, including those governing cross-border and domestic money transmission, electronic funds transfers, foreign exchange, anti-money laundering, counter-terrorist financing, banking and import and export restrictions. Depending on how Instant Buy and Rezolve’s other merchant solutions evolve, Rezolve may be subject to additional laws in the U.S., Mexico, China, the UK, Europe, India and elsewhere. In certain jurisdictions, the application or interpretation of these laws and regulations is not clear. Rezolve’s efforts to comply with these laws and regulations could be costly and result in diversion of management time and effort and may still not guarantee compliance. In the event that Rezolve is alleged to be in violation of any such legal or regulatory requirements, it may be subject to claims, demands, and litigation by private parties, and governmental investigations and other proceedings, which may result in Rezolve being subject to cease and desist orders, monetary fines or other penalties or liabilities, or being required to make changes to its platform or other aspects of its operations, any of which could have an adverse effect on its business, financial condition and results of operations.</w:t>
      </w:r>
    </w:p>
    <w:p>
      <w:pPr>
        <w:spacing w:after="0" w:line="16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39"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From time to time, Rezolve evaluates potential strategic acquisition or investment opportunities. Any transactions that Rezolve enters into could be material to its financial condition and results of operations. The process of acquiring and integrating another company or technology could create unforeseen operating difficulties and expenditures. Acquisitions and investments involve a number of risks, such as: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•diversion of management time and focus from operating Rezolve’s business;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•use of resources that are needed in other areas of Rezolve’s business;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the case of an acquisition, implementation or remediation of controls, procedures and policies of the acquired company;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the case of an acquisition, difficulty integrating the accounting systems and operations of the acquired company, including potential risks to Rezolve’s corporate culture;</w:t>
      </w:r>
    </w:p>
    <w:p>
      <w:pPr>
        <w:spacing w:after="0" w:line="58" w:lineRule="exact"/>
        <w:rPr>
          <w:sz w:val="20"/>
          <w:szCs w:val="20"/>
          <w:color w:val="auto"/>
        </w:rPr>
      </w:pPr>
    </w:p>
    <w:p>
      <w:pPr>
        <w:ind w:left="480" w:right="80"/>
        <w:spacing w:after="0" w:line="255" w:lineRule="auto"/>
        <w:rPr>
          <w:sz w:val="20"/>
          <w:szCs w:val="20"/>
          <w:color w:val="auto"/>
        </w:rPr>
      </w:pPr>
      <w:r>
        <w:rPr>
          <w:rFonts w:ascii="Times New Roman" w:cs="Times New Roman" w:eastAsia="Times New Roman" w:hAnsi="Times New Roman"/>
          <w:sz w:val="10"/>
          <w:szCs w:val="10"/>
          <w:color w:val="auto"/>
        </w:rPr>
        <w:t>•in the case of an acquisition, coordination of product, engineering and selling and marketing functions, including difficulties and additional expenses associated with supporting legacy services and offerings and hosting infrastructure of the acquired company and difficulty converting the customers of the acquired company onto Rezolve’s platform and contract terms, including disparities in the revenues, licensing, support or professional services model of the acquired company;</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4" w:name="page25"/>
    <w:bookmarkEnd w:id="24"/>
    <w:p>
      <w:pPr>
        <w:ind w:left="480"/>
        <w:spacing w:after="0"/>
        <w:rPr>
          <w:sz w:val="20"/>
          <w:szCs w:val="20"/>
          <w:color w:val="auto"/>
        </w:rPr>
      </w:pPr>
      <w:r>
        <w:rPr>
          <w:rFonts w:ascii="Times New Roman" w:cs="Times New Roman" w:eastAsia="Times New Roman" w:hAnsi="Times New Roman"/>
          <w:sz w:val="10"/>
          <w:szCs w:val="10"/>
          <w:color w:val="auto"/>
        </w:rPr>
        <w:t>•in the case of an acquisition, retention and integration of employees from the acquired company;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•unforeseen costs or liabilities;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•adverse effects to Rezolve’s existing business relationships with partners and merchants as a result of the acquisition or investment;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possibility of adverse tax consequences;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•litigation or other claims arising in connection with the acquired company or investment;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18" w:lineRule="exact"/>
        <w:rPr>
          <w:sz w:val="20"/>
          <w:szCs w:val="20"/>
          <w:color w:val="auto"/>
        </w:rPr>
      </w:pPr>
    </w:p>
    <w:p>
      <w:pPr>
        <w:ind w:right="400" w:firstLine="480"/>
        <w:spacing w:after="0" w:line="255" w:lineRule="auto"/>
        <w:rPr>
          <w:sz w:val="20"/>
          <w:szCs w:val="20"/>
          <w:color w:val="auto"/>
        </w:rPr>
      </w:pPr>
      <w:r>
        <w:rPr>
          <w:rFonts w:ascii="Times New Roman" w:cs="Times New Roman" w:eastAsia="Times New Roman" w:hAnsi="Times New Roman"/>
          <w:sz w:val="10"/>
          <w:szCs w:val="10"/>
          <w:color w:val="auto"/>
        </w:rPr>
        <w:t>In addition, a significant portion of the purchase price of companies that Rezolve acquires may be allocated to acquired goodwill and other intangible assets, which must be assessed for impairment on at least an annual basis. In the future, if Rezolve’s acquisitions do not yield expected returns, Rezolve may be required to take charges to its operating results based on this impairment assessment process, which could adversely affect Rezolve’s results of operations.</w:t>
      </w:r>
    </w:p>
    <w:p>
      <w:pPr>
        <w:spacing w:after="0" w:line="101"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Acquisitions and investments may also result in dilutive issuances of equity securities, which could adversely affect Rezolve’s share price, or result in issuances of securities with superior rights and preferences to the Ordinary Shares or the incurrence of debt with restrictive covenants that limit Rezolve’s future uses of capital in pursuit of business opportunities.</w:t>
      </w:r>
    </w:p>
    <w:p>
      <w:pPr>
        <w:spacing w:after="0" w:line="10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Rezolve may not be able to identify acquisition or investment opportunities that meet Rezolve’s strategic objectives, or to the extent such opportunities are identified, Rezolve may not be able to negotiate terms with respect to the acquisition or investment that are acceptable to Rezolve. At this time, Rezolve has made no commitments or agreements with respect to any such transaction.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is a party to the Loan Note Instrument, which contains a number of covenants that may restrict our current and future operations and could adversely affect our ability to execute business needs.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Loan Note Instrument contains a number of covenants that limit Rezolve’s ability and its subsidiaries’ ability to, among other things, incur indebtedness that would rank senior to the Convertible Notes, advance loans, create security interests, enter into a corporate strategic relationship other than in the ordinary course of business and to acquire or dispose of assets (including shares) (x) where the consideration paid or received exceeds 20% of the average market cap of Rezolve for the 90 calendar days prior to such transaction (calculated based on the volume-weighted average share price of the shares of Rezolve in that period) or (y) other than (A) on arm’s length terms, and (B) for the purpose of promoting the success of Rezolve without consent of the majority of noteholders. These covenants remain in force while the Convertible Notes are outstanding, including for so long as one or more of Apeiron Investment Group Ltd, Bradley Wickens and any of their respective affiliates or assignees holds at least an aggregate of $20 million of the principal amount of the Convertible Notes from time to time.</w:t>
      </w:r>
    </w:p>
    <w:p>
      <w:pPr>
        <w:spacing w:after="0" w:line="11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terms of the Loan Note Instrument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 If Rezolve is unable to comply with the covenants under the Loan Note Instrument or with other Loan Note Instrument requirements, the noteholders may accelerate Rezolve’s obligations under the Loan Note Instrument and foreclose upon the collateral, or Rezolve may be forced to sell assets, restructure its indebtedness or seek additional equity capital, which would dilute Rezolve’s shareholders’ interests.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may need to raise additional funds to pursue its growth strategy or continue its operations, and Rezolve may be unable to raise capital when needed or on acceptable terms.</w:t>
      </w:r>
    </w:p>
    <w:p>
      <w:pPr>
        <w:spacing w:after="0" w:line="60"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From time to time, Rezolve may seek additional equity or debt financing to fund its growth, enhance its platform, respond to competitive pressures or make acquisitions or other investments. Rezolve’s business plans may change, general economic, financial or political conditions in its markets may deteriorate or other circumstances may arise, in each case that have a material adverse effect on Rezolve’s cash flows and the anticipated cash needs of Rezolve’s business. Any of these events or circumstances could result in significant additional funding needs, requiring Rezolve to raise additional capital. Rezolve cannot predict the timing or amount of any such capital requirements at this time. If financing is not available on satisfactory terms, or at all, Rezolve may be unable to expand Rezolve’s business at the rate desired and Rezolve’s results of operations may suffer. Financing through issuances of equity securities would be dilutive to holders of Rezolve’s shares.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0"/>
          <w:szCs w:val="10"/>
          <w:b w:val="1"/>
          <w:bCs w:val="1"/>
          <w:i w:val="1"/>
          <w:iCs w:val="1"/>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Rezolve’s sales cycle, from initial contact to contract execution and implementation can take significant time. Rezolve’s sales efforts involve educating its clients about the use, technical capabilities and benefits of Rezolve’s platform. Certain of Rezolve’s clients undertake an evaluation process that frequently involves not only its platform but also the offerings of Rezolve’s competitors. As a result, it is difficult to predict when Rezolve will obtain new clients and begin generating revenues from new clients. Even if Rezolve’s sales efforts result in obtaining a new client, under Rezolve’s usage-based pricing model, to a large degree the client controls when and to what extent it uses Rezolve’s platform. As a result, Rezolve may not be able to add clients or generate revenues as quickly as Rezolve may expect, which could harm Rezolve’s revenue growth rates.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the availability of Rezolve’s platform does not meet its service-level commitments to customers, Rezolve’s current and future revenues may be negatively impacted.</w:t>
      </w:r>
    </w:p>
    <w:p>
      <w:pPr>
        <w:spacing w:after="0" w:line="60"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Rezolve typically commits to its customers that its platform will maintain a minimum service -level of availability. If Rezolve is unable to meet these commitments, Rezolve may be obligated to provide customers with additional capacity, which could significantly affect its revenues. Further, any failure to meet its service -level commitments could damage its reputation and adoption of its platform, and Rezolve could face loss of revenues from reduced future consumption of its platform. Any service-level failures could adversely affect Rezolve’s business, financial condition, and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will have broad discretion in the use of proceeds from this offering and may invest or spend the proceeds in ways with which you do not agree and in ways that may not yield a return.</w:t>
      </w:r>
    </w:p>
    <w:p>
      <w:pPr>
        <w:spacing w:after="0" w:line="6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Rezolve intends to use the net proceeds that it receives in this offering for working capital and other general corporate purposes, which may include offering development, general and administrative matters and capital expenditures. Rezolve may also use a portion of the net proceeds for the acquisition of, or investment in, technologies, solutions or businesses that complement its business, although Rezolve has no present commitments or agreements to enter into any acquisitions or investments. Consequently, Rezolve’s management will have broad discretion over the specific use of these net proceeds and may do so in a way with which Rezolve’s investors disagree. The failure by Rezolve’s management to apply and invest these funds effectively may not yield a favorable return to Rezolve’s investors and may adversely affect Rezolve’s business and financial condition. Pending their use, Rezolve may invest the net proceeds from this offering in a manner that does not produce income or that loses value. If Rezolve does not use the net proceeds that it receives in this offering effectively, Rezolve’s business, results of operations, and financial condition could be adversely affected.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does not intend to pay dividends for the foreseeable future.</w:t>
      </w:r>
    </w:p>
    <w:p>
      <w:pPr>
        <w:spacing w:after="0" w:line="60"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Rezolve may retain future earnings, if any, for future operations, expansion and debt repayment and has no current plans to pay any cash dividends for the foreseeable future. As a result of Rezolve’s current dividend policy, you may not receive any return on an investment in Ordinary Shares unless you sell Ordinary Shares for a price greater than that which you paid for them. Any future determination to declare and pay cash dividends will be at the discretion of Rezolve’s board of directors and will depend on, among other things, Rezolve’s financial condition, results of operations, cash requirements, contractual restrictions and such other factors as Rezolve’s board of directors deems relevant.</w:t>
      </w:r>
    </w:p>
    <w:p>
      <w:pPr>
        <w:spacing w:after="0" w:line="16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39"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9"/>
          <w:szCs w:val="9"/>
          <w:color w:val="auto"/>
        </w:rPr>
        <w:t>Rezolve’s future success depends, in part, on Rezolve’s ability to expand its penetration of the international markets in which it currently operates and to expand into additional international markets. Rezolve’s ability to expand internationally will depend upon its ability to deliver functionality and other features that reflect the needs and preferences of the international customers that we target and to successfully navigate the risks inherent in operating a business internationally. Any new geographic market could have different characteristics from the markets in which Rezolve currently operates, and Rezolve’s success in such markets will depend on its ability to adapt properly to these differences. These differences may include limited or unfavorable intellectual property protection, international political or economic conditions, restrictions on the repatriation of earnings, longer sales cycles, warranty expectations, differing regulatory requirements, tax laws, trade laws, labor regulations, corporate formation laws and requirements and tariffs. In addition, expanding into new geographic markets will increase Rezolve’s exposure to presently existing risks, such as fluctuations in the value of foreign currencies and difficulties and increased expenses in complying with U.S. and foreign laws, regulations and trade standards.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0"/>
          <w:szCs w:val="10"/>
          <w:b w:val="1"/>
          <w:bCs w:val="1"/>
          <w:i w:val="1"/>
          <w:iCs w:val="1"/>
          <w:color w:val="auto"/>
        </w:rPr>
        <w:t>A regional or global health pandemic, including the global COVID-19 pandemic, may adversely impact Rezolve’s business, results of operations and financial performance.</w:t>
      </w:r>
    </w:p>
    <w:p>
      <w:pPr>
        <w:spacing w:after="0" w:line="60" w:lineRule="exact"/>
        <w:rPr>
          <w:sz w:val="20"/>
          <w:szCs w:val="20"/>
          <w:color w:val="auto"/>
        </w:rPr>
      </w:pPr>
    </w:p>
    <w:p>
      <w:pPr>
        <w:ind w:right="60" w:firstLine="480"/>
        <w:spacing w:after="0" w:line="285" w:lineRule="auto"/>
        <w:rPr>
          <w:sz w:val="20"/>
          <w:szCs w:val="20"/>
          <w:color w:val="auto"/>
        </w:rPr>
      </w:pPr>
      <w:r>
        <w:rPr>
          <w:rFonts w:ascii="Times New Roman" w:cs="Times New Roman" w:eastAsia="Times New Roman" w:hAnsi="Times New Roman"/>
          <w:sz w:val="9"/>
          <w:szCs w:val="9"/>
          <w:color w:val="auto"/>
        </w:rPr>
        <w:t>A regional or global health pandemic, depending upon its duration and severity, could have a material adverse effect on our business. For example, in March 2020, the World Health Organization characterized COVID -19 as a global pandemic, which has had numerous effects on the global economy. The COVID-19 pandemic and efforts to control its spread significantly curtailed the movement of people, goods and services, including in most or all of the regions in which Rezolve sells its offerings and services and conducts its business operations. While Rezolve has so far been able to mitigate the impacts of the COVID-19 pandemic on its business, Rezolve cannot guarantee that this will continue to be the case or that a pandemic in the future will have the same outcome.</w:t>
      </w:r>
    </w:p>
    <w:p>
      <w:pPr>
        <w:spacing w:after="0" w:line="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Although Rezolve’s results have not been materially affected by COVID-19 to date, Rezolve is unable to accurately predict the impact that other global health crises will have on Rezolve’s or its business partners’ or customers’ operations.</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To the extent the COVID-19 pandemic, or any similar future pandemic or related events could have a material adverse effect on Rezolve’s or Rezolve’s customers’ and business partners’ business, financial condition, results of operations and/or liquidity, it may also have the effect of heightening many of the other risks described in this “</w:t>
      </w:r>
      <w:r>
        <w:rPr>
          <w:rFonts w:ascii="Times New Roman" w:cs="Times New Roman" w:eastAsia="Times New Roman" w:hAnsi="Times New Roman"/>
          <w:sz w:val="10"/>
          <w:szCs w:val="10"/>
          <w:i w:val="1"/>
          <w:iCs w:val="1"/>
          <w:color w:val="auto"/>
        </w:rPr>
        <w:t>Risk Factors</w:t>
      </w:r>
      <w:r>
        <w:rPr>
          <w:rFonts w:ascii="Times New Roman" w:cs="Times New Roman" w:eastAsia="Times New Roman" w:hAnsi="Times New Roman"/>
          <w:sz w:val="10"/>
          <w:szCs w:val="10"/>
          <w:color w:val="auto"/>
        </w:rPr>
        <w:t>” section.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Rezolve is unable to hire, retain and motivate qualified personnel, its business will be adversely affected.</w:t>
      </w:r>
    </w:p>
    <w:p>
      <w:pPr>
        <w:spacing w:after="0" w:line="6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Rezolve’s future success depends, in part, on its ability to continue to attract and retain highly skilled personnel. The inability to attract or retain qualified personnel or delays in hiring required personnel may seriously harmRezolve’s business, financial condition and operating results. Rezolve’s ability to continue to attract and retain highly skilled personnel, specifically employees with technical and engineering skills and employees with high levels of experience in designing and developing software and internet-related services, will be critical to Rezolve’s future success. Competition for highly skilled personnel can be intense due in part to the more limited pool of qualified personnel as compared to other types of employees. In addition, to the extent Rezolve hires personnel from competitors, Rezolve may be subject to allegations that such personnel have been improperly solicited or divulged proprietary or other confidential information. While Rezolve intends to issue stock options or other equity awards as key components of its overall compensation and employee attraction and retention efforts, it is required under U.S. GAAP to recognize compensation expense in its operating results for employee stock-based compensation under its equity grant programs which may increase the pressure to limit stock-based compensation.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60" w:lineRule="exact"/>
        <w:rPr>
          <w:sz w:val="20"/>
          <w:szCs w:val="20"/>
          <w:color w:val="auto"/>
        </w:rPr>
      </w:pPr>
    </w:p>
    <w:p>
      <w:pPr>
        <w:ind w:firstLine="480"/>
        <w:spacing w:after="0" w:line="270" w:lineRule="auto"/>
        <w:rPr>
          <w:sz w:val="20"/>
          <w:szCs w:val="20"/>
          <w:color w:val="auto"/>
        </w:rPr>
      </w:pPr>
      <w:r>
        <w:rPr>
          <w:rFonts w:ascii="Times New Roman" w:cs="Times New Roman" w:eastAsia="Times New Roman" w:hAnsi="Times New Roman"/>
          <w:sz w:val="9"/>
          <w:szCs w:val="9"/>
          <w:color w:val="auto"/>
        </w:rPr>
        <w:t>Rezolve’s future performance depends on the continued services and contributions of Rezolve’s senior management, including Rezolve’s Chief Executive Officer, Daniel Wagner, Chief Financial Officer, Richard Burchill, Chief Technology Officer, Salman Ahmad, and Chief Executive Officer for Technology, Product and Digital Services, Sauvik Banerjjee, and other key employees to execute its business plan and to identify and pursue new opportunities and offering innovations. The loss of services of senior management or other key employees could significantly delay or prevent the achievement of Rezolve’s strategic objectives. In addition, certain of the members of Rezolve’s current senior management team have only been working together for a short period of time, which could adversely impact Rezolve’s ability to achieve its goals. From time to time, there may be changes in Rezolve’s senior management team resulting from the hiring or departure of executives, which could disrupt Rezolve’s business. Rezolve does not maintain key person life insurance policies on any of its employees other than a policy providing limited coverage on the life of its Chief Executive Officer. The loss of the services of one or more of Rezolve’s senior management or other key employees for any reason could adversely affect Rezolve’s business, financial condition and operating results and require significant amounts of time, training and resources to find suitable replacements and integrate them within Rezolve’s business, and could affect Rezolve’s corporate culture.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expects to be dependent upon consumers’ and merchants’ willingness to use the internet and internet-enabled mobile devices for commerce.</w:t>
      </w:r>
    </w:p>
    <w:p>
      <w:pPr>
        <w:spacing w:after="0" w:line="60"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Rezolve’s success depends upon the general public’s continued willingness to use the internet and internet-enabled mobile devices as a means to pay for purchases, communicate, access social media, research and conduct commercial transactions, including through mobile devices. If consumers or merchants become unwilling or less willing to use the internet or internet-enabled mobile devices for commerce for any reason, including lack of access to high-speed communications equipment, congestion of traffic on the internet, internet outages or delays, disruptions or other damage to merchants’ and consumers’ computers, increases in the cost of accessing the internet and cybersecurity, data protection, and privacy risks or the perception of such risks, Rezolve’s business could be adversely affected.</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0"/>
          <w:szCs w:val="10"/>
          <w:b w:val="1"/>
          <w:bCs w:val="1"/>
          <w:color w:val="auto"/>
        </w:rPr>
        <w:t>Risks related to Rezolve’s Software, Platform, and Security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Rezolve’s software or platform contains serious errors or defects, Rezolve may lose revenues and market acceptance and may incur costs to defend or settle claims with its merchants.</w:t>
      </w:r>
    </w:p>
    <w:p>
      <w:pPr>
        <w:spacing w:after="0" w:line="60" w:lineRule="exact"/>
        <w:rPr>
          <w:sz w:val="20"/>
          <w:szCs w:val="20"/>
          <w:color w:val="auto"/>
        </w:rPr>
      </w:pPr>
    </w:p>
    <w:p>
      <w:pPr>
        <w:ind w:right="100" w:firstLine="480"/>
        <w:spacing w:after="0" w:line="239" w:lineRule="auto"/>
        <w:rPr>
          <w:sz w:val="20"/>
          <w:szCs w:val="20"/>
          <w:color w:val="auto"/>
        </w:rPr>
      </w:pPr>
      <w:r>
        <w:rPr>
          <w:rFonts w:ascii="Times New Roman" w:cs="Times New Roman" w:eastAsia="Times New Roman" w:hAnsi="Times New Roman"/>
          <w:sz w:val="10"/>
          <w:szCs w:val="10"/>
          <w:color w:val="auto"/>
        </w:rPr>
        <w:t>Software or platforms such as Rezolve’s may contain errors, defects, security vulnerabilities or bugs that are difficult to detect and correct, particularly when first introduced or when new versions or enhancements are released. Despite internal testing, Rezolve’s software or platform may contain serious errors or defects, security vulnerabilities or bugs that Rezolve may be unable to successfully detect, correct or otherwise address in a timely manner or at all, which could result in security breaches or incidents, interruptions, lost revenues, significant expenditures of capital, a delay or loss in market acceptance, damage to Rezolve’s reputation and brand, and other harm, any of which could have an adverse effect on its business, financial condition, and operations. Furthermore, Rezolve’s software and platform is a multi-tenant cloud-based system that allows Rezolve to deploy new versions and enhancements to all of its merchants simultaneously. To the extent Rezolve deploys new versions or enhancements that contain errors, defects, security vulnerabilities or bugs to all of its merchants simultaneously, the consequences would be more severe than if such versions or enhancements were only deployed to a smaller number of its merchants.</w:t>
      </w:r>
    </w:p>
    <w:p>
      <w:pPr>
        <w:spacing w:after="0" w:line="110"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Since Rezolve expects its merchants will use its software or platform for processes that are critical to their businesses, errors, defects, security vulnerabilities, service interruptions or bugs, or security breaches or incidents of, Rezolve’s software or platform could result in losses to its merchants. Rezolve’s merchants may seek significant compensation from Rezolve for any losses they suffer or believe they may have suffered or cease conducting business with Rezolve altogether. Further, merchants could share negative information about their experiences with Rezolve on social media or in other channels or forums, which could result in damage to Rezolve’s reputation and loss of future sales. There can be no assurance that provisions typically included in Rezolve’s agreements with its merchants that attempt to limit its exposure to claims would be enforceable or adequate or would otherwise protect Rezolve from liabilities or damages with respect to any particular claim. Even if not successful, a claim brought against Rezolve by any of its merchants would likely be time-consuming and costly to defend against and could seriously damage Rezolve’s reputation and brand, making it harder for Rezolve to sell its offerings and services.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 denial of service attack or security breach or incident could delay or interrupt service to Rezolve’s merchants and their customers, harm Rezolve’s reputation and subject Rezolve to significant liability.</w:t>
      </w:r>
    </w:p>
    <w:p>
      <w:pPr>
        <w:spacing w:after="0" w:line="58" w:lineRule="exact"/>
        <w:rPr>
          <w:sz w:val="20"/>
          <w:szCs w:val="20"/>
          <w:color w:val="auto"/>
        </w:rPr>
      </w:pPr>
    </w:p>
    <w:p>
      <w:pPr>
        <w:ind w:firstLine="480"/>
        <w:spacing w:after="0" w:line="237" w:lineRule="auto"/>
        <w:rPr>
          <w:sz w:val="20"/>
          <w:szCs w:val="20"/>
          <w:color w:val="auto"/>
        </w:rPr>
      </w:pPr>
      <w:r>
        <w:rPr>
          <w:rFonts w:ascii="Times New Roman" w:cs="Times New Roman" w:eastAsia="Times New Roman" w:hAnsi="Times New Roman"/>
          <w:sz w:val="10"/>
          <w:szCs w:val="10"/>
          <w:color w:val="auto"/>
        </w:rPr>
        <w:t>Rezolve’s platform and systems may be subject to distributed denial-of-service (“</w:t>
      </w:r>
      <w:r>
        <w:rPr>
          <w:rFonts w:ascii="Times New Roman" w:cs="Times New Roman" w:eastAsia="Times New Roman" w:hAnsi="Times New Roman"/>
          <w:sz w:val="10"/>
          <w:szCs w:val="10"/>
          <w:b w:val="1"/>
          <w:bCs w:val="1"/>
          <w:i w:val="1"/>
          <w:iCs w:val="1"/>
          <w:color w:val="auto"/>
        </w:rPr>
        <w:t>DDoS</w:t>
      </w:r>
      <w:r>
        <w:rPr>
          <w:rFonts w:ascii="Times New Roman" w:cs="Times New Roman" w:eastAsia="Times New Roman" w:hAnsi="Times New Roman"/>
          <w:sz w:val="10"/>
          <w:szCs w:val="10"/>
          <w:color w:val="auto"/>
        </w:rPr>
        <w:t>”) attacks and other sources of disruption or interruption, or security breaches or incidents, including catastrophic events, error or malfeasance by employees, contractors, or other third parties, equipment malfunction or constraints, software defects or deficiencies, bugs, vulnerabilities, computer viruses, ransomware, and other malware, phishing attacks, and cyberattacks. Rezolve cannot guarantee that applicable recovery systems, security protocols, network protection mechanisms and other procedures or measures are or will be adequate to identify, detect, prevent or mitigate any such events. Techniques used to obtain unauthorized access to systems and data change frequently and the size of DDoS attacks is increasing while other threats, including ransomware, increasingly are prevalent in Rezolve’s industry. Such threats also may be heightened as a result of many of Rezolve’s employees and contractors working remotely. Rezolve may be unable to identify or implement adequate preventative measures for any cyberattack, disruption, interruption or other security breach or incident, cease or mitigate attacks or other sources of system disruptions or security breaches or incidents, or remediate them in a timely manner or at all. A DDoS attack or security breach or incident could delay or interrupt service to Rezolve’s merchants and their customers and may deter consumers from visiting Rezolve’s merchants’ shops. In addition, any actual or perceived DDoS attack or other source of system interruption or disruption, or security breach or incident, could result in a loss of or unauthorized use, alteration, unavailability, disclosure or other processing or compromise of personal data, intellectual property or confidential data of Rezolve and its customers, damage Rezolve’s reputation and brand, result in a loss of business, expose Rezolve to a risk of claims, demands and litigation by private parties, and investigations or other proceedings by governmental authorities, possible fines, penalties and other liabilities, and require Rezolve to expend significant capital and other resources in efforts to alleviate problems caused by the interruption, disruption or security breach or incident. Rezolve also may be required to incur significant costs in an effort to prevent and mitigate system and network disruptions and cyberattacks and other sources of security breaches and incidents. Rezolve engages third -party service providers to store and otherwise process certain of its data, including confidential information and personal and other data relating to individuals. Its service providers may also be the targets of cyberattacks and other malicious activity and other sources of security breaches and incidents, which create similar risks for Rezolve.</w:t>
      </w:r>
    </w:p>
    <w:p>
      <w:pPr>
        <w:spacing w:after="0" w:line="110"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Certain jurisdictions have enacted laws requiring companies to notify individuals of data security breaches involving certain types of personal data and Rezolve’s agreements with certain customers require Rezolve to notify them in the event of a security incident. Such mandatory disclosures or any other disclosures regarding any such event could lead to negative publicity and may cause Rezolve’s merchants to lose confidence in the effectiveness of its data security measures. Moreover, if a high-profile security breach or incident occurs with respect to another SaaS provider, merchants may lose trust in the security of the SaaS business model generally, which could adversely impact Rezolve’s ability to retain existing merchants or attract new ones. Any of these circumstances could have an adverse effect on Rezolve’s business, financial condition and results of operations.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uses a limited number of data centers to deliver its services. Any disruption of service at these facilities could harm Rezolve’s business.</w:t>
      </w:r>
    </w:p>
    <w:p>
      <w:pPr>
        <w:spacing w:after="0" w:line="60" w:lineRule="exact"/>
        <w:rPr>
          <w:sz w:val="20"/>
          <w:szCs w:val="20"/>
          <w:color w:val="auto"/>
        </w:rPr>
      </w:pPr>
    </w:p>
    <w:p>
      <w:pPr>
        <w:ind w:right="40" w:firstLine="480"/>
        <w:spacing w:after="0" w:line="238" w:lineRule="auto"/>
        <w:rPr>
          <w:sz w:val="20"/>
          <w:szCs w:val="20"/>
          <w:color w:val="auto"/>
        </w:rPr>
      </w:pPr>
      <w:r>
        <w:rPr>
          <w:rFonts w:ascii="Times New Roman" w:cs="Times New Roman" w:eastAsia="Times New Roman" w:hAnsi="Times New Roman"/>
          <w:sz w:val="10"/>
          <w:szCs w:val="10"/>
          <w:color w:val="auto"/>
        </w:rPr>
        <w:t>Rezolve currently manages its services and serves all of its merchants from third-party data center facilities. While Rezolve owns the hardware on which its platform runs and deploys this hardware to the data center facilities, Rezolve does not control the operation of these facilities. Rezolve has experienced, and may in the future experience, failures at the third-party data centers where its hardware is deployed. Data centers are vulnerable to damage or interruption from human error, intentional bad acts, earthquakes, hurricanes, floods, fires, conflicts (including the conflict in Ukraine), terrorist attacks, power losses, hardware failures, systems failures, outages, telecommunications failures, and other events. Any of these events could result in lengthy interruptions in Rezolve’s services. Changes in law or regulations applicable to data centers in various jurisdictions, or in their interpretation or enforcement, could also cause a disruption in service. Certain jurisdictions may also impose data localization requirements, which mandate information to be stored in the jurisdiction of origin. These regulations may inhibit Rezolve’s ability to expand into those markets or prohibit Rezolve from offering services in those markets without significant additional costs. Interruptions in Rezolve’s services would reduce its revenues, subject Rezolve to potential liability and adversely affect its ability to retain its merchants or attract new merchants. The performance, reliability and availability of Rezolve’s platform are critical to its reputation and ability to attract merchants. Merchants could share negative information about experiences with Rezolve on social media and in other forums, which could result in damage to Rezolve’s reputation and loss of future sales. Any of the risks above, if realized, could have an adverse effect on Rezolve’s business, financial condition and results of operations.</w:t>
      </w:r>
    </w:p>
    <w:p>
      <w:pPr>
        <w:spacing w:after="0" w:line="166"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39" w:lineRule="exact"/>
        <w:rPr>
          <w:sz w:val="20"/>
          <w:szCs w:val="20"/>
          <w:color w:val="auto"/>
        </w:rPr>
      </w:pPr>
    </w:p>
    <w:p>
      <w:pPr>
        <w:ind w:right="40" w:firstLine="480"/>
        <w:spacing w:after="0" w:line="285" w:lineRule="auto"/>
        <w:rPr>
          <w:sz w:val="20"/>
          <w:szCs w:val="20"/>
          <w:color w:val="auto"/>
        </w:rPr>
      </w:pPr>
      <w:r>
        <w:rPr>
          <w:rFonts w:ascii="Times New Roman" w:cs="Times New Roman" w:eastAsia="Times New Roman" w:hAnsi="Times New Roman"/>
          <w:sz w:val="9"/>
          <w:szCs w:val="9"/>
          <w:color w:val="auto"/>
        </w:rPr>
        <w:t>Providers of internet browsers may from time to time introduce new features that could make it difficult for merchants to use Rezolve’s platform. In addition, internet browsers for desktop or mobile devices could introduce new features or change existing browser specifications, which could result in them being incompatible with Rezolve’s platform, or preventing consumers from accessing Rezolve’s merchants’ shops. Any changes to technologies used in Rezolve’s platform, to existing features that Rezolve relies on, or to operating systems or internet browsers, that make it difficult for merchants to access Rezolve’s platform or consumers to access Rezolve’s merchants’ shops, could adversely impact Rezolve’s business, financial condition, results of operations, and prospects.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relies on computer hardware, purchased or leased, and software licensed from and services rendered by third parties in order to provide its solutions and run its business.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Rezolve relies on computer hardware, purchased or leased, and software licensed from and services rendered by third parties to provide its solutions and run its business. Third-party hardware, software and services may not continue to be available on commercially reasonable terms, or at all. Any loss of the right to use or any failures of third-party hardware, software or services, particularly when such third-party is a sole source supplier to Rezolve, could result in delays in Rezolve’s ability to provide its solutions or run its business until equivalent hardware, software or services are developed by Rezolve or, if available, identified, obtained and integrated, which could be costly and time-consuming and may not result in an equivalent solution, any of which could have an adverse effect on Rezolve’s business, financial condition and operating results. Further, merchants could assert claims against Rezolve in connection with such service disruptions or cease conducting business with Rezolve completely. Even if not successful, a claim brought against Rezolve by any of Rezolve’s merchants would likely be time-consuming and costly to defend and could seriously damage Rezolve’s reputation and brand, making it harder for Rezolve to sell its solutions.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Rezolve does not or cannot maintain the compatibility of its platform with third-party applications that its customers use in their businesses, Rezolve’s revenues will decline.</w:t>
      </w:r>
    </w:p>
    <w:p>
      <w:pPr>
        <w:spacing w:after="0" w:line="60"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Rezolve’s technologies that allow its platform to interoperate with various third-party applications are critically important to its business. Third-party systems are constantly evolving, and it is difficult to predict the challenges that Rezolve may encounter in developing its platform for use with such third-party systems, and Rezolve may not be able to modify its platform to assure its compatibility with the systems of other third parties following any changes to their systems. Without a convenient way for customers that Rezolve expects to have to integrate with Rezolve’s offerings and services, customers may be less likely to renew or upgrade their subscriptions or prospective customers may be less likely to acquire subscriptions, at current prices or at all.</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9" w:name="page30"/>
    <w:bookmarkEnd w:id="29"/>
    <w:p>
      <w:pPr>
        <w:ind w:right="6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39" w:lineRule="exact"/>
        <w:rPr>
          <w:sz w:val="20"/>
          <w:szCs w:val="20"/>
          <w:color w:val="auto"/>
        </w:rPr>
      </w:pPr>
    </w:p>
    <w:p>
      <w:pPr>
        <w:ind w:right="340" w:firstLine="480"/>
        <w:spacing w:after="0" w:line="245" w:lineRule="auto"/>
        <w:rPr>
          <w:sz w:val="20"/>
          <w:szCs w:val="20"/>
          <w:color w:val="auto"/>
        </w:rPr>
      </w:pPr>
      <w:r>
        <w:rPr>
          <w:rFonts w:ascii="Times New Roman" w:cs="Times New Roman" w:eastAsia="Times New Roman" w:hAnsi="Times New Roman"/>
          <w:sz w:val="10"/>
          <w:szCs w:val="10"/>
          <w:color w:val="auto"/>
        </w:rPr>
        <w:t>Rezolve is dependent on the interoperability of its platform with third-party mobile devices and mobile operating systems as well as web browsers that Rezolve does not control. Any changes in such devices, systems or web browsers that degrade the functionality of its platform or give preferential treatment to competitive services could adversely affect usage of its platform. Effective mobile functionality is integral to Rezolve’s current business and long-term development and growth strategy. In the event that Rezolve’s merchants and their customers have difficulty accessing and using Rezolve’s platform on mobile devices, its business, financial condition, and operating results could be adversely affected.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Rezolve may in the future store and otherwise processes data, including personal data, credit card information, and other confidential information, of its merchants and their customers. Rezolve does not expect to regularly monitor or review the content of data that its merchants upload and store and, therefore, does not control the substance of the content on its servers, which may include personal data. Rezolve may experience successful attempts by third parties to obtain unauthorized access to, or to exfiltrate, alter, or otherwise process without authorization, data of its merchants and their customers. This data could also be lost, used, altered, rendered unavailable, disclosed or otherwise processed or compromised through human error or malfeasance. The unauthorized access to, or loss, unauthorized use, alteration, unavailability, disclosure, processing or other compromise of, this data could have an adverse effect on Rezolve’s business, financial condition and results of operations.</w:t>
      </w:r>
    </w:p>
    <w:p>
      <w:pPr>
        <w:spacing w:after="0" w:line="106"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10"/>
          <w:szCs w:val="10"/>
          <w:color w:val="auto"/>
        </w:rPr>
        <w:t>Rezolve is also subject to laws and regulations regarding privacy, data protection, and cybersecurity, including the EU General Data Protection Regulation, the UK General Data Protection Regulation, and the ePrivacy Directive (collectively, “</w:t>
      </w:r>
      <w:r>
        <w:rPr>
          <w:rFonts w:ascii="Times New Roman" w:cs="Times New Roman" w:eastAsia="Times New Roman" w:hAnsi="Times New Roman"/>
          <w:sz w:val="10"/>
          <w:szCs w:val="10"/>
          <w:b w:val="1"/>
          <w:bCs w:val="1"/>
          <w:i w:val="1"/>
          <w:iCs w:val="1"/>
          <w:color w:val="auto"/>
        </w:rPr>
        <w:t>European Data</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i w:val="1"/>
          <w:iCs w:val="1"/>
          <w:color w:val="auto"/>
        </w:rPr>
        <w:t xml:space="preserve">Protection Laws </w:t>
      </w:r>
      <w:r>
        <w:rPr>
          <w:rFonts w:ascii="Times New Roman" w:cs="Times New Roman" w:eastAsia="Times New Roman" w:hAnsi="Times New Roman"/>
          <w:sz w:val="10"/>
          <w:szCs w:val="10"/>
          <w:color w:val="auto"/>
        </w:rPr>
        <w:t>”). European Data Protection Laws regulate the collection, use and other processing of personal data, and impose requirements in connection with such processing that often are more restrictive than in other jurisdictions. For example, European Data</w:t>
      </w:r>
      <w:r>
        <w:rPr>
          <w:rFonts w:ascii="Times New Roman" w:cs="Times New Roman" w:eastAsia="Times New Roman" w:hAnsi="Times New Roman"/>
          <w:sz w:val="10"/>
          <w:szCs w:val="10"/>
          <w:b w:val="1"/>
          <w:bCs w:val="1"/>
          <w:i w:val="1"/>
          <w:iCs w:val="1"/>
          <w:color w:val="auto"/>
        </w:rPr>
        <w:t xml:space="preserve"> </w:t>
      </w:r>
      <w:r>
        <w:rPr>
          <w:rFonts w:ascii="Times New Roman" w:cs="Times New Roman" w:eastAsia="Times New Roman" w:hAnsi="Times New Roman"/>
          <w:sz w:val="10"/>
          <w:szCs w:val="10"/>
          <w:color w:val="auto"/>
        </w:rPr>
        <w:t>Protection Laws may, for example, require companies processing personal data on behalf of customers to cooperate with data protection authorities, implement security measures, enter into data processing agreements, execute standard contractual clauses to effectuate data transfers to third countries, and keep records of data processing activities. Numerous other jurisdictions have also proposed or enacted laws and regulations addressing these matters.</w:t>
      </w:r>
    </w:p>
    <w:p>
      <w:pPr>
        <w:spacing w:after="0" w:line="106" w:lineRule="exact"/>
        <w:rPr>
          <w:sz w:val="20"/>
          <w:szCs w:val="20"/>
          <w:color w:val="auto"/>
        </w:rPr>
      </w:pPr>
    </w:p>
    <w:p>
      <w:pPr>
        <w:ind w:right="40" w:firstLine="480"/>
        <w:spacing w:after="0" w:line="266" w:lineRule="auto"/>
        <w:rPr>
          <w:sz w:val="20"/>
          <w:szCs w:val="20"/>
          <w:color w:val="auto"/>
        </w:rPr>
      </w:pPr>
      <w:r>
        <w:rPr>
          <w:rFonts w:ascii="Times New Roman" w:cs="Times New Roman" w:eastAsia="Times New Roman" w:hAnsi="Times New Roman"/>
          <w:sz w:val="9"/>
          <w:szCs w:val="9"/>
          <w:color w:val="auto"/>
        </w:rPr>
        <w:t>European Data Protection Laws and other laws, regulations and other actual and asserted obligations applicable to privacy, data protection and cybersecurity evolve rapidly and are subject to varying interpretations, and Rezolve may not be or have been, and may face allegations that its activities are not or have not been, compliant with such applicable laws, regulation, or obligations. Certain jurisdictions have enacted laws requiring companies to notify individuals of data security breaches involving certain types of personal data and Rezolve’s agreements with certain merchants require Rezolve to notify them in the event of a security incident. Rezolve posts on its website its privacy policy and terms of service, which describe its practices concerning the use, transmission and disclosure of merchant data and certain other data relating to their customers. In addition, the interpretation of laws, regulations, and obligations in certain jurisdictions, and their application to Rezolve, are unclear and in a state of flux. There is a risk that these laws, regulations, and obligations may be interpreted and applied in conflicting ways, and in manners inconsistent with Rezolve’s practices. Changes to laws, regulations, and other obligations applicable or alleged to be applicable to Rezolve, including certain industry standards and contractual obligations, such as the Payment Card Industry Data Security Standard, may impose more stringent requirements for compliance and impose significant penalties for non -compliance or provide for significant damages in the event of breach or violation. Rezolve expects that there will continue to be new proposed laws, regulations, and obligations relating to privacy, data protection, and cybersecurity, including in the European Economic Area, the United Kingdom and other jurisdictions, and Rezolve cannot yet determine the impact such future laws, regulations, and obligations may have on its business. Any such new laws, regulations, or other actual or asserted obligations relating to privacy, data protection or cybersecurity, or changing interpretations of such laws, regulations, or obligations, may cause Rezolve to modify its policies and practices, which may involve expending substantial costs and require substantial time and effort from management and technical personnel, in efforts to comply with them. Because Rezolve’s services are accessible worldwide, certain foreign jurisdictions may claim that Rezolve is required to comply with their laws, regulations, and obligations, including in jurisdictions where Rezolve has no local entity, employees or infrastructure.</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30" w:name="page31"/>
    <w:bookmarkEnd w:id="30"/>
    <w:p>
      <w:pPr>
        <w:ind w:firstLine="480"/>
        <w:spacing w:after="0" w:line="267" w:lineRule="auto"/>
        <w:rPr>
          <w:sz w:val="20"/>
          <w:szCs w:val="20"/>
          <w:color w:val="auto"/>
        </w:rPr>
      </w:pPr>
      <w:r>
        <w:rPr>
          <w:rFonts w:ascii="Times New Roman" w:cs="Times New Roman" w:eastAsia="Times New Roman" w:hAnsi="Times New Roman"/>
          <w:sz w:val="9"/>
          <w:szCs w:val="9"/>
          <w:color w:val="auto"/>
        </w:rPr>
        <w:t>Rezolve’s failure or perceived failure to comply with federal, state, provincial, and foreign laws, regulations, or other actual and asserted obligations regarding privacy, data protection or cybersecurity could lead to investigations, inquiries, and other proceedings by governmental authorities, significant fines, penalties and other liabilities imposed by regulators, as well as claims, demands and litigation by Rezolve’s merchants or their customers or other private actors. These matters could force Rezolve to spend money in efforts to defend or settle proceedings, result in the imposition of monetary and other liabilities, including orders to modify or cease certain practices and other obligations, divert management’s time and attention, increase Rezolve’s costs of doing business, and adversely affect Rezolve’s reputation and market position and the demand for Rezolve’s solutions. For example, noncompliance with the UK General Data Protection Regulation can trigger fines of up to GBP 17.5 million or 4% of global annual revenues, whichever is higher. If Rezolve’s efforts to comply with laws, regulations, and obligations are not or are not perceived to be successful, Rezolve may be subject to penalties and fines that could adversely impact its business, financial condition, and operating results, and could face significant impairment of its ability to conduct business in the United Kingdom, the European Economic Area, and other jurisdictions. In addition, if Rezolve’s security measures fail to protect credit card information adequately, Rezolve could be liable to both its merchants and their customers for their losses, as well as Rezolve’s payments processing partners under its agreements with them. As a result, Rezolve could be subject to fines and higher transaction fees, Rezolve could lose its ability to accept certain types of payments, Rezolve could face regulatory and private action, and Rezolve’s merchants could end their relationships with it. There can be no assurance that the limitations of liability in Rezolve’s contracts would be enforceable or adequate or would otherwise protect Rezolve from any such liabilities or damages with respect to any particular claim. The successful assertion of one or more large claims against Rezolve could have an adverse effect on Rezolve’s business, financial condition and 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related to Rezolve’s Brand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brand is important to its success. If Rezolve fails to effectively maintain, promote and enhance Rezolve’s brand, Rezolve’s business and competitive advantage may be harmed.</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Rezolve believes that maintaining, promoting and enhancing the Rezolve brand is important to expanding its business. Maintaining and enhancing Rezolve’s brand will depend largely on Rezolve’s ability to provide high-quality, well-designed, useful, reliable and innovative solutions, which Rezolve may not do successfully.</w:t>
      </w:r>
    </w:p>
    <w:p>
      <w:pPr>
        <w:spacing w:after="0" w:line="101"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Errors, defects, disruptions or other performance problems with Rezolve’s platform may harm Rezolve’s reputation and brand. Rezolve may introduce new solutions or terms of service that its merchants and their customers do not like, which may negatively affect Rezolve’s brand. Additionally, if Rezolve’s merchants or their customers have a negative experience using Rezolve’s solutions such an experience may affect Rezolve’s brand.</w:t>
      </w:r>
    </w:p>
    <w:p>
      <w:pPr>
        <w:spacing w:after="0" w:line="101"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Rezolve believes that the importance of brand recognition will increase as competition in its market increases. In addition to Rezolve’s ability to provide reliable and useful solutions at competitive prices, successful promotion of its brand will depend on the effectiveness of its marketing efforts. While Rezolve markets its platform primarily through advertisements, targeted media campaigns and social networking and media sites, Rezolve’s platform is also marketed through a number of free-traffic sources, including customer referrals and word-of-mouth. Rezolve’s efforts to market its brand have involved significant expenses, which Rezolve intends to increase. Rezolve’s marketing spend may not yield increased revenues, and even if it does, any increased revenues may not offset the expenses Rezolve incurs in building and maintaining its brand.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Activities of merchants or the content of their shops could damage Rezolve’s brand, subject Rezolve to liability and harm its business and financial results.</w:t>
      </w:r>
    </w:p>
    <w:p>
      <w:pPr>
        <w:spacing w:after="0" w:line="60" w:lineRule="exact"/>
        <w:rPr>
          <w:sz w:val="20"/>
          <w:szCs w:val="20"/>
          <w:color w:val="auto"/>
        </w:rPr>
      </w:pPr>
    </w:p>
    <w:p>
      <w:pPr>
        <w:ind w:right="40" w:firstLine="480"/>
        <w:spacing w:after="0" w:line="273" w:lineRule="auto"/>
        <w:rPr>
          <w:sz w:val="20"/>
          <w:szCs w:val="20"/>
          <w:color w:val="auto"/>
        </w:rPr>
      </w:pPr>
      <w:r>
        <w:rPr>
          <w:rFonts w:ascii="Times New Roman" w:cs="Times New Roman" w:eastAsia="Times New Roman" w:hAnsi="Times New Roman"/>
          <w:sz w:val="9"/>
          <w:szCs w:val="9"/>
          <w:color w:val="auto"/>
        </w:rPr>
        <w:t>Rezolve’s terms of service prohibit Rezolve’s merchants from using Rezolve’s platform to engage in illegal activities and Rezolve’s terms of service permit Rezolve to take down a merchant’s shop if Rezolve becomes aware of such illegal use. Merchants may nonetheless engage in prohibited or illegal activities or upload store content in violation of applicable laws, which could subject Rezolve to liability. Furthermore, Rezolve’s brand may be negatively impacted by the actions of merchants that are deemed to be hostile, offensive, inappropriate or illegal. Rezolve does not proactively monitor or review the appropriateness of the content of Rezolve’s merchants’ shops and Rezolve does not have control over merchant activities. The safeguards Rezolve has in place, including deep-learning tools which analyze text, URLs, images, audio and video for unwanted material (including, but not limited to, profanity, mature or adult material, content depicting violence, hate speech, depictions of illegal drugs and data or internet locations recognized as spam), may not be sufficient for Rezolve to avoid liability or avoid harm to Rezolve’s brand, especially if such hostile, offensive, inappropriate or illegal use is high profile, which could adversely affect Rezolve’s business and financial results.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0"/>
          <w:szCs w:val="10"/>
          <w:b w:val="1"/>
          <w:bCs w:val="1"/>
          <w:i w:val="1"/>
          <w:iCs w:val="1"/>
          <w:color w:val="auto"/>
        </w:rPr>
        <w:t>If Rezolve fails to maintain a consistently high level of customer service, Rezolve’s brand, business and financial results may be harmed.</w:t>
      </w:r>
    </w:p>
    <w:p>
      <w:pPr>
        <w:spacing w:after="0" w:line="60"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Rezolve believes its focus on customer service and support is critical to onboarding new merchants and growing its business. As a result, Rezolve has invested heavily in the quality and training of its support team along with the tools used to provide this service. If Rezolve is unable to maintain a consistently high level of customer service, Rezolve may lose customers. In addition, Rezolve’s ability to attract new merchants is highly dependent on its reputation and on positive recommendations from its existing merchants. If Rezolve fails to achieve and maintain a consistently high level of customer service, or there is a market perception that Rezolve does not maintain high-quality customer service, such failure or perception could adversely affect Rezolve’s reputation and the number of positive merchant referrals that it receives.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Relating to Rezolve’s Intellectual Property</w:t>
      </w:r>
    </w:p>
    <w:p>
      <w:pPr>
        <w:spacing w:after="0" w:line="58"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39" w:lineRule="exact"/>
        <w:rPr>
          <w:sz w:val="20"/>
          <w:szCs w:val="20"/>
          <w:color w:val="auto"/>
        </w:rPr>
      </w:pPr>
    </w:p>
    <w:p>
      <w:pPr>
        <w:ind w:right="40" w:firstLine="480"/>
        <w:spacing w:after="0" w:line="273" w:lineRule="auto"/>
        <w:rPr>
          <w:sz w:val="20"/>
          <w:szCs w:val="20"/>
          <w:color w:val="auto"/>
        </w:rPr>
      </w:pPr>
      <w:r>
        <w:rPr>
          <w:rFonts w:ascii="Times New Roman" w:cs="Times New Roman" w:eastAsia="Times New Roman" w:hAnsi="Times New Roman"/>
          <w:sz w:val="9"/>
          <w:szCs w:val="9"/>
          <w:color w:val="auto"/>
        </w:rPr>
        <w:t>Rezolve’s intellectual property rights are important to its business. Rezolve relies on the rights and protections afforded by a combination of confidentiality clauses with employees and third parties, trade secrets, copyrights, patents and trademarks to protect its intellectual property, all of which offer only limited protection. The steps Rezolve takes to protect its intellectual property require significant resources and may be inadequate. Rezolve will not be able to protect its intellectual property if Rezolve is unable to enforce its rights or if Rezolve does not detect or is otherwise not made aware of unauthorized use of its intellectual property. Rezolve may be required to use significant resources to monitor and protect these rights. Despite Rezolve’s precautions, it may be possible for unauthorized third parties to copy its platform and use information that Rezolve regards as proprietary to create services that compete with, or otherwise undermine, Rezolve’s. Certain license provisions protecting against unauthorized use, copying, transfer and disclosure of Rezolve’s intellectual property and/or proprietary information may be unenforceable under the laws of certain jurisdictions and foreign countries, or, if legally enforceable, may otherwise be difficult to enforce for other business and legal reasons.</w:t>
      </w:r>
    </w:p>
    <w:p>
      <w:pPr>
        <w:spacing w:after="0" w:line="94" w:lineRule="exact"/>
        <w:rPr>
          <w:sz w:val="20"/>
          <w:szCs w:val="20"/>
          <w:color w:val="auto"/>
        </w:rPr>
      </w:pPr>
    </w:p>
    <w:p>
      <w:pPr>
        <w:ind w:right="100" w:firstLine="480"/>
        <w:spacing w:after="0" w:line="238" w:lineRule="auto"/>
        <w:rPr>
          <w:sz w:val="20"/>
          <w:szCs w:val="20"/>
          <w:color w:val="auto"/>
        </w:rPr>
      </w:pPr>
      <w:r>
        <w:rPr>
          <w:rFonts w:ascii="Times New Roman" w:cs="Times New Roman" w:eastAsia="Times New Roman" w:hAnsi="Times New Roman"/>
          <w:sz w:val="10"/>
          <w:szCs w:val="10"/>
          <w:color w:val="auto"/>
        </w:rPr>
        <w:t>Rezolve enters into confidentiality and invention assignment agreements with its employees and consultants and enters into confidentiality agreements with the parties with whom it has strategic relationships and business alliances. No assurance can be given that these agreements will be effective in controlling access to Rezolve’s proprietary information and trade secrets. The confidentiality agreements on which Rezolve relies to protect certain technologies may be breached, may not be adequate to protect Rezolve’s confidential information, trade secrets and proprietary technologies and may not provide an adequate remedy in the event of unauthorized use or disclosure of its confidential information, trade secrets or proprietary technology. Further, these agreements do not prevent Rezolve’s competitors or others from independently developing software that is substantially equivalent or superior to Rezolve’s software. In addition, others may independently discover Rezolve’s trade secrets and confidential information, and in such cases, Rezolve likely would not be able to assert any trade secret rights against such parties. Additionally, Rezolve may from time to time be subject to opposition or similar proceedings with respect to applications for registrations of its intellectual property, including its patents and trademarks. While Rezolve aims to acquire adequate protection of its brand through trademark registrations in key markets, occasionally third parties may have already registered or otherwise acquired rights to identical or similar marks for similar, related, or complimentary services. Rezolve relies on its brand and trademarks to identify its platform and to differentiate its platform and services from those of its competitors, and if Rezolve is unable to adequately protect its trademarks, third parties may use its brand names or trademarks similar to Rezolve’s in a manner that may cause confusion in the market, which could decrease the value of Rezolve’s brand and adversely affect Rezolve’s business and competitive advantages.</w:t>
      </w:r>
    </w:p>
    <w:p>
      <w:pPr>
        <w:spacing w:after="0" w:line="108"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Policing unauthorized use of Rezolve’s intellectual property and misappropriation of Rezolve’s technology and trade secrets is difficult and Rezolve may not always be aware of such unauthorized use or misappropriation. Despite Rezolve’s efforts to protect its intellectual property rights, unauthorized third parties may attempt to use, copy or otherwise obtain and market or distribute its intellectual property rights or technology or otherwise develop services with the same or similar functionality as Rezolve’s platform. If Rezolve’s competitors infringe, misappropriate or otherwise misuse Rezolve’s intellectual property rights and Rezolve is not adequately protected, or if Rezolve’s competitors are able to develop a platform with the same or similar functionality as Rezolve’s without infringing Rezolve’s intellectual property, Rezolve’s competitive advantage and results of operations could be harmed. Litigation brought to protect and enforce Rezolve’s intellectual property rights could be costly, time consuming and distracting to management and could result in the impairment, dilution, or loss of portions of Rezolve’s intellectual property rights. As a result, Rezolve may be aware of infringement by its competitors but may choose not to bring litigation to enforce its intellectual property rights due to the strategic considerations, cost, time and distraction of bringing such litigation. Furthermore, if Rezolve does decide to bring litigation, its efforts to enforce its intellectual property rights may be met with defenses, counterclaims or countersuits challenging or opposing Rezolve’s right to use and otherwise exploit particular intellectual property rights, services and technology or the enforceability of Rezolve’s intellectual property rights. Rezolve’s inability to protect its proprietary technology against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32" w:name="page33"/>
    <w:bookmarkEnd w:id="32"/>
    <w:p>
      <w:pPr>
        <w:jc w:val="both"/>
        <w:ind w:right="180"/>
        <w:spacing w:after="0" w:line="245" w:lineRule="auto"/>
        <w:rPr>
          <w:sz w:val="20"/>
          <w:szCs w:val="20"/>
          <w:color w:val="auto"/>
        </w:rPr>
      </w:pPr>
      <w:r>
        <w:rPr>
          <w:rFonts w:ascii="Times New Roman" w:cs="Times New Roman" w:eastAsia="Times New Roman" w:hAnsi="Times New Roman"/>
          <w:sz w:val="10"/>
          <w:szCs w:val="10"/>
          <w:color w:val="auto"/>
        </w:rPr>
        <w:t>unauthorized copying or use, as well as any costly litigation or diversion of Rezolve’s management’s attention and resources, could delay further sales or the implementation of Rezolve’s services and offerings, impair the functionality of Rezolve’s platform, prevent or delay introductions of new or enhanced services or offerings, result in Rezolve substituting inferior or more costly technologies into Rezolve’s platform or injure Rezolve’s reputation. Furthermore, many of Rezolve’s current and potential competitors have the ability to dedicate substantially greater resources to developing and protecting their technology or intellectual property rights than Rezolve does.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may be subject to claims by third parties of intellectual property infringement.</w:t>
      </w:r>
    </w:p>
    <w:p>
      <w:pPr>
        <w:spacing w:after="0" w:line="60" w:lineRule="exact"/>
        <w:rPr>
          <w:sz w:val="20"/>
          <w:szCs w:val="20"/>
          <w:color w:val="auto"/>
        </w:rPr>
      </w:pPr>
    </w:p>
    <w:p>
      <w:pPr>
        <w:ind w:right="100" w:firstLine="480"/>
        <w:spacing w:after="0" w:line="239" w:lineRule="auto"/>
        <w:rPr>
          <w:sz w:val="20"/>
          <w:szCs w:val="20"/>
          <w:color w:val="auto"/>
        </w:rPr>
      </w:pPr>
      <w:r>
        <w:rPr>
          <w:rFonts w:ascii="Times New Roman" w:cs="Times New Roman" w:eastAsia="Times New Roman" w:hAnsi="Times New Roman"/>
          <w:sz w:val="10"/>
          <w:szCs w:val="10"/>
          <w:color w:val="auto"/>
        </w:rPr>
        <w:t>The software industry is characterized by the existence of a large number of patents and frequent claims and related litigation regarding patents and other intellectual property rights. Third parties may have in the past asserted, and may in the future assert, that Rezolve’s platform, solutions, technology, methods or practices infringe, misappropriate or otherwise violate their intellectual property or other proprietary rights. Such claims may be made by Rezolve’s competitors seeking to obtain a competitive advantage or by other parties. Additionally, in recent years, non-practicing entities have begun purchasing intellectual property assets for the purpose of making claims of infringement and attempting to extract settlements from companies like Rezolve. The risk of claims may increase as the number of solutions that Rezolve offers and competitors in Rezolve’s market increases and overlaps occur. In addition, to the extent that Rezolve gains greater visibility and market exposure, Rezolve faces a higher risk of being the subject of intellectual property infringement claims.</w:t>
      </w:r>
    </w:p>
    <w:p>
      <w:pPr>
        <w:spacing w:after="0" w:line="110" w:lineRule="exact"/>
        <w:rPr>
          <w:sz w:val="20"/>
          <w:szCs w:val="20"/>
          <w:color w:val="auto"/>
        </w:rPr>
      </w:pPr>
    </w:p>
    <w:p>
      <w:pPr>
        <w:ind w:right="80" w:firstLine="480"/>
        <w:spacing w:after="0" w:line="269" w:lineRule="auto"/>
        <w:rPr>
          <w:sz w:val="20"/>
          <w:szCs w:val="20"/>
          <w:color w:val="auto"/>
        </w:rPr>
      </w:pPr>
      <w:r>
        <w:rPr>
          <w:rFonts w:ascii="Times New Roman" w:cs="Times New Roman" w:eastAsia="Times New Roman" w:hAnsi="Times New Roman"/>
          <w:sz w:val="9"/>
          <w:szCs w:val="9"/>
          <w:color w:val="auto"/>
        </w:rPr>
        <w:t>Any such claims, regardless of merit, that result in litigation could result in substantial expenses, divert the attention of management, cause significant delays in introducing new or enhanced services or technology, materially disrupt the conduct of Rezolve’s business and have a material and adverse effect on Rezolve’s brand, business, financial condition and results of operations. It is possible that patents have been issued to third parties that cover all or a portion of Rezolve’s business. As a consequence of any patent or other intellectual property claims, Rezolve could be required to pay substantial damages, develop non- infringing technology, enter into royalty-bearing licensing agreements, stop selling or marketing some or all of Rezolve’s solutions or re- brand its solutions. Rezolve may also be obligated to indemnify its merchants or partners or pay substantial settlement costs, including royalty payments, in connection with any such claim or litigation and to obtain licenses, modify applications or refund fees, which could be costly. If it appears necessary, Rezolve may seek to secure license rights to intellectual property that Rezolve is alleged to infringe at a significant cost, potentially even if Rezolve believes such claims to be without merit. If required licenses cannot be obtained, or if existing licenses are not renewed, litigation could result. Litigation is inherently uncertain and can cause Rezolve to expend significant resources, time and attention to it, even if Rezolve is ultimately successful. Any adverse decision could result in a loss of Rezolve’s proprietary rights, subject Rezolve to significant liabilities, require Rezolve to seek licenses for alternative technologies from third parties, prevent Rezolve from offering all or a portion of its solutions and otherwise negatively affect its business and operating results.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use of “open source” software could negatively affect its ability to sell its solutions and subject Rezolve to possible litigation.</w:t>
      </w:r>
    </w:p>
    <w:p>
      <w:pPr>
        <w:spacing w:after="0" w:line="60" w:lineRule="exact"/>
        <w:rPr>
          <w:sz w:val="20"/>
          <w:szCs w:val="20"/>
          <w:color w:val="auto"/>
        </w:rPr>
      </w:pPr>
    </w:p>
    <w:p>
      <w:pPr>
        <w:ind w:firstLine="480"/>
        <w:spacing w:after="0" w:line="266" w:lineRule="auto"/>
        <w:rPr>
          <w:sz w:val="20"/>
          <w:szCs w:val="20"/>
          <w:color w:val="auto"/>
        </w:rPr>
      </w:pPr>
      <w:r>
        <w:rPr>
          <w:rFonts w:ascii="Times New Roman" w:cs="Times New Roman" w:eastAsia="Times New Roman" w:hAnsi="Times New Roman"/>
          <w:sz w:val="9"/>
          <w:szCs w:val="9"/>
          <w:color w:val="auto"/>
        </w:rPr>
        <w:t>Rezolve’s solutions incorporate and are significantly dependent on the use and development of “open source” software and Rezolve intends to continue the use and development of open source software in the future. Such open source software is generally licensed by its authors or other third parties under open source licenses and is typically freely accessible, usable and modifiable. Pursuant to such open source licenses, Rezolve may be subject to certain conditions, including requirements that Rezolve offers its proprietary software that incorporates the open source software for no cost, that Rezolve makes available source code for modifications or derivative works it creates based upon, incorporating or using the open source software and that Rezolve licenses such modifications or derivative works under the terms of the particular open source license. If an author or other third party that uses or distributes such open source software were to allege that Rezolve had not complied with the conditions of one or more of these licenses, Rezolve could be required to incur significant legal expenses defending against such allegations and could be subject to significant damages, enjoined from the sale of Rezolve’s solutions that contained or are dependent upon the open-source software and required to comply with the foregoing conditions, which could disrupt the distribution and sale of some of Rezolve’s solutions. Litigation related to the use of open-source software could be costly for Rezolve to defend, have a negative effect on its operating results and financial condition or require it to devote additional research and development resources to change its platform. The terms of many open-source licenses to which Rezolve is subject have not been interpreted by U.S. or foreign courts. As there is little or no legal precedent governing the interpretation of many of the terms of certain of these licenses, the potential impact of these terms on Rezolve’s business is uncertain and may result in unanticipated obligations regarding Rezolve’s solutions and technologies. It is Rezolve’s view that it does not distribute its software, since no installation of software is necessary and its platform is accessible solely through the “cloud.” Nevertheless, this position could be challenged. Any requirement to disclose Rezolve’s proprietary source code, termination of open-source license rights or payments of damages for breach of contract could be harmful to Rezolve’s business, results of operations or financial condition, and could help Rezolve’s competitors develop products, offerings and services that are similar to or better than Rezolve’s.</w:t>
      </w:r>
    </w:p>
    <w:p>
      <w:pPr>
        <w:spacing w:after="0" w:line="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33" w:name="page34"/>
    <w:bookmarkEnd w:id="33"/>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In addition to risks related to license requirements, usage of open-source software can lead to greater risks than the use of third-party commercial software, as open source licensors generally do not provide warranties, controls on the origin or development of the software, or remedies against the licensors. Many of the risks associated with usage of open source software cannot be eliminated and could adversely affect Rezolve’s business.</w:t>
      </w:r>
    </w:p>
    <w:p>
      <w:pPr>
        <w:spacing w:after="0" w:line="101" w:lineRule="exact"/>
        <w:rPr>
          <w:sz w:val="20"/>
          <w:szCs w:val="20"/>
          <w:color w:val="auto"/>
        </w:rPr>
      </w:pPr>
    </w:p>
    <w:p>
      <w:pPr>
        <w:ind w:right="260" w:firstLine="480"/>
        <w:spacing w:after="0" w:line="241" w:lineRule="auto"/>
        <w:rPr>
          <w:sz w:val="20"/>
          <w:szCs w:val="20"/>
          <w:color w:val="auto"/>
        </w:rPr>
      </w:pPr>
      <w:r>
        <w:rPr>
          <w:rFonts w:ascii="Times New Roman" w:cs="Times New Roman" w:eastAsia="Times New Roman" w:hAnsi="Times New Roman"/>
          <w:sz w:val="10"/>
          <w:szCs w:val="10"/>
          <w:color w:val="auto"/>
        </w:rPr>
        <w:t>Although Rezolve believes that it has complied with its obligations under the various applicable licenses for open source software, it is possible that Rezolve may not be aware of all instances where open- source software has been incorporated into its proprietary software or used in connection with its solutions or its corresponding obligations under open-source licenses. Rezolve has open-source software usage policies or monitoring procedures in place but cannot assure that such policies and procedures will be effective in avoiding improper use of open-source software. To the extent that Rezolve has failed to comply with its obligations under particular licenses for open-source software, Rezolve may lose the right to continue to use and exploit such open-source software in connection with its operations and solutions, which could disrupt and adversely affect its business.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Relating to Legal and Regulatory Compliance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Claims for indemnification by Rezolve’s directors and officers may reduce Rezolve’s available funds to satisfy successful third-party claims against Rezolve and may reduce the amount of money available to Rezolve.</w:t>
      </w:r>
    </w:p>
    <w:p>
      <w:pPr>
        <w:spacing w:after="0" w:line="60" w:lineRule="exact"/>
        <w:rPr>
          <w:sz w:val="20"/>
          <w:szCs w:val="20"/>
          <w:color w:val="auto"/>
        </w:rPr>
      </w:pPr>
    </w:p>
    <w:p>
      <w:pPr>
        <w:ind w:right="20" w:firstLine="480"/>
        <w:spacing w:after="0" w:line="236" w:lineRule="auto"/>
        <w:rPr>
          <w:sz w:val="20"/>
          <w:szCs w:val="20"/>
          <w:color w:val="auto"/>
        </w:rPr>
      </w:pPr>
      <w:r>
        <w:rPr>
          <w:rFonts w:ascii="Times New Roman" w:cs="Times New Roman" w:eastAsia="Times New Roman" w:hAnsi="Times New Roman"/>
          <w:sz w:val="10"/>
          <w:szCs w:val="10"/>
          <w:color w:val="auto"/>
        </w:rPr>
        <w:t>Rezolve’s Memorandum and Articles of Association provide that Rezolve will indemnify its directors and officers, in each case to the fullest extent permitted by English law. More particularly, as permitted by English law, Rezolve’s Memorandum and Articles of Association and its indemnification agreements entered into with its directors and officers provide that, subject to the exceptions and limitations listed below, every person who is, or has been, a director or officer of Rezolve or a direct or indirect subsidiary of Rezolve shall be indemnified by Rezolve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 However, no indemnification shall be provided to any director or officer of Rezolve or a direct or indirect subsidiary of Rezolve (i) by reason of willful misfeasance, bad faith, gross negligence, or reckless disregard of the duties of a director or officer, (ii) with respect to any matter as to which any director or officer has been finally adjudicated to have acted in bad faith and against the interest of Rezolve, or (iii) in the event of a settlement, unless approved by a court or the board of directors. Rezolve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Rezolve or a direct or indirect subsidiary of Rezolve. The right of indemnification will be severable, will not affect any other rights to which any director or officer of Rezolve or a direct or indirect subsidiary of Rezolve 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including directors and officers, may be entitled by contract or otherwise under law. Expenses in connection with the preparation and representation of a defense of any claim, action, suit or proceeding will be advanced by Rezolve prior to final disposition thereof upon receipt of any undertaking by or on behalf of the officer or director, to repay such amount if it is ultimately determined that he or she is not entitled to indemnification.</w:t>
      </w:r>
    </w:p>
    <w:p>
      <w:pPr>
        <w:spacing w:after="0" w:line="1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39" w:lineRule="exact"/>
        <w:rPr>
          <w:sz w:val="20"/>
          <w:szCs w:val="20"/>
          <w:color w:val="auto"/>
        </w:rPr>
      </w:pPr>
    </w:p>
    <w:p>
      <w:pPr>
        <w:ind w:right="160" w:firstLine="480"/>
        <w:spacing w:after="0" w:line="245" w:lineRule="auto"/>
        <w:rPr>
          <w:sz w:val="20"/>
          <w:szCs w:val="20"/>
          <w:color w:val="auto"/>
        </w:rPr>
      </w:pPr>
      <w:r>
        <w:rPr>
          <w:rFonts w:ascii="Times New Roman" w:cs="Times New Roman" w:eastAsia="Times New Roman" w:hAnsi="Times New Roman"/>
          <w:sz w:val="10"/>
          <w:szCs w:val="10"/>
          <w:color w:val="auto"/>
        </w:rPr>
        <w:t>Rezolve is subject to the U.S. Foreign Corrupt Practices Act, the U.K. Bribery Act 2010, and possibly other anti-bribery and anti-corruption laws and anti-money laundering laws in countries outside of the United States where Rezolve conducts its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05"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Rezolve may leverage third parties to sell its offerings and conduct its business abroad. Rezolve, its employees, agents, representatives, business partners and third-party intermediaries may have direct or indirect interactions with officials and employees of government agencies or state-owned or affiliated entities, and Rezolve may be held liable for the corrupt or other illegal activities of these employees, agents, representatives, business partners or third-party intermediaries even if Rezolve does not explicitly authorize such activities. Rezolve cannot assure you that all of its employees and agents will not take actions in violation of applicable law, for which Rezolve may be ultimately held responsible. As Rezolve increases its international sales and business, Rezolve’s risks under these laws may increase.</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34" w:name="page35"/>
    <w:bookmarkEnd w:id="34"/>
    <w:p>
      <w:pPr>
        <w:jc w:val="both"/>
        <w:ind w:firstLine="480"/>
        <w:spacing w:after="0" w:line="255" w:lineRule="auto"/>
        <w:rPr>
          <w:sz w:val="20"/>
          <w:szCs w:val="20"/>
          <w:color w:val="auto"/>
        </w:rPr>
      </w:pPr>
      <w:r>
        <w:rPr>
          <w:rFonts w:ascii="Times New Roman" w:cs="Times New Roman" w:eastAsia="Times New Roman" w:hAnsi="Times New Roman"/>
          <w:sz w:val="10"/>
          <w:szCs w:val="10"/>
          <w:color w:val="auto"/>
        </w:rPr>
        <w:t>These laws also require that Rezolve keeps accurate books and records and maintains internal controls and compliance procedures designed to prevent any such actions. While Rezolve has policies and procedures to address compliance with such laws, Rezolve cannot assure you that none of its employees, agents, representatives, business partners or third-party intermediaries will take actions in violation of Rezolve’s policies and applicable law, for which Rezolve may be ultimately held responsible.</w:t>
      </w:r>
    </w:p>
    <w:p>
      <w:pPr>
        <w:spacing w:after="0" w:line="101"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Any allegations or violation of anti-corruption and anti-bribery laws could subject Rezolve to whistleblower complaints, adverse media coverage, investigations, severe civil and criminal sanctions, settlements, prosecution, enforcement actions, fines, damages, loss of export privileges, suspension or debarment from government contracts and other collateral consequences and remedial measures, all of which could adversely affect Rezolve’s business, prospects, financial condition, results of operations and reputation. Responding to any investigation or action will likely result in a significant diversion of management’s attention and resources and significant defense costs and other professional fees.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Enhanced trade tariffs, import restrictions, export restrictions, United States regulations or other trade barriers may materially harm Rezolve’s business.</w:t>
      </w:r>
    </w:p>
    <w:p>
      <w:pPr>
        <w:spacing w:after="0" w:line="60" w:lineRule="exact"/>
        <w:rPr>
          <w:sz w:val="20"/>
          <w:szCs w:val="20"/>
          <w:color w:val="auto"/>
        </w:rPr>
      </w:pPr>
    </w:p>
    <w:p>
      <w:pPr>
        <w:ind w:right="60" w:firstLine="480"/>
        <w:spacing w:after="0" w:line="270" w:lineRule="auto"/>
        <w:rPr>
          <w:sz w:val="20"/>
          <w:szCs w:val="20"/>
          <w:color w:val="auto"/>
        </w:rPr>
      </w:pPr>
      <w:r>
        <w:rPr>
          <w:rFonts w:ascii="Times New Roman" w:cs="Times New Roman" w:eastAsia="Times New Roman" w:hAnsi="Times New Roman"/>
          <w:sz w:val="9"/>
          <w:szCs w:val="9"/>
          <w:color w:val="auto"/>
        </w:rPr>
        <w:t>Rezolve is continuing to expand its international operations and sales as part of its strategy which may present various risks to its business. Countries have imposed tariffs on imports from various jurisdictions, including on imports from jurisdictions where Rezolve sources products, which could increase the prices that Rezolve pays for certain products. Furthermore, governments have, and may continue to, impose tariffs and other trade restrictions that could increase the costs of Rezolve’s offerings in certain jurisdictions. The increased cost of Rezolve’s offerings may result in Rezolve losing Channels or merchants, which, in turn, could reduce Rezolve’s sales and harm Rezolve’s business and financial condition. Rezolve’s business also may be adversely impacted by retaliatory trade measures taken by the U.S. government or non-U.S. governments, which could materially harm Rezolve’s business, financial condition and operations. Rezolve’s business also could be adversely impacted by new economic sanctions, trade sanctions, and export controls. The imposition of economic sanctions, trade sanctions, or export controls could limit Rezolve’s ability to make sales in certain jurisdictions or to source products from certain jurisdictions, which could harm Rezolve’s business and its financial condition. Further, the continued threats of tariffs, trade restrictions (including sanctions and export controls) and trade barriers may have a disruptive impact on the global economy. Any such changes could directly and adversely impact Rezolve’s business and financial condition.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From time to time, Rezolve may be involved in legal proceedings and commercial or contractual disputes, which could have an adverse impact on Rezolve’s profitability and consolidated financial position.</w:t>
      </w:r>
    </w:p>
    <w:p>
      <w:pPr>
        <w:spacing w:after="0" w:line="60" w:lineRule="exact"/>
        <w:rPr>
          <w:sz w:val="20"/>
          <w:szCs w:val="20"/>
          <w:color w:val="auto"/>
        </w:rPr>
      </w:pPr>
    </w:p>
    <w:p>
      <w:pPr>
        <w:ind w:right="200" w:firstLine="480"/>
        <w:spacing w:after="0" w:line="245" w:lineRule="auto"/>
        <w:rPr>
          <w:sz w:val="20"/>
          <w:szCs w:val="20"/>
          <w:color w:val="auto"/>
        </w:rPr>
      </w:pPr>
      <w:r>
        <w:rPr>
          <w:rFonts w:ascii="Times New Roman" w:cs="Times New Roman" w:eastAsia="Times New Roman" w:hAnsi="Times New Roman"/>
          <w:sz w:val="10"/>
          <w:szCs w:val="10"/>
          <w:color w:val="auto"/>
        </w:rPr>
        <w:t>Rezolve may be involved in legal proceedings and commercial or contractual disputes that, from time to time, are significant. Such claims may include, without limitation, commercial or contractual disputes, including disputes with merchants, intellectual property matters, personal injury claims, tax matters, and employment matters. Efforts to defend against such claims may entail significant costs and harm Rezolve’s reputation, all of which could adversely affect Rezolve’s business, financial condition and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Certain provisions of the Articles and English law could deter takeover attempts.</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Certain provisions in the Articles and the application of the UK Takeover Code to Rezolve could delay, prevent or make more difficult a merger, tender offer, proxy contest or change of control. Rezolve’s shareholders might view any transaction of this type as being in their best interest since the transaction could result in a higher stock price than the then-current market price for Ordinary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Related to Ownership of Ordinary Shares and Rezolve Operating as a Public Company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The trading price of Ordinary Shares could be volatile, and the value of Ordinary Shares may decline.</w:t>
      </w:r>
    </w:p>
    <w:p>
      <w:pPr>
        <w:spacing w:after="0" w:line="60" w:lineRule="exact"/>
        <w:rPr>
          <w:sz w:val="20"/>
          <w:szCs w:val="20"/>
          <w:color w:val="auto"/>
        </w:rPr>
      </w:pPr>
    </w:p>
    <w:p>
      <w:pPr>
        <w:jc w:val="both"/>
        <w:ind w:right="40" w:firstLine="480"/>
        <w:spacing w:after="0" w:line="241" w:lineRule="auto"/>
        <w:rPr>
          <w:sz w:val="20"/>
          <w:szCs w:val="20"/>
          <w:color w:val="auto"/>
        </w:rPr>
      </w:pPr>
      <w:r>
        <w:rPr>
          <w:rFonts w:ascii="Times New Roman" w:cs="Times New Roman" w:eastAsia="Times New Roman" w:hAnsi="Times New Roman"/>
          <w:sz w:val="10"/>
          <w:szCs w:val="10"/>
          <w:color w:val="auto"/>
        </w:rPr>
        <w:t>We cannot predict the prices at which Ordinary Shares will trade. The price of Ordinary Shares may not bear any relationship to the market price at which Ordinary Shares will trade after the Transactions or to any other established criteria of the value of our business and prospects, and the market price of Ordinary Shares following the Transactions may fluctuate substantially and may be lower than the price agreed by Armada with Rezolve in connection with the Transactions. In addition, the trading price of Ordinary Shares following the Transactions is likely to be volatile and could be subject to fluctuations in response to various factors, some of which are beyond our control. These fluctuations could cause you to lose all or part of your investment in Ordinary Shares as you might be unable to sell your shares at or above the price you paid in the Transactions. Factors that could cause fluctuations in the trading price of Ordinary Shares include the following:</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•price and volume fluctuations in the overall stock market from time to time;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35" w:name="page36"/>
    <w:bookmarkEnd w:id="35"/>
    <w:p>
      <w:pPr>
        <w:ind w:left="480"/>
        <w:spacing w:after="0"/>
        <w:rPr>
          <w:sz w:val="20"/>
          <w:szCs w:val="20"/>
          <w:color w:val="auto"/>
        </w:rPr>
      </w:pPr>
      <w:r>
        <w:rPr>
          <w:rFonts w:ascii="Times New Roman" w:cs="Times New Roman" w:eastAsia="Times New Roman" w:hAnsi="Times New Roman"/>
          <w:sz w:val="10"/>
          <w:szCs w:val="10"/>
          <w:color w:val="auto"/>
        </w:rPr>
        <w:t>•volatility in the market prices and trading volumes of technology company stocks;</w:t>
      </w:r>
    </w:p>
    <w:p>
      <w:pPr>
        <w:spacing w:after="0" w:line="58" w:lineRule="exact"/>
        <w:rPr>
          <w:sz w:val="20"/>
          <w:szCs w:val="20"/>
          <w:color w:val="auto"/>
        </w:rPr>
      </w:pPr>
    </w:p>
    <w:p>
      <w:pPr>
        <w:ind w:left="480" w:right="4280"/>
        <w:spacing w:after="0" w:line="360" w:lineRule="auto"/>
        <w:rPr>
          <w:sz w:val="20"/>
          <w:szCs w:val="20"/>
          <w:color w:val="auto"/>
        </w:rPr>
      </w:pPr>
      <w:r>
        <w:rPr>
          <w:rFonts w:ascii="Times New Roman" w:cs="Times New Roman" w:eastAsia="Times New Roman" w:hAnsi="Times New Roman"/>
          <w:sz w:val="10"/>
          <w:szCs w:val="10"/>
          <w:color w:val="auto"/>
        </w:rPr>
        <w:t>•changes in operating performance and stock market valuations of other technology companies generally, or those in Rezolve’s industry in particular; •sales of shares of Ordinary Shares by shareholders;</w:t>
      </w:r>
    </w:p>
    <w:p>
      <w:pPr>
        <w:ind w:left="480" w:right="1400"/>
        <w:spacing w:after="0" w:line="360" w:lineRule="auto"/>
        <w:rPr>
          <w:sz w:val="20"/>
          <w:szCs w:val="20"/>
          <w:color w:val="auto"/>
        </w:rPr>
      </w:pPr>
      <w:r>
        <w:rPr>
          <w:rFonts w:ascii="Times New Roman" w:cs="Times New Roman" w:eastAsia="Times New Roman" w:hAnsi="Times New Roman"/>
          <w:sz w:val="10"/>
          <w:szCs w:val="10"/>
          <w:color w:val="auto"/>
        </w:rPr>
        <w:t>•failure of securities analysts to initiate or maintain coverage of Rezolve, changes in financial estimates by securities analysts who follow Rezolve, or Rezolve’s failure to meet these estimates or the expectations of investors; •the financial projections Rezolve may provide to the public, any changes in those projections, or Rezolve’s failure to meet those projections; •announcements by Rezolve or its competitors of new offerings or contracts;</w:t>
      </w:r>
    </w:p>
    <w:p>
      <w:pPr>
        <w:ind w:left="480"/>
        <w:spacing w:after="0"/>
        <w:rPr>
          <w:sz w:val="20"/>
          <w:szCs w:val="20"/>
          <w:color w:val="auto"/>
        </w:rPr>
      </w:pPr>
      <w:r>
        <w:rPr>
          <w:rFonts w:ascii="Times New Roman" w:cs="Times New Roman" w:eastAsia="Times New Roman" w:hAnsi="Times New Roman"/>
          <w:sz w:val="10"/>
          <w:szCs w:val="10"/>
          <w:color w:val="auto"/>
        </w:rPr>
        <w:t>•the public’s reaction to Rezolve’s press releases, other public announcements, and filings with the SEC;</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•changes in how customers perceive the benefits of Rezolve’s offerings and services, and future offerings;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•changes in the structure of payment systems;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•rumors and market speculation involving Rezolve or other companies in the same or similar industry;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•actual or anticipated changes in Rezolve’s results of operations or fluctuations in Rezolve’s results of operations;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•actual or anticipated developments in Rezolve’s business, Rezolve’s competitors’ businesses, or the competitive landscape generally;</w:t>
      </w:r>
    </w:p>
    <w:p>
      <w:pPr>
        <w:spacing w:after="0" w:line="58" w:lineRule="exact"/>
        <w:rPr>
          <w:sz w:val="20"/>
          <w:szCs w:val="20"/>
          <w:color w:val="auto"/>
        </w:rPr>
      </w:pPr>
    </w:p>
    <w:p>
      <w:pPr>
        <w:ind w:left="480" w:right="4280"/>
        <w:spacing w:after="0" w:line="360" w:lineRule="auto"/>
        <w:rPr>
          <w:sz w:val="20"/>
          <w:szCs w:val="20"/>
          <w:color w:val="auto"/>
        </w:rPr>
      </w:pPr>
      <w:r>
        <w:rPr>
          <w:rFonts w:ascii="Times New Roman" w:cs="Times New Roman" w:eastAsia="Times New Roman" w:hAnsi="Times New Roman"/>
          <w:sz w:val="10"/>
          <w:szCs w:val="10"/>
          <w:color w:val="auto"/>
        </w:rPr>
        <w:t>•litigation involving Rezolve, Rezolve’s industry or both, or investigations by regulators into Rezolve’s operations or those of Rezolve’s competitors; •developments or disputes concerning Rezolve’s intellectual property or other proprietary rights;</w:t>
      </w:r>
    </w:p>
    <w:p>
      <w:pPr>
        <w:ind w:left="480"/>
        <w:spacing w:after="0"/>
        <w:rPr>
          <w:sz w:val="20"/>
          <w:szCs w:val="20"/>
          <w:color w:val="auto"/>
        </w:rPr>
      </w:pPr>
      <w:r>
        <w:rPr>
          <w:rFonts w:ascii="Times New Roman" w:cs="Times New Roman" w:eastAsia="Times New Roman" w:hAnsi="Times New Roman"/>
          <w:sz w:val="10"/>
          <w:szCs w:val="10"/>
          <w:color w:val="auto"/>
        </w:rPr>
        <w:t>•any security breach or incident involving our offerings, services or site or data stored or processed by us or on our behalf;</w:t>
      </w:r>
    </w:p>
    <w:p>
      <w:pPr>
        <w:spacing w:after="0" w:line="58" w:lineRule="exact"/>
        <w:rPr>
          <w:sz w:val="20"/>
          <w:szCs w:val="20"/>
          <w:color w:val="auto"/>
        </w:rPr>
      </w:pPr>
    </w:p>
    <w:p>
      <w:pPr>
        <w:ind w:left="480" w:right="4440"/>
        <w:spacing w:after="0" w:line="360" w:lineRule="auto"/>
        <w:rPr>
          <w:sz w:val="20"/>
          <w:szCs w:val="20"/>
          <w:color w:val="auto"/>
        </w:rPr>
      </w:pPr>
      <w:r>
        <w:rPr>
          <w:rFonts w:ascii="Times New Roman" w:cs="Times New Roman" w:eastAsia="Times New Roman" w:hAnsi="Times New Roman"/>
          <w:sz w:val="10"/>
          <w:szCs w:val="10"/>
          <w:color w:val="auto"/>
        </w:rPr>
        <w:t>•announced or completed acquisitions of businesses, commercial relationships, offerings, services, or technologies by Rezolve or its competitors; •new laws or regulations or new interpretations of existing laws or regulations applicable to Rezolve’s business; •changes in accounting standards, policies, guidelines, interpretations, or principles;</w:t>
      </w:r>
    </w:p>
    <w:p>
      <w:pPr>
        <w:ind w:left="480" w:right="2100"/>
        <w:spacing w:after="0" w:line="360" w:lineRule="auto"/>
        <w:rPr>
          <w:sz w:val="20"/>
          <w:szCs w:val="20"/>
          <w:color w:val="auto"/>
        </w:rPr>
      </w:pPr>
      <w:r>
        <w:rPr>
          <w:rFonts w:ascii="Times New Roman" w:cs="Times New Roman" w:eastAsia="Times New Roman" w:hAnsi="Times New Roman"/>
          <w:sz w:val="10"/>
          <w:szCs w:val="10"/>
          <w:color w:val="auto"/>
        </w:rPr>
        <w:t>•any adverse consequences related to the Rezolve Founder weighted voting capital structure, such as stock index providers excluding companies with weighted voting capital structures from certain indices; •any significant change in Rezolve’s management; and</w:t>
      </w:r>
    </w:p>
    <w:p>
      <w:pPr>
        <w:ind w:left="480"/>
        <w:spacing w:after="0"/>
        <w:rPr>
          <w:sz w:val="20"/>
          <w:szCs w:val="20"/>
          <w:color w:val="auto"/>
        </w:rPr>
      </w:pPr>
      <w:r>
        <w:rPr>
          <w:rFonts w:ascii="Times New Roman" w:cs="Times New Roman" w:eastAsia="Times New Roman" w:hAnsi="Times New Roman"/>
          <w:sz w:val="10"/>
          <w:szCs w:val="10"/>
          <w:color w:val="auto"/>
        </w:rPr>
        <w:t>•general economic conditions and slow or negative growth of Rezolve’s markets and war or other hostilities.</w:t>
      </w:r>
    </w:p>
    <w:p>
      <w:pPr>
        <w:spacing w:after="0" w:line="11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In addition, if the market for technology stocks or the stock market in general experiences a loss of investor confidence, the trading price of Ordinary Shares could decline for reasons unrelated to our business, financial condition or results of operations. The trading price of Ordinary Shares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share price is volatile, we may become the target of securities litigation. Securities litigation could result in substantial costs and divert our management’s attention and resources from our business. This could have an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There can be no assurance that the Public Warrants will ever be in the money at the time they become exercisable or otherwise, and they may expire worthless.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exercise price for the Public Warrants is $11.50 per Ordinary Share. There is no guarantee that such Public Warrants will ever be in the money prior to their expiration, and as such, the warrants may expire worthless.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095" w:right="68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0"/>
          <w:szCs w:val="10"/>
          <w:b w:val="1"/>
          <w:bCs w:val="1"/>
          <w:i w:val="1"/>
          <w:iCs w:val="1"/>
          <w:color w:val="auto"/>
        </w:rPr>
        <w:t>A market for our securities may not develop or be sustained, which would adversely affect the liquidity and price of Ordinary Shares.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Following the Closing, the price of Ordinary Shares may fluctuate significantly due to the market’s reaction to the Business Combination and general market and economic conditions. An active trading market for our securities following the Business Combination may never develop or, if developed, it may not be sustained. In addition, the price of our securities after the Business Combination can vary due to general economic conditions and forecasts, Rezolve’s general business condition and the release of Rezolve’s financial reports. Additionally, if our securities become delisted from the Nasdaq and are quoted on the OTC Bulletin Board (an inter-dealer automated quotation system for equity securities that is not a national securities exchange) or Rezolve’s securities are not listed on the Nasdaq and are quoted on the OTC Bulletin Board, the liquidity and price of our securities may be more limited than if we were quoted or listed on the New York Stock Exchange, Nasdaq or another national securities exchange. The lack of an active market may impair your ability to sell your Rezolve securities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Because Rezolve became a public reporting company by means other than a traditional underwritten initial public offering, the shareholders of Rezolve may face additional risks and uncertainties.</w:t>
      </w:r>
    </w:p>
    <w:p>
      <w:pPr>
        <w:spacing w:after="0" w:line="60" w:lineRule="exact"/>
        <w:rPr>
          <w:sz w:val="20"/>
          <w:szCs w:val="20"/>
          <w:color w:val="auto"/>
        </w:rPr>
      </w:pPr>
    </w:p>
    <w:p>
      <w:pPr>
        <w:ind w:right="20" w:firstLine="480"/>
        <w:spacing w:after="0" w:line="273" w:lineRule="auto"/>
        <w:rPr>
          <w:sz w:val="20"/>
          <w:szCs w:val="20"/>
          <w:color w:val="auto"/>
        </w:rPr>
      </w:pPr>
      <w:r>
        <w:rPr>
          <w:rFonts w:ascii="Times New Roman" w:cs="Times New Roman" w:eastAsia="Times New Roman" w:hAnsi="Times New Roman"/>
          <w:sz w:val="9"/>
          <w:szCs w:val="9"/>
          <w:color w:val="auto"/>
        </w:rPr>
        <w:t>Because Rezolve became a public reporting company by means of consummating the Business Combination rather than by means of a traditional underwritten initial public offering, there is no independent third-party underwriter selling the shares of Rezolve’s common stock, and, accordingly, the shareholders of Rezolve will not have the benefit of an independent review and investigation of the type normally performed by an unaffiliated, independent underwriter in a public securities offering. Due diligence reviews typically include an independent investigation of the background of the company, any advisors and their respective affiliates, review of the offering documents and independent analysis of the plan of business and any underlying financial assumptions. Because there is no independent third-party underwriter selling Rezolve’s Ordinary Shares, Armada Stockholders must rely on the information included in this proxy statement/prospectus. Although Armada’s management conducted a due diligence review and investigation of Rezolve in connection with the Business Combination, the lack of an independent due diligence review and investigation increases the risk of investment in Rezolve because it may not have uncovered facts that would be important to a potential investor.</w:t>
      </w:r>
    </w:p>
    <w:p>
      <w:pPr>
        <w:spacing w:after="0" w:line="94" w:lineRule="exact"/>
        <w:rPr>
          <w:sz w:val="20"/>
          <w:szCs w:val="20"/>
          <w:color w:val="auto"/>
        </w:rPr>
      </w:pPr>
    </w:p>
    <w:p>
      <w:pPr>
        <w:ind w:right="160" w:firstLine="480"/>
        <w:spacing w:after="0" w:line="245" w:lineRule="auto"/>
        <w:rPr>
          <w:sz w:val="20"/>
          <w:szCs w:val="20"/>
          <w:color w:val="auto"/>
        </w:rPr>
      </w:pPr>
      <w:r>
        <w:rPr>
          <w:rFonts w:ascii="Times New Roman" w:cs="Times New Roman" w:eastAsia="Times New Roman" w:hAnsi="Times New Roman"/>
          <w:sz w:val="10"/>
          <w:szCs w:val="10"/>
          <w:color w:val="auto"/>
        </w:rPr>
        <w:t>Moreover, the shareholders of Rezolve will not benefit from possible recourse against an underwriter for material misstatements or omissions in this proxy statement/prospectus or additional roles of the underwriters in a traditional underwritten initial public offering, such as the book-building process, which helps inform efficient price discovery, and underwriter support to help stabilize the public price of the new issue immediately after listing. The lack of such recourse process and support in connection with Rezolve’s Ordinary Shares could result in greater potential for errors, diminished investor demand, inefficiencies in pricing and a more volatile public price for the shares during the period immediately following the listing.</w:t>
      </w:r>
    </w:p>
    <w:p>
      <w:pPr>
        <w:spacing w:after="0" w:line="105" w:lineRule="exact"/>
        <w:rPr>
          <w:sz w:val="20"/>
          <w:szCs w:val="20"/>
          <w:color w:val="auto"/>
        </w:rPr>
      </w:pPr>
    </w:p>
    <w:p>
      <w:pPr>
        <w:jc w:val="both"/>
        <w:ind w:right="160" w:firstLine="480"/>
        <w:spacing w:after="0" w:line="285" w:lineRule="auto"/>
        <w:rPr>
          <w:sz w:val="20"/>
          <w:szCs w:val="20"/>
          <w:color w:val="auto"/>
        </w:rPr>
      </w:pPr>
      <w:r>
        <w:rPr>
          <w:rFonts w:ascii="Times New Roman" w:cs="Times New Roman" w:eastAsia="Times New Roman" w:hAnsi="Times New Roman"/>
          <w:sz w:val="9"/>
          <w:szCs w:val="9"/>
          <w:color w:val="auto"/>
        </w:rPr>
        <w:t>In addition, because Rezolve will not become a public reporting company by means of a traditional underwritten initial public offering, securities or industry analysts may not provide, or be less likely to provide, coverage of Rezolve. Investment banks may also be less likely to agree to underwrite secondary offerings on behalf of Rezolve than they might if Rezolve became a public reporting company by means of a traditional underwritten initial public offering, because they may be less familiar with Rezolve as a result of more limited coverage by analysts and the media. The failure to receive research coverage or support in the market for Rezolve’s Ordinary Shares could have an adverse effect on Rezolve’s ability to develop a liquid market for Rezolve’s Ordinary Shares.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securities or industry analysts publish reports that are interpreted negatively by the investment community or publish negative research reports about our business, our share price and trading volume could decline.</w:t>
      </w:r>
    </w:p>
    <w:p>
      <w:pPr>
        <w:spacing w:after="0" w:line="60"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 trading market for our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 interpreted negatively by the investment community, or have a negative tone regarding our business, financial condition or results of operations, industry or end-markets, our share price could decline. In addition, if a majority of these analysts cease coverage of our company or fail to regularly publish reports on us, we could lose visibility in the financial markets, which could cause our share price or trading volume to decline.</w:t>
      </w:r>
    </w:p>
    <w:p>
      <w:pPr>
        <w:spacing w:after="0" w:line="1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0"/>
          <w:szCs w:val="10"/>
          <w:b w:val="1"/>
          <w:bCs w:val="1"/>
          <w:i w:val="1"/>
          <w:iCs w:val="1"/>
          <w:color w:val="auto"/>
        </w:rPr>
        <w:t>We are an “emerging growth company,” and our election to comply with the reduced disclosure requirements as a public company may make our Ordinary Shares less attractive to investors.</w:t>
      </w:r>
    </w:p>
    <w:p>
      <w:pPr>
        <w:spacing w:after="0" w:line="60" w:lineRule="exact"/>
        <w:rPr>
          <w:sz w:val="20"/>
          <w:szCs w:val="20"/>
          <w:color w:val="auto"/>
        </w:rPr>
      </w:pPr>
    </w:p>
    <w:p>
      <w:pPr>
        <w:jc w:val="both"/>
        <w:ind w:right="100" w:firstLine="480"/>
        <w:spacing w:after="0" w:line="245" w:lineRule="auto"/>
        <w:rPr>
          <w:sz w:val="20"/>
          <w:szCs w:val="20"/>
          <w:color w:val="auto"/>
        </w:rPr>
      </w:pPr>
      <w:r>
        <w:rPr>
          <w:rFonts w:ascii="Times New Roman" w:cs="Times New Roman" w:eastAsia="Times New Roman" w:hAnsi="Times New Roman"/>
          <w:sz w:val="10"/>
          <w:szCs w:val="10"/>
          <w:color w:val="auto"/>
        </w:rPr>
        <w:t>We are an “emerging growth company” as that term is used in the JOBS Act, and we may remain an emerging growth company until the earlier of (i) the last day of the fiscal year (A) following the fifth anniversary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w:t>
      </w:r>
    </w:p>
    <w:p>
      <w:pPr>
        <w:spacing w:after="0" w:line="105"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For so long as we remain an emerging growth company, we are permitted and intend to rely on exemptions from certain disclosure requirements that are applicable to other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 binding advisory vote on executive compensation and shareholder approval of any golden parachute payments not previously approved. We may choose to take advantage of some, but not all, of these reduced reporting burdens. Accordingly, the information we provide to our shareholders may be different than the information you receive from other public companies in which you hold stock.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will be a “foreign private issuer” and, as a result, we will be permitted to rely on exemptions from certain stock exchange corporate governance standards applicable to U.S. issuers. This may afford less protection to holders of Ordinary Shares.</w:t>
      </w:r>
    </w:p>
    <w:p>
      <w:pPr>
        <w:spacing w:after="0" w:line="60"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Upon the Closing, as a foreign private issuer whose ordinary shares are listed on the Nasdaq, we will be permitted to follow certain home country corporate governance practices in lieu of requirements under U.S. securities laws that apply to U.S. domestic public companies, provided that we disclose the requirements we are not following and describe the home country practices we are following. Certain of the requirements that we are permitted to not comply with as a foreign private issuer include:</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rules under the Exchange Act requiring the filing with the SEC of quarterly reports on Form 10-Q or current reports on Form 8-K;</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sections of the Exchange Act regulating the solicitation of proxies, consents, or authorizations in respect of a security registered under the Exchange Act;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sections of the Exchange Act requiring insiders to file public reports of their stock ownership and trading activities and liability for insiders who profit from trades made in a short period of time.</w:t>
      </w:r>
    </w:p>
    <w:p>
      <w:pPr>
        <w:spacing w:after="0" w:line="118"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We will be required to file an annual report on Form 20-F within four months of the end of each fiscal year. In addition, we intend to publish our results on a quarterly basis as press releases, distributed pursuant to the Nasdaq rules. Press releases relating to financial results and material events will also be furnished to the SEC on Form 6- 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03" w:lineRule="exact"/>
        <w:rPr>
          <w:sz w:val="20"/>
          <w:szCs w:val="20"/>
          <w:color w:val="auto"/>
        </w:rPr>
      </w:pPr>
    </w:p>
    <w:p>
      <w:pPr>
        <w:ind w:right="240" w:firstLine="480"/>
        <w:spacing w:after="0" w:line="259" w:lineRule="auto"/>
        <w:rPr>
          <w:sz w:val="20"/>
          <w:szCs w:val="20"/>
          <w:color w:val="auto"/>
        </w:rPr>
      </w:pPr>
      <w:r>
        <w:rPr>
          <w:rFonts w:ascii="Times New Roman" w:cs="Times New Roman" w:eastAsia="Times New Roman" w:hAnsi="Times New Roman"/>
          <w:sz w:val="10"/>
          <w:szCs w:val="10"/>
          <w:color w:val="auto"/>
        </w:rPr>
        <w:t>In addition, as a foreign private issuer we will be exempt from the provisions of Regulation Fair Disclosure (“</w:t>
      </w:r>
      <w:r>
        <w:rPr>
          <w:rFonts w:ascii="Times New Roman" w:cs="Times New Roman" w:eastAsia="Times New Roman" w:hAnsi="Times New Roman"/>
          <w:sz w:val="10"/>
          <w:szCs w:val="10"/>
          <w:b w:val="1"/>
          <w:bCs w:val="1"/>
          <w:i w:val="1"/>
          <w:iCs w:val="1"/>
          <w:color w:val="auto"/>
        </w:rPr>
        <w:t>Regulation FD</w:t>
      </w:r>
      <w:r>
        <w:rPr>
          <w:rFonts w:ascii="Times New Roman" w:cs="Times New Roman" w:eastAsia="Times New Roman" w:hAnsi="Times New Roman"/>
          <w:sz w:val="10"/>
          <w:szCs w:val="10"/>
          <w:color w:val="auto"/>
        </w:rPr>
        <w:t>”), which prohibits issuers from making selective disclosure of material nonpublic information. Even though we intend to comply voluntarily with Regulation FD, these exemptions and leniencies will reduce the frequency and scope of information and protections to which our shareholders are entitled as investors.</w:t>
      </w:r>
    </w:p>
    <w:p>
      <w:pPr>
        <w:spacing w:after="0" w:line="99"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Furthermore, Rezolve shares are not listed, and we do not currently intend to list Rezolve shares on any market in the United Kingdom, Rezolve’s country of incorporation. As a result, we are not subject to the reporting and other requirements of companies listed in the United Kingdom. For more information, see “</w:t>
      </w:r>
      <w:r>
        <w:rPr>
          <w:rFonts w:ascii="Times New Roman" w:cs="Times New Roman" w:eastAsia="Times New Roman" w:hAnsi="Times New Roman"/>
          <w:sz w:val="10"/>
          <w:szCs w:val="10"/>
          <w:i w:val="1"/>
          <w:iCs w:val="1"/>
          <w:color w:val="auto"/>
        </w:rPr>
        <w:t>Management and Compensation—Foreign Private Issuer</w:t>
      </w:r>
      <w:r>
        <w:rPr>
          <w:rFonts w:ascii="Times New Roman" w:cs="Times New Roman" w:eastAsia="Times New Roman" w:hAnsi="Times New Roman"/>
          <w:sz w:val="10"/>
          <w:szCs w:val="10"/>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We may lose our foreign private issuer status in the future, which could result in significant additional cost and expense.</w:t>
      </w:r>
    </w:p>
    <w:p>
      <w:pPr>
        <w:spacing w:after="0" w:line="60" w:lineRule="exact"/>
        <w:rPr>
          <w:sz w:val="20"/>
          <w:szCs w:val="20"/>
          <w:color w:val="auto"/>
        </w:rPr>
      </w:pPr>
    </w:p>
    <w:p>
      <w:pPr>
        <w:ind w:right="300" w:firstLine="480"/>
        <w:spacing w:after="0" w:line="241" w:lineRule="auto"/>
        <w:rPr>
          <w:sz w:val="20"/>
          <w:szCs w:val="20"/>
          <w:color w:val="auto"/>
        </w:rPr>
      </w:pPr>
      <w:r>
        <w:rPr>
          <w:rFonts w:ascii="Times New Roman" w:cs="Times New Roman" w:eastAsia="Times New Roman" w:hAnsi="Times New Roman"/>
          <w:sz w:val="10"/>
          <w:szCs w:val="10"/>
          <w:color w:val="auto"/>
        </w:rPr>
        <w:t>In order to maintain our current status as a foreign private issuer, either (a) more than 50% of our outstanding voting securities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38" w:name="page39"/>
    <w:bookmarkEnd w:id="38"/>
    <w:p>
      <w:pPr>
        <w:ind w:right="40"/>
        <w:spacing w:after="0" w:line="255" w:lineRule="auto"/>
        <w:rPr>
          <w:sz w:val="20"/>
          <w:szCs w:val="20"/>
          <w:color w:val="auto"/>
        </w:rPr>
      </w:pPr>
      <w:r>
        <w:rPr>
          <w:rFonts w:ascii="Times New Roman" w:cs="Times New Roman" w:eastAsia="Times New Roman" w:hAnsi="Times New Roman"/>
          <w:sz w:val="10"/>
          <w:szCs w:val="10"/>
          <w:color w:val="auto"/>
        </w:rPr>
        <w:t>of Section 16 of the Exchange Act. In addition, we may also be required to make changes in our corporate governance practices in accordance with various SEC and Nasdaq rules. The additional requirements that we would become subject to if we were to lose our foreign private issuer status could lead us to incur significant additional legal, accounting and other expenses.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Our issuance of additional Ordinary Shares in connection with financings, acquisitions, investments, our stock incentive plans, or otherwise will dilute all other shareholders.</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We expect to issue additional capital stock in the future that will result in dilution to all other shareholders. We expect to grant equity awards to employees, directors, consultants and contractors under our stock incentive plans. We may issue shares in the future upon conversion of the secured Convertible Notes into Ordinary Shares and pursuant to the Standby Purchase Agreement. We may also raise capital through equity financings in the future. As part of our business strategy, we may acquire or make investments in complementary companies, offerings or technologies and issue equity securities to pay for any such acquisition or investment. Any such issuances of additional capital stock may cause shareholders to experience significant dilution of their ownership interests and the per share value of our Ordinary Shares to decline.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As a public company, we will incur significant legal, accounting and other expenses that we did not incur as a private company, which we expect to further increase after we are no longer an “emerging growth company” and/or a foreign private issuer. The Sarbanes-Oxley Act, the Dodd-Frank Wall Street Reform and Consumer Protection Act, the Nasdaq listing requirements, and other applicable securities rules and regulations impose various requirements on public companies. Our management and other personnel are not experienced in managing a public company and will be required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 the event that we do not satisfy the conditions for re-registration as a public limited company by March 31, 2025 we will not be able to effect such re-registration by that date which could impact on the eligibility of our shares for DTC.</w:t>
      </w:r>
    </w:p>
    <w:p>
      <w:pPr>
        <w:spacing w:after="0" w:line="6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0"/>
          <w:szCs w:val="10"/>
          <w:color w:val="auto"/>
        </w:rPr>
        <w:t>We have undertaken to re-register as a public limited company by March 31, 2025. In the event that the Company does not meet the conditions required to be satisfied for re-registration by that date then the company will remain a private limited liability company which could impact on the eligibility of our shares for DTC and limit the range of investors from whom new investment may be sought by the Company until such re-registration occurs.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U.S. holders that directly or indirectly own 10% or more of our equity interests may be subject to adverse U.S. federal income tax consequences under rules applicable to U.S. shareholders of controlled foreign corporations.</w:t>
      </w:r>
    </w:p>
    <w:p>
      <w:pPr>
        <w:spacing w:after="0" w:line="58" w:lineRule="exact"/>
        <w:rPr>
          <w:sz w:val="20"/>
          <w:szCs w:val="20"/>
          <w:color w:val="auto"/>
        </w:rPr>
      </w:pPr>
    </w:p>
    <w:p>
      <w:pPr>
        <w:ind w:right="40" w:firstLine="480"/>
        <w:spacing w:after="0" w:line="237" w:lineRule="auto"/>
        <w:rPr>
          <w:sz w:val="20"/>
          <w:szCs w:val="20"/>
          <w:color w:val="auto"/>
        </w:rPr>
      </w:pPr>
      <w:r>
        <w:rPr>
          <w:rFonts w:ascii="Times New Roman" w:cs="Times New Roman" w:eastAsia="Times New Roman" w:hAnsi="Times New Roman"/>
          <w:sz w:val="10"/>
          <w:szCs w:val="10"/>
          <w:color w:val="auto"/>
        </w:rPr>
        <w:t>A non-U.S. corporation generally will be classified as a controlled foreign corporation for U.S. federal income tax purposes (a “</w:t>
      </w:r>
      <w:r>
        <w:rPr>
          <w:rFonts w:ascii="Times New Roman" w:cs="Times New Roman" w:eastAsia="Times New Roman" w:hAnsi="Times New Roman"/>
          <w:sz w:val="10"/>
          <w:szCs w:val="10"/>
          <w:b w:val="1"/>
          <w:bCs w:val="1"/>
          <w:i w:val="1"/>
          <w:iCs w:val="1"/>
          <w:color w:val="auto"/>
        </w:rPr>
        <w:t>CFC</w:t>
      </w:r>
      <w:r>
        <w:rPr>
          <w:rFonts w:ascii="Times New Roman" w:cs="Times New Roman" w:eastAsia="Times New Roman" w:hAnsi="Times New Roman"/>
          <w:sz w:val="10"/>
          <w:szCs w:val="10"/>
          <w:color w:val="auto"/>
        </w:rPr>
        <w:t xml:space="preserve"> ”), if “10% U.S. equityholders” (as defined below) own, directly, indirectly or constructively, more than 50% of either (i) the total combined voting power of all classes of stock of such corporation entitled to vote or (ii) the total value of the stock of such corporation. We do not currently expect that Rezolve will be classified as a CFC at the time of Closing, but CFC status is determined after taking into account complex constructive ownership rules, the application of which may depend on circumstances we are not aware of, and, accordingly, there can be no assurance in this regard. However, certain of Rezolve’s non-U.S. subsidiaries may be classified as CFCs (as a result of the application of certain constructive ownership rules which treat Rezolve’s U.S. subsidiaries as owning the equity of those non-U.S. subsidiaries), and it is possible that we may be classified as a CFC either now or in the future. The U.S. federal income tax consequences for U.S. holders who at all times are not 10% U.S. equityholders of any applicable CFC would not be affected by the CFC rules. However, a U.S. holder that owns (or is treated as owning, directly, indirectly or constructively, including by applying certain attribution rules) 10% or more of the combined voting power of all classes of our stock entitled to vote or the total value of our equity interests (including equity interests attributable to a deemed exercise of options and convertible debt instruments), or a “10% U.S. equityholder”, of us or an applicable subsidiary, if we or an applicable subsidiary were classified as a CFC, would generally be subject to current U.S. federal income taxation on a portion of our or our applicable subsidiaries’ earnings and profits (as determined for U.S. federal income tax purposes), regardless of whether such 10% U.S. equityholder receives any actual distributions. In addition, if we or an applicable subsidiary were classified as a CFC, a portion of any gains realized on the sale of our common shares by a 10% U.S. equityholder may be treated as ordinary income. A 10% U.S. equityholder will also be subject to additional U.S. federal income tax information reporting requirements with respect to our subsidiaries that are classified as CFCs and with respect to us (if we or any of our subsidiaries were classified as a CFC) and substantial penalties may be imposed for noncompliance. We cannot provide any assurances that Rezolve will assist U.S. Holders in determining whether Rezolve or any of its subsidiaries are treated as a controlled foreign corporation for U.S. federal income tax purposes or whether any U.S. Holder is treated as a 10% U.S. equityholder with respect to any of such controlled foreign corporations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39" w:name="page40"/>
    <w:bookmarkEnd w:id="39"/>
    <w:p>
      <w:pPr>
        <w:spacing w:after="0" w:line="255" w:lineRule="auto"/>
        <w:rPr>
          <w:sz w:val="20"/>
          <w:szCs w:val="20"/>
          <w:color w:val="auto"/>
        </w:rPr>
      </w:pPr>
      <w:r>
        <w:rPr>
          <w:rFonts w:ascii="Times New Roman" w:cs="Times New Roman" w:eastAsia="Times New Roman" w:hAnsi="Times New Roman"/>
          <w:sz w:val="10"/>
          <w:szCs w:val="10"/>
          <w:color w:val="auto"/>
        </w:rPr>
        <w:t>or furnish to any holder information that may be necessary to comply with reporting and tax paying obligations if Rezolve, or any of its subsidiaries, is treated as a controlled foreign corporation for U.S. federal income tax purposes. Each U.S. holder should consult its own tax advisor regarding the CFC rules and whether such U.S. holder may be a 10% U.S. equityholder for purposes of these rules.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Our U.S. shareholders may suffer adverse tax consequences if we are classified as a “passive foreign investment company.”</w:t>
      </w:r>
    </w:p>
    <w:p>
      <w:pPr>
        <w:spacing w:after="0" w:line="58"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A non-U.S. corporation generally will be treated as a “passive foreign investment company” (“</w:t>
      </w:r>
      <w:r>
        <w:rPr>
          <w:rFonts w:ascii="Times New Roman" w:cs="Times New Roman" w:eastAsia="Times New Roman" w:hAnsi="Times New Roman"/>
          <w:sz w:val="10"/>
          <w:szCs w:val="10"/>
          <w:b w:val="1"/>
          <w:bCs w:val="1"/>
          <w:i w:val="1"/>
          <w:iCs w:val="1"/>
          <w:color w:val="auto"/>
        </w:rPr>
        <w:t>PFIC</w:t>
      </w:r>
      <w:r>
        <w:rPr>
          <w:rFonts w:ascii="Times New Roman" w:cs="Times New Roman" w:eastAsia="Times New Roman" w:hAnsi="Times New Roman"/>
          <w:sz w:val="10"/>
          <w:szCs w:val="10"/>
          <w:color w:val="auto"/>
        </w:rPr>
        <w:t>”),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Rezolve and its subsidiaries and certain factual assumptions, Rezolve does not currently expect to be treated as a PFIC for the taxable year ending December 31, 2023. However, there can be no assurances in this regard, because PFIC status is determined annually and requires a factual determination that depends on, among other things, the composition of a company’s income, assets and activities in each taxable year, and can only be made annually after the close of each taxable year, and is thus subject to significant uncertainty. Furthermore, because the value of our gross assets is likely to be determined in part by reference to our market capitalization, a decline in the value of our ordinary shares may result in Rezolve becoming a PFIC. Accordingly, there can be no assurance that we will not be considered a PFIC for any taxable year. If we are a PFIC for any taxable year during which a U.S. Holder (as defined in “</w:t>
      </w:r>
      <w:r>
        <w:rPr>
          <w:rFonts w:ascii="Times New Roman" w:cs="Times New Roman" w:eastAsia="Times New Roman" w:hAnsi="Times New Roman"/>
          <w:sz w:val="10"/>
          <w:szCs w:val="10"/>
          <w:i w:val="1"/>
          <w:iCs w:val="1"/>
          <w:color w:val="auto"/>
        </w:rPr>
        <w:t>Material Tax Considerations</w:t>
      </w:r>
      <w:r>
        <w:rPr>
          <w:rFonts w:ascii="Times New Roman" w:cs="Times New Roman" w:eastAsia="Times New Roman" w:hAnsi="Times New Roman"/>
          <w:sz w:val="10"/>
          <w:szCs w:val="10"/>
          <w:color w:val="auto"/>
        </w:rPr>
        <w:t>”) holds our ordinary shares, certain adverse U.S. federal income tax consequences could apply to such U.S. Holder. Prospective U.S. Holders should consult their tax advisors regarding the potential application of the PFIC rules to them.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The Internal Revenue Service may not agree that Rezolve should be treated as a non-U.S. corporation for U.S. federal income tax purposes.</w:t>
      </w:r>
    </w:p>
    <w:p>
      <w:pPr>
        <w:spacing w:after="0" w:line="58" w:lineRule="exact"/>
        <w:rPr>
          <w:sz w:val="20"/>
          <w:szCs w:val="20"/>
          <w:color w:val="auto"/>
        </w:rPr>
      </w:pPr>
    </w:p>
    <w:p>
      <w:pPr>
        <w:ind w:right="60" w:firstLine="480"/>
        <w:spacing w:after="0" w:line="243" w:lineRule="auto"/>
        <w:rPr>
          <w:sz w:val="20"/>
          <w:szCs w:val="20"/>
          <w:color w:val="auto"/>
        </w:rPr>
      </w:pPr>
      <w:r>
        <w:rPr>
          <w:rFonts w:ascii="Times New Roman" w:cs="Times New Roman" w:eastAsia="Times New Roman" w:hAnsi="Times New Roman"/>
          <w:sz w:val="10"/>
          <w:szCs w:val="10"/>
          <w:color w:val="auto"/>
        </w:rPr>
        <w:t>Although Rezolve is incorporated in England and Wales, the Internal Revenue Service (“</w:t>
      </w:r>
      <w:r>
        <w:rPr>
          <w:rFonts w:ascii="Times New Roman" w:cs="Times New Roman" w:eastAsia="Times New Roman" w:hAnsi="Times New Roman"/>
          <w:sz w:val="10"/>
          <w:szCs w:val="10"/>
          <w:b w:val="1"/>
          <w:bCs w:val="1"/>
          <w:i w:val="1"/>
          <w:iCs w:val="1"/>
          <w:color w:val="auto"/>
        </w:rPr>
        <w:t>IRS</w:t>
      </w:r>
      <w:r>
        <w:rPr>
          <w:rFonts w:ascii="Times New Roman" w:cs="Times New Roman" w:eastAsia="Times New Roman" w:hAnsi="Times New Roman"/>
          <w:sz w:val="10"/>
          <w:szCs w:val="10"/>
          <w:color w:val="auto"/>
        </w:rPr>
        <w:t>”) may assert that it should be treated as a U.S. corporation (and therefore a U.S. tax resident) for U.S. federal income tax purposes pursuant to Section 7874 of the Code. For U.S. federal income tax purposes, a corporation is generally considered a U.S. “domestic” corporation (or U.S. tax resident) if it is organized in the United States, and a corporation is generally considered a “foreign” corporation (or non-U.S. tax resident) if it is not a U.S. corporation. Because Rezolve is an entity incorporated in England and Wales, it would generally be classified as a foreign corporation (or non-U.S. tax resident) under these rules. Section 7874 of the Code provides an exception under which a foreign incorporated and foreign tax resident entity may, in certain circumstances, be treated as a U.S. corporation for U.S. federal income tax purposes.</w:t>
      </w:r>
    </w:p>
    <w:p>
      <w:pPr>
        <w:spacing w:after="0" w:line="106"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Rezolve does not currently expect to be treated as a U.S. corporation for U.S. federal income tax purposes under Section 7874 of the Code after the Business Combination.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 that Rezolve will not be treated as a U.S. corporation for U.S. federal income tax purposes under Section 7874 of the Code.</w:t>
      </w:r>
    </w:p>
    <w:p>
      <w:pPr>
        <w:spacing w:after="0" w:line="105"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If Rezolve were treated as a U.S. corporation for U.S. federal income tax purposes under Section 7874 of the Code, Rezolve and certain Rezolve shareholders would be subject to significant adverse tax consequences, including a higher effective corporate income tax rate on Rezolve and future withholding taxes on certain Rezolve shareholders, depending on the application of any income tax treaty that might apply to reduce such withholding taxes.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Section 7874 of the Code may limit the ability of Armada to use certain tax attributes following the Business Combination, increase Rezolve’s U.S. affiliates’ U.S. taxable income or have other adverse consequences to Rezolve and Rezolve’s shareholders.</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Following the acquisition of a U.S. corporation by a foreign corporation, Section 7874 of the Code can limit the ability of the acquired U.S. corporation and its U.S. affiliates to use U.S. tax attributes (including net operating losses and certain tax credits) to offset U.S. taxable income resulting from certain transactions, as well as result in certain other adverse tax consequences, even if the acquiring foreign corporation is respected as a foreign corporation for purposes of Section 7874 of the Code. In general, if a foreign corporation acquires, directly or indirectly, substantially all of the properties held directly or indirectly by a U.S. corporation and after the acquisition, the former shareholders of the acquired U.S. corporation hold at least 60% (by either vote or value) but less than 80% (by vote and value) of the shares of the foreign acquiring corporation by reason of holding shares in the acquired U.S. corporation, subject to other requirements, certain adverse tax consequences under Section 7874 of the Code may apply.</w:t>
      </w:r>
    </w:p>
    <w:p>
      <w:pPr>
        <w:spacing w:after="0" w:line="108"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If these rules apply to the Business Combination, Rezolve and certain of Rezolve’s shareholders may be subject to adverse tax consequences including, but not limited to, restrictions on the use of tax attributes with respect to “inversion gain” recognized over a 10-year period following the transaction, disqualification of dividends paid from preferential “qualified dividend income” rates and</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5" w:right="660" w:bottom="1440" w:gutter="0" w:footer="0" w:header="0"/>
        </w:sectPr>
      </w:pPr>
    </w:p>
    <w:bookmarkStart w:id="40" w:name="page41"/>
    <w:bookmarkEnd w:id="40"/>
    <w:p>
      <w:pPr>
        <w:ind w:right="240"/>
        <w:spacing w:after="0" w:line="255" w:lineRule="auto"/>
        <w:rPr>
          <w:sz w:val="20"/>
          <w:szCs w:val="20"/>
          <w:color w:val="auto"/>
        </w:rPr>
      </w:pPr>
      <w:r>
        <w:rPr>
          <w:rFonts w:ascii="Times New Roman" w:cs="Times New Roman" w:eastAsia="Times New Roman" w:hAnsi="Times New Roman"/>
          <w:sz w:val="10"/>
          <w:szCs w:val="10"/>
          <w:color w:val="auto"/>
        </w:rPr>
        <w:t>the requirement that any U.S. corporation owned by Rezolve include as “base erosion payments” that may be subject to a minimum U.S. federal income tax any amounts treated as reductions in gross income paid to certain related foreign persons. Furthermore, certain “disqualified individuals” (including officers and directors of a U.S. corporation) may be subject to an excise tax on certain stock-based compensation held thereby at a rate of 20%.</w:t>
      </w:r>
    </w:p>
    <w:p>
      <w:pPr>
        <w:spacing w:after="0" w:line="99" w:lineRule="exact"/>
        <w:rPr>
          <w:sz w:val="20"/>
          <w:szCs w:val="20"/>
          <w:color w:val="auto"/>
        </w:rPr>
      </w:pPr>
    </w:p>
    <w:p>
      <w:pPr>
        <w:ind w:firstLine="480"/>
        <w:spacing w:after="0" w:line="247" w:lineRule="auto"/>
        <w:rPr>
          <w:sz w:val="20"/>
          <w:szCs w:val="20"/>
          <w:color w:val="auto"/>
        </w:rPr>
      </w:pPr>
      <w:r>
        <w:rPr>
          <w:rFonts w:ascii="Times New Roman" w:cs="Times New Roman" w:eastAsia="Times New Roman" w:hAnsi="Times New Roman"/>
          <w:sz w:val="10"/>
          <w:szCs w:val="10"/>
          <w:color w:val="auto"/>
        </w:rPr>
        <w:t>As more fully described in the section titled “</w:t>
      </w:r>
      <w:r>
        <w:rPr>
          <w:rFonts w:ascii="Times New Roman" w:cs="Times New Roman" w:eastAsia="Times New Roman" w:hAnsi="Times New Roman"/>
          <w:sz w:val="10"/>
          <w:szCs w:val="10"/>
          <w:i w:val="1"/>
          <w:iCs w:val="1"/>
          <w:color w:val="auto"/>
        </w:rPr>
        <w:t>Material Tax Considerations — Material U.S. Federal Income Tax Considerations—U.S. Federal Income Tax Treatment of Rezolve</w:t>
      </w:r>
      <w:r>
        <w:rPr>
          <w:rFonts w:ascii="Times New Roman" w:cs="Times New Roman" w:eastAsia="Times New Roman" w:hAnsi="Times New Roman"/>
          <w:sz w:val="10"/>
          <w:szCs w:val="10"/>
          <w:color w:val="auto"/>
        </w:rPr>
        <w:t>,” based on the terms of the Business Combination and certain factual assumptions, Rezolve does not currently expected to be subject to these rules under Section 7874 of the Code after the Business Combination.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assurances in this regard.</w:t>
      </w:r>
    </w:p>
    <w:p>
      <w:pPr>
        <w:spacing w:after="0" w:line="104" w:lineRule="exact"/>
        <w:rPr>
          <w:sz w:val="20"/>
          <w:szCs w:val="20"/>
          <w:color w:val="auto"/>
        </w:rPr>
      </w:pPr>
    </w:p>
    <w:p>
      <w:pPr>
        <w:jc w:val="both"/>
        <w:ind w:right="180" w:firstLine="480"/>
        <w:spacing w:after="0" w:line="245" w:lineRule="auto"/>
        <w:rPr>
          <w:sz w:val="20"/>
          <w:szCs w:val="20"/>
          <w:color w:val="auto"/>
        </w:rPr>
      </w:pPr>
      <w:r>
        <w:rPr>
          <w:rFonts w:ascii="Times New Roman" w:cs="Times New Roman" w:eastAsia="Times New Roman" w:hAnsi="Times New Roman"/>
          <w:sz w:val="10"/>
          <w:szCs w:val="10"/>
          <w:color w:val="auto"/>
        </w:rPr>
        <w:t>However, even if Rezolve is not subject to the above adverse consequences under Section 7874, Rezolve may be limited in using its equity to engage in future acquisitions of U.S. corporations over a 36 -month period following the Business Combination. If Rezolve were to be treated as acquiring substantially all of the assets of a U.S. corporation or U.S. partnership within a 36-month period after the Business Combination, the Section 7874 Regulations would exclude certain shares of Rezolve attributable to the Business Combination for purposes of determining the Section 7874 Percentage of that subsequent acquisition, making it more likely that Section 7874 of the Code will apply to such subsequent acquisition.</w:t>
      </w:r>
    </w:p>
    <w:p>
      <w:pPr>
        <w:spacing w:after="0" w:line="103" w:lineRule="exact"/>
        <w:rPr>
          <w:sz w:val="20"/>
          <w:szCs w:val="20"/>
          <w:color w:val="auto"/>
        </w:rPr>
      </w:pPr>
    </w:p>
    <w:p>
      <w:pPr>
        <w:ind w:right="100" w:firstLine="480"/>
        <w:spacing w:after="0" w:line="259" w:lineRule="auto"/>
        <w:rPr>
          <w:sz w:val="20"/>
          <w:szCs w:val="20"/>
          <w:color w:val="auto"/>
        </w:rPr>
      </w:pPr>
      <w:r>
        <w:rPr>
          <w:rFonts w:ascii="Times New Roman" w:cs="Times New Roman" w:eastAsia="Times New Roman" w:hAnsi="Times New Roman"/>
          <w:sz w:val="10"/>
          <w:szCs w:val="10"/>
          <w:color w:val="auto"/>
        </w:rPr>
        <w:t>See “</w:t>
      </w:r>
      <w:r>
        <w:rPr>
          <w:rFonts w:ascii="Times New Roman" w:cs="Times New Roman" w:eastAsia="Times New Roman" w:hAnsi="Times New Roman"/>
          <w:sz w:val="10"/>
          <w:szCs w:val="10"/>
          <w:i w:val="1"/>
          <w:iCs w:val="1"/>
          <w:color w:val="auto"/>
        </w:rPr>
        <w:t>Material Tax Considerations — Material U.S. Federal Income Tax Considerations—U.S. Federal Income Tax Treatment of Rezolve</w:t>
      </w:r>
      <w:r>
        <w:rPr>
          <w:rFonts w:ascii="Times New Roman" w:cs="Times New Roman" w:eastAsia="Times New Roman" w:hAnsi="Times New Roman"/>
          <w:sz w:val="10"/>
          <w:szCs w:val="10"/>
          <w:color w:val="auto"/>
        </w:rPr>
        <w:t>” for a more detailed discussion of the application of Section 7874 of the Code to the Business Combination. Investors in Rezolve should consult their own advisors regarding the application of Section 7874 of the Code to the Business Combination.</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41" w:name="page42"/>
    <w:bookmarkEnd w:id="41"/>
    <w:p>
      <w:pPr>
        <w:ind w:left="4860"/>
        <w:spacing w:after="0"/>
        <w:rPr>
          <w:sz w:val="20"/>
          <w:szCs w:val="20"/>
          <w:color w:val="auto"/>
        </w:rPr>
      </w:pPr>
      <w:r>
        <w:rPr>
          <w:rFonts w:ascii="Times New Roman" w:cs="Times New Roman" w:eastAsia="Times New Roman" w:hAnsi="Times New Roman"/>
          <w:sz w:val="10"/>
          <w:szCs w:val="10"/>
          <w:b w:val="1"/>
          <w:bCs w:val="1"/>
          <w:color w:val="auto"/>
        </w:rPr>
        <w:t>USE OF PROCEEDS</w:t>
      </w:r>
    </w:p>
    <w:p>
      <w:pPr>
        <w:spacing w:after="0" w:line="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of the securities offered by the Selling Holders pursuant to this prospectus will be sold by the Selling Holders for their respective accounts. We will not receive any of the proceeds from these sales.</w:t>
      </w:r>
    </w:p>
    <w:p>
      <w:pPr>
        <w:spacing w:after="0" w:line="118"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Selling Holders will pay any underwriting commissions and discounts, and expenses incurred by the Selling Holders for brokerage, marketing costs, or legal services (other than those detailed below). We will bear the costs, fees and expenses incurred in effecting the registration of the securities covered by this prospectus, including all registration and filing fees, securities or blue sky law compliance fees, Nasdaq listing fees and expenses of our counsel and our independent registered public accounting firm, and fees and expenses of one legal counsel.</w:t>
      </w:r>
    </w:p>
    <w:p>
      <w:pPr>
        <w:spacing w:after="0" w:line="1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0"/>
          <w:szCs w:val="1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20"/>
          </w:cols>
          <w:pgMar w:left="640" w:top="1033" w:right="740" w:bottom="1440" w:gutter="0" w:footer="0" w:header="0"/>
        </w:sectPr>
      </w:pPr>
    </w:p>
    <w:bookmarkStart w:id="42" w:name="page43"/>
    <w:bookmarkEnd w:id="42"/>
    <w:p>
      <w:pPr>
        <w:jc w:val="center"/>
        <w:ind w:right="-79"/>
        <w:spacing w:after="0"/>
        <w:rPr>
          <w:sz w:val="20"/>
          <w:szCs w:val="20"/>
          <w:color w:val="auto"/>
        </w:rPr>
      </w:pPr>
      <w:r>
        <w:rPr>
          <w:rFonts w:ascii="Times New Roman" w:cs="Times New Roman" w:eastAsia="Times New Roman" w:hAnsi="Times New Roman"/>
          <w:sz w:val="10"/>
          <w:szCs w:val="10"/>
          <w:b w:val="1"/>
          <w:bCs w:val="1"/>
          <w:color w:val="auto"/>
        </w:rPr>
        <w:t>DIVIDEND POLICY</w:t>
      </w:r>
    </w:p>
    <w:p>
      <w:pPr>
        <w:spacing w:after="0" w:line="97" w:lineRule="exact"/>
        <w:rPr>
          <w:sz w:val="20"/>
          <w:szCs w:val="20"/>
          <w:color w:val="auto"/>
        </w:rPr>
      </w:pPr>
    </w:p>
    <w:p>
      <w:pPr>
        <w:ind w:firstLine="480"/>
        <w:spacing w:after="0" w:line="310" w:lineRule="auto"/>
        <w:rPr>
          <w:sz w:val="20"/>
          <w:szCs w:val="20"/>
          <w:color w:val="auto"/>
        </w:rPr>
      </w:pPr>
      <w:r>
        <w:rPr>
          <w:rFonts w:ascii="Times New Roman" w:cs="Times New Roman" w:eastAsia="Times New Roman" w:hAnsi="Times New Roman"/>
          <w:sz w:val="9"/>
          <w:szCs w:val="9"/>
          <w:color w:val="auto"/>
        </w:rPr>
        <w:t>We have not paid any cash dividends on the Ordinary Shares to date and do not intend to pay cash dividends in the foreseeable future. The payment of cash dividends in the future will be dependent upon our revenues and earnings, if any, capital requirements and general financial condition. The payment of any cash dividends is within the discretion of our Board. Further, our ability to declare dividends may be limited by the terms of financing or other agreements we or our subsidiaries enter into from time to time.</w:t>
      </w:r>
    </w:p>
    <w:p>
      <w:pPr>
        <w:spacing w:after="0" w:line="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0"/>
          <w:szCs w:val="1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40"/>
          </w:cols>
          <w:pgMar w:left="640" w:top="1033" w:right="720"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0"/>
          <w:szCs w:val="10"/>
          <w:b w:val="1"/>
          <w:bCs w:val="1"/>
          <w:color w:val="auto"/>
        </w:rPr>
        <w:t>MARKET PRICE OF OUR SECURITIES</w:t>
      </w:r>
    </w:p>
    <w:p>
      <w:pPr>
        <w:spacing w:after="0" w:line="97"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Ordinary Shares began trading on Nasdaq under the symbol “RZLV” on August 15, 2024. The Public Warrants began trading on Nasdaq under the symbol “RZLVW” on August 15, 2024. The Armada Ordinary Shares, Armada Warrants and Armada Units were previously listed on Nasdaq under the symbols “AACI,” “AACIW,” and “AACIU,” respectively. The Armada Units began trading on Nasdaq on August 13, 2021 and the Armada Ordinary Shares and Armada Warrants began trading on Nasdaq on November 16, 2021. The Armada Units automatically separated into the component securities upon consummation of the Business Combination. Prior to the Closing Date, each Armada Unit consisted of one Armada Ordinary Share and one half of one Armada Warrant, whereby each whole Armada Warrant entitled the holder to purchase one Armada Ordinary Share at an exercise price of $11.50 per share. Upon the closing of the Business Combination, the Armada Ordinary Shares were converted into Ordinary Shares. As of January 10, 2025, there were approximately 2 shareholders of record of Ordinary Shares and one shareholder of record of Warrants. Such numbers do not include beneficial owners holding our securities through nominee names. On January 8, 2025, the last reported closing sale prices of our Ordinary Shares and Public Warrants were $2.97 and $0.57, respectively.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0"/>
          <w:szCs w:val="10"/>
          <w:b w:val="1"/>
          <w:bCs w:val="1"/>
          <w:color w:val="auto"/>
        </w:rPr>
        <w:t>UNAUDITED PRO FORMA CONDENSED COMBINED FINANCIAL INFORMATION</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Defined terms included below have the same meaning as terms defined and included elsewhere in this prospectus.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Introduction</w:t>
      </w:r>
    </w:p>
    <w:p>
      <w:pPr>
        <w:spacing w:after="0" w:line="60" w:lineRule="exact"/>
        <w:rPr>
          <w:sz w:val="20"/>
          <w:szCs w:val="20"/>
          <w:color w:val="auto"/>
        </w:rPr>
      </w:pPr>
    </w:p>
    <w:p>
      <w:pPr>
        <w:ind w:right="320" w:firstLine="705"/>
        <w:spacing w:after="0" w:line="245" w:lineRule="auto"/>
        <w:rPr>
          <w:sz w:val="20"/>
          <w:szCs w:val="20"/>
          <w:color w:val="auto"/>
        </w:rPr>
      </w:pPr>
      <w:r>
        <w:rPr>
          <w:rFonts w:ascii="Times New Roman" w:cs="Times New Roman" w:eastAsia="Times New Roman" w:hAnsi="Times New Roman"/>
          <w:sz w:val="10"/>
          <w:szCs w:val="10"/>
          <w:color w:val="auto"/>
        </w:rPr>
        <w:t xml:space="preserve">The following unaudited pro forma condensed combined financial information is based on Rezolve's historical consolidated financial statements and Armada's historical financial statements and gives effect to the consummation of the Business Combination. </w:t>
      </w:r>
      <w:r>
        <w:rPr>
          <w:rFonts w:ascii="Times New Roman" w:cs="Times New Roman" w:eastAsia="Times New Roman" w:hAnsi="Times New Roman"/>
          <w:sz w:val="10"/>
          <w:szCs w:val="10"/>
          <w:color w:val="212529"/>
        </w:rPr>
        <w:t>The unaudited pro forma condensed combined financial information has been prepared in accordance with Article 11 of Regulation S-X as amended by the final rule, Release No. 33-10786 “Amendments to Financial Disclosures about Acquired and</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color w:val="212529"/>
        </w:rPr>
        <w:t>Disposed Businesses.”</w:t>
      </w:r>
    </w:p>
    <w:p>
      <w:pPr>
        <w:spacing w:after="0" w:line="45" w:lineRule="exact"/>
        <w:rPr>
          <w:sz w:val="20"/>
          <w:szCs w:val="20"/>
          <w:color w:val="auto"/>
        </w:rPr>
      </w:pPr>
    </w:p>
    <w:p>
      <w:pPr>
        <w:ind w:right="280" w:firstLine="705"/>
        <w:spacing w:after="0" w:line="255" w:lineRule="auto"/>
        <w:rPr>
          <w:sz w:val="20"/>
          <w:szCs w:val="20"/>
          <w:color w:val="auto"/>
        </w:rPr>
      </w:pPr>
      <w:r>
        <w:rPr>
          <w:rFonts w:ascii="Times New Roman" w:cs="Times New Roman" w:eastAsia="Times New Roman" w:hAnsi="Times New Roman"/>
          <w:sz w:val="10"/>
          <w:szCs w:val="10"/>
          <w:color w:val="212529"/>
        </w:rPr>
        <w:t>The following unaudited pro forma condensed combined Balance Sheet as of June 30, 2024 and the unaudited pro forma condensed combined statement of operations for the six months ended June 30, 2024, present the combination of the financial information of Rezolve and Armada after giving effect to the Business Combination.</w:t>
      </w:r>
    </w:p>
    <w:p>
      <w:pPr>
        <w:spacing w:after="0" w:line="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9"/>
          <w:szCs w:val="9"/>
          <w:color w:val="212529"/>
        </w:rPr>
        <w:t>Armada is a newly organized blank check company incorporated in Delaware on November 5, 2020, for the purpose of effecting a merger, stock exchange, asset acquisition, stock purchase, reorganization or other similar business combination with one or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212529"/>
        </w:rPr>
        <w:t>more businesses.</w:t>
      </w:r>
    </w:p>
    <w:p>
      <w:pPr>
        <w:spacing w:after="0" w:line="48" w:lineRule="exact"/>
        <w:rPr>
          <w:sz w:val="20"/>
          <w:szCs w:val="20"/>
          <w:color w:val="auto"/>
        </w:rPr>
      </w:pPr>
    </w:p>
    <w:p>
      <w:pPr>
        <w:ind w:right="100" w:firstLine="705"/>
        <w:spacing w:after="0" w:line="255" w:lineRule="auto"/>
        <w:rPr>
          <w:sz w:val="20"/>
          <w:szCs w:val="20"/>
          <w:color w:val="auto"/>
        </w:rPr>
      </w:pPr>
      <w:r>
        <w:rPr>
          <w:rFonts w:ascii="Times New Roman" w:cs="Times New Roman" w:eastAsia="Times New Roman" w:hAnsi="Times New Roman"/>
          <w:sz w:val="10"/>
          <w:szCs w:val="10"/>
          <w:color w:val="212529"/>
        </w:rPr>
        <w:t>Rezolve provides an engagement platform, powered by cutting-edge artificial intelligence and machine learning that empowers retailers, brands, and manufacturers to create robust, dynamic connections with consumers, transcending barriers of location and device, whether they are mobile or desktop.</w:t>
      </w:r>
    </w:p>
    <w:p>
      <w:pPr>
        <w:spacing w:after="0" w:line="41" w:lineRule="exact"/>
        <w:rPr>
          <w:sz w:val="20"/>
          <w:szCs w:val="20"/>
          <w:color w:val="auto"/>
        </w:rPr>
      </w:pPr>
    </w:p>
    <w:p>
      <w:pPr>
        <w:ind w:right="40" w:firstLine="705"/>
        <w:spacing w:after="0" w:line="241" w:lineRule="auto"/>
        <w:rPr>
          <w:sz w:val="20"/>
          <w:szCs w:val="20"/>
          <w:color w:val="auto"/>
        </w:rPr>
      </w:pPr>
      <w:r>
        <w:rPr>
          <w:rFonts w:ascii="Times New Roman" w:cs="Times New Roman" w:eastAsia="Times New Roman" w:hAnsi="Times New Roman"/>
          <w:sz w:val="10"/>
          <w:szCs w:val="10"/>
          <w:color w:val="auto"/>
        </w:rPr>
        <w:t>The unaudited pro forma condensed combined balance sheet does not purport to represent, and is not necessarily indicative of, what the actual financial condition of the Combined Company would have been had the Business Combination taken place on June 30, 2024, nor is it indicative of the financial condition of the Combined Company as of any future date. The unaudited pro forma condensed combined statements of operations do not purport to represent, and are not necessarily indicative of, what the actual results of operations of the Combined Company would have been had the Business Combination taken place on January 1, 2024, nor are they indicative of the results of operations of the Combined Company for any future period. The unaudited pro forma condensed combined financial information should be read in conjunction with:</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notes to the unaudited pro forma condensed combined financial statements;</w:t>
      </w:r>
    </w:p>
    <w:p>
      <w:pPr>
        <w:spacing w:after="0" w:line="58" w:lineRule="exact"/>
        <w:rPr>
          <w:sz w:val="20"/>
          <w:szCs w:val="20"/>
          <w:color w:val="auto"/>
        </w:rPr>
      </w:pPr>
    </w:p>
    <w:p>
      <w:pPr>
        <w:ind w:left="480" w:right="3520"/>
        <w:spacing w:after="0" w:line="400" w:lineRule="auto"/>
        <w:rPr>
          <w:sz w:val="20"/>
          <w:szCs w:val="20"/>
          <w:color w:val="auto"/>
        </w:rPr>
      </w:pPr>
      <w:r>
        <w:rPr>
          <w:rFonts w:ascii="Times New Roman" w:cs="Times New Roman" w:eastAsia="Times New Roman" w:hAnsi="Times New Roman"/>
          <w:sz w:val="9"/>
          <w:szCs w:val="9"/>
          <w:color w:val="auto"/>
        </w:rPr>
        <w:t>•the historical audited financial statements of Armada as of, and for the year ended, September 30, 2023 and 2022, included elsewhere in this proxy statement/prospectus; •the historical unaudited financial statements for Armada as of and for the quarter ended June 30, 2024, included elsewhere in this proxy statement/prospectus;</w:t>
      </w:r>
    </w:p>
    <w:p>
      <w:pPr>
        <w:ind w:left="480" w:right="3360"/>
        <w:spacing w:after="0" w:line="370" w:lineRule="auto"/>
        <w:rPr>
          <w:sz w:val="20"/>
          <w:szCs w:val="20"/>
          <w:color w:val="auto"/>
        </w:rPr>
      </w:pPr>
      <w:r>
        <w:rPr>
          <w:rFonts w:ascii="Times New Roman" w:cs="Times New Roman" w:eastAsia="Times New Roman" w:hAnsi="Times New Roman"/>
          <w:sz w:val="10"/>
          <w:szCs w:val="10"/>
          <w:color w:val="auto"/>
        </w:rPr>
        <w:t>•the historical audited carve-out financial statements of Rezolve as of, and for the year ended, December 31, 2023, included elsewhere in this proxy statement/prospectus; •the historical unaudited carve-out financial statements of Rezolve as of, and for the six months ended, June 30, 2024, included elsewhere in this proxy statements/prospectus; •the section entitled “</w:t>
      </w:r>
      <w:r>
        <w:rPr>
          <w:rFonts w:ascii="Times New Roman" w:cs="Times New Roman" w:eastAsia="Times New Roman" w:hAnsi="Times New Roman"/>
          <w:sz w:val="10"/>
          <w:szCs w:val="10"/>
          <w:i w:val="1"/>
          <w:iCs w:val="1"/>
          <w:color w:val="auto"/>
        </w:rPr>
        <w:t>Management’s Discussion and Analysis of Financial Condition and Results of Operation</w:t>
      </w:r>
      <w:r>
        <w:rPr>
          <w:rFonts w:ascii="Times New Roman" w:cs="Times New Roman" w:eastAsia="Times New Roman" w:hAnsi="Times New Roman"/>
          <w:sz w:val="10"/>
          <w:szCs w:val="10"/>
          <w:color w:val="auto"/>
        </w:rPr>
        <w: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Accounting for the Business Combination</w:t>
      </w:r>
    </w:p>
    <w:p>
      <w:pPr>
        <w:spacing w:after="0" w:line="112" w:lineRule="exact"/>
        <w:rPr>
          <w:sz w:val="20"/>
          <w:szCs w:val="20"/>
          <w:color w:val="auto"/>
        </w:rPr>
      </w:pPr>
    </w:p>
    <w:p>
      <w:pPr>
        <w:jc w:val="both"/>
        <w:ind w:right="260" w:firstLine="705"/>
        <w:spacing w:after="0" w:line="245" w:lineRule="auto"/>
        <w:rPr>
          <w:sz w:val="20"/>
          <w:szCs w:val="20"/>
          <w:color w:val="auto"/>
        </w:rPr>
      </w:pPr>
      <w:r>
        <w:rPr>
          <w:rFonts w:ascii="Times New Roman" w:cs="Times New Roman" w:eastAsia="Times New Roman" w:hAnsi="Times New Roman"/>
          <w:sz w:val="10"/>
          <w:szCs w:val="10"/>
          <w:color w:val="auto"/>
        </w:rPr>
        <w:t>The Business Combination will be accounted for as a reverse recapitalization, with no goodwill or other intangible assets recorded, in accordance with accounting principles generally accepted in the United States of America. Under this method of accounting, Armada will be treated as the acquired company for financial reporting purposes. Accordingly, for accounting purposes, the Business Combination will be treated as the equivalent of Rezolve issuing shares for the net assets of Armada, accompanied by a reverse recapitalization. Rezolve has been determined to be the accounting acquirer based on evaluation of the following facts and circumstances:</w:t>
      </w:r>
    </w:p>
    <w:p>
      <w:pPr>
        <w:spacing w:after="0" w:line="45" w:lineRule="exact"/>
        <w:rPr>
          <w:sz w:val="20"/>
          <w:szCs w:val="20"/>
          <w:color w:val="auto"/>
        </w:rPr>
      </w:pPr>
    </w:p>
    <w:p>
      <w:pPr>
        <w:ind w:left="480" w:right="4100"/>
        <w:spacing w:after="0" w:line="360" w:lineRule="auto"/>
        <w:rPr>
          <w:sz w:val="20"/>
          <w:szCs w:val="20"/>
          <w:color w:val="auto"/>
        </w:rPr>
      </w:pPr>
      <w:r>
        <w:rPr>
          <w:rFonts w:ascii="Times New Roman" w:cs="Times New Roman" w:eastAsia="Times New Roman" w:hAnsi="Times New Roman"/>
          <w:sz w:val="10"/>
          <w:szCs w:val="10"/>
          <w:color w:val="auto"/>
        </w:rPr>
        <w:t>•Rezolve’s shareholders will have majority of the voting power under both the minimum redemption and maximum redemption scenarios described below; •Rezolve will appoint majority of the directors of Rezolve;</w:t>
      </w:r>
    </w:p>
    <w:p>
      <w:pPr>
        <w:ind w:left="480"/>
        <w:spacing w:after="0"/>
        <w:rPr>
          <w:sz w:val="20"/>
          <w:szCs w:val="20"/>
          <w:color w:val="auto"/>
        </w:rPr>
      </w:pPr>
      <w:r>
        <w:rPr>
          <w:rFonts w:ascii="Times New Roman" w:cs="Times New Roman" w:eastAsia="Times New Roman" w:hAnsi="Times New Roman"/>
          <w:sz w:val="10"/>
          <w:szCs w:val="10"/>
          <w:color w:val="auto"/>
        </w:rPr>
        <w:t>•Rezolve’s existing management will comprise the management of Rezolve;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•Rezolve’s operations will comprise the ongoing operations of Rezolve;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is the larger entity based on historical revenues and business operations; and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45" w:name="page46"/>
    <w:bookmarkEnd w:id="45"/>
    <w:p>
      <w:pPr>
        <w:ind w:left="480"/>
        <w:spacing w:after="0"/>
        <w:rPr>
          <w:sz w:val="20"/>
          <w:szCs w:val="20"/>
          <w:color w:val="auto"/>
        </w:rPr>
      </w:pPr>
      <w:r>
        <w:rPr>
          <w:rFonts w:ascii="Times New Roman" w:cs="Times New Roman" w:eastAsia="Times New Roman" w:hAnsi="Times New Roman"/>
          <w:sz w:val="10"/>
          <w:szCs w:val="10"/>
          <w:color w:val="auto"/>
        </w:rPr>
        <w:t>•Rezolve will continue to use Rezolve Limited’s name and Rezolve’s headquarters in London.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Description of the Transaction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Business Combination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 summary of the Business Combination and related transactions is as follows: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•Under the Business Combination Agreement:</w:t>
      </w:r>
    </w:p>
    <w:p>
      <w:pPr>
        <w:spacing w:after="0" w:line="170" w:lineRule="exact"/>
        <w:rPr>
          <w:sz w:val="20"/>
          <w:szCs w:val="20"/>
          <w:color w:val="auto"/>
        </w:rPr>
      </w:pPr>
    </w:p>
    <w:p>
      <w:pPr>
        <w:ind w:left="1180" w:right="40"/>
        <w:spacing w:after="0" w:line="241" w:lineRule="auto"/>
        <w:rPr>
          <w:sz w:val="20"/>
          <w:szCs w:val="20"/>
          <w:color w:val="auto"/>
        </w:rPr>
      </w:pPr>
      <w:r>
        <w:rPr>
          <w:rFonts w:ascii="Times New Roman" w:cs="Times New Roman" w:eastAsia="Times New Roman" w:hAnsi="Times New Roman"/>
          <w:sz w:val="10"/>
          <w:szCs w:val="10"/>
          <w:color w:val="auto"/>
        </w:rPr>
        <w:t>(i)a pre-Closing demerger (the “Pre-Closing Demerger”) of Rezolve Limited will be effected pursuant to UK legislation under which (a) part of Rezolve Limited’s business and assets (being all of its business and assets except for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(b) Rezolve will be assigned, assume and/or reissue the secured Convertible Notes currently issued by Rezolve Limited, and (c) Rezolve Limited will then be wound up; and</w:t>
      </w:r>
    </w:p>
    <w:p>
      <w:pPr>
        <w:spacing w:after="0" w:line="48" w:lineRule="exact"/>
        <w:rPr>
          <w:sz w:val="20"/>
          <w:szCs w:val="20"/>
          <w:color w:val="auto"/>
        </w:rPr>
      </w:pPr>
    </w:p>
    <w:p>
      <w:pPr>
        <w:ind w:left="1180" w:right="100"/>
        <w:spacing w:after="0" w:line="245" w:lineRule="auto"/>
        <w:rPr>
          <w:sz w:val="20"/>
          <w:szCs w:val="20"/>
          <w:color w:val="auto"/>
        </w:rPr>
      </w:pPr>
      <w:r>
        <w:rPr>
          <w:rFonts w:ascii="Times New Roman" w:cs="Times New Roman" w:eastAsia="Times New Roman" w:hAnsi="Times New Roman"/>
          <w:sz w:val="10"/>
          <w:szCs w:val="10"/>
          <w:color w:val="auto"/>
        </w:rPr>
        <w:t>(ii)a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w:t>
      </w:r>
    </w:p>
    <w:p>
      <w:pPr>
        <w:spacing w:after="0" w:line="158" w:lineRule="exact"/>
        <w:rPr>
          <w:sz w:val="20"/>
          <w:szCs w:val="20"/>
          <w:color w:val="auto"/>
        </w:rPr>
      </w:pPr>
    </w:p>
    <w:p>
      <w:pPr>
        <w:ind w:left="480"/>
        <w:spacing w:after="0" w:line="245" w:lineRule="auto"/>
        <w:rPr>
          <w:sz w:val="20"/>
          <w:szCs w:val="20"/>
          <w:color w:val="auto"/>
        </w:rPr>
      </w:pPr>
      <w:r>
        <w:rPr>
          <w:rFonts w:ascii="Times New Roman" w:cs="Times New Roman" w:eastAsia="Times New Roman" w:hAnsi="Times New Roman"/>
          <w:sz w:val="10"/>
          <w:szCs w:val="10"/>
          <w:color w:val="auto"/>
        </w:rPr>
        <w:t>•Pursuant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 See the sections in this summary entitled “The Business Combination Proposal” for more information.</w:t>
      </w:r>
    </w:p>
    <w:p>
      <w:pPr>
        <w:spacing w:after="0" w:line="45" w:lineRule="exact"/>
        <w:rPr>
          <w:sz w:val="20"/>
          <w:szCs w:val="20"/>
          <w:color w:val="auto"/>
        </w:rPr>
      </w:pPr>
    </w:p>
    <w:p>
      <w:pPr>
        <w:jc w:val="both"/>
        <w:ind w:left="480" w:right="40"/>
        <w:spacing w:after="0" w:line="245" w:lineRule="auto"/>
        <w:rPr>
          <w:sz w:val="20"/>
          <w:szCs w:val="20"/>
          <w:color w:val="auto"/>
        </w:rPr>
      </w:pPr>
      <w:r>
        <w:rPr>
          <w:rFonts w:ascii="Times New Roman" w:cs="Times New Roman" w:eastAsia="Times New Roman" w:hAnsi="Times New Roman"/>
          <w:sz w:val="10"/>
          <w:szCs w:val="10"/>
          <w:color w:val="auto"/>
        </w:rPr>
        <w:t>•Under the Business Combination Agreement, upon the consummation of the Merger, each Armada Unit will be automatically detached and the holder thereof will exchange one share of Armada Common Stock for one Rezolve Ordinary Share and one half of one Armada Warrant for one half of one Rezolve Warrant. Each outstanding share of Armada Common Stock will be exchanged for one Rezolve Ordinary Share, and each outstanding Armada Warrant will be exchanged for a Rezolve Warrant that will entitle the holder to purchase one Rezolve Ordinary Share in lieu of one share of Armada Common Stock and otherwise on substantially the same terms and conditions as the Armada Warrants.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0"/>
          <w:szCs w:val="10"/>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AS AT JUNE 30, 2024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4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w w:val="98"/>
              </w:rPr>
              <w:t>Armada</w:t>
            </w: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40" w:type="dxa"/>
            <w:vAlign w:val="bottom"/>
            <w:gridSpan w:val="4"/>
          </w:tcPr>
          <w:p>
            <w:pPr>
              <w:jc w:val="right"/>
              <w:ind w:right="54"/>
              <w:spacing w:after="0"/>
              <w:rPr>
                <w:sz w:val="20"/>
                <w:szCs w:val="20"/>
                <w:color w:val="auto"/>
              </w:rPr>
            </w:pPr>
            <w:r>
              <w:rPr>
                <w:rFonts w:ascii="Times New Roman" w:cs="Times New Roman" w:eastAsia="Times New Roman" w:hAnsi="Times New Roman"/>
                <w:sz w:val="8"/>
                <w:szCs w:val="8"/>
                <w:b w:val="1"/>
                <w:bCs w:val="1"/>
                <w:color w:val="auto"/>
              </w:rPr>
              <w:t>Proforma Combined</w:t>
            </w: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vMerge w:val="restart"/>
          </w:tcPr>
          <w:p>
            <w:pPr>
              <w:jc w:val="center"/>
              <w:ind w:right="119"/>
              <w:spacing w:after="0"/>
              <w:rPr>
                <w:sz w:val="20"/>
                <w:szCs w:val="20"/>
                <w:color w:val="auto"/>
              </w:rPr>
            </w:pPr>
            <w:r>
              <w:rPr>
                <w:rFonts w:ascii="Times New Roman" w:cs="Times New Roman" w:eastAsia="Times New Roman" w:hAnsi="Times New Roman"/>
                <w:sz w:val="8"/>
                <w:szCs w:val="8"/>
                <w:b w:val="1"/>
                <w:bCs w:val="1"/>
                <w:color w:val="auto"/>
              </w:rPr>
              <w:t>Rezolve</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4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rPr>
              <w:t>Acquisition</w:t>
            </w: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vMerge w:val="restart"/>
          </w:tcPr>
          <w:p>
            <w:pPr>
              <w:jc w:val="center"/>
              <w:ind w:right="139"/>
              <w:spacing w:after="0"/>
              <w:rPr>
                <w:sz w:val="20"/>
                <w:szCs w:val="20"/>
                <w:color w:val="auto"/>
              </w:rPr>
            </w:pPr>
            <w:r>
              <w:rPr>
                <w:rFonts w:ascii="Times New Roman" w:cs="Times New Roman" w:eastAsia="Times New Roman" w:hAnsi="Times New Roman"/>
                <w:sz w:val="8"/>
                <w:szCs w:val="8"/>
                <w:b w:val="1"/>
                <w:bCs w:val="1"/>
                <w:color w:val="auto"/>
              </w:rPr>
              <w:t>AI Limited and</w:t>
            </w: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4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vMerge w:val="restart"/>
          </w:tcPr>
          <w:p>
            <w:pPr>
              <w:jc w:val="center"/>
              <w:ind w:left="399"/>
              <w:spacing w:after="0"/>
              <w:rPr>
                <w:sz w:val="20"/>
                <w:szCs w:val="20"/>
                <w:color w:val="auto"/>
              </w:rPr>
            </w:pPr>
            <w:r>
              <w:rPr>
                <w:rFonts w:ascii="Times New Roman" w:cs="Times New Roman" w:eastAsia="Times New Roman" w:hAnsi="Times New Roman"/>
                <w:sz w:val="8"/>
                <w:szCs w:val="8"/>
                <w:b w:val="1"/>
                <w:bCs w:val="1"/>
                <w:color w:val="auto"/>
              </w:rPr>
              <w:t>Corp. I</w:t>
            </w: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vMerge w:val="restart"/>
          </w:tcPr>
          <w:p>
            <w:pPr>
              <w:jc w:val="center"/>
              <w:ind w:right="119"/>
              <w:spacing w:after="0"/>
              <w:rPr>
                <w:sz w:val="20"/>
                <w:szCs w:val="20"/>
                <w:color w:val="auto"/>
              </w:rPr>
            </w:pPr>
            <w:r>
              <w:rPr>
                <w:rFonts w:ascii="Times New Roman" w:cs="Times New Roman" w:eastAsia="Times New Roman" w:hAnsi="Times New Roman"/>
                <w:sz w:val="8"/>
                <w:szCs w:val="8"/>
                <w:b w:val="1"/>
                <w:bCs w:val="1"/>
                <w:color w:val="auto"/>
              </w:rPr>
              <w:t>Subsidiaries</w:t>
            </w: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4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w w:val="98"/>
              </w:rPr>
              <w:t>(Historical</w:t>
            </w: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vMerge w:val="restart"/>
          </w:tcPr>
          <w:p>
            <w:pPr>
              <w:jc w:val="center"/>
              <w:ind w:right="139"/>
              <w:spacing w:after="0"/>
              <w:rPr>
                <w:sz w:val="20"/>
                <w:szCs w:val="20"/>
                <w:color w:val="auto"/>
              </w:rPr>
            </w:pPr>
            <w:r>
              <w:rPr>
                <w:rFonts w:ascii="Times New Roman" w:cs="Times New Roman" w:eastAsia="Times New Roman" w:hAnsi="Times New Roman"/>
                <w:sz w:val="8"/>
                <w:szCs w:val="8"/>
                <w:b w:val="1"/>
                <w:bCs w:val="1"/>
                <w:color w:val="auto"/>
              </w:rPr>
              <w:t>(Historical as</w:t>
            </w: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4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rPr>
              <w:t>as of</w:t>
            </w: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vMerge w:val="restart"/>
          </w:tcPr>
          <w:p>
            <w:pPr>
              <w:jc w:val="center"/>
              <w:ind w:right="139"/>
              <w:spacing w:after="0"/>
              <w:rPr>
                <w:sz w:val="20"/>
                <w:szCs w:val="20"/>
                <w:color w:val="auto"/>
              </w:rPr>
            </w:pPr>
            <w:r>
              <w:rPr>
                <w:rFonts w:ascii="Times New Roman" w:cs="Times New Roman" w:eastAsia="Times New Roman" w:hAnsi="Times New Roman"/>
                <w:sz w:val="8"/>
                <w:szCs w:val="8"/>
                <w:b w:val="1"/>
                <w:bCs w:val="1"/>
                <w:color w:val="auto"/>
              </w:rPr>
              <w:t>of 6/30/2024</w:t>
            </w: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4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rPr>
              <w:t>6/30/2024)</w:t>
            </w: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Transaction Accounting Adjustments</w:t>
            </w: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8"/>
                <w:szCs w:val="8"/>
                <w:b w:val="1"/>
                <w:bCs w:val="1"/>
                <w:color w:val="auto"/>
              </w:rPr>
              <w:t>Pro Forma Combined</w:t>
            </w:r>
          </w:p>
        </w:tc>
        <w:tc>
          <w:tcPr>
            <w:tcW w:w="0" w:type="dxa"/>
            <w:vAlign w:val="bottom"/>
          </w:tcPr>
          <w:p>
            <w:pPr>
              <w:spacing w:after="0"/>
              <w:rPr>
                <w:sz w:val="1"/>
                <w:szCs w:val="1"/>
                <w:color w:val="auto"/>
              </w:rPr>
            </w:pPr>
          </w:p>
        </w:tc>
      </w:tr>
      <w:tr>
        <w:trPr>
          <w:trHeight w:val="53"/>
        </w:trPr>
        <w:tc>
          <w:tcPr>
            <w:tcW w:w="4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Assets</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Current assets:</w:t>
            </w: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Cash and cash equivalents</w:t>
            </w:r>
          </w:p>
        </w:tc>
        <w:tc>
          <w:tcPr>
            <w:tcW w:w="1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8"/>
                <w:szCs w:val="8"/>
                <w:color w:val="auto"/>
                <w:w w:val="9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60,298</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13,242</w:t>
            </w: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(1,300,000 )</w:t>
            </w: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(a)</w:t>
            </w:r>
          </w:p>
        </w:tc>
        <w:tc>
          <w:tcPr>
            <w:tcW w:w="1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5"/>
                <w:szCs w:val="5"/>
                <w:color w:val="auto"/>
                <w:w w:val="7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(700,000 )</w:t>
            </w:r>
          </w:p>
        </w:tc>
        <w:tc>
          <w:tcPr>
            <w:tcW w:w="40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(a)</w:t>
            </w: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(6,035,757 )</w:t>
            </w: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(b)</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(1,491,622 )</w:t>
            </w:r>
          </w:p>
        </w:tc>
        <w:tc>
          <w:tcPr>
            <w:tcW w:w="40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(c)</w:t>
            </w: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(3,056,726 )</w:t>
            </w: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(d)</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12,510,565</w:t>
            </w:r>
          </w:p>
        </w:tc>
        <w:tc>
          <w:tcPr>
            <w:tcW w:w="80" w:type="dxa"/>
            <w:vAlign w:val="bottom"/>
          </w:tcPr>
          <w:p>
            <w:pPr>
              <w:spacing w:after="0"/>
              <w:rPr>
                <w:sz w:val="8"/>
                <w:szCs w:val="8"/>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(e)</w:t>
            </w: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Accounts receivable, net</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11,434</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11,434</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Prepaid expenses and other current assets</w:t>
            </w:r>
          </w:p>
        </w:tc>
        <w:tc>
          <w:tcPr>
            <w:tcW w:w="180" w:type="dxa"/>
            <w:vAlign w:val="bottom"/>
          </w:tcPr>
          <w:p>
            <w:pPr>
              <w:spacing w:after="0"/>
              <w:rPr>
                <w:sz w:val="8"/>
                <w:szCs w:val="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430,691</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41,788</w:t>
            </w: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472,479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Total current assets</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502,423</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55,030</w:t>
            </w: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(73,540 )</w:t>
            </w: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483,913</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Property and equipment, net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61,542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61,542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Goodwill and Intangible assets, net</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3,396,489</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3,396,489</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Investment and investment held in trust account, net</w:t>
            </w:r>
          </w:p>
        </w:tc>
        <w:tc>
          <w:tcPr>
            <w:tcW w:w="180" w:type="dxa"/>
            <w:vAlign w:val="bottom"/>
          </w:tcPr>
          <w:p>
            <w:pPr>
              <w:spacing w:after="0"/>
              <w:rPr>
                <w:sz w:val="8"/>
                <w:szCs w:val="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16,126,337</w:t>
            </w: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(1,322,729 )</w:t>
            </w:r>
          </w:p>
        </w:tc>
        <w:tc>
          <w:tcPr>
            <w:tcW w:w="40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(e)</w:t>
            </w:r>
          </w:p>
        </w:tc>
        <w:tc>
          <w:tcPr>
            <w:tcW w:w="180" w:type="dxa"/>
            <w:vAlign w:val="bottom"/>
          </w:tcPr>
          <w:p>
            <w:pPr>
              <w:spacing w:after="0"/>
              <w:rPr>
                <w:sz w:val="8"/>
                <w:szCs w:val="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(14,803,608 )</w:t>
            </w: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(f)</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260" w:type="dxa"/>
            <w:vAlign w:val="bottom"/>
          </w:tcPr>
          <w:p>
            <w:pPr>
              <w:spacing w:after="0" w:line="78" w:lineRule="exact"/>
              <w:rPr>
                <w:sz w:val="20"/>
                <w:szCs w:val="20"/>
                <w:color w:val="auto"/>
              </w:rPr>
            </w:pPr>
            <w:r>
              <w:rPr>
                <w:rFonts w:ascii="Times New Roman" w:cs="Times New Roman" w:eastAsia="Times New Roman" w:hAnsi="Times New Roman"/>
                <w:sz w:val="8"/>
                <w:szCs w:val="8"/>
                <w:color w:val="auto"/>
              </w:rPr>
              <w:t>Total assets</w:t>
            </w:r>
          </w:p>
        </w:tc>
        <w:tc>
          <w:tcPr>
            <w:tcW w:w="180" w:type="dxa"/>
            <w:vAlign w:val="bottom"/>
          </w:tcPr>
          <w:p>
            <w:pPr>
              <w:jc w:val="right"/>
              <w:ind w:right="79"/>
              <w:spacing w:after="0" w:line="78" w:lineRule="exact"/>
              <w:rPr>
                <w:sz w:val="20"/>
                <w:szCs w:val="20"/>
                <w:color w:val="auto"/>
              </w:rPr>
            </w:pPr>
            <w:r>
              <w:rPr>
                <w:rFonts w:ascii="Times New Roman" w:cs="Times New Roman" w:eastAsia="Times New Roman" w:hAnsi="Times New Roman"/>
                <w:sz w:val="8"/>
                <w:szCs w:val="8"/>
                <w:color w:val="auto"/>
                <w:w w:val="98"/>
              </w:rPr>
              <w:t>$</w:t>
            </w:r>
          </w:p>
        </w:tc>
        <w:tc>
          <w:tcPr>
            <w:tcW w:w="960" w:type="dxa"/>
            <w:vAlign w:val="bottom"/>
          </w:tcPr>
          <w:p>
            <w:pPr>
              <w:jc w:val="right"/>
              <w:spacing w:after="0" w:line="78" w:lineRule="exact"/>
              <w:rPr>
                <w:sz w:val="20"/>
                <w:szCs w:val="20"/>
                <w:color w:val="auto"/>
              </w:rPr>
            </w:pPr>
            <w:r>
              <w:rPr>
                <w:rFonts w:ascii="Times New Roman" w:cs="Times New Roman" w:eastAsia="Times New Roman" w:hAnsi="Times New Roman"/>
                <w:sz w:val="8"/>
                <w:szCs w:val="8"/>
                <w:color w:val="auto"/>
              </w:rPr>
              <w:t>3,960,454</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jc w:val="right"/>
              <w:ind w:right="799"/>
              <w:spacing w:after="0" w:line="78" w:lineRule="exact"/>
              <w:rPr>
                <w:sz w:val="20"/>
                <w:szCs w:val="20"/>
                <w:color w:val="auto"/>
              </w:rPr>
            </w:pPr>
            <w:r>
              <w:rPr>
                <w:rFonts w:ascii="Times New Roman" w:cs="Times New Roman" w:eastAsia="Times New Roman" w:hAnsi="Times New Roman"/>
                <w:sz w:val="8"/>
                <w:szCs w:val="8"/>
                <w:color w:val="auto"/>
                <w:w w:val="98"/>
              </w:rPr>
              <w:t>$</w:t>
            </w:r>
          </w:p>
        </w:tc>
        <w:tc>
          <w:tcPr>
            <w:tcW w:w="420" w:type="dxa"/>
            <w:vAlign w:val="bottom"/>
          </w:tcPr>
          <w:p>
            <w:pPr>
              <w:jc w:val="right"/>
              <w:spacing w:after="0" w:line="78" w:lineRule="exact"/>
              <w:rPr>
                <w:sz w:val="20"/>
                <w:szCs w:val="20"/>
                <w:color w:val="auto"/>
              </w:rPr>
            </w:pPr>
            <w:r>
              <w:rPr>
                <w:rFonts w:ascii="Times New Roman" w:cs="Times New Roman" w:eastAsia="Times New Roman" w:hAnsi="Times New Roman"/>
                <w:sz w:val="8"/>
                <w:szCs w:val="8"/>
                <w:color w:val="auto"/>
              </w:rPr>
              <w:t>16,181,367</w:t>
            </w:r>
          </w:p>
        </w:tc>
        <w:tc>
          <w:tcPr>
            <w:tcW w:w="1660" w:type="dxa"/>
            <w:vAlign w:val="bottom"/>
            <w:gridSpan w:val="3"/>
          </w:tcPr>
          <w:p>
            <w:pPr>
              <w:jc w:val="right"/>
              <w:ind w:right="40"/>
              <w:spacing w:after="0" w:line="78" w:lineRule="exact"/>
              <w:rPr>
                <w:sz w:val="20"/>
                <w:szCs w:val="20"/>
                <w:color w:val="auto"/>
              </w:rPr>
            </w:pPr>
            <w:r>
              <w:rPr>
                <w:rFonts w:ascii="Times New Roman" w:cs="Times New Roman" w:eastAsia="Times New Roman" w:hAnsi="Times New Roman"/>
                <w:sz w:val="5"/>
                <w:szCs w:val="5"/>
                <w:color w:val="auto"/>
              </w:rPr>
              <w:t xml:space="preserve">(16,199,877 </w:t>
            </w:r>
            <w:r>
              <w:rPr>
                <w:rFonts w:ascii="Times New Roman" w:cs="Times New Roman" w:eastAsia="Times New Roman" w:hAnsi="Times New Roman"/>
                <w:sz w:val="8"/>
                <w:szCs w:val="8"/>
                <w:color w:val="auto"/>
                <w:vertAlign w:val="subscript"/>
              </w:rPr>
              <w:t>)</w:t>
            </w:r>
          </w:p>
        </w:tc>
        <w:tc>
          <w:tcPr>
            <w:tcW w:w="400" w:type="dxa"/>
            <w:vAlign w:val="bottom"/>
          </w:tcPr>
          <w:p>
            <w:pPr>
              <w:spacing w:after="0"/>
              <w:rPr>
                <w:sz w:val="8"/>
                <w:szCs w:val="8"/>
                <w:color w:val="auto"/>
              </w:rPr>
            </w:pPr>
          </w:p>
        </w:tc>
        <w:tc>
          <w:tcPr>
            <w:tcW w:w="180" w:type="dxa"/>
            <w:vAlign w:val="bottom"/>
          </w:tcPr>
          <w:p>
            <w:pPr>
              <w:jc w:val="right"/>
              <w:ind w:right="114"/>
              <w:spacing w:after="0"/>
              <w:rPr>
                <w:sz w:val="20"/>
                <w:szCs w:val="20"/>
                <w:color w:val="auto"/>
              </w:rPr>
            </w:pPr>
            <w:r>
              <w:rPr>
                <w:rFonts w:ascii="Times New Roman" w:cs="Times New Roman" w:eastAsia="Times New Roman" w:hAnsi="Times New Roman"/>
                <w:sz w:val="5"/>
                <w:szCs w:val="5"/>
                <w:color w:val="auto"/>
                <w:w w:val="78"/>
              </w:rPr>
              <w:t>$</w:t>
            </w:r>
          </w:p>
        </w:tc>
        <w:tc>
          <w:tcPr>
            <w:tcW w:w="1140" w:type="dxa"/>
            <w:vAlign w:val="bottom"/>
          </w:tcPr>
          <w:p>
            <w:pPr>
              <w:jc w:val="right"/>
              <w:spacing w:after="0" w:line="78" w:lineRule="exact"/>
              <w:rPr>
                <w:sz w:val="20"/>
                <w:szCs w:val="20"/>
                <w:color w:val="auto"/>
              </w:rPr>
            </w:pPr>
            <w:r>
              <w:rPr>
                <w:rFonts w:ascii="Times New Roman" w:cs="Times New Roman" w:eastAsia="Times New Roman" w:hAnsi="Times New Roman"/>
                <w:sz w:val="8"/>
                <w:szCs w:val="8"/>
                <w:color w:val="auto"/>
              </w:rPr>
              <w:t>3,941,944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Liabilities and Equity</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Current liabilities:</w:t>
            </w: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Bank overdraft</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11,187,836</w:t>
            </w: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(e)</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11,335,872</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148,036</w:t>
            </w:r>
          </w:p>
        </w:tc>
        <w:tc>
          <w:tcPr>
            <w:tcW w:w="80" w:type="dxa"/>
            <w:vAlign w:val="bottom"/>
          </w:tcPr>
          <w:p>
            <w:pPr>
              <w:spacing w:after="0"/>
              <w:rPr>
                <w:sz w:val="8"/>
                <w:szCs w:val="8"/>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(f)</w:t>
            </w: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Accounts payable</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4,055,537</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6,035,757</w:t>
            </w: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(6,035,757 )</w:t>
            </w: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(b)</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4,055,537</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Due to related party</w:t>
            </w:r>
          </w:p>
        </w:tc>
        <w:tc>
          <w:tcPr>
            <w:tcW w:w="180" w:type="dxa"/>
            <w:vAlign w:val="bottom"/>
          </w:tcPr>
          <w:p>
            <w:pPr>
              <w:spacing w:after="0"/>
              <w:rPr>
                <w:sz w:val="8"/>
                <w:szCs w:val="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1,093,471</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1,093,471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Short term debt to related party</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860,778</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860,778</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Taxes payable</w:t>
            </w:r>
          </w:p>
        </w:tc>
        <w:tc>
          <w:tcPr>
            <w:tcW w:w="180" w:type="dxa"/>
            <w:vAlign w:val="bottom"/>
          </w:tcPr>
          <w:p>
            <w:pPr>
              <w:spacing w:after="0"/>
              <w:rPr>
                <w:sz w:val="8"/>
                <w:szCs w:val="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1,491,622</w:t>
            </w: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(1,491,622 )</w:t>
            </w:r>
          </w:p>
        </w:tc>
        <w:tc>
          <w:tcPr>
            <w:tcW w:w="40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(c)</w:t>
            </w:r>
          </w:p>
        </w:tc>
        <w:tc>
          <w:tcPr>
            <w:tcW w:w="180" w:type="dxa"/>
            <w:vAlign w:val="bottom"/>
          </w:tcPr>
          <w:p>
            <w:pPr>
              <w:spacing w:after="0"/>
              <w:rPr>
                <w:sz w:val="8"/>
                <w:szCs w:val="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148,036</w:t>
            </w: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(f)</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(148,036 )</w:t>
            </w:r>
          </w:p>
        </w:tc>
        <w:tc>
          <w:tcPr>
            <w:tcW w:w="40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(f)</w:t>
            </w: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Promissory Notes-Related Party</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3,056,726</w:t>
            </w: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(3,056,726 )</w:t>
            </w: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(d)</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60" w:type="dxa"/>
            <w:vAlign w:val="bottom"/>
            <w:gridSpan w:val="3"/>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Ordinary shares payable</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10,236,655</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(10,236,655 )</w:t>
            </w: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(g)</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Subscription agreement liability, net</w:t>
            </w:r>
          </w:p>
        </w:tc>
        <w:tc>
          <w:tcPr>
            <w:tcW w:w="180" w:type="dxa"/>
            <w:vAlign w:val="bottom"/>
          </w:tcPr>
          <w:p>
            <w:pPr>
              <w:spacing w:after="0"/>
              <w:rPr>
                <w:sz w:val="8"/>
                <w:szCs w:val="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354,503</w:t>
            </w: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354,503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Accrued expenses and other payables</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4,708,590</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4,708,590</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Share-based payment liability</w:t>
            </w:r>
          </w:p>
        </w:tc>
        <w:tc>
          <w:tcPr>
            <w:tcW w:w="180" w:type="dxa"/>
            <w:vAlign w:val="bottom"/>
          </w:tcPr>
          <w:p>
            <w:pPr>
              <w:spacing w:after="0"/>
              <w:rPr>
                <w:sz w:val="8"/>
                <w:szCs w:val="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1,383,298</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1,383,298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Promissory loan note</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437,956</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437,956</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Total current liabilities</w:t>
            </w:r>
          </w:p>
        </w:tc>
        <w:tc>
          <w:tcPr>
            <w:tcW w:w="180" w:type="dxa"/>
            <w:vAlign w:val="bottom"/>
          </w:tcPr>
          <w:p>
            <w:pPr>
              <w:spacing w:after="0"/>
              <w:rPr>
                <w:sz w:val="9"/>
                <w:szCs w:val="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22,776,285</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10,938,608</w:t>
            </w: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(9,484,888 )</w:t>
            </w: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24,230,005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4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60" w:type="dxa"/>
            <w:vAlign w:val="bottom"/>
            <w:gridSpan w:val="3"/>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Convertible debt</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38,737,594</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(38,737,594 )</w:t>
            </w: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(h)</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28,641,250</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28,641,250</w:t>
            </w:r>
          </w:p>
        </w:tc>
        <w:tc>
          <w:tcPr>
            <w:tcW w:w="80" w:type="dxa"/>
            <w:vAlign w:val="bottom"/>
          </w:tcPr>
          <w:p>
            <w:pPr>
              <w:spacing w:after="0"/>
              <w:rPr>
                <w:sz w:val="8"/>
                <w:szCs w:val="8"/>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(q)</w:t>
            </w: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Convertible promissory notes</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5,395,702</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5,395,702</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Total liabilities</w:t>
            </w:r>
          </w:p>
        </w:tc>
        <w:tc>
          <w:tcPr>
            <w:tcW w:w="18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w w:val="9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66,909,581</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rPr>
              <w:t>-</w:t>
            </w:r>
          </w:p>
        </w:tc>
        <w:tc>
          <w:tcPr>
            <w:tcW w:w="900" w:type="dxa"/>
            <w:vAlign w:val="bottom"/>
          </w:tcPr>
          <w:p>
            <w:pPr>
              <w:jc w:val="right"/>
              <w:ind w:right="799"/>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10,938,608</w:t>
            </w: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(19,581,232 )</w:t>
            </w:r>
          </w:p>
        </w:tc>
        <w:tc>
          <w:tcPr>
            <w:tcW w:w="400" w:type="dxa"/>
            <w:vAlign w:val="bottom"/>
          </w:tcPr>
          <w:p>
            <w:pPr>
              <w:spacing w:after="0"/>
              <w:rPr>
                <w:sz w:val="9"/>
                <w:szCs w:val="9"/>
                <w:color w:val="auto"/>
              </w:rPr>
            </w:pPr>
          </w:p>
        </w:tc>
        <w:tc>
          <w:tcPr>
            <w:tcW w:w="180" w:type="dxa"/>
            <w:vAlign w:val="bottom"/>
          </w:tcPr>
          <w:p>
            <w:pPr>
              <w:jc w:val="right"/>
              <w:ind w:right="114"/>
              <w:spacing w:after="0"/>
              <w:rPr>
                <w:sz w:val="20"/>
                <w:szCs w:val="20"/>
                <w:color w:val="auto"/>
              </w:rPr>
            </w:pPr>
            <w:r>
              <w:rPr>
                <w:rFonts w:ascii="Times New Roman" w:cs="Times New Roman" w:eastAsia="Times New Roman" w:hAnsi="Times New Roman"/>
                <w:sz w:val="5"/>
                <w:szCs w:val="5"/>
                <w:color w:val="auto"/>
                <w:w w:val="7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58,266,957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4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Commitments and Contingencies</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Common stock subject to possible redemption, 1,417,687 shares at redemption value of approximately $11.31 per share</w:t>
            </w: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16,040,786</w:t>
            </w: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(14,803,608 )</w:t>
            </w:r>
          </w:p>
        </w:tc>
        <w:tc>
          <w:tcPr>
            <w:tcW w:w="400" w:type="dxa"/>
            <w:vAlign w:val="bottom"/>
          </w:tcPr>
          <w:p>
            <w:pPr>
              <w:ind w:left="60"/>
              <w:spacing w:after="0"/>
              <w:rPr>
                <w:sz w:val="20"/>
                <w:szCs w:val="20"/>
                <w:color w:val="auto"/>
              </w:rPr>
            </w:pPr>
            <w:r>
              <w:rPr>
                <w:rFonts w:ascii="Times New Roman" w:cs="Times New Roman" w:eastAsia="Times New Roman" w:hAnsi="Times New Roman"/>
                <w:sz w:val="8"/>
                <w:szCs w:val="8"/>
                <w:b w:val="1"/>
                <w:bCs w:val="1"/>
                <w:color w:val="auto"/>
              </w:rPr>
              <w:t>(f)</w:t>
            </w:r>
          </w:p>
        </w:tc>
        <w:tc>
          <w:tcPr>
            <w:tcW w:w="180" w:type="dxa"/>
            <w:vAlign w:val="bottom"/>
          </w:tcPr>
          <w:p>
            <w:pPr>
              <w:spacing w:after="0"/>
              <w:rPr>
                <w:sz w:val="8"/>
                <w:szCs w:val="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(1,237,178 )</w:t>
            </w:r>
          </w:p>
        </w:tc>
        <w:tc>
          <w:tcPr>
            <w:tcW w:w="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b w:val="1"/>
                <w:bCs w:val="1"/>
                <w:color w:val="auto"/>
              </w:rPr>
              <w:t>(i)</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16,040,786</w:t>
            </w: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(16,040,786 )</w:t>
            </w: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See accompanying notes to the unaudited pro forma condensed combined financial information.</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3" w:right="640"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0"/>
          <w:szCs w:val="10"/>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AS AT JUNE 30, 2024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4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vMerge w:val="restart"/>
          </w:tcPr>
          <w:p>
            <w:pPr>
              <w:jc w:val="center"/>
              <w:ind w:left="399"/>
              <w:spacing w:after="0"/>
              <w:rPr>
                <w:sz w:val="20"/>
                <w:szCs w:val="20"/>
                <w:color w:val="auto"/>
              </w:rPr>
            </w:pPr>
            <w:r>
              <w:rPr>
                <w:rFonts w:ascii="Times New Roman" w:cs="Times New Roman" w:eastAsia="Times New Roman" w:hAnsi="Times New Roman"/>
                <w:sz w:val="8"/>
                <w:szCs w:val="8"/>
                <w:b w:val="1"/>
                <w:bCs w:val="1"/>
                <w:color w:val="auto"/>
                <w:w w:val="98"/>
              </w:rPr>
              <w:t>Armada</w:t>
            </w: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gridSpan w:val="4"/>
          </w:tcPr>
          <w:p>
            <w:pPr>
              <w:ind w:left="1220"/>
              <w:spacing w:after="0"/>
              <w:rPr>
                <w:sz w:val="20"/>
                <w:szCs w:val="20"/>
                <w:color w:val="auto"/>
              </w:rPr>
            </w:pPr>
            <w:r>
              <w:rPr>
                <w:rFonts w:ascii="Times New Roman" w:cs="Times New Roman" w:eastAsia="Times New Roman" w:hAnsi="Times New Roman"/>
                <w:sz w:val="8"/>
                <w:szCs w:val="8"/>
                <w:b w:val="1"/>
                <w:bCs w:val="1"/>
                <w:color w:val="auto"/>
              </w:rPr>
              <w:t>Proforma Combined</w:t>
            </w: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220" w:type="dxa"/>
            <w:vAlign w:val="bottom"/>
          </w:tcPr>
          <w:p>
            <w:pPr>
              <w:spacing w:after="0"/>
              <w:rPr>
                <w:sz w:val="7"/>
                <w:szCs w:val="7"/>
                <w:color w:val="auto"/>
              </w:rPr>
            </w:pPr>
          </w:p>
        </w:tc>
        <w:tc>
          <w:tcPr>
            <w:tcW w:w="1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Rezolve</w:t>
            </w:r>
          </w:p>
        </w:tc>
        <w:tc>
          <w:tcPr>
            <w:tcW w:w="9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4220" w:type="dxa"/>
            <w:vAlign w:val="bottom"/>
          </w:tcPr>
          <w:p>
            <w:pPr>
              <w:spacing w:after="0"/>
              <w:rPr>
                <w:sz w:val="3"/>
                <w:szCs w:val="3"/>
                <w:color w:val="auto"/>
              </w:rPr>
            </w:pPr>
          </w:p>
        </w:tc>
        <w:tc>
          <w:tcPr>
            <w:tcW w:w="1580" w:type="dxa"/>
            <w:vAlign w:val="bottom"/>
            <w:gridSpan w:val="2"/>
            <w:vMerge w:val="continue"/>
          </w:tcPr>
          <w:p>
            <w:pPr>
              <w:spacing w:after="0"/>
              <w:rPr>
                <w:sz w:val="3"/>
                <w:szCs w:val="3"/>
                <w:color w:val="auto"/>
              </w:rPr>
            </w:pPr>
          </w:p>
        </w:tc>
        <w:tc>
          <w:tcPr>
            <w:tcW w:w="920" w:type="dxa"/>
            <w:vAlign w:val="bottom"/>
            <w:vMerge w:val="restart"/>
          </w:tcPr>
          <w:p>
            <w:pPr>
              <w:jc w:val="center"/>
              <w:ind w:left="399"/>
              <w:spacing w:after="0"/>
              <w:rPr>
                <w:sz w:val="20"/>
                <w:szCs w:val="20"/>
                <w:color w:val="auto"/>
              </w:rPr>
            </w:pPr>
            <w:r>
              <w:rPr>
                <w:rFonts w:ascii="Times New Roman" w:cs="Times New Roman" w:eastAsia="Times New Roman" w:hAnsi="Times New Roman"/>
                <w:sz w:val="8"/>
                <w:szCs w:val="8"/>
                <w:b w:val="1"/>
                <w:bCs w:val="1"/>
                <w:color w:val="auto"/>
              </w:rPr>
              <w:t>Acquisition</w:t>
            </w: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220" w:type="dxa"/>
            <w:vAlign w:val="bottom"/>
          </w:tcPr>
          <w:p>
            <w:pPr>
              <w:spacing w:after="0"/>
              <w:rPr>
                <w:sz w:val="4"/>
                <w:szCs w:val="4"/>
                <w:color w:val="auto"/>
              </w:rPr>
            </w:pPr>
          </w:p>
        </w:tc>
        <w:tc>
          <w:tcPr>
            <w:tcW w:w="15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AI Limited and</w:t>
            </w:r>
          </w:p>
        </w:tc>
        <w:tc>
          <w:tcPr>
            <w:tcW w:w="9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4220" w:type="dxa"/>
            <w:vAlign w:val="bottom"/>
          </w:tcPr>
          <w:p>
            <w:pPr>
              <w:spacing w:after="0"/>
              <w:rPr>
                <w:sz w:val="3"/>
                <w:szCs w:val="3"/>
                <w:color w:val="auto"/>
              </w:rPr>
            </w:pPr>
          </w:p>
        </w:tc>
        <w:tc>
          <w:tcPr>
            <w:tcW w:w="1580" w:type="dxa"/>
            <w:vAlign w:val="bottom"/>
            <w:gridSpan w:val="2"/>
            <w:vMerge w:val="continue"/>
          </w:tcPr>
          <w:p>
            <w:pPr>
              <w:spacing w:after="0"/>
              <w:rPr>
                <w:sz w:val="3"/>
                <w:szCs w:val="3"/>
                <w:color w:val="auto"/>
              </w:rPr>
            </w:pPr>
          </w:p>
        </w:tc>
        <w:tc>
          <w:tcPr>
            <w:tcW w:w="920" w:type="dxa"/>
            <w:vAlign w:val="bottom"/>
            <w:vMerge w:val="restart"/>
          </w:tcPr>
          <w:p>
            <w:pPr>
              <w:jc w:val="center"/>
              <w:ind w:left="399"/>
              <w:spacing w:after="0"/>
              <w:rPr>
                <w:sz w:val="20"/>
                <w:szCs w:val="20"/>
                <w:color w:val="auto"/>
              </w:rPr>
            </w:pPr>
            <w:r>
              <w:rPr>
                <w:rFonts w:ascii="Times New Roman" w:cs="Times New Roman" w:eastAsia="Times New Roman" w:hAnsi="Times New Roman"/>
                <w:sz w:val="8"/>
                <w:szCs w:val="8"/>
                <w:b w:val="1"/>
                <w:bCs w:val="1"/>
                <w:color w:val="auto"/>
                <w:w w:val="96"/>
              </w:rPr>
              <w:t>Corp. I</w:t>
            </w: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220" w:type="dxa"/>
            <w:vAlign w:val="bottom"/>
          </w:tcPr>
          <w:p>
            <w:pPr>
              <w:spacing w:after="0"/>
              <w:rPr>
                <w:sz w:val="4"/>
                <w:szCs w:val="4"/>
                <w:color w:val="auto"/>
              </w:rPr>
            </w:pPr>
          </w:p>
        </w:tc>
        <w:tc>
          <w:tcPr>
            <w:tcW w:w="1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Subsidiaries</w:t>
            </w:r>
          </w:p>
        </w:tc>
        <w:tc>
          <w:tcPr>
            <w:tcW w:w="9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4220" w:type="dxa"/>
            <w:vAlign w:val="bottom"/>
          </w:tcPr>
          <w:p>
            <w:pPr>
              <w:spacing w:after="0"/>
              <w:rPr>
                <w:sz w:val="3"/>
                <w:szCs w:val="3"/>
                <w:color w:val="auto"/>
              </w:rPr>
            </w:pPr>
          </w:p>
        </w:tc>
        <w:tc>
          <w:tcPr>
            <w:tcW w:w="1580" w:type="dxa"/>
            <w:vAlign w:val="bottom"/>
            <w:gridSpan w:val="2"/>
            <w:vMerge w:val="continue"/>
          </w:tcPr>
          <w:p>
            <w:pPr>
              <w:spacing w:after="0"/>
              <w:rPr>
                <w:sz w:val="3"/>
                <w:szCs w:val="3"/>
                <w:color w:val="auto"/>
              </w:rPr>
            </w:pPr>
          </w:p>
        </w:tc>
        <w:tc>
          <w:tcPr>
            <w:tcW w:w="920" w:type="dxa"/>
            <w:vAlign w:val="bottom"/>
            <w:vMerge w:val="restart"/>
          </w:tcPr>
          <w:p>
            <w:pPr>
              <w:jc w:val="center"/>
              <w:ind w:left="399"/>
              <w:spacing w:after="0"/>
              <w:rPr>
                <w:sz w:val="20"/>
                <w:szCs w:val="20"/>
                <w:color w:val="auto"/>
              </w:rPr>
            </w:pPr>
            <w:r>
              <w:rPr>
                <w:rFonts w:ascii="Times New Roman" w:cs="Times New Roman" w:eastAsia="Times New Roman" w:hAnsi="Times New Roman"/>
                <w:sz w:val="8"/>
                <w:szCs w:val="8"/>
                <w:b w:val="1"/>
                <w:bCs w:val="1"/>
                <w:color w:val="auto"/>
                <w:w w:val="98"/>
              </w:rPr>
              <w:t>(Historical</w:t>
            </w: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220" w:type="dxa"/>
            <w:vAlign w:val="bottom"/>
          </w:tcPr>
          <w:p>
            <w:pPr>
              <w:spacing w:after="0"/>
              <w:rPr>
                <w:sz w:val="4"/>
                <w:szCs w:val="4"/>
                <w:color w:val="auto"/>
              </w:rPr>
            </w:pPr>
          </w:p>
        </w:tc>
        <w:tc>
          <w:tcPr>
            <w:tcW w:w="15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(Historical as</w:t>
            </w:r>
          </w:p>
        </w:tc>
        <w:tc>
          <w:tcPr>
            <w:tcW w:w="9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4220" w:type="dxa"/>
            <w:vAlign w:val="bottom"/>
          </w:tcPr>
          <w:p>
            <w:pPr>
              <w:spacing w:after="0"/>
              <w:rPr>
                <w:sz w:val="3"/>
                <w:szCs w:val="3"/>
                <w:color w:val="auto"/>
              </w:rPr>
            </w:pPr>
          </w:p>
        </w:tc>
        <w:tc>
          <w:tcPr>
            <w:tcW w:w="1580" w:type="dxa"/>
            <w:vAlign w:val="bottom"/>
            <w:gridSpan w:val="2"/>
            <w:vMerge w:val="continue"/>
          </w:tcPr>
          <w:p>
            <w:pPr>
              <w:spacing w:after="0"/>
              <w:rPr>
                <w:sz w:val="3"/>
                <w:szCs w:val="3"/>
                <w:color w:val="auto"/>
              </w:rPr>
            </w:pPr>
          </w:p>
        </w:tc>
        <w:tc>
          <w:tcPr>
            <w:tcW w:w="920" w:type="dxa"/>
            <w:vAlign w:val="bottom"/>
            <w:vMerge w:val="restart"/>
          </w:tcPr>
          <w:p>
            <w:pPr>
              <w:jc w:val="center"/>
              <w:ind w:left="399"/>
              <w:spacing w:after="0"/>
              <w:rPr>
                <w:sz w:val="20"/>
                <w:szCs w:val="20"/>
                <w:color w:val="auto"/>
              </w:rPr>
            </w:pPr>
            <w:r>
              <w:rPr>
                <w:rFonts w:ascii="Times New Roman" w:cs="Times New Roman" w:eastAsia="Times New Roman" w:hAnsi="Times New Roman"/>
                <w:sz w:val="8"/>
                <w:szCs w:val="8"/>
                <w:b w:val="1"/>
                <w:bCs w:val="1"/>
                <w:color w:val="auto"/>
              </w:rPr>
              <w:t>as of</w:t>
            </w: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220" w:type="dxa"/>
            <w:vAlign w:val="bottom"/>
          </w:tcPr>
          <w:p>
            <w:pPr>
              <w:spacing w:after="0"/>
              <w:rPr>
                <w:sz w:val="4"/>
                <w:szCs w:val="4"/>
                <w:color w:val="auto"/>
              </w:rPr>
            </w:pPr>
          </w:p>
        </w:tc>
        <w:tc>
          <w:tcPr>
            <w:tcW w:w="15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of 6/30/2024</w:t>
            </w:r>
          </w:p>
        </w:tc>
        <w:tc>
          <w:tcPr>
            <w:tcW w:w="9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422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920" w:type="dxa"/>
            <w:vAlign w:val="bottom"/>
            <w:vMerge w:val="restart"/>
          </w:tcPr>
          <w:p>
            <w:pPr>
              <w:jc w:val="center"/>
              <w:ind w:left="399"/>
              <w:spacing w:after="0"/>
              <w:rPr>
                <w:sz w:val="20"/>
                <w:szCs w:val="20"/>
                <w:color w:val="auto"/>
              </w:rPr>
            </w:pPr>
            <w:r>
              <w:rPr>
                <w:rFonts w:ascii="Times New Roman" w:cs="Times New Roman" w:eastAsia="Times New Roman" w:hAnsi="Times New Roman"/>
                <w:sz w:val="8"/>
                <w:szCs w:val="8"/>
                <w:b w:val="1"/>
                <w:bCs w:val="1"/>
                <w:color w:val="auto"/>
              </w:rPr>
              <w:t>6/30/2024)</w:t>
            </w: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Transaction Accounting Adjustments</w:t>
            </w: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8"/>
                <w:szCs w:val="8"/>
                <w:b w:val="1"/>
                <w:bCs w:val="1"/>
                <w:color w:val="auto"/>
              </w:rPr>
              <w:t>Pro Forma Combined</w:t>
            </w:r>
          </w:p>
        </w:tc>
        <w:tc>
          <w:tcPr>
            <w:tcW w:w="0" w:type="dxa"/>
            <w:vAlign w:val="bottom"/>
          </w:tcPr>
          <w:p>
            <w:pPr>
              <w:spacing w:after="0"/>
              <w:rPr>
                <w:sz w:val="1"/>
                <w:szCs w:val="1"/>
                <w:color w:val="auto"/>
              </w:rPr>
            </w:pPr>
          </w:p>
        </w:tc>
      </w:tr>
      <w:tr>
        <w:trPr>
          <w:trHeight w:val="51"/>
        </w:trPr>
        <w:tc>
          <w:tcPr>
            <w:tcW w:w="4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Stockholders' Equity:</w:t>
            </w:r>
          </w:p>
        </w:tc>
        <w:tc>
          <w:tcPr>
            <w:tcW w:w="1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4220" w:type="dxa"/>
            <w:vAlign w:val="bottom"/>
          </w:tcPr>
          <w:p>
            <w:pPr>
              <w:spacing w:after="0" w:line="91" w:lineRule="exact"/>
              <w:rPr>
                <w:sz w:val="20"/>
                <w:szCs w:val="20"/>
                <w:color w:val="auto"/>
              </w:rPr>
            </w:pPr>
            <w:r>
              <w:rPr>
                <w:rFonts w:ascii="Times New Roman" w:cs="Times New Roman" w:eastAsia="Times New Roman" w:hAnsi="Times New Roman"/>
                <w:sz w:val="8"/>
                <w:szCs w:val="8"/>
                <w:color w:val="auto"/>
              </w:rPr>
              <w:t>Ordinary shares</w:t>
            </w:r>
          </w:p>
        </w:tc>
        <w:tc>
          <w:tcPr>
            <w:tcW w:w="1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4220" w:type="dxa"/>
            <w:vAlign w:val="bottom"/>
          </w:tcPr>
          <w:p>
            <w:pPr>
              <w:spacing w:after="0"/>
              <w:rPr>
                <w:sz w:val="20"/>
                <w:szCs w:val="20"/>
                <w:color w:val="auto"/>
              </w:rPr>
            </w:pPr>
            <w:r>
              <w:rPr>
                <w:rFonts w:ascii="Times New Roman" w:cs="Times New Roman" w:eastAsia="Times New Roman" w:hAnsi="Times New Roman"/>
                <w:sz w:val="8"/>
                <w:szCs w:val="8"/>
                <w:color w:val="auto"/>
              </w:rPr>
              <w:t>Shares issued and outstanding as of June 30, 2024 - 932,997,081; as of December 31, 2023 - 932,969,424 at par value £</w:t>
            </w: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8"/>
                <w:szCs w:val="8"/>
                <w:b w:val="1"/>
                <w:bCs w:val="1"/>
                <w:color w:val="auto"/>
              </w:rPr>
              <w:t>(h)</w:t>
            </w: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4220" w:type="dxa"/>
            <w:vAlign w:val="bottom"/>
          </w:tcPr>
          <w:p>
            <w:pPr>
              <w:spacing w:after="0"/>
              <w:rPr>
                <w:sz w:val="20"/>
                <w:szCs w:val="20"/>
                <w:color w:val="auto"/>
              </w:rPr>
            </w:pPr>
            <w:r>
              <w:rPr>
                <w:rFonts w:ascii="Times New Roman" w:cs="Times New Roman" w:eastAsia="Times New Roman" w:hAnsi="Times New Roman"/>
                <w:sz w:val="8"/>
                <w:szCs w:val="8"/>
                <w:color w:val="auto"/>
              </w:rPr>
              <w:t>0.0001</w:t>
            </w: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127,313</w:t>
            </w: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9"/>
                <w:szCs w:val="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863</w:t>
            </w:r>
          </w:p>
        </w:tc>
        <w:tc>
          <w:tcPr>
            <w:tcW w:w="12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141,390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42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1,436</w:t>
            </w:r>
          </w:p>
        </w:tc>
        <w:tc>
          <w:tcPr>
            <w:tcW w:w="1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(g)</w:t>
            </w: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39</w:t>
            </w:r>
          </w:p>
        </w:tc>
        <w:tc>
          <w:tcPr>
            <w:tcW w:w="120" w:type="dxa"/>
            <w:vAlign w:val="bottom"/>
          </w:tcPr>
          <w:p>
            <w:pPr>
              <w:spacing w:after="0"/>
              <w:rPr>
                <w:sz w:val="8"/>
                <w:szCs w:val="8"/>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(j)</w:t>
            </w: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3,868</w:t>
            </w:r>
          </w:p>
        </w:tc>
        <w:tc>
          <w:tcPr>
            <w:tcW w:w="1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(k)</w:t>
            </w: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103</w:t>
            </w:r>
          </w:p>
        </w:tc>
        <w:tc>
          <w:tcPr>
            <w:tcW w:w="120" w:type="dxa"/>
            <w:vAlign w:val="bottom"/>
          </w:tcPr>
          <w:p>
            <w:pPr>
              <w:spacing w:after="0"/>
              <w:rPr>
                <w:sz w:val="8"/>
                <w:szCs w:val="8"/>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(i)</w:t>
            </w: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303</w:t>
            </w:r>
          </w:p>
        </w:tc>
        <w:tc>
          <w:tcPr>
            <w:tcW w:w="1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(l)</w:t>
            </w: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7,464</w:t>
            </w:r>
          </w:p>
        </w:tc>
        <w:tc>
          <w:tcPr>
            <w:tcW w:w="120" w:type="dxa"/>
            <w:vAlign w:val="bottom"/>
          </w:tcPr>
          <w:p>
            <w:pPr>
              <w:spacing w:after="0"/>
              <w:rPr>
                <w:sz w:val="8"/>
                <w:szCs w:val="8"/>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(m)</w:t>
            </w: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Series A shares issued and outstanding as of June 30, 2024 and December 31, 2023 - 28,039,517 nil at par value £0.0001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3,868</w:t>
            </w: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8"/>
                <w:szCs w:val="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(3,868 )</w:t>
            </w:r>
          </w:p>
        </w:tc>
        <w:tc>
          <w:tcPr>
            <w:tcW w:w="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tcPr>
          <w:p>
            <w:pPr>
              <w:spacing w:after="0"/>
              <w:rPr>
                <w:sz w:val="20"/>
                <w:szCs w:val="20"/>
                <w:color w:val="auto"/>
              </w:rPr>
            </w:pPr>
            <w:r>
              <w:rPr>
                <w:rFonts w:ascii="Times New Roman" w:cs="Times New Roman" w:eastAsia="Times New Roman" w:hAnsi="Times New Roman"/>
                <w:sz w:val="8"/>
                <w:szCs w:val="8"/>
                <w:color w:val="auto"/>
              </w:rPr>
              <w:t>Common stock, $0.0001 par value; 100,000,000 shares authorized; 5,709,500 shares issued and outstanding</w:t>
            </w: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570</w:t>
            </w:r>
          </w:p>
        </w:tc>
        <w:tc>
          <w:tcPr>
            <w:tcW w:w="200" w:type="dxa"/>
            <w:vAlign w:val="bottom"/>
          </w:tcPr>
          <w:p>
            <w:pPr>
              <w:spacing w:after="0"/>
              <w:rPr>
                <w:sz w:val="8"/>
                <w:szCs w:val="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(570 )</w:t>
            </w: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(j)</w:t>
            </w: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Additional paid-in capital</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176,274,941</w:t>
            </w: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261,161</w:t>
            </w:r>
          </w:p>
        </w:tc>
        <w:tc>
          <w:tcPr>
            <w:tcW w:w="200" w:type="dxa"/>
            <w:vAlign w:val="bottom"/>
            <w:shd w:val="clear" w:color="auto" w:fill="CCEEFF"/>
          </w:tcPr>
          <w:p>
            <w:pPr>
              <w:spacing w:after="0"/>
              <w:rPr>
                <w:sz w:val="8"/>
                <w:szCs w:val="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(1,300,000 )</w:t>
            </w:r>
          </w:p>
        </w:tc>
        <w:tc>
          <w:tcPr>
            <w:tcW w:w="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(a)</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(51,527,293 )</w:t>
            </w:r>
          </w:p>
        </w:tc>
        <w:tc>
          <w:tcPr>
            <w:tcW w:w="0" w:type="dxa"/>
            <w:vAlign w:val="bottom"/>
          </w:tcPr>
          <w:p>
            <w:pPr>
              <w:spacing w:after="0"/>
              <w:rPr>
                <w:sz w:val="1"/>
                <w:szCs w:val="1"/>
                <w:color w:val="auto"/>
              </w:rPr>
            </w:pPr>
          </w:p>
        </w:tc>
      </w:tr>
      <w:tr>
        <w:trPr>
          <w:trHeight w:val="98"/>
        </w:trPr>
        <w:tc>
          <w:tcPr>
            <w:tcW w:w="4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38,736,731</w:t>
            </w:r>
          </w:p>
        </w:tc>
        <w:tc>
          <w:tcPr>
            <w:tcW w:w="120" w:type="dxa"/>
            <w:vAlign w:val="bottom"/>
          </w:tcPr>
          <w:p>
            <w:pPr>
              <w:spacing w:after="0"/>
              <w:rPr>
                <w:sz w:val="8"/>
                <w:szCs w:val="8"/>
                <w:color w:val="auto"/>
              </w:rPr>
            </w:pP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(h)</w:t>
            </w: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10,235,219</w:t>
            </w:r>
          </w:p>
        </w:tc>
        <w:tc>
          <w:tcPr>
            <w:tcW w:w="1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(g)</w:t>
            </w: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531</w:t>
            </w:r>
          </w:p>
        </w:tc>
        <w:tc>
          <w:tcPr>
            <w:tcW w:w="120" w:type="dxa"/>
            <w:vAlign w:val="bottom"/>
          </w:tcPr>
          <w:p>
            <w:pPr>
              <w:spacing w:after="0"/>
              <w:rPr>
                <w:sz w:val="8"/>
                <w:szCs w:val="8"/>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(j)</w:t>
            </w: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1,237,075</w:t>
            </w:r>
          </w:p>
        </w:tc>
        <w:tc>
          <w:tcPr>
            <w:tcW w:w="1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(i)</w:t>
            </w: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3,062,197</w:t>
            </w:r>
          </w:p>
        </w:tc>
        <w:tc>
          <w:tcPr>
            <w:tcW w:w="120" w:type="dxa"/>
            <w:vAlign w:val="bottom"/>
          </w:tcPr>
          <w:p>
            <w:pPr>
              <w:spacing w:after="0"/>
              <w:rPr>
                <w:sz w:val="8"/>
                <w:szCs w:val="8"/>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(l)</w:t>
            </w: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36,731,490</w:t>
            </w:r>
          </w:p>
        </w:tc>
        <w:tc>
          <w:tcPr>
            <w:tcW w:w="1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(m)</w:t>
            </w: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(11,059,758 )</w:t>
            </w: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(n)</w:t>
            </w: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(276,572,830 )</w:t>
            </w:r>
          </w:p>
        </w:tc>
        <w:tc>
          <w:tcPr>
            <w:tcW w:w="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(p)</w:t>
            </w: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(28,641,250 )</w:t>
            </w: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(q)</w:t>
            </w: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Stock subscription receivable</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(178,720 )</w:t>
            </w:r>
          </w:p>
        </w:tc>
        <w:tc>
          <w:tcPr>
            <w:tcW w:w="9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(178,720 )</w:t>
            </w:r>
          </w:p>
        </w:tc>
        <w:tc>
          <w:tcPr>
            <w:tcW w:w="0" w:type="dxa"/>
            <w:vAlign w:val="bottom"/>
          </w:tcPr>
          <w:p>
            <w:pPr>
              <w:spacing w:after="0"/>
              <w:rPr>
                <w:sz w:val="1"/>
                <w:szCs w:val="1"/>
                <w:color w:val="auto"/>
              </w:rPr>
            </w:pPr>
          </w:p>
        </w:tc>
      </w:tr>
      <w:tr>
        <w:trPr>
          <w:trHeight w:val="98"/>
        </w:trPr>
        <w:tc>
          <w:tcPr>
            <w:tcW w:w="4220" w:type="dxa"/>
            <w:vAlign w:val="bottom"/>
          </w:tcPr>
          <w:p>
            <w:pPr>
              <w:spacing w:after="0"/>
              <w:rPr>
                <w:sz w:val="20"/>
                <w:szCs w:val="20"/>
                <w:color w:val="auto"/>
              </w:rPr>
            </w:pPr>
            <w:r>
              <w:rPr>
                <w:rFonts w:ascii="Times New Roman" w:cs="Times New Roman" w:eastAsia="Times New Roman" w:hAnsi="Times New Roman"/>
                <w:sz w:val="8"/>
                <w:szCs w:val="8"/>
                <w:color w:val="auto"/>
              </w:rPr>
              <w:t>Accumulated deficit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(239,133,876 )</w:t>
            </w:r>
          </w:p>
        </w:tc>
        <w:tc>
          <w:tcPr>
            <w:tcW w:w="920" w:type="dxa"/>
            <w:vAlign w:val="bottom"/>
          </w:tcPr>
          <w:p>
            <w:pPr>
              <w:spacing w:after="0"/>
              <w:rPr>
                <w:sz w:val="8"/>
                <w:szCs w:val="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(11,059,758 )</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(700,000 )</w:t>
            </w: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(a)</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(2,717,736 )</w:t>
            </w:r>
          </w:p>
        </w:tc>
        <w:tc>
          <w:tcPr>
            <w:tcW w:w="0" w:type="dxa"/>
            <w:vAlign w:val="bottom"/>
          </w:tcPr>
          <w:p>
            <w:pPr>
              <w:spacing w:after="0"/>
              <w:rPr>
                <w:sz w:val="1"/>
                <w:szCs w:val="1"/>
                <w:color w:val="auto"/>
              </w:rPr>
            </w:pPr>
          </w:p>
        </w:tc>
      </w:tr>
      <w:tr>
        <w:trPr>
          <w:trHeight w:val="98"/>
        </w:trPr>
        <w:tc>
          <w:tcPr>
            <w:tcW w:w="42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(148,036 )</w:t>
            </w:r>
          </w:p>
        </w:tc>
        <w:tc>
          <w:tcPr>
            <w:tcW w:w="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(f)</w:t>
            </w: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(3,062,500 )</w:t>
            </w: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(l)</w:t>
            </w: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(36,738,954 )</w:t>
            </w:r>
          </w:p>
        </w:tc>
        <w:tc>
          <w:tcPr>
            <w:tcW w:w="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(m)</w:t>
            </w: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11,059,758</w:t>
            </w:r>
          </w:p>
        </w:tc>
        <w:tc>
          <w:tcPr>
            <w:tcW w:w="120" w:type="dxa"/>
            <w:vAlign w:val="bottom"/>
          </w:tcPr>
          <w:p>
            <w:pPr>
              <w:spacing w:after="0"/>
              <w:rPr>
                <w:sz w:val="8"/>
                <w:szCs w:val="8"/>
                <w:color w:val="auto"/>
              </w:rPr>
            </w:pP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(n)</w:t>
            </w: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492,800</w:t>
            </w:r>
          </w:p>
        </w:tc>
        <w:tc>
          <w:tcPr>
            <w:tcW w:w="1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(o)</w:t>
            </w: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276,572,830</w:t>
            </w:r>
          </w:p>
        </w:tc>
        <w:tc>
          <w:tcPr>
            <w:tcW w:w="120" w:type="dxa"/>
            <w:vAlign w:val="bottom"/>
          </w:tcPr>
          <w:p>
            <w:pPr>
              <w:spacing w:after="0"/>
              <w:rPr>
                <w:sz w:val="8"/>
                <w:szCs w:val="8"/>
                <w:color w:val="auto"/>
              </w:rPr>
            </w:pP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(p)</w:t>
            </w: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Accumulated other comprehensive loss</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(42,653 )</w:t>
            </w:r>
          </w:p>
        </w:tc>
        <w:tc>
          <w:tcPr>
            <w:tcW w:w="9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8"/>
                <w:szCs w:val="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(42,653 )</w:t>
            </w:r>
          </w:p>
        </w:tc>
        <w:tc>
          <w:tcPr>
            <w:tcW w:w="0" w:type="dxa"/>
            <w:vAlign w:val="bottom"/>
          </w:tcPr>
          <w:p>
            <w:pPr>
              <w:spacing w:after="0"/>
              <w:rPr>
                <w:sz w:val="1"/>
                <w:szCs w:val="1"/>
                <w:color w:val="auto"/>
              </w:rPr>
            </w:pPr>
          </w:p>
        </w:tc>
      </w:tr>
      <w:tr>
        <w:trPr>
          <w:trHeight w:val="98"/>
        </w:trPr>
        <w:tc>
          <w:tcPr>
            <w:tcW w:w="4220" w:type="dxa"/>
            <w:vAlign w:val="bottom"/>
          </w:tcPr>
          <w:p>
            <w:pPr>
              <w:spacing w:after="0"/>
              <w:rPr>
                <w:sz w:val="20"/>
                <w:szCs w:val="20"/>
                <w:color w:val="auto"/>
              </w:rPr>
            </w:pPr>
            <w:r>
              <w:rPr>
                <w:rFonts w:ascii="Times New Roman" w:cs="Times New Roman" w:eastAsia="Times New Roman" w:hAnsi="Times New Roman"/>
                <w:sz w:val="8"/>
                <w:szCs w:val="8"/>
                <w:color w:val="auto"/>
              </w:rPr>
              <w:t>Total shareholders' equity (deficit)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(62,949,127 )</w:t>
            </w:r>
          </w:p>
        </w:tc>
        <w:tc>
          <w:tcPr>
            <w:tcW w:w="920" w:type="dxa"/>
            <w:vAlign w:val="bottom"/>
          </w:tcPr>
          <w:p>
            <w:pPr>
              <w:spacing w:after="0"/>
              <w:rPr>
                <w:sz w:val="8"/>
                <w:szCs w:val="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(10,798,027 )</w:t>
            </w: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19,422,141</w:t>
            </w: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(54,325,013 )</w:t>
            </w:r>
          </w:p>
        </w:tc>
        <w:tc>
          <w:tcPr>
            <w:tcW w:w="0" w:type="dxa"/>
            <w:vAlign w:val="bottom"/>
          </w:tcPr>
          <w:p>
            <w:pPr>
              <w:spacing w:after="0"/>
              <w:rPr>
                <w:sz w:val="1"/>
                <w:szCs w:val="1"/>
                <w:color w:val="auto"/>
              </w:rPr>
            </w:pPr>
          </w:p>
        </w:tc>
      </w:tr>
      <w:tr>
        <w:trPr>
          <w:trHeight w:val="98"/>
        </w:trPr>
        <w:tc>
          <w:tcPr>
            <w:tcW w:w="4220" w:type="dxa"/>
            <w:vAlign w:val="bottom"/>
            <w:shd w:val="clear" w:color="auto" w:fill="CCEEFF"/>
          </w:tcPr>
          <w:p>
            <w:pPr>
              <w:spacing w:after="0" w:line="78" w:lineRule="exact"/>
              <w:rPr>
                <w:sz w:val="20"/>
                <w:szCs w:val="20"/>
                <w:color w:val="auto"/>
              </w:rPr>
            </w:pPr>
            <w:r>
              <w:rPr>
                <w:rFonts w:ascii="Times New Roman" w:cs="Times New Roman" w:eastAsia="Times New Roman" w:hAnsi="Times New Roman"/>
                <w:sz w:val="8"/>
                <w:szCs w:val="8"/>
                <w:color w:val="auto"/>
              </w:rPr>
              <w:t>Total liabilities and shareholders' equity</w:t>
            </w:r>
          </w:p>
        </w:tc>
        <w:tc>
          <w:tcPr>
            <w:tcW w:w="1360" w:type="dxa"/>
            <w:vAlign w:val="bottom"/>
            <w:shd w:val="clear" w:color="auto" w:fill="CCEEFF"/>
          </w:tcPr>
          <w:p>
            <w:pPr>
              <w:jc w:val="right"/>
              <w:spacing w:after="0" w:line="78" w:lineRule="exact"/>
              <w:rPr>
                <w:sz w:val="20"/>
                <w:szCs w:val="20"/>
                <w:color w:val="auto"/>
              </w:rPr>
            </w:pPr>
            <w:r>
              <w:rPr>
                <w:rFonts w:ascii="Times New Roman" w:cs="Times New Roman" w:eastAsia="Times New Roman" w:hAnsi="Times New Roman"/>
                <w:sz w:val="8"/>
                <w:szCs w:val="8"/>
                <w:color w:val="auto"/>
              </w:rPr>
              <w:t>3,960,454</w:t>
            </w: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78" w:lineRule="exact"/>
              <w:rPr>
                <w:sz w:val="20"/>
                <w:szCs w:val="20"/>
                <w:color w:val="auto"/>
              </w:rPr>
            </w:pPr>
            <w:r>
              <w:rPr>
                <w:rFonts w:ascii="Times New Roman" w:cs="Times New Roman" w:eastAsia="Times New Roman" w:hAnsi="Times New Roman"/>
                <w:sz w:val="8"/>
                <w:szCs w:val="8"/>
                <w:color w:val="auto"/>
              </w:rPr>
              <w:t>16,181,367</w:t>
            </w:r>
          </w:p>
        </w:tc>
        <w:tc>
          <w:tcPr>
            <w:tcW w:w="200" w:type="dxa"/>
            <w:vAlign w:val="bottom"/>
            <w:shd w:val="clear" w:color="auto" w:fill="CCEEFF"/>
          </w:tcPr>
          <w:p>
            <w:pPr>
              <w:spacing w:after="0"/>
              <w:rPr>
                <w:sz w:val="8"/>
                <w:szCs w:val="8"/>
                <w:color w:val="auto"/>
              </w:rPr>
            </w:pPr>
          </w:p>
        </w:tc>
        <w:tc>
          <w:tcPr>
            <w:tcW w:w="1480" w:type="dxa"/>
            <w:vAlign w:val="bottom"/>
            <w:gridSpan w:val="2"/>
            <w:shd w:val="clear" w:color="auto" w:fill="CCEEFF"/>
          </w:tcPr>
          <w:p>
            <w:pPr>
              <w:jc w:val="right"/>
              <w:ind w:right="80"/>
              <w:spacing w:after="0" w:line="78" w:lineRule="exact"/>
              <w:rPr>
                <w:sz w:val="20"/>
                <w:szCs w:val="20"/>
                <w:color w:val="auto"/>
              </w:rPr>
            </w:pPr>
            <w:r>
              <w:rPr>
                <w:rFonts w:ascii="Times New Roman" w:cs="Times New Roman" w:eastAsia="Times New Roman" w:hAnsi="Times New Roman"/>
                <w:sz w:val="5"/>
                <w:szCs w:val="5"/>
                <w:color w:val="auto"/>
              </w:rPr>
              <w:t xml:space="preserve">(16,199,877 </w:t>
            </w:r>
            <w:r>
              <w:rPr>
                <w:rFonts w:ascii="Times New Roman" w:cs="Times New Roman" w:eastAsia="Times New Roman" w:hAnsi="Times New Roman"/>
                <w:sz w:val="8"/>
                <w:szCs w:val="8"/>
                <w:color w:val="auto"/>
                <w:vertAlign w:val="subscript"/>
              </w:rPr>
              <w:t>)</w:t>
            </w:r>
          </w:p>
        </w:tc>
        <w:tc>
          <w:tcPr>
            <w:tcW w:w="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40" w:type="dxa"/>
            <w:vAlign w:val="bottom"/>
            <w:shd w:val="clear" w:color="auto" w:fill="CCEEFF"/>
          </w:tcPr>
          <w:p>
            <w:pPr>
              <w:jc w:val="right"/>
              <w:spacing w:after="0" w:line="78" w:lineRule="exact"/>
              <w:rPr>
                <w:sz w:val="20"/>
                <w:szCs w:val="20"/>
                <w:color w:val="auto"/>
              </w:rPr>
            </w:pPr>
            <w:r>
              <w:rPr>
                <w:rFonts w:ascii="Times New Roman" w:cs="Times New Roman" w:eastAsia="Times New Roman" w:hAnsi="Times New Roman"/>
                <w:sz w:val="8"/>
                <w:szCs w:val="8"/>
                <w:color w:val="auto"/>
              </w:rPr>
              <w:t>3,941,944</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422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See accompanying notes to the unaudited pro forma condensed combined financial information.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3" w:right="640"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0"/>
          <w:szCs w:val="10"/>
          <w:b w:val="1"/>
          <w:bCs w:val="1"/>
          <w:color w:val="auto"/>
        </w:rPr>
        <w:t>UNAUDITED PRO FORMA CONDENSED COMBINED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 THE PERIOD ENDED JUNE 30, 2024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4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gridSpan w:val="4"/>
          </w:tcPr>
          <w:p>
            <w:pPr>
              <w:jc w:val="center"/>
              <w:ind w:left="700"/>
              <w:spacing w:after="0"/>
              <w:rPr>
                <w:sz w:val="20"/>
                <w:szCs w:val="20"/>
                <w:color w:val="auto"/>
              </w:rPr>
            </w:pPr>
            <w:r>
              <w:rPr>
                <w:rFonts w:ascii="Times New Roman" w:cs="Times New Roman" w:eastAsia="Times New Roman" w:hAnsi="Times New Roman"/>
                <w:sz w:val="8"/>
                <w:szCs w:val="8"/>
                <w:b w:val="1"/>
                <w:bCs w:val="1"/>
                <w:color w:val="auto"/>
              </w:rPr>
              <w:t>Proforma Combined</w:t>
            </w:r>
          </w:p>
        </w:tc>
        <w:tc>
          <w:tcPr>
            <w:tcW w:w="12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89"/>
        </w:trPr>
        <w:tc>
          <w:tcPr>
            <w:tcW w:w="4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320" w:type="dxa"/>
            <w:vAlign w:val="bottom"/>
            <w:gridSpan w:val="2"/>
          </w:tcPr>
          <w:p>
            <w:pPr>
              <w:jc w:val="center"/>
              <w:ind w:right="160"/>
              <w:spacing w:after="0" w:line="89" w:lineRule="exact"/>
              <w:rPr>
                <w:sz w:val="20"/>
                <w:szCs w:val="20"/>
                <w:color w:val="auto"/>
              </w:rPr>
            </w:pPr>
            <w:r>
              <w:rPr>
                <w:rFonts w:ascii="Times New Roman" w:cs="Times New Roman" w:eastAsia="Times New Roman" w:hAnsi="Times New Roman"/>
                <w:sz w:val="8"/>
                <w:szCs w:val="8"/>
                <w:b w:val="1"/>
                <w:bCs w:val="1"/>
                <w:color w:val="auto"/>
              </w:rPr>
              <w:t>Rezolve AI Limited and</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300" w:type="dxa"/>
            <w:vAlign w:val="bottom"/>
            <w:gridSpan w:val="3"/>
          </w:tcPr>
          <w:p>
            <w:pPr>
              <w:jc w:val="center"/>
              <w:ind w:right="260"/>
              <w:spacing w:after="0" w:line="89" w:lineRule="exact"/>
              <w:rPr>
                <w:sz w:val="20"/>
                <w:szCs w:val="20"/>
                <w:color w:val="auto"/>
              </w:rPr>
            </w:pPr>
            <w:r>
              <w:rPr>
                <w:rFonts w:ascii="Times New Roman" w:cs="Times New Roman" w:eastAsia="Times New Roman" w:hAnsi="Times New Roman"/>
                <w:sz w:val="8"/>
                <w:szCs w:val="8"/>
                <w:b w:val="1"/>
                <w:bCs w:val="1"/>
                <w:color w:val="auto"/>
              </w:rPr>
              <w:t>Armada Acquisition Corp. I</w:t>
            </w:r>
          </w:p>
        </w:tc>
        <w:tc>
          <w:tcPr>
            <w:tcW w:w="5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8"/>
        </w:trPr>
        <w:tc>
          <w:tcPr>
            <w:tcW w:w="4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Subsidiaries (Six months ended</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00" w:type="dxa"/>
            <w:vAlign w:val="bottom"/>
            <w:gridSpan w:val="3"/>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8"/>
                <w:szCs w:val="8"/>
                <w:b w:val="1"/>
                <w:bCs w:val="1"/>
                <w:color w:val="auto"/>
              </w:rPr>
              <w:t>Transaction Accounting Adjustments</w:t>
            </w: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8"/>
                <w:szCs w:val="8"/>
                <w:b w:val="1"/>
                <w:bCs w:val="1"/>
                <w:color w:val="auto"/>
              </w:rPr>
              <w:t>Pro Forma Consolidated</w:t>
            </w:r>
          </w:p>
        </w:tc>
      </w:tr>
      <w:tr>
        <w:trPr>
          <w:trHeight w:val="109"/>
        </w:trPr>
        <w:tc>
          <w:tcPr>
            <w:tcW w:w="4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jc w:val="center"/>
              <w:ind w:right="39"/>
              <w:spacing w:after="0"/>
              <w:rPr>
                <w:sz w:val="20"/>
                <w:szCs w:val="20"/>
                <w:color w:val="auto"/>
              </w:rPr>
            </w:pPr>
            <w:r>
              <w:rPr>
                <w:rFonts w:ascii="Times New Roman" w:cs="Times New Roman" w:eastAsia="Times New Roman" w:hAnsi="Times New Roman"/>
                <w:sz w:val="8"/>
                <w:szCs w:val="8"/>
                <w:b w:val="1"/>
                <w:bCs w:val="1"/>
                <w:color w:val="auto"/>
                <w:w w:val="96"/>
              </w:rPr>
              <w:t>2024)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98"/>
        </w:trPr>
        <w:tc>
          <w:tcPr>
            <w:tcW w:w="42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Revenue</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53,399</w:t>
            </w:r>
          </w:p>
        </w:tc>
        <w:tc>
          <w:tcPr>
            <w:tcW w:w="120" w:type="dxa"/>
            <w:vAlign w:val="bottom"/>
            <w:shd w:val="clear" w:color="auto" w:fill="CFF0FC"/>
          </w:tcPr>
          <w:p>
            <w:pPr>
              <w:spacing w:after="0"/>
              <w:rPr>
                <w:sz w:val="8"/>
                <w:szCs w:val="8"/>
                <w:color w:val="auto"/>
              </w:rPr>
            </w:pP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8"/>
                <w:szCs w:val="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53,399</w:t>
            </w:r>
          </w:p>
        </w:tc>
        <w:tc>
          <w:tcPr>
            <w:tcW w:w="100" w:type="dxa"/>
            <w:vAlign w:val="bottom"/>
            <w:shd w:val="clear" w:color="auto" w:fill="CFF0FC"/>
          </w:tcPr>
          <w:p>
            <w:pPr>
              <w:spacing w:after="0"/>
              <w:rPr>
                <w:sz w:val="8"/>
                <w:szCs w:val="8"/>
                <w:color w:val="auto"/>
              </w:rPr>
            </w:pPr>
          </w:p>
        </w:tc>
      </w:tr>
      <w:tr>
        <w:trPr>
          <w:trHeight w:val="195"/>
        </w:trPr>
        <w:tc>
          <w:tcPr>
            <w:tcW w:w="428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Operating expenses</w:t>
            </w: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Cost of sales</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16,177</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16,177</w:t>
            </w:r>
          </w:p>
        </w:tc>
        <w:tc>
          <w:tcPr>
            <w:tcW w:w="100" w:type="dxa"/>
            <w:vAlign w:val="bottom"/>
            <w:shd w:val="clear" w:color="auto" w:fill="CFF0FC"/>
          </w:tcPr>
          <w:p>
            <w:pPr>
              <w:spacing w:after="0"/>
              <w:rPr>
                <w:sz w:val="8"/>
                <w:szCs w:val="8"/>
                <w:color w:val="auto"/>
              </w:rPr>
            </w:pPr>
          </w:p>
        </w:tc>
      </w:tr>
      <w:tr>
        <w:trPr>
          <w:trHeight w:val="98"/>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Stock-based compensation</w:t>
            </w:r>
          </w:p>
        </w:tc>
        <w:tc>
          <w:tcPr>
            <w:tcW w:w="60" w:type="dxa"/>
            <w:vAlign w:val="bottom"/>
          </w:tcPr>
          <w:p>
            <w:pPr>
              <w:spacing w:after="0"/>
              <w:rPr>
                <w:sz w:val="8"/>
                <w:szCs w:val="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551,409</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(551,409 )</w:t>
            </w: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89"/>
              </w:rPr>
              <w:t>(aa)</w:t>
            </w: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Sales and marketing expense</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1,431,430</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4,599,000</w:t>
            </w:r>
          </w:p>
        </w:tc>
        <w:tc>
          <w:tcPr>
            <w:tcW w:w="120" w:type="dxa"/>
            <w:vAlign w:val="bottom"/>
            <w:shd w:val="clear" w:color="auto" w:fill="CFF0FC"/>
          </w:tcPr>
          <w:p>
            <w:pPr>
              <w:spacing w:after="0"/>
              <w:rPr>
                <w:sz w:val="8"/>
                <w:szCs w:val="8"/>
                <w:color w:val="auto"/>
              </w:rPr>
            </w:pPr>
          </w:p>
        </w:tc>
        <w:tc>
          <w:tcPr>
            <w:tcW w:w="70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w w:val="98"/>
              </w:rPr>
              <w:t>(bb)</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6,030,430</w:t>
            </w:r>
          </w:p>
        </w:tc>
        <w:tc>
          <w:tcPr>
            <w:tcW w:w="100" w:type="dxa"/>
            <w:vAlign w:val="bottom"/>
            <w:shd w:val="clear" w:color="auto" w:fill="CFF0FC"/>
          </w:tcPr>
          <w:p>
            <w:pPr>
              <w:spacing w:after="0"/>
              <w:rPr>
                <w:sz w:val="8"/>
                <w:szCs w:val="8"/>
                <w:color w:val="auto"/>
              </w:rPr>
            </w:pPr>
          </w:p>
        </w:tc>
      </w:tr>
      <w:tr>
        <w:trPr>
          <w:trHeight w:val="98"/>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General and administrative expenses</w:t>
            </w:r>
          </w:p>
        </w:tc>
        <w:tc>
          <w:tcPr>
            <w:tcW w:w="60" w:type="dxa"/>
            <w:vAlign w:val="bottom"/>
          </w:tcPr>
          <w:p>
            <w:pPr>
              <w:spacing w:after="0"/>
              <w:rPr>
                <w:sz w:val="8"/>
                <w:szCs w:val="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8,066,209</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1,856,038</w:t>
            </w:r>
          </w:p>
        </w:tc>
        <w:tc>
          <w:tcPr>
            <w:tcW w:w="120" w:type="dxa"/>
            <w:vAlign w:val="bottom"/>
          </w:tcPr>
          <w:p>
            <w:pPr>
              <w:spacing w:after="0"/>
              <w:rPr>
                <w:sz w:val="8"/>
                <w:szCs w:val="8"/>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89"/>
              </w:rPr>
              <w:t>(aa)</w:t>
            </w: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45,124,701</w:t>
            </w: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32,139,954</w:t>
            </w:r>
          </w:p>
        </w:tc>
        <w:tc>
          <w:tcPr>
            <w:tcW w:w="120" w:type="dxa"/>
            <w:vAlign w:val="bottom"/>
            <w:shd w:val="clear" w:color="auto" w:fill="CFF0FC"/>
          </w:tcPr>
          <w:p>
            <w:pPr>
              <w:spacing w:after="0"/>
              <w:rPr>
                <w:sz w:val="8"/>
                <w:szCs w:val="8"/>
                <w:color w:val="auto"/>
              </w:rPr>
            </w:pPr>
          </w:p>
        </w:tc>
        <w:tc>
          <w:tcPr>
            <w:tcW w:w="70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w w:val="98"/>
              </w:rPr>
              <w:t>(bb)</w:t>
            </w:r>
          </w:p>
        </w:tc>
        <w:tc>
          <w:tcPr>
            <w:tcW w:w="1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98"/>
        </w:trPr>
        <w:tc>
          <w:tcPr>
            <w:tcW w:w="4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3,062,500</w:t>
            </w:r>
          </w:p>
        </w:tc>
        <w:tc>
          <w:tcPr>
            <w:tcW w:w="120" w:type="dxa"/>
            <w:vAlign w:val="bottom"/>
          </w:tcPr>
          <w:p>
            <w:pPr>
              <w:spacing w:after="0"/>
              <w:rPr>
                <w:sz w:val="8"/>
                <w:szCs w:val="8"/>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6"/>
              </w:rPr>
              <w:t>(cc)</w:t>
            </w: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Formation cost</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1,304,629</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(1,304,629 )</w:t>
            </w:r>
          </w:p>
        </w:tc>
        <w:tc>
          <w:tcPr>
            <w:tcW w:w="70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89"/>
              </w:rPr>
              <w:t>(aa)</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r>
      <w:tr>
        <w:trPr>
          <w:trHeight w:val="98"/>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Other operating costs and expenses</w:t>
            </w:r>
          </w:p>
        </w:tc>
        <w:tc>
          <w:tcPr>
            <w:tcW w:w="60" w:type="dxa"/>
            <w:vAlign w:val="bottom"/>
          </w:tcPr>
          <w:p>
            <w:pPr>
              <w:spacing w:after="0"/>
              <w:rPr>
                <w:sz w:val="8"/>
                <w:szCs w:val="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84,500</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84,500</w:t>
            </w: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Depreciation and amortization expenses</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120,841</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120,841</w:t>
            </w:r>
          </w:p>
        </w:tc>
        <w:tc>
          <w:tcPr>
            <w:tcW w:w="100" w:type="dxa"/>
            <w:vAlign w:val="bottom"/>
            <w:shd w:val="clear" w:color="auto" w:fill="CFF0FC"/>
          </w:tcPr>
          <w:p>
            <w:pPr>
              <w:spacing w:after="0"/>
              <w:rPr>
                <w:sz w:val="8"/>
                <w:szCs w:val="8"/>
                <w:color w:val="auto"/>
              </w:rPr>
            </w:pPr>
          </w:p>
        </w:tc>
      </w:tr>
      <w:tr>
        <w:trPr>
          <w:trHeight w:val="98"/>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Impairment of customer list</w:t>
            </w:r>
          </w:p>
        </w:tc>
        <w:tc>
          <w:tcPr>
            <w:tcW w:w="60" w:type="dxa"/>
            <w:vAlign w:val="bottom"/>
          </w:tcPr>
          <w:p>
            <w:pPr>
              <w:spacing w:after="0"/>
              <w:rPr>
                <w:sz w:val="8"/>
                <w:szCs w:val="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Impairment of goodwill</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r>
      <w:tr>
        <w:trPr>
          <w:trHeight w:val="108"/>
        </w:trPr>
        <w:tc>
          <w:tcPr>
            <w:tcW w:w="4280" w:type="dxa"/>
            <w:vAlign w:val="bottom"/>
          </w:tcPr>
          <w:p>
            <w:pPr>
              <w:ind w:left="80"/>
              <w:spacing w:after="0"/>
              <w:rPr>
                <w:sz w:val="20"/>
                <w:szCs w:val="20"/>
                <w:color w:val="auto"/>
              </w:rPr>
            </w:pPr>
            <w:r>
              <w:rPr>
                <w:rFonts w:ascii="Times New Roman" w:cs="Times New Roman" w:eastAsia="Times New Roman" w:hAnsi="Times New Roman"/>
                <w:sz w:val="8"/>
                <w:szCs w:val="8"/>
                <w:b w:val="1"/>
                <w:bCs w:val="1"/>
                <w:color w:val="auto"/>
              </w:rPr>
              <w:t>Total operating expenses</w:t>
            </w:r>
          </w:p>
        </w:tc>
        <w:tc>
          <w:tcPr>
            <w:tcW w:w="60" w:type="dxa"/>
            <w:vAlign w:val="bottom"/>
          </w:tcPr>
          <w:p>
            <w:pPr>
              <w:spacing w:after="0"/>
              <w:rPr>
                <w:sz w:val="9"/>
                <w:szCs w:val="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9,719,157</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1,856,038</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39,801,454</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51,376,649</w:t>
            </w:r>
          </w:p>
        </w:tc>
        <w:tc>
          <w:tcPr>
            <w:tcW w:w="100" w:type="dxa"/>
            <w:vAlign w:val="bottom"/>
          </w:tcPr>
          <w:p>
            <w:pPr>
              <w:spacing w:after="0"/>
              <w:rPr>
                <w:sz w:val="9"/>
                <w:szCs w:val="9"/>
                <w:color w:val="auto"/>
              </w:rPr>
            </w:pPr>
          </w:p>
        </w:tc>
      </w:tr>
      <w:tr>
        <w:trPr>
          <w:trHeight w:val="87"/>
        </w:trPr>
        <w:tc>
          <w:tcPr>
            <w:tcW w:w="4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32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60" w:type="dxa"/>
            <w:vAlign w:val="bottom"/>
            <w:gridSpan w:val="2"/>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gridSpan w:val="2"/>
          </w:tcPr>
          <w:p>
            <w:pPr>
              <w:spacing w:after="0"/>
              <w:rPr>
                <w:sz w:val="7"/>
                <w:szCs w:val="7"/>
                <w:color w:val="auto"/>
              </w:rPr>
            </w:pPr>
          </w:p>
        </w:tc>
      </w:tr>
      <w:tr>
        <w:trPr>
          <w:trHeight w:val="100"/>
        </w:trPr>
        <w:tc>
          <w:tcPr>
            <w:tcW w:w="4280" w:type="dxa"/>
            <w:vAlign w:val="bottom"/>
            <w:shd w:val="clear" w:color="auto" w:fill="CFF0FC"/>
          </w:tcPr>
          <w:p>
            <w:pPr>
              <w:spacing w:after="0" w:line="78" w:lineRule="exact"/>
              <w:rPr>
                <w:sz w:val="20"/>
                <w:szCs w:val="20"/>
                <w:color w:val="auto"/>
              </w:rPr>
            </w:pPr>
            <w:r>
              <w:rPr>
                <w:rFonts w:ascii="Times New Roman" w:cs="Times New Roman" w:eastAsia="Times New Roman" w:hAnsi="Times New Roman"/>
                <w:sz w:val="8"/>
                <w:szCs w:val="8"/>
                <w:b w:val="1"/>
                <w:bCs w:val="1"/>
                <w:color w:val="auto"/>
              </w:rPr>
              <w:t>Loss from operations</w:t>
            </w:r>
          </w:p>
        </w:tc>
        <w:tc>
          <w:tcPr>
            <w:tcW w:w="60" w:type="dxa"/>
            <w:vAlign w:val="bottom"/>
            <w:shd w:val="clear" w:color="auto" w:fill="CFF0FC"/>
          </w:tcPr>
          <w:p>
            <w:pPr>
              <w:jc w:val="right"/>
              <w:spacing w:after="0" w:line="78" w:lineRule="exact"/>
              <w:rPr>
                <w:sz w:val="20"/>
                <w:szCs w:val="20"/>
                <w:color w:val="auto"/>
              </w:rPr>
            </w:pPr>
            <w:r>
              <w:rPr>
                <w:rFonts w:ascii="Times New Roman" w:cs="Times New Roman" w:eastAsia="Times New Roman" w:hAnsi="Times New Roman"/>
                <w:sz w:val="8"/>
                <w:szCs w:val="8"/>
                <w:color w:val="auto"/>
                <w:w w:val="98"/>
              </w:rPr>
              <w:t>$</w:t>
            </w:r>
          </w:p>
        </w:tc>
        <w:tc>
          <w:tcPr>
            <w:tcW w:w="1320" w:type="dxa"/>
            <w:vAlign w:val="bottom"/>
            <w:gridSpan w:val="2"/>
            <w:shd w:val="clear" w:color="auto" w:fill="CFF0FC"/>
          </w:tcPr>
          <w:p>
            <w:pPr>
              <w:jc w:val="right"/>
              <w:ind w:right="80"/>
              <w:spacing w:after="0" w:line="78" w:lineRule="exact"/>
              <w:rPr>
                <w:sz w:val="20"/>
                <w:szCs w:val="20"/>
                <w:color w:val="auto"/>
              </w:rPr>
            </w:pPr>
            <w:r>
              <w:rPr>
                <w:rFonts w:ascii="Times New Roman" w:cs="Times New Roman" w:eastAsia="Times New Roman" w:hAnsi="Times New Roman"/>
                <w:sz w:val="5"/>
                <w:szCs w:val="5"/>
                <w:color w:val="auto"/>
              </w:rPr>
              <w:t xml:space="preserve">(9,665,758 </w:t>
            </w:r>
            <w:r>
              <w:rPr>
                <w:rFonts w:ascii="Times New Roman" w:cs="Times New Roman" w:eastAsia="Times New Roman" w:hAnsi="Times New Roman"/>
                <w:sz w:val="8"/>
                <w:szCs w:val="8"/>
                <w:color w:val="auto"/>
                <w:vertAlign w:val="subscript"/>
              </w:rPr>
              <w:t>)</w:t>
            </w:r>
          </w:p>
        </w:tc>
        <w:tc>
          <w:tcPr>
            <w:tcW w:w="160" w:type="dxa"/>
            <w:vAlign w:val="bottom"/>
            <w:gridSpan w:val="2"/>
            <w:shd w:val="clear" w:color="auto" w:fill="CFF0FC"/>
          </w:tcPr>
          <w:p>
            <w:pPr>
              <w:jc w:val="right"/>
              <w:ind w:right="20"/>
              <w:spacing w:after="0" w:line="78" w:lineRule="exact"/>
              <w:rPr>
                <w:sz w:val="20"/>
                <w:szCs w:val="20"/>
                <w:color w:val="auto"/>
              </w:rPr>
            </w:pPr>
            <w:r>
              <w:rPr>
                <w:rFonts w:ascii="Times New Roman" w:cs="Times New Roman" w:eastAsia="Times New Roman" w:hAnsi="Times New Roman"/>
                <w:sz w:val="8"/>
                <w:szCs w:val="8"/>
                <w:color w:val="auto"/>
              </w:rPr>
              <w:t>$</w:t>
            </w:r>
          </w:p>
        </w:tc>
        <w:tc>
          <w:tcPr>
            <w:tcW w:w="1200" w:type="dxa"/>
            <w:vAlign w:val="bottom"/>
            <w:gridSpan w:val="2"/>
            <w:shd w:val="clear" w:color="auto" w:fill="CFF0FC"/>
          </w:tcPr>
          <w:p>
            <w:pPr>
              <w:jc w:val="right"/>
              <w:ind w:right="80"/>
              <w:spacing w:after="0" w:line="78" w:lineRule="exact"/>
              <w:rPr>
                <w:sz w:val="20"/>
                <w:szCs w:val="20"/>
                <w:color w:val="auto"/>
              </w:rPr>
            </w:pPr>
            <w:r>
              <w:rPr>
                <w:rFonts w:ascii="Times New Roman" w:cs="Times New Roman" w:eastAsia="Times New Roman" w:hAnsi="Times New Roman"/>
                <w:sz w:val="5"/>
                <w:szCs w:val="5"/>
                <w:color w:val="auto"/>
              </w:rPr>
              <w:t xml:space="preserve">(1,856,038 </w:t>
            </w:r>
            <w:r>
              <w:rPr>
                <w:rFonts w:ascii="Times New Roman" w:cs="Times New Roman" w:eastAsia="Times New Roman" w:hAnsi="Times New Roman"/>
                <w:sz w:val="8"/>
                <w:szCs w:val="8"/>
                <w:color w:val="auto"/>
                <w:vertAlign w:val="subscript"/>
              </w:rPr>
              <w:t>)</w:t>
            </w: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ind w:left="20"/>
              <w:spacing w:after="0" w:line="78" w:lineRule="exact"/>
              <w:rPr>
                <w:sz w:val="20"/>
                <w:szCs w:val="20"/>
                <w:color w:val="auto"/>
              </w:rPr>
            </w:pPr>
            <w:r>
              <w:rPr>
                <w:rFonts w:ascii="Times New Roman" w:cs="Times New Roman" w:eastAsia="Times New Roman" w:hAnsi="Times New Roman"/>
                <w:sz w:val="8"/>
                <w:szCs w:val="8"/>
                <w:color w:val="auto"/>
              </w:rPr>
              <w:t>$</w:t>
            </w:r>
          </w:p>
        </w:tc>
        <w:tc>
          <w:tcPr>
            <w:tcW w:w="960" w:type="dxa"/>
            <w:vAlign w:val="bottom"/>
            <w:gridSpan w:val="2"/>
            <w:shd w:val="clear" w:color="auto" w:fill="CFF0FC"/>
          </w:tcPr>
          <w:p>
            <w:pPr>
              <w:jc w:val="right"/>
              <w:ind w:right="80"/>
              <w:spacing w:after="0" w:line="78" w:lineRule="exact"/>
              <w:rPr>
                <w:sz w:val="20"/>
                <w:szCs w:val="20"/>
                <w:color w:val="auto"/>
              </w:rPr>
            </w:pPr>
            <w:r>
              <w:rPr>
                <w:rFonts w:ascii="Times New Roman" w:cs="Times New Roman" w:eastAsia="Times New Roman" w:hAnsi="Times New Roman"/>
                <w:sz w:val="5"/>
                <w:szCs w:val="5"/>
                <w:color w:val="auto"/>
              </w:rPr>
              <w:t xml:space="preserve">(39,801,454 </w:t>
            </w:r>
            <w:r>
              <w:rPr>
                <w:rFonts w:ascii="Times New Roman" w:cs="Times New Roman" w:eastAsia="Times New Roman" w:hAnsi="Times New Roman"/>
                <w:sz w:val="8"/>
                <w:szCs w:val="8"/>
                <w:color w:val="auto"/>
                <w:vertAlign w:val="subscript"/>
              </w:rPr>
              <w:t>)</w:t>
            </w:r>
          </w:p>
        </w:tc>
        <w:tc>
          <w:tcPr>
            <w:tcW w:w="700" w:type="dxa"/>
            <w:vAlign w:val="bottom"/>
            <w:gridSpan w:val="2"/>
            <w:shd w:val="clear" w:color="auto" w:fill="CFF0FC"/>
          </w:tcPr>
          <w:p>
            <w:pPr>
              <w:jc w:val="right"/>
              <w:ind w:right="160"/>
              <w:spacing w:after="0" w:line="78" w:lineRule="exact"/>
              <w:rPr>
                <w:sz w:val="20"/>
                <w:szCs w:val="20"/>
                <w:color w:val="auto"/>
              </w:rPr>
            </w:pPr>
            <w:r>
              <w:rPr>
                <w:rFonts w:ascii="Times New Roman" w:cs="Times New Roman" w:eastAsia="Times New Roman" w:hAnsi="Times New Roman"/>
                <w:sz w:val="8"/>
                <w:szCs w:val="8"/>
                <w:color w:val="auto"/>
              </w:rPr>
              <w:t>$</w:t>
            </w:r>
          </w:p>
        </w:tc>
        <w:tc>
          <w:tcPr>
            <w:tcW w:w="1340" w:type="dxa"/>
            <w:vAlign w:val="bottom"/>
            <w:gridSpan w:val="2"/>
            <w:shd w:val="clear" w:color="auto" w:fill="CFF0FC"/>
          </w:tcPr>
          <w:p>
            <w:pPr>
              <w:jc w:val="right"/>
              <w:ind w:right="60"/>
              <w:spacing w:after="0" w:line="78" w:lineRule="exact"/>
              <w:rPr>
                <w:sz w:val="20"/>
                <w:szCs w:val="20"/>
                <w:color w:val="auto"/>
              </w:rPr>
            </w:pPr>
            <w:r>
              <w:rPr>
                <w:rFonts w:ascii="Times New Roman" w:cs="Times New Roman" w:eastAsia="Times New Roman" w:hAnsi="Times New Roman"/>
                <w:sz w:val="5"/>
                <w:szCs w:val="5"/>
                <w:color w:val="auto"/>
              </w:rPr>
              <w:t xml:space="preserve">(51,323,250 </w:t>
            </w:r>
            <w:r>
              <w:rPr>
                <w:rFonts w:ascii="Times New Roman" w:cs="Times New Roman" w:eastAsia="Times New Roman" w:hAnsi="Times New Roman"/>
                <w:sz w:val="8"/>
                <w:szCs w:val="8"/>
                <w:color w:val="auto"/>
                <w:vertAlign w:val="subscript"/>
              </w:rPr>
              <w:t>)</w:t>
            </w:r>
          </w:p>
        </w:tc>
      </w:tr>
      <w:tr>
        <w:trPr>
          <w:trHeight w:val="195"/>
        </w:trPr>
        <w:tc>
          <w:tcPr>
            <w:tcW w:w="4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8"/>
                <w:szCs w:val="8"/>
                <w:b w:val="1"/>
                <w:bCs w:val="1"/>
                <w:color w:val="auto"/>
              </w:rPr>
              <w:t>Other (expense) income</w:t>
            </w:r>
          </w:p>
        </w:tc>
        <w:tc>
          <w:tcPr>
            <w:tcW w:w="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48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Interest expense</w:t>
            </w:r>
          </w:p>
        </w:tc>
        <w:tc>
          <w:tcPr>
            <w:tcW w:w="60" w:type="dxa"/>
            <w:vAlign w:val="bottom"/>
            <w:shd w:val="clear" w:color="auto" w:fill="CFF0FC"/>
          </w:tcPr>
          <w:p>
            <w:pPr>
              <w:spacing w:after="0"/>
              <w:rPr>
                <w:sz w:val="8"/>
                <w:szCs w:val="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(3,009,002 )</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(338,861 )</w:t>
            </w: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(492,800 )</w:t>
            </w:r>
          </w:p>
        </w:tc>
        <w:tc>
          <w:tcPr>
            <w:tcW w:w="70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w w:val="98"/>
              </w:rPr>
              <w:t>(dd)</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(3,840,663 )</w:t>
            </w:r>
          </w:p>
        </w:tc>
      </w:tr>
      <w:tr>
        <w:trPr>
          <w:trHeight w:val="98"/>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Interest income</w:t>
            </w:r>
          </w:p>
        </w:tc>
        <w:tc>
          <w:tcPr>
            <w:tcW w:w="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476,445</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(476,445 )</w:t>
            </w: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6"/>
              </w:rPr>
              <w:t>(ee)</w:t>
            </w: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Other non-operating income (expense), net</w:t>
            </w:r>
          </w:p>
        </w:tc>
        <w:tc>
          <w:tcPr>
            <w:tcW w:w="60" w:type="dxa"/>
            <w:vAlign w:val="bottom"/>
            <w:shd w:val="clear" w:color="auto" w:fill="CFF0FC"/>
          </w:tcPr>
          <w:p>
            <w:pPr>
              <w:spacing w:after="0"/>
              <w:rPr>
                <w:sz w:val="8"/>
                <w:szCs w:val="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(107,816 )</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(2,100,000 )</w:t>
            </w:r>
          </w:p>
        </w:tc>
        <w:tc>
          <w:tcPr>
            <w:tcW w:w="70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(ff)</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(2,207,816 )</w:t>
            </w:r>
          </w:p>
        </w:tc>
      </w:tr>
      <w:tr>
        <w:trPr>
          <w:trHeight w:val="197"/>
        </w:trPr>
        <w:tc>
          <w:tcPr>
            <w:tcW w:w="4280" w:type="dxa"/>
            <w:vAlign w:val="bottom"/>
          </w:tcPr>
          <w:p>
            <w:pPr>
              <w:ind w:left="80"/>
              <w:spacing w:after="0"/>
              <w:rPr>
                <w:sz w:val="20"/>
                <w:szCs w:val="20"/>
                <w:color w:val="auto"/>
              </w:rPr>
            </w:pPr>
            <w:r>
              <w:rPr>
                <w:rFonts w:ascii="Times New Roman" w:cs="Times New Roman" w:eastAsia="Times New Roman" w:hAnsi="Times New Roman"/>
                <w:sz w:val="8"/>
                <w:szCs w:val="8"/>
                <w:b w:val="1"/>
                <w:bCs w:val="1"/>
                <w:color w:val="auto"/>
              </w:rPr>
              <w:t>Total other (expenses) / income, net</w:t>
            </w:r>
          </w:p>
        </w:tc>
        <w:tc>
          <w:tcPr>
            <w:tcW w:w="60" w:type="dxa"/>
            <w:vAlign w:val="bottom"/>
          </w:tcPr>
          <w:p>
            <w:pPr>
              <w:spacing w:after="0"/>
              <w:rPr>
                <w:sz w:val="17"/>
                <w:szCs w:val="17"/>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(3,116,818 )</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137,584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(3,069,245 )</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(6,048,479 )</w:t>
            </w:r>
          </w:p>
        </w:tc>
      </w:tr>
      <w:tr>
        <w:trPr>
          <w:trHeight w:val="96"/>
        </w:trPr>
        <w:tc>
          <w:tcPr>
            <w:tcW w:w="4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32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gridSpan w:val="2"/>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gridSpan w:val="2"/>
          </w:tcPr>
          <w:p>
            <w:pPr>
              <w:spacing w:after="0"/>
              <w:rPr>
                <w:sz w:val="8"/>
                <w:szCs w:val="8"/>
                <w:color w:val="auto"/>
              </w:rPr>
            </w:pPr>
          </w:p>
        </w:tc>
      </w:tr>
      <w:tr>
        <w:trPr>
          <w:trHeight w:val="98"/>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8"/>
                <w:szCs w:val="8"/>
                <w:color w:val="auto"/>
              </w:rPr>
              <w:t>Income (loss) before taxes</w:t>
            </w:r>
          </w:p>
        </w:tc>
        <w:tc>
          <w:tcPr>
            <w:tcW w:w="60" w:type="dxa"/>
            <w:vAlign w:val="bottom"/>
            <w:shd w:val="clear" w:color="auto" w:fill="CFF0FC"/>
          </w:tcPr>
          <w:p>
            <w:pPr>
              <w:spacing w:after="0"/>
              <w:rPr>
                <w:sz w:val="8"/>
                <w:szCs w:val="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(12,782,576 )</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(1,718,454 )</w:t>
            </w: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(42,870,699 )</w:t>
            </w: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(57,371,729 )</w:t>
            </w:r>
          </w:p>
        </w:tc>
      </w:tr>
      <w:tr>
        <w:trPr>
          <w:trHeight w:val="195"/>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Provision for income taxes</w:t>
            </w:r>
          </w:p>
        </w:tc>
        <w:tc>
          <w:tcPr>
            <w:tcW w:w="60" w:type="dxa"/>
            <w:vAlign w:val="bottom"/>
          </w:tcPr>
          <w:p>
            <w:pPr>
              <w:spacing w:after="0"/>
              <w:rPr>
                <w:sz w:val="16"/>
                <w:szCs w:val="16"/>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(59,870 )</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(85,487 )</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85,487</w:t>
            </w:r>
          </w:p>
        </w:tc>
        <w:tc>
          <w:tcPr>
            <w:tcW w:w="120" w:type="dxa"/>
            <w:vAlign w:val="bottom"/>
          </w:tcPr>
          <w:p>
            <w:pPr>
              <w:spacing w:after="0"/>
              <w:rPr>
                <w:sz w:val="16"/>
                <w:szCs w:val="16"/>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89"/>
              </w:rPr>
              <w:t>(gg)</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(207,906 )</w:t>
            </w:r>
          </w:p>
        </w:tc>
      </w:tr>
      <w:tr>
        <w:trPr>
          <w:trHeight w:val="98"/>
        </w:trPr>
        <w:tc>
          <w:tcPr>
            <w:tcW w:w="42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(148,036 )</w:t>
            </w:r>
          </w:p>
        </w:tc>
        <w:tc>
          <w:tcPr>
            <w:tcW w:w="70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w w:val="98"/>
              </w:rPr>
              <w:t>(hh)</w:t>
            </w:r>
          </w:p>
        </w:tc>
        <w:tc>
          <w:tcPr>
            <w:tcW w:w="1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98"/>
        </w:trPr>
        <w:tc>
          <w:tcPr>
            <w:tcW w:w="428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Net (loss) income</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13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8"/>
                <w:szCs w:val="8"/>
                <w:color w:val="auto"/>
              </w:rPr>
              <w:t xml:space="preserve">(12,842,446 </w:t>
            </w:r>
            <w:r>
              <w:rPr>
                <w:rFonts w:ascii="Times New Roman" w:cs="Times New Roman" w:eastAsia="Times New Roman" w:hAnsi="Times New Roman"/>
                <w:sz w:val="16"/>
                <w:szCs w:val="16"/>
                <w:color w:val="auto"/>
                <w:vertAlign w:val="subscript"/>
              </w:rPr>
              <w:t>)</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20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8"/>
                <w:szCs w:val="8"/>
                <w:color w:val="auto"/>
              </w:rPr>
              <w:t xml:space="preserve">(1,803,941 </w:t>
            </w:r>
            <w:r>
              <w:rPr>
                <w:rFonts w:ascii="Times New Roman" w:cs="Times New Roman" w:eastAsia="Times New Roman" w:hAnsi="Times New Roman"/>
                <w:sz w:val="16"/>
                <w:szCs w:val="16"/>
                <w:color w:val="auto"/>
                <w:vertAlign w:val="subscript"/>
              </w:rPr>
              <w:t>)</w:t>
            </w:r>
          </w:p>
        </w:tc>
        <w:tc>
          <w:tcPr>
            <w:tcW w:w="100" w:type="dxa"/>
            <w:vAlign w:val="bottom"/>
          </w:tcPr>
          <w:p>
            <w:pPr>
              <w:spacing w:after="0"/>
              <w:rPr>
                <w:sz w:val="17"/>
                <w:szCs w:val="17"/>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8"/>
                <w:szCs w:val="8"/>
                <w:color w:val="auto"/>
              </w:rPr>
              <w:t>$</w:t>
            </w:r>
          </w:p>
        </w:tc>
        <w:tc>
          <w:tcPr>
            <w:tcW w:w="96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8"/>
                <w:szCs w:val="8"/>
                <w:color w:val="auto"/>
              </w:rPr>
              <w:t xml:space="preserve">(42,933,248 </w:t>
            </w:r>
            <w:r>
              <w:rPr>
                <w:rFonts w:ascii="Times New Roman" w:cs="Times New Roman" w:eastAsia="Times New Roman" w:hAnsi="Times New Roman"/>
                <w:sz w:val="16"/>
                <w:szCs w:val="16"/>
                <w:color w:val="auto"/>
                <w:vertAlign w:val="subscript"/>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8"/>
                <w:szCs w:val="8"/>
                <w:color w:val="auto"/>
              </w:rPr>
              <w:t>$</w:t>
            </w:r>
          </w:p>
        </w:tc>
        <w:tc>
          <w:tcPr>
            <w:tcW w:w="134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8"/>
                <w:szCs w:val="8"/>
                <w:color w:val="auto"/>
              </w:rPr>
              <w:t xml:space="preserve">(57,579,635 </w:t>
            </w:r>
            <w:r>
              <w:rPr>
                <w:rFonts w:ascii="Times New Roman" w:cs="Times New Roman" w:eastAsia="Times New Roman" w:hAnsi="Times New Roman"/>
                <w:sz w:val="16"/>
                <w:szCs w:val="16"/>
                <w:color w:val="auto"/>
                <w:vertAlign w:val="subscript"/>
              </w:rPr>
              <w:t>)</w:t>
            </w:r>
          </w:p>
        </w:tc>
      </w:tr>
      <w:tr>
        <w:trPr>
          <w:trHeight w:val="98"/>
        </w:trPr>
        <w:tc>
          <w:tcPr>
            <w:tcW w:w="42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Earnings Per Share</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98"/>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Weighted average shares of Rezolve common stock used in computing net loss per share, basic and diluted</w:t>
            </w:r>
          </w:p>
        </w:tc>
        <w:tc>
          <w:tcPr>
            <w:tcW w:w="60" w:type="dxa"/>
            <w:vAlign w:val="bottom"/>
          </w:tcPr>
          <w:p>
            <w:pPr>
              <w:spacing w:after="0"/>
              <w:rPr>
                <w:sz w:val="8"/>
                <w:szCs w:val="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927,893,144</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Basic and diluted weighted average shares outstanding</w:t>
            </w:r>
          </w:p>
        </w:tc>
        <w:tc>
          <w:tcPr>
            <w:tcW w:w="60" w:type="dxa"/>
            <w:vAlign w:val="bottom"/>
            <w:shd w:val="clear" w:color="auto" w:fill="CFF0FC"/>
          </w:tcPr>
          <w:p>
            <w:pPr>
              <w:spacing w:after="0"/>
              <w:rPr>
                <w:sz w:val="8"/>
                <w:szCs w:val="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(0.01 )</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06"/>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Basic and diluted weighted average shares outstanding, common stock subject to possible redemption</w:t>
            </w:r>
          </w:p>
        </w:tc>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8,770,367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89"/>
        </w:trPr>
        <w:tc>
          <w:tcPr>
            <w:tcW w:w="4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Net loss per share, basic and diluted</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(0.05 )</w:t>
            </w: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98"/>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Basic and diluted weighted average shares outstanding, common stock subject to possible redemption</w:t>
            </w:r>
          </w:p>
        </w:tc>
        <w:tc>
          <w:tcPr>
            <w:tcW w:w="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5,709,500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Net loss per share, basic and diluted</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(0.05 )</w:t>
            </w: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95"/>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Proforma Basic and diluted weighted average shares outstanding, common stock subject to possible redemption</w:t>
            </w: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204,702,306</w:t>
            </w:r>
          </w:p>
        </w:tc>
        <w:tc>
          <w:tcPr>
            <w:tcW w:w="100" w:type="dxa"/>
            <w:vAlign w:val="bottom"/>
          </w:tcPr>
          <w:p>
            <w:pPr>
              <w:spacing w:after="0"/>
              <w:rPr>
                <w:sz w:val="16"/>
                <w:szCs w:val="16"/>
                <w:color w:val="auto"/>
              </w:rPr>
            </w:pPr>
          </w:p>
        </w:tc>
      </w:tr>
      <w:tr>
        <w:trPr>
          <w:trHeight w:val="98"/>
        </w:trPr>
        <w:tc>
          <w:tcPr>
            <w:tcW w:w="4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Proforma Net loss per share, basic and diluted</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(0.28 )</w:t>
            </w:r>
          </w:p>
        </w:tc>
      </w:tr>
    </w:tbl>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See accompanying notes to the unaudited pro forma condensed combined financial information.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0"/>
          <w:szCs w:val="10"/>
          <w:b w:val="1"/>
          <w:bCs w:val="1"/>
          <w:color w:val="auto"/>
        </w:rPr>
        <w:t>NOTES TO UNAUDITED PRO FORMA CONDENSED COMBINED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1—Basis of Presentation</w:t>
      </w:r>
    </w:p>
    <w:p>
      <w:pPr>
        <w:spacing w:after="0" w:line="60"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The Business Combination will be accounted for as a reverse recapitalization, with no goodwill or other intangible assets recorded, in accordance with GAAP. Under this method of accounting, Armada will be treated as the “acquired” company for financial reporting purposes. This determination was primarily based on evaluation of the following facts and circumstances: (i) Rezolve’s shareholders will have majority of the voting power under both the minimum redemption and maximum redemption scenarios; (ii) Rezolve will appoint the majority of the board of directors of Rezolve; (iii) Rezolve’s existing management will comprise the management of Rezolve; (iv) Rezolve will comprise the ongoing operations of Rezolve; (v) Rezolve is the larger entity based on historical revenues and business operations; and (vi) Rezolve will continue to use Rezolve’s name and Rezolve’s headquarters in London. Accordingly, for accounting purposes, the Business Combination will be treated as the equivalent of Rezolve issuing shares for the net assets of Armada, accompanied by a recapitalization. The net assets of Armada will be stated at historical cost, with no goodwill or other intangible assets recorded. Operations prior to the Business Combination will be those of Rezolve. Operations prior to the Business Combination will be those of Rezolve.</w:t>
      </w:r>
    </w:p>
    <w:p>
      <w:pPr>
        <w:spacing w:after="0" w:line="108"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 unaudited pro forma condensed combined balance sheet as of December 31, 2023 presents the pro forma effect of the Business Combination and related transactions as if they had occurred on December 31, 2023. The unaudited pro forma condensed combined statements of operations for the year ended ended December 31, 2023 presents the pro forma effect of the Business Combination and related transactions as if they had been completed on December 31, 2023. These periods are presented on the basis of Rezolve as the accounting acquirer.</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unaudited pro forma condensed combined financial information should be read in conjunction with:</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notes to the unaudited pro forma condensed combined financial statements;</w:t>
      </w:r>
    </w:p>
    <w:p>
      <w:pPr>
        <w:spacing w:after="0" w:line="58" w:lineRule="exact"/>
        <w:rPr>
          <w:sz w:val="20"/>
          <w:szCs w:val="20"/>
          <w:color w:val="auto"/>
        </w:rPr>
      </w:pPr>
    </w:p>
    <w:p>
      <w:pPr>
        <w:ind w:left="480" w:right="4180"/>
        <w:spacing w:after="0" w:line="400" w:lineRule="auto"/>
        <w:rPr>
          <w:sz w:val="20"/>
          <w:szCs w:val="20"/>
          <w:color w:val="auto"/>
        </w:rPr>
      </w:pPr>
      <w:r>
        <w:rPr>
          <w:rFonts w:ascii="Times New Roman" w:cs="Times New Roman" w:eastAsia="Times New Roman" w:hAnsi="Times New Roman"/>
          <w:sz w:val="9"/>
          <w:szCs w:val="9"/>
          <w:color w:val="auto"/>
        </w:rPr>
        <w:t>•the historical audited financial statements of Armada as of and for the year ended September 30, 2023 and 2022, incorporated by reference in this filing; •the historical unaudited financial statements for Armada as of and for the quarter ended December 31, 2023, incorporated by reference to this filing;</w:t>
      </w:r>
    </w:p>
    <w:p>
      <w:pPr>
        <w:ind w:left="480" w:right="2900"/>
        <w:spacing w:after="0" w:line="380" w:lineRule="auto"/>
        <w:rPr>
          <w:sz w:val="20"/>
          <w:szCs w:val="20"/>
          <w:color w:val="auto"/>
        </w:rPr>
      </w:pPr>
      <w:r>
        <w:rPr>
          <w:rFonts w:ascii="Times New Roman" w:cs="Times New Roman" w:eastAsia="Times New Roman" w:hAnsi="Times New Roman"/>
          <w:sz w:val="10"/>
          <w:szCs w:val="10"/>
          <w:color w:val="auto"/>
        </w:rPr>
        <w:t>•the historical audited carve-out financial statements of Rezolve AI Limited as of, and for the year ended, December 31, 2023, included elsewhere in this proxy statement/prospectus; and •the section entitled “</w:t>
      </w:r>
      <w:r>
        <w:rPr>
          <w:rFonts w:ascii="Times New Roman" w:cs="Times New Roman" w:eastAsia="Times New Roman" w:hAnsi="Times New Roman"/>
          <w:sz w:val="10"/>
          <w:szCs w:val="10"/>
          <w:i w:val="1"/>
          <w:iCs w:val="1"/>
          <w:color w:val="auto"/>
        </w:rPr>
        <w:t>Management’s Discussion and Analysis of Financial Condition and Results of Operations</w:t>
      </w:r>
      <w:r>
        <w:rPr>
          <w:rFonts w:ascii="Times New Roman" w:cs="Times New Roman" w:eastAsia="Times New Roman" w:hAnsi="Times New Roman"/>
          <w:sz w:val="10"/>
          <w:szCs w:val="10"/>
          <w:color w:val="auto"/>
        </w:rPr>
        <w:t>”</w:t>
      </w:r>
    </w:p>
    <w:p>
      <w:pPr>
        <w:spacing w:after="0" w:line="4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Management has made significant estimates and assumptions in its determination of the pro forma adjustments (“Transaction Accounting Adjustments”). As the unaudited pro forma condensed combined financial information has been prepared based on these preliminary estimates, the final amounts recorded may differ materially from the information presented.</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The pro forma financial information reflects transaction related adjustments management believes are necessary to present fairly Rezolve’s pro forma results of operations and financial position following the closing of the Business Combination and related transactions as of and for the periods indicated.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Business Combination was completed. Therefore, it is likely that the actual adjustments will differ from the pro forma adjustments and it is possible the difference may be material. Management believes that its assumptions and methodologies provide a reasonable basis for presenting all of the significant effects of the Business Combination and related transactions contemplated based on information available to management at the time and that the pro forma adjustments give appropriate effect to those assumptions and are properly applied in the unaudited pro forma condensed combined financial information.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unaudited pro forma condensed combined financial information does not give effect to any anticipated synergies, operating efficiencies, tax savings, or cost savings that may be associated with the Business Combination.</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unaudited condensed pro forma adjustments, which are described in the accompanying notes, may be revised as additional information becomes available and is evaluated.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50" w:name="page51"/>
    <w:bookmarkEnd w:id="50"/>
    <w:p>
      <w:pPr>
        <w:ind w:right="140" w:firstLine="480"/>
        <w:spacing w:after="0" w:line="310" w:lineRule="auto"/>
        <w:rPr>
          <w:sz w:val="20"/>
          <w:szCs w:val="20"/>
          <w:color w:val="auto"/>
        </w:rPr>
      </w:pPr>
      <w:r>
        <w:rPr>
          <w:rFonts w:ascii="Times New Roman" w:cs="Times New Roman" w:eastAsia="Times New Roman" w:hAnsi="Times New Roman"/>
          <w:sz w:val="9"/>
          <w:szCs w:val="9"/>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Rezolve. They should be read in conjunction with the audited financial statements and notes thereto of each of Armada and Rezolve included elsewhere in this proxy statement/prospectus.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2—Unaudited pro forma condensed combined balance sheet adjustments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pro forma adjustments to the unaudited pro forma condensed combined balance sheet as of December 31, 2023 are as follows:</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(a)</w:t>
      </w:r>
      <w:r>
        <w:rPr>
          <w:rFonts w:ascii="Times New Roman" w:cs="Times New Roman" w:eastAsia="Times New Roman" w:hAnsi="Times New Roman"/>
          <w:sz w:val="10"/>
          <w:szCs w:val="10"/>
          <w:color w:val="auto"/>
        </w:rPr>
        <w:t>Reflects the estimated transaction costs incurred including, but not limited to advisory fees, legal fees and demerger costs that will be paid in connection with the consummation of the Business Combination.</w:t>
      </w:r>
    </w:p>
    <w:p>
      <w:pPr>
        <w:spacing w:after="0" w:line="6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0"/>
          <w:szCs w:val="10"/>
          <w:color w:val="auto"/>
        </w:rPr>
        <w:t>•Fees. Fee payments of an aggregate of approximately $31.5 million to CCM, Northland and Cantor Fitzgerald due upon Closing of the Business Combination.</w:t>
      </w:r>
    </w:p>
    <w:p>
      <w:pPr>
        <w:spacing w:after="0" w:line="5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0"/>
          <w:szCs w:val="10"/>
          <w:color w:val="auto"/>
        </w:rPr>
        <w:t>•Demerger and Liquidation costs of approximately $3.1 million.</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(b)</w:t>
      </w:r>
      <w:r>
        <w:rPr>
          <w:rFonts w:ascii="Times New Roman" w:cs="Times New Roman" w:eastAsia="Times New Roman" w:hAnsi="Times New Roman"/>
          <w:sz w:val="10"/>
          <w:szCs w:val="10"/>
          <w:color w:val="auto"/>
        </w:rPr>
        <w:t>Reflects the settlement of Accounts payable of Armada primarily due to legal costs of the Business Combinations.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(c)</w:t>
      </w:r>
      <w:r>
        <w:rPr>
          <w:rFonts w:ascii="Times New Roman" w:cs="Times New Roman" w:eastAsia="Times New Roman" w:hAnsi="Times New Roman"/>
          <w:sz w:val="10"/>
          <w:szCs w:val="10"/>
          <w:color w:val="auto"/>
        </w:rPr>
        <w:t>Reflects the payment of taxes payable using interest earned on cash held in trust.</w:t>
      </w:r>
    </w:p>
    <w:p>
      <w:pPr>
        <w:spacing w:after="0" w:line="58" w:lineRule="exact"/>
        <w:rPr>
          <w:sz w:val="20"/>
          <w:szCs w:val="20"/>
          <w:color w:val="auto"/>
        </w:rPr>
      </w:pPr>
    </w:p>
    <w:p>
      <w:pPr>
        <w:ind w:left="480" w:right="80"/>
        <w:spacing w:after="0" w:line="259" w:lineRule="auto"/>
        <w:rPr>
          <w:sz w:val="20"/>
          <w:szCs w:val="20"/>
          <w:color w:val="auto"/>
        </w:rPr>
      </w:pPr>
      <w:r>
        <w:rPr>
          <w:rFonts w:ascii="Times New Roman" w:cs="Times New Roman" w:eastAsia="Times New Roman" w:hAnsi="Times New Roman"/>
          <w:sz w:val="10"/>
          <w:szCs w:val="10"/>
          <w:i w:val="1"/>
          <w:iCs w:val="1"/>
          <w:color w:val="auto"/>
        </w:rPr>
        <w:t>(d)</w:t>
      </w:r>
      <w:r>
        <w:rPr>
          <w:rFonts w:ascii="Times New Roman" w:cs="Times New Roman" w:eastAsia="Times New Roman" w:hAnsi="Times New Roman"/>
          <w:sz w:val="10"/>
          <w:szCs w:val="10"/>
          <w:color w:val="auto"/>
        </w:rPr>
        <w:t>Reflects a promissory note issued by Rezolve AI Limited to Cohen &amp; Company Financial Management LLC for $3,056,726 with interest on the principal amount outstanding at a rate of 4.95% per annum with the principal amount and any accrued interest</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due and payable on August 14, 2027.</w:t>
      </w:r>
    </w:p>
    <w:p>
      <w:pPr>
        <w:spacing w:after="0" w:line="37" w:lineRule="exact"/>
        <w:rPr>
          <w:sz w:val="20"/>
          <w:szCs w:val="20"/>
          <w:color w:val="auto"/>
        </w:rPr>
      </w:pPr>
    </w:p>
    <w:p>
      <w:pPr>
        <w:ind w:left="480" w:right="40"/>
        <w:spacing w:after="0" w:line="239" w:lineRule="auto"/>
        <w:rPr>
          <w:sz w:val="20"/>
          <w:szCs w:val="20"/>
          <w:color w:val="auto"/>
        </w:rPr>
      </w:pPr>
      <w:r>
        <w:rPr>
          <w:rFonts w:ascii="Times New Roman" w:cs="Times New Roman" w:eastAsia="Times New Roman" w:hAnsi="Times New Roman"/>
          <w:sz w:val="10"/>
          <w:szCs w:val="10"/>
          <w:i w:val="1"/>
          <w:iCs w:val="1"/>
          <w:color w:val="auto"/>
        </w:rPr>
        <w:t>(e)</w:t>
      </w:r>
      <w:r>
        <w:rPr>
          <w:rFonts w:ascii="Times New Roman" w:cs="Times New Roman" w:eastAsia="Times New Roman" w:hAnsi="Times New Roman"/>
          <w:sz w:val="10"/>
          <w:szCs w:val="10"/>
          <w:color w:val="auto"/>
        </w:rPr>
        <w:t>Reflects the withdrawals of cash from the Trust Account, excluding the redemptions in note (f) . The Charter Limitation in the Armada Charter would prohibit Armada from closing the Business Combination if has net tangible assets less than $5,000,001</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immediately prior to or upon consummation of its initial business combination. Armada currently has net tangible assets that are less than $5,000,001 and will be precluded from consummating the Business Combination, unless the Charter Limitation Amendment Proposal is approved and implemented or third-party financing is obtained through the issuance of equity by Armada sufficient to satisfy the Charter Limitation. The Business Combination Agreement was amended to eliminate the condition that upon the closing, and after giving effect to the Pre-Closing Demerger, the Company Reorganization, the Merger and the Promissory Note, Rezolve will have net tangible assets of at least $5,000,001. Armada did not present the Charter Limitation Amendment Proposal at the August special meeting of stockholders because the requirement in the Armada Charter to have net tangible assets of $ 5,000,001 is a condition to consummating a business combination. As such, Armada is presenting the Charter Limitation Amendment Proposal in this proxy statement/prospectus in connection with the special meeting at which the Business Combination is being approved. The Charter Limitation Amendment Proposal is not conditioned on any other proposal, though the Charter Limitation Amendment contemplated by the Charter Limitation Amendment Proposal will be adopted only if the Business Combination Proposal is approved.</w:t>
      </w:r>
    </w:p>
    <w:p>
      <w:pPr>
        <w:spacing w:after="0" w:line="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(f)</w:t>
      </w:r>
      <w:r>
        <w:rPr>
          <w:rFonts w:ascii="Times New Roman" w:cs="Times New Roman" w:eastAsia="Times New Roman" w:hAnsi="Times New Roman"/>
          <w:sz w:val="10"/>
          <w:szCs w:val="10"/>
          <w:color w:val="auto"/>
        </w:rPr>
        <w:t>Reflects the redemption of 1,300,391 shares in August 2024, respectively out of a total of 1,417,687 as at June 30, 2024.</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(g)</w:t>
      </w:r>
      <w:r>
        <w:rPr>
          <w:rFonts w:ascii="Times New Roman" w:cs="Times New Roman" w:eastAsia="Times New Roman" w:hAnsi="Times New Roman"/>
          <w:sz w:val="10"/>
          <w:szCs w:val="10"/>
          <w:color w:val="auto"/>
        </w:rPr>
        <w:t>Reflects the conversion of the ordinary shares payable under the rights issue upon the completion of the reorganization immediately before listing.</w:t>
      </w:r>
    </w:p>
    <w:p>
      <w:pPr>
        <w:spacing w:after="0" w:line="58" w:lineRule="exact"/>
        <w:rPr>
          <w:sz w:val="20"/>
          <w:szCs w:val="20"/>
          <w:color w:val="auto"/>
        </w:rPr>
      </w:pPr>
    </w:p>
    <w:p>
      <w:pPr>
        <w:ind w:left="480"/>
        <w:spacing w:after="0" w:line="247" w:lineRule="auto"/>
        <w:rPr>
          <w:sz w:val="20"/>
          <w:szCs w:val="20"/>
          <w:color w:val="auto"/>
        </w:rPr>
      </w:pPr>
      <w:r>
        <w:rPr>
          <w:rFonts w:ascii="Times New Roman" w:cs="Times New Roman" w:eastAsia="Times New Roman" w:hAnsi="Times New Roman"/>
          <w:sz w:val="10"/>
          <w:szCs w:val="10"/>
          <w:i w:val="1"/>
          <w:iCs w:val="1"/>
          <w:color w:val="auto"/>
        </w:rPr>
        <w:t>(h)</w:t>
      </w:r>
      <w:r>
        <w:rPr>
          <w:rFonts w:ascii="Times New Roman" w:cs="Times New Roman" w:eastAsia="Times New Roman" w:hAnsi="Times New Roman"/>
          <w:sz w:val="10"/>
          <w:szCs w:val="10"/>
          <w:color w:val="auto"/>
        </w:rPr>
        <w:t>Reflects the conversion of short-term convertible debt into Rezolve Common stock at $1 per loan note to a 5% discount to the pre-equity consummation of the Business Combination. Reflects the conversion of long-term convertible debt at the close of the</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Business Combination at $1 per loan note with a discount of 0.7 to the pre-IPO share price of the Combined Company’s ordinary shares. A corresponding increase in Rezolve’s ordinary shares (at the nominal share value of £0.0001 per share), is reflected, with the remainder captured in Rezolve’s additional paid-in capital.</w:t>
      </w:r>
    </w:p>
    <w:p>
      <w:pPr>
        <w:spacing w:after="0" w:line="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(i)</w:t>
      </w:r>
      <w:r>
        <w:rPr>
          <w:rFonts w:ascii="Times New Roman" w:cs="Times New Roman" w:eastAsia="Times New Roman" w:hAnsi="Times New Roman"/>
          <w:sz w:val="10"/>
          <w:szCs w:val="10"/>
          <w:color w:val="auto"/>
        </w:rPr>
        <w:t>Reflects the exchange of Armada Common Stock having a nominal value of $0.0001 per share into the Combined Company’s ordinary shares of £0.0001 per share, with the remainder captured in Rezolve’s additional paid-in capital.</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(j)</w:t>
      </w:r>
      <w:r>
        <w:rPr>
          <w:rFonts w:ascii="Times New Roman" w:cs="Times New Roman" w:eastAsia="Times New Roman" w:hAnsi="Times New Roman"/>
          <w:sz w:val="10"/>
          <w:szCs w:val="10"/>
          <w:color w:val="auto"/>
        </w:rPr>
        <w:t>Reflects the conversion of Armada redeemable stock into Rezolve ordinary shares under the minimum redemption scenarios.</w:t>
      </w:r>
    </w:p>
    <w:p>
      <w:pPr>
        <w:spacing w:after="0" w:line="58" w:lineRule="exact"/>
        <w:rPr>
          <w:sz w:val="20"/>
          <w:szCs w:val="20"/>
          <w:color w:val="auto"/>
        </w:rPr>
      </w:pPr>
    </w:p>
    <w:p>
      <w:pPr>
        <w:ind w:left="480" w:right="220"/>
        <w:spacing w:after="0" w:line="259" w:lineRule="auto"/>
        <w:rPr>
          <w:sz w:val="20"/>
          <w:szCs w:val="20"/>
          <w:color w:val="auto"/>
        </w:rPr>
      </w:pPr>
      <w:r>
        <w:rPr>
          <w:rFonts w:ascii="Times New Roman" w:cs="Times New Roman" w:eastAsia="Times New Roman" w:hAnsi="Times New Roman"/>
          <w:sz w:val="10"/>
          <w:szCs w:val="10"/>
          <w:i w:val="1"/>
          <w:iCs w:val="1"/>
          <w:color w:val="auto"/>
        </w:rPr>
        <w:t>(k)</w:t>
      </w:r>
      <w:r>
        <w:rPr>
          <w:rFonts w:ascii="Times New Roman" w:cs="Times New Roman" w:eastAsia="Times New Roman" w:hAnsi="Times New Roman"/>
          <w:sz w:val="10"/>
          <w:szCs w:val="10"/>
          <w:color w:val="auto"/>
        </w:rPr>
        <w:t>Pursuant to the Business Combination, each outstanding share of Rezolve’s Series A Preferred Stock will automatically convert into one Rezolve ordinary share and thereafter the ordinary shares will be the subject of the Company Reorganization. As a</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result, the adjustments reflect the reduction in Rezolve’s Series A shares, and a corresponding increase in Rezolve’s ordinary shares.</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(l)</w:t>
      </w:r>
      <w:r>
        <w:rPr>
          <w:rFonts w:ascii="Times New Roman" w:cs="Times New Roman" w:eastAsia="Times New Roman" w:hAnsi="Times New Roman"/>
          <w:sz w:val="10"/>
          <w:szCs w:val="10"/>
          <w:color w:val="auto"/>
        </w:rPr>
        <w:t>Reflects the issuance of 2.5 million ordinary shares at a valuation of $1.23 for employee shares options that vest immediately upon close of the Business Combination.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51" w:name="page52"/>
    <w:bookmarkEnd w:id="51"/>
    <w:p>
      <w:pPr>
        <w:ind w:left="480"/>
        <w:spacing w:after="0"/>
        <w:rPr>
          <w:sz w:val="20"/>
          <w:szCs w:val="20"/>
          <w:color w:val="auto"/>
        </w:rPr>
      </w:pPr>
      <w:r>
        <w:rPr>
          <w:rFonts w:ascii="Times New Roman" w:cs="Times New Roman" w:eastAsia="Times New Roman" w:hAnsi="Times New Roman"/>
          <w:sz w:val="10"/>
          <w:szCs w:val="10"/>
          <w:i w:val="1"/>
          <w:iCs w:val="1"/>
          <w:color w:val="auto"/>
        </w:rPr>
        <w:t>(m)</w:t>
      </w:r>
      <w:r>
        <w:rPr>
          <w:rFonts w:ascii="Times New Roman" w:cs="Times New Roman" w:eastAsia="Times New Roman" w:hAnsi="Times New Roman"/>
          <w:sz w:val="10"/>
          <w:szCs w:val="10"/>
          <w:color w:val="auto"/>
        </w:rPr>
        <w:t>Reflects the grant of 58.3 million ordinary shares at a valuation of $0.63 for employee shares that will trigger a grant upon amending the articles of the company, anticipated before the close of the Business Combination.</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(n)</w:t>
      </w:r>
      <w:r>
        <w:rPr>
          <w:rFonts w:ascii="Times New Roman" w:cs="Times New Roman" w:eastAsia="Times New Roman" w:hAnsi="Times New Roman"/>
          <w:sz w:val="10"/>
          <w:szCs w:val="10"/>
          <w:color w:val="auto"/>
        </w:rPr>
        <w:t>Elimination of historical retained earnings of Armada as part of the acquisition accounting.</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(o)</w:t>
      </w:r>
      <w:r>
        <w:rPr>
          <w:rFonts w:ascii="Times New Roman" w:cs="Times New Roman" w:eastAsia="Times New Roman" w:hAnsi="Times New Roman"/>
          <w:sz w:val="10"/>
          <w:szCs w:val="10"/>
          <w:color w:val="auto"/>
        </w:rPr>
        <w:t>Issuance of Sponsor’s Founders Shares to Polar Asset Management reflected at $0.56 per share based on a valuation obtained as of June 1, 2023.</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(p)</w:t>
      </w:r>
      <w:r>
        <w:rPr>
          <w:rFonts w:ascii="Times New Roman" w:cs="Times New Roman" w:eastAsia="Times New Roman" w:hAnsi="Times New Roman"/>
          <w:sz w:val="10"/>
          <w:szCs w:val="10"/>
          <w:color w:val="auto"/>
        </w:rPr>
        <w:t>Reflects the reclass of accumulated deficit from Rezolve Limited into Additional Paid-in Capital of Rezolve Ai Limited upon demerger of Rezolve Limited,</w:t>
      </w:r>
    </w:p>
    <w:p>
      <w:pPr>
        <w:spacing w:after="0" w:line="58" w:lineRule="exact"/>
        <w:rPr>
          <w:sz w:val="20"/>
          <w:szCs w:val="20"/>
          <w:color w:val="auto"/>
        </w:rPr>
      </w:pPr>
    </w:p>
    <w:p>
      <w:pPr>
        <w:ind w:left="480"/>
        <w:spacing w:after="0" w:line="288" w:lineRule="auto"/>
        <w:rPr>
          <w:sz w:val="20"/>
          <w:szCs w:val="20"/>
          <w:color w:val="auto"/>
        </w:rPr>
      </w:pPr>
      <w:r>
        <w:rPr>
          <w:rFonts w:ascii="Times New Roman" w:cs="Times New Roman" w:eastAsia="Times New Roman" w:hAnsi="Times New Roman"/>
          <w:sz w:val="9"/>
          <w:szCs w:val="9"/>
          <w:i w:val="1"/>
          <w:iCs w:val="1"/>
          <w:color w:val="auto"/>
        </w:rPr>
        <w:t>(q)</w:t>
      </w:r>
      <w:r>
        <w:rPr>
          <w:rFonts w:ascii="Times New Roman" w:cs="Times New Roman" w:eastAsia="Times New Roman" w:hAnsi="Times New Roman"/>
          <w:sz w:val="9"/>
          <w:szCs w:val="9"/>
          <w:color w:val="auto"/>
        </w:rPr>
        <w:t>Reflects an aggregate of $ 28,641,250 principal amount due under certain promissory notes, consisting of (1) a promissory note issued by Armada to Northland Securities, Inc. for $5,141,250 with interest on the principal amount outstanding at a rate of 10%</w:t>
      </w:r>
      <w:r>
        <w:rPr>
          <w:rFonts w:ascii="Times New Roman" w:cs="Times New Roman" w:eastAsia="Times New Roman" w:hAnsi="Times New Roman"/>
          <w:sz w:val="9"/>
          <w:szCs w:val="9"/>
          <w:i w:val="1"/>
          <w:iCs w:val="1"/>
          <w:color w:val="auto"/>
        </w:rPr>
        <w:t xml:space="preserve"> </w:t>
      </w:r>
      <w:r>
        <w:rPr>
          <w:rFonts w:ascii="Times New Roman" w:cs="Times New Roman" w:eastAsia="Times New Roman" w:hAnsi="Times New Roman"/>
          <w:sz w:val="9"/>
          <w:szCs w:val="9"/>
          <w:color w:val="auto"/>
        </w:rPr>
        <w:t>per annum from July 30, 2024,until the note is fully paid; (2) a promissory note issued by Armada to J.V.B. Financial Group for $7,500,000 with interest on the principal amount outstanding at a rate 4.95% per annum from August 14, 2024, until the note is fully paid; and $16,000,000 in advisors fees payable to Cantor Fitzgerald &amp; Co. The advisors shares may be paid in ordinary stock of Rezolve AI Limited provided that both of the above promissory notes are settled by issuing Ordinary shares.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3—Unaudited pro forma condensed combined statements of operations adjustments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pro forma adjustments included in the unaudited pro forma condensed combined statement of operations for the year ended December 31, 2023 are as follows:</w:t>
      </w:r>
    </w:p>
    <w:p>
      <w:pPr>
        <w:spacing w:after="0" w:line="58" w:lineRule="exact"/>
        <w:rPr>
          <w:sz w:val="20"/>
          <w:szCs w:val="20"/>
          <w:color w:val="auto"/>
        </w:rPr>
      </w:pPr>
    </w:p>
    <w:p>
      <w:pPr>
        <w:ind w:left="620" w:hanging="180"/>
        <w:spacing w:after="0"/>
        <w:tabs>
          <w:tab w:leader="none" w:pos="620" w:val="left"/>
        </w:tabs>
        <w:numPr>
          <w:ilvl w:val="0"/>
          <w:numId w:val="3"/>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a reclassification of Armada costs to conform with S-X 5-03.</w:t>
      </w:r>
    </w:p>
    <w:p>
      <w:pPr>
        <w:spacing w:after="0" w:line="57" w:lineRule="exact"/>
        <w:rPr>
          <w:rFonts w:ascii="Times New Roman" w:cs="Times New Roman" w:eastAsia="Times New Roman" w:hAnsi="Times New Roman"/>
          <w:sz w:val="10"/>
          <w:szCs w:val="10"/>
          <w:i w:val="1"/>
          <w:iCs w:val="1"/>
          <w:color w:val="auto"/>
        </w:rPr>
      </w:pPr>
    </w:p>
    <w:p>
      <w:pPr>
        <w:ind w:left="620" w:hanging="180"/>
        <w:spacing w:after="0"/>
        <w:tabs>
          <w:tab w:leader="none" w:pos="620" w:val="left"/>
        </w:tabs>
        <w:numPr>
          <w:ilvl w:val="0"/>
          <w:numId w:val="3"/>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the grant of 58.3 million ordinary shares at a valuation of $0.63 for employee shares. Upon amending the articles of the company, anticipated before the close of the Business Combination), a grant date will be triggered.</w:t>
      </w:r>
    </w:p>
    <w:p>
      <w:pPr>
        <w:spacing w:after="0" w:line="57" w:lineRule="exact"/>
        <w:rPr>
          <w:rFonts w:ascii="Times New Roman" w:cs="Times New Roman" w:eastAsia="Times New Roman" w:hAnsi="Times New Roman"/>
          <w:sz w:val="10"/>
          <w:szCs w:val="10"/>
          <w:i w:val="1"/>
          <w:iCs w:val="1"/>
          <w:color w:val="auto"/>
        </w:rPr>
      </w:pPr>
    </w:p>
    <w:p>
      <w:pPr>
        <w:ind w:left="620" w:hanging="180"/>
        <w:spacing w:after="0"/>
        <w:tabs>
          <w:tab w:leader="none" w:pos="620" w:val="left"/>
        </w:tabs>
        <w:numPr>
          <w:ilvl w:val="0"/>
          <w:numId w:val="3"/>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the issuance of 2.5 million ordinary shares at a valuation of $1.23 for employee shares options that vest immediately upon close of the Business Combination.</w:t>
      </w:r>
    </w:p>
    <w:p>
      <w:pPr>
        <w:spacing w:after="0" w:line="57" w:lineRule="exact"/>
        <w:rPr>
          <w:rFonts w:ascii="Times New Roman" w:cs="Times New Roman" w:eastAsia="Times New Roman" w:hAnsi="Times New Roman"/>
          <w:sz w:val="10"/>
          <w:szCs w:val="10"/>
          <w:i w:val="1"/>
          <w:iCs w:val="1"/>
          <w:color w:val="auto"/>
        </w:rPr>
      </w:pPr>
    </w:p>
    <w:p>
      <w:pPr>
        <w:ind w:left="620" w:hanging="180"/>
        <w:spacing w:after="0"/>
        <w:tabs>
          <w:tab w:leader="none" w:pos="620" w:val="left"/>
        </w:tabs>
        <w:numPr>
          <w:ilvl w:val="0"/>
          <w:numId w:val="3"/>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Issuance of Sponsor’s Founders Shares to Polar Asset Management reflected at $0.56 per share based on a valuation obtained as of June 1, 2023.</w:t>
      </w:r>
    </w:p>
    <w:p>
      <w:pPr>
        <w:spacing w:after="0" w:line="57" w:lineRule="exact"/>
        <w:rPr>
          <w:rFonts w:ascii="Times New Roman" w:cs="Times New Roman" w:eastAsia="Times New Roman" w:hAnsi="Times New Roman"/>
          <w:sz w:val="10"/>
          <w:szCs w:val="10"/>
          <w:i w:val="1"/>
          <w:iCs w:val="1"/>
          <w:color w:val="auto"/>
        </w:rPr>
      </w:pPr>
    </w:p>
    <w:p>
      <w:pPr>
        <w:ind w:left="620" w:hanging="180"/>
        <w:spacing w:after="0"/>
        <w:tabs>
          <w:tab w:leader="none" w:pos="620" w:val="left"/>
        </w:tabs>
        <w:numPr>
          <w:ilvl w:val="0"/>
          <w:numId w:val="3"/>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the adjustment to eliminate the interest income earned assuming the Business Combination completed on January 1, 2024.</w:t>
      </w:r>
    </w:p>
    <w:p>
      <w:pPr>
        <w:spacing w:after="0" w:line="57" w:lineRule="exact"/>
        <w:rPr>
          <w:rFonts w:ascii="Times New Roman" w:cs="Times New Roman" w:eastAsia="Times New Roman" w:hAnsi="Times New Roman"/>
          <w:sz w:val="10"/>
          <w:szCs w:val="10"/>
          <w:i w:val="1"/>
          <w:iCs w:val="1"/>
          <w:color w:val="auto"/>
        </w:rPr>
      </w:pPr>
    </w:p>
    <w:p>
      <w:pPr>
        <w:ind w:left="580" w:hanging="140"/>
        <w:spacing w:after="0"/>
        <w:tabs>
          <w:tab w:leader="none" w:pos="580" w:val="left"/>
        </w:tabs>
        <w:numPr>
          <w:ilvl w:val="0"/>
          <w:numId w:val="3"/>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the estimated costs of the Pre-Closing Demerger that will be paid in connection with the consummation of the Business Combination. This is a non-recurring item.</w:t>
      </w:r>
    </w:p>
    <w:p>
      <w:pPr>
        <w:spacing w:after="0" w:line="57" w:lineRule="exact"/>
        <w:rPr>
          <w:rFonts w:ascii="Times New Roman" w:cs="Times New Roman" w:eastAsia="Times New Roman" w:hAnsi="Times New Roman"/>
          <w:sz w:val="10"/>
          <w:szCs w:val="10"/>
          <w:i w:val="1"/>
          <w:iCs w:val="1"/>
          <w:color w:val="auto"/>
        </w:rPr>
      </w:pPr>
    </w:p>
    <w:p>
      <w:pPr>
        <w:ind w:left="620" w:hanging="180"/>
        <w:spacing w:after="0"/>
        <w:tabs>
          <w:tab w:leader="none" w:pos="620" w:val="left"/>
        </w:tabs>
        <w:numPr>
          <w:ilvl w:val="0"/>
          <w:numId w:val="3"/>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the adjustment to eliminate the taxes payable on interest income that would have not been incurred given the Business Combination completed on January 1, 2024.</w:t>
      </w:r>
    </w:p>
    <w:p>
      <w:pPr>
        <w:spacing w:after="0" w:line="57" w:lineRule="exact"/>
        <w:rPr>
          <w:rFonts w:ascii="Times New Roman" w:cs="Times New Roman" w:eastAsia="Times New Roman" w:hAnsi="Times New Roman"/>
          <w:sz w:val="10"/>
          <w:szCs w:val="10"/>
          <w:i w:val="1"/>
          <w:iCs w:val="1"/>
          <w:color w:val="auto"/>
        </w:rPr>
      </w:pPr>
    </w:p>
    <w:p>
      <w:pPr>
        <w:ind w:left="620" w:hanging="180"/>
        <w:spacing w:after="0"/>
        <w:tabs>
          <w:tab w:leader="none" w:pos="620" w:val="left"/>
        </w:tabs>
        <w:numPr>
          <w:ilvl w:val="0"/>
          <w:numId w:val="3"/>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the excise tax payable on the redemption of 1,300,391 shares in August 2024, respectively out of a total of 1,417,687 at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4—Earnings per Share</w:t>
      </w:r>
    </w:p>
    <w:p>
      <w:pPr>
        <w:spacing w:after="0" w:line="60"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Represents the net earnings per share calculated using the historical weighted average shares outstanding, and the issuance of additional shares in connection with the Business Combination, assuming the shares were outstanding since January 1, 2023. As the Business Combination is being reflected as if it had occurred at the beginning of the period presented, the calculation of weighted average shares outstanding for basic and diluted net income (loss) per share assumes that the shares issuable in connection with the Business Combination have been outstanding for the entire period presented. If the maximum number of shares of common stock of Armada are redeemed, this calculation is retroactively adjusted to eliminate such shares for the entire periods.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3" w:right="660" w:bottom="1440" w:gutter="0" w:footer="0" w:header="0"/>
        </w:sectPr>
      </w:pPr>
    </w:p>
    <w:bookmarkStart w:id="52" w:name="page53"/>
    <w:bookmarkEnd w:id="52"/>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MANAGEMENT’S DISCUSSION AND ANALYSIS OF</w:t>
      </w:r>
    </w:p>
    <w:p>
      <w:pPr>
        <w:spacing w:after="0" w:line="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FINANCIAL CONDITION AND RESULTS OF OPERATIONS</w:t>
      </w:r>
    </w:p>
    <w:p>
      <w:pPr>
        <w:spacing w:after="0" w:line="8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i w:val="1"/>
          <w:iCs w:val="1"/>
          <w:color w:val="auto"/>
        </w:rPr>
        <w:t>In this section, “we,” “us,” “our” and “Rezolve” refer to Rezolve Limited and its subsidiaries prior to the consummation of the Pre-Closing Demerger and to Rezolve AI Limited and its subsidiaries following the consummation of the Pre-Closing Demerger.</w:t>
      </w:r>
    </w:p>
    <w:p>
      <w:pPr>
        <w:spacing w:after="0" w:line="17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color w:val="auto"/>
        </w:rPr>
        <w:t>Overview</w:t>
      </w:r>
    </w:p>
    <w:p>
      <w:pPr>
        <w:spacing w:after="0" w:line="68" w:lineRule="exact"/>
        <w:rPr>
          <w:sz w:val="20"/>
          <w:szCs w:val="20"/>
          <w:color w:val="auto"/>
        </w:rPr>
      </w:pPr>
    </w:p>
    <w:p>
      <w:pPr>
        <w:ind w:left="10" w:firstLine="480"/>
        <w:spacing w:after="0" w:line="230" w:lineRule="auto"/>
        <w:rPr>
          <w:sz w:val="20"/>
          <w:szCs w:val="20"/>
          <w:color w:val="auto"/>
        </w:rPr>
      </w:pPr>
      <w:r>
        <w:rPr>
          <w:rFonts w:ascii="Times New Roman" w:cs="Times New Roman" w:eastAsia="Times New Roman" w:hAnsi="Times New Roman"/>
          <w:sz w:val="10"/>
          <w:szCs w:val="10"/>
          <w:color w:val="auto"/>
        </w:rPr>
        <w:t>We are recognized</w:t>
      </w:r>
      <w:r>
        <w:rPr>
          <w:rFonts w:ascii="Times New Roman" w:cs="Times New Roman" w:eastAsia="Times New Roman" w:hAnsi="Times New Roman"/>
          <w:sz w:val="13"/>
          <w:szCs w:val="13"/>
          <w:color w:val="auto"/>
          <w:vertAlign w:val="superscript"/>
        </w:rPr>
        <w:t>2</w:t>
      </w:r>
      <w:r>
        <w:rPr>
          <w:rFonts w:ascii="Times New Roman" w:cs="Times New Roman" w:eastAsia="Times New Roman" w:hAnsi="Times New Roman"/>
          <w:sz w:val="10"/>
          <w:szCs w:val="10"/>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10" w:lineRule="exact"/>
        <w:rPr>
          <w:sz w:val="20"/>
          <w:szCs w:val="20"/>
          <w:color w:val="auto"/>
        </w:rPr>
      </w:pPr>
    </w:p>
    <w:p>
      <w:pPr>
        <w:ind w:left="10" w:right="80" w:firstLine="480"/>
        <w:spacing w:after="0" w:line="310" w:lineRule="auto"/>
        <w:rPr>
          <w:sz w:val="20"/>
          <w:szCs w:val="20"/>
          <w:color w:val="auto"/>
        </w:rPr>
      </w:pPr>
      <w:r>
        <w:rPr>
          <w:rFonts w:ascii="Times New Roman" w:cs="Times New Roman" w:eastAsia="Times New Roman" w:hAnsi="Times New Roman"/>
          <w:sz w:val="9"/>
          <w:szCs w:val="9"/>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78" w:lineRule="exact"/>
        <w:rPr>
          <w:sz w:val="20"/>
          <w:szCs w:val="20"/>
          <w:color w:val="auto"/>
        </w:rPr>
      </w:pPr>
    </w:p>
    <w:p>
      <w:pPr>
        <w:ind w:left="10" w:right="80" w:firstLine="480"/>
        <w:spacing w:after="0" w:line="245" w:lineRule="auto"/>
        <w:rPr>
          <w:sz w:val="20"/>
          <w:szCs w:val="20"/>
          <w:color w:val="auto"/>
        </w:rPr>
      </w:pPr>
      <w:r>
        <w:rPr>
          <w:rFonts w:ascii="Times New Roman" w:cs="Times New Roman" w:eastAsia="Times New Roman" w:hAnsi="Times New Roman"/>
          <w:sz w:val="10"/>
          <w:szCs w:val="10"/>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0"/>
          <w:szCs w:val="10"/>
          <w:i w:val="1"/>
          <w:iCs w:val="1"/>
          <w:color w:val="auto"/>
        </w:rPr>
        <w:t>Business of Rezolve Limited—Partner Agreements</w:t>
      </w:r>
      <w:r>
        <w:rPr>
          <w:rFonts w:ascii="Times New Roman" w:cs="Times New Roman" w:eastAsia="Times New Roman" w:hAnsi="Times New Roman"/>
          <w:sz w:val="10"/>
          <w:szCs w:val="10"/>
          <w:color w:val="auto"/>
        </w:rPr>
        <w:t>”</w:t>
      </w:r>
    </w:p>
    <w:p>
      <w:pPr>
        <w:spacing w:after="0" w:line="98" w:lineRule="exact"/>
        <w:rPr>
          <w:sz w:val="20"/>
          <w:szCs w:val="20"/>
          <w:color w:val="auto"/>
        </w:rPr>
      </w:pPr>
    </w:p>
    <w:p>
      <w:pPr>
        <w:ind w:left="10" w:right="60" w:firstLine="705"/>
        <w:spacing w:after="0" w:line="245" w:lineRule="auto"/>
        <w:rPr>
          <w:sz w:val="20"/>
          <w:szCs w:val="20"/>
          <w:color w:val="auto"/>
        </w:rPr>
      </w:pPr>
      <w:r>
        <w:rPr>
          <w:rFonts w:ascii="Times New Roman" w:cs="Times New Roman" w:eastAsia="Times New Roman" w:hAnsi="Times New Roman"/>
          <w:sz w:val="10"/>
          <w:szCs w:val="10"/>
          <w:color w:val="auto"/>
        </w:rPr>
        <w:t>Rezolve was incorporated in England and Wales as a private limited company on January 5, 2023 under the name Rezolve Group Limited with company number 14573691 and changed its name on June 5, 2023 to Rezolve AI Limited. Rezolve intends to re-register as a public limited company.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05"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We currently derive our revenue through the transaction fees based on sales of ticketing for La Liga football events in Spain.</w:t>
      </w:r>
    </w:p>
    <w:p>
      <w:pPr>
        <w:spacing w:after="0" w:line="118" w:lineRule="exact"/>
        <w:rPr>
          <w:sz w:val="20"/>
          <w:szCs w:val="20"/>
          <w:color w:val="auto"/>
        </w:rPr>
      </w:pPr>
    </w:p>
    <w:p>
      <w:pPr>
        <w:ind w:left="10" w:right="100" w:firstLine="480"/>
        <w:spacing w:after="0" w:line="255" w:lineRule="auto"/>
        <w:rPr>
          <w:sz w:val="20"/>
          <w:szCs w:val="20"/>
          <w:color w:val="auto"/>
        </w:rPr>
      </w:pPr>
      <w:r>
        <w:rPr>
          <w:rFonts w:ascii="Times New Roman" w:cs="Times New Roman" w:eastAsia="Times New Roman" w:hAnsi="Times New Roman"/>
          <w:sz w:val="10"/>
          <w:szCs w:val="10"/>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 to.</w:t>
      </w:r>
    </w:p>
    <w:p>
      <w:pPr>
        <w:spacing w:after="0" w:line="101" w:lineRule="exact"/>
        <w:rPr>
          <w:sz w:val="20"/>
          <w:szCs w:val="20"/>
          <w:color w:val="auto"/>
        </w:rPr>
      </w:pPr>
    </w:p>
    <w:p>
      <w:pPr>
        <w:ind w:left="10" w:right="380" w:firstLine="480"/>
        <w:spacing w:after="0" w:line="255" w:lineRule="auto"/>
        <w:rPr>
          <w:sz w:val="20"/>
          <w:szCs w:val="20"/>
          <w:color w:val="auto"/>
        </w:rPr>
      </w:pPr>
      <w:r>
        <w:rPr>
          <w:rFonts w:ascii="Times New Roman" w:cs="Times New Roman" w:eastAsia="Times New Roman" w:hAnsi="Times New Roman"/>
          <w:sz w:val="10"/>
          <w:szCs w:val="10"/>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are no longer in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192405</wp:posOffset>
            </wp:positionV>
            <wp:extent cx="1805305" cy="50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05305" cy="5080"/>
                    </a:xfrm>
                    <a:prstGeom prst="rect">
                      <a:avLst/>
                    </a:prstGeom>
                    <a:noFill/>
                  </pic:spPr>
                </pic:pic>
              </a:graphicData>
            </a:graphic>
          </wp:anchor>
        </w:drawing>
      </w:r>
    </w:p>
    <w:p>
      <w:pPr>
        <w:spacing w:after="0" w:line="313" w:lineRule="exact"/>
        <w:rPr>
          <w:sz w:val="20"/>
          <w:szCs w:val="20"/>
          <w:color w:val="auto"/>
        </w:rPr>
      </w:pPr>
    </w:p>
    <w:p>
      <w:pPr>
        <w:ind w:left="5270" w:right="4420" w:hanging="5270"/>
        <w:spacing w:after="0" w:line="409" w:lineRule="auto"/>
        <w:tabs>
          <w:tab w:leader="none" w:pos="63" w:val="left"/>
        </w:tabs>
        <w:numPr>
          <w:ilvl w:val="0"/>
          <w:numId w:val="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Please see Rezolve Press Release dated July 25, 2023, available at https://www.rezolve.com/investors/britainsbrain-heralds-new-era-of-commerce-enabled-ai/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179070</wp:posOffset>
            </wp:positionV>
            <wp:extent cx="6778625" cy="349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50"/>
          </w:cols>
          <w:pgMar w:left="630" w:top="1033" w:right="620" w:bottom="1440" w:gutter="0" w:footer="0" w:header="0"/>
        </w:sectPr>
      </w:pPr>
    </w:p>
    <w:bookmarkStart w:id="53" w:name="page54"/>
    <w:bookmarkEnd w:id="53"/>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•Seeking additional capital through the issuance of debtor equity securities.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•Generating revenue by execution of successful trials and long-term partner arrangements.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•Reducing expenses by taking restructuring actions and reducing the number of employees and consultants.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•Limiting capital expenditures.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Key Factors Affecting Our Performance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believe our future performance will depend on many factors, including the following:</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Growth from Transactions</w:t>
      </w:r>
      <w:r>
        <w:rPr>
          <w:rFonts w:ascii="Times New Roman" w:cs="Times New Roman" w:eastAsia="Times New Roman" w:hAnsi="Times New Roman"/>
          <w:sz w:val="10"/>
          <w:szCs w:val="10"/>
          <w:color w:val="auto"/>
        </w:rPr>
        <w:t>: Our growth depends on SaaS subscription fees and commissions earned from merchant’s transactions with their customers.</w:t>
      </w:r>
    </w:p>
    <w:p>
      <w:pPr>
        <w:spacing w:after="0" w:line="58" w:lineRule="exact"/>
        <w:rPr>
          <w:sz w:val="20"/>
          <w:szCs w:val="20"/>
          <w:color w:val="auto"/>
        </w:rPr>
      </w:pPr>
    </w:p>
    <w:p>
      <w:pPr>
        <w:jc w:val="both"/>
        <w:ind w:left="480"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New Merchant Acquisition</w:t>
      </w:r>
      <w:r>
        <w:rPr>
          <w:rFonts w:ascii="Times New Roman" w:cs="Times New Roman" w:eastAsia="Times New Roman" w:hAnsi="Times New Roman"/>
          <w:sz w:val="10"/>
          <w:szCs w:val="10"/>
          <w:color w:val="auto"/>
        </w:rPr>
        <w:t>: Our growth depends in part on our ability to attract merchants to our platform. A key avenue of merchant 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spacing w:after="0" w:line="42" w:lineRule="exact"/>
        <w:rPr>
          <w:sz w:val="20"/>
          <w:szCs w:val="20"/>
          <w:color w:val="auto"/>
        </w:rPr>
      </w:pPr>
    </w:p>
    <w:p>
      <w:pPr>
        <w:jc w:val="both"/>
        <w:ind w:left="480"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Successful Expansion to Additional Geographies</w:t>
      </w:r>
      <w:r>
        <w:rPr>
          <w:rFonts w:ascii="Times New Roman" w:cs="Times New Roman" w:eastAsia="Times New Roman" w:hAnsi="Times New Roman"/>
          <w:sz w:val="10"/>
          <w:szCs w:val="10"/>
          <w:color w:val="auto"/>
        </w:rPr>
        <w:t>: We believe our platform can compete successfully in various geographic regions. This 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spacing w:after="0" w:line="42" w:lineRule="exact"/>
        <w:rPr>
          <w:sz w:val="20"/>
          <w:szCs w:val="20"/>
          <w:color w:val="auto"/>
        </w:rPr>
      </w:pPr>
    </w:p>
    <w:p>
      <w:pPr>
        <w:ind w:left="480"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Merchant Retention and Expansion</w:t>
      </w:r>
      <w:r>
        <w:rPr>
          <w:rFonts w:ascii="Times New Roman" w:cs="Times New Roman" w:eastAsia="Times New Roman" w:hAnsi="Times New Roman"/>
          <w:sz w:val="10"/>
          <w:szCs w:val="10"/>
          <w:color w:val="auto"/>
        </w:rPr>
        <w:t>: We care deeply about merchants. Our commitment to their success, we believe, increases retention and likelihood of expanding their activity on our platform. Supporting merchants begins with enhancing both the shopper and the merchant experience. We 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spacing w:after="0" w:line="42"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Offering and service enhancement</w:t>
      </w:r>
      <w:r>
        <w:rPr>
          <w:rFonts w:ascii="Times New Roman" w:cs="Times New Roman" w:eastAsia="Times New Roman" w:hAnsi="Times New Roman"/>
          <w:sz w:val="10"/>
          <w:szCs w:val="10"/>
          <w:color w:val="auto"/>
        </w:rPr>
        <w:t>: We intend to continue investing in the capabilities of our offerings and services to deliver better value for our users and merchants and address new market opportunities. Additionally, we will work to perfect our platform service</w:t>
      </w:r>
    </w:p>
    <w:p>
      <w:pPr>
        <w:spacing w:after="0" w:line="37" w:lineRule="exact"/>
        <w:rPr>
          <w:sz w:val="20"/>
          <w:szCs w:val="20"/>
          <w:color w:val="auto"/>
        </w:rPr>
      </w:pPr>
    </w:p>
    <w:p>
      <w:pPr>
        <w:ind w:left="480" w:right="4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Growth through Mergers &amp; Acquisitions</w:t>
      </w:r>
      <w:r>
        <w:rPr>
          <w:rFonts w:ascii="Times New Roman" w:cs="Times New Roman" w:eastAsia="Times New Roman" w:hAnsi="Times New Roman"/>
          <w:sz w:val="10"/>
          <w:szCs w:val="10"/>
          <w:color w:val="auto"/>
        </w:rPr>
        <w:t>: The growth of our business can be supported by a successful merger agreement with a SPAC and access to financing through capital markets. Additionally, our growth may be supported by acquisitions of businesses where management identifies synergistic growth opportunities.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Components of our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Revenues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generate transaction revenues through the sale of ticketing of football events using our technology with La Liga in Spain.</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0"/>
          <w:szCs w:val="10"/>
          <w:b w:val="1"/>
          <w:bCs w:val="1"/>
          <w:i w:val="1"/>
          <w:iCs w:val="1"/>
          <w:color w:val="auto"/>
        </w:rPr>
        <w:t>Operating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Operating expenses consist of cost of revenues, employee benefit expenses, consultancy expense, sales and marketing expenses, business development expenses, general and administrative expenses, and depreciation and amortization.</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Cost of revenues</w:t>
      </w:r>
      <w:r>
        <w:rPr>
          <w:rFonts w:ascii="Times New Roman" w:cs="Times New Roman" w:eastAsia="Times New Roman" w:hAnsi="Times New Roman"/>
          <w:sz w:val="10"/>
          <w:szCs w:val="10"/>
          <w:color w:val="auto"/>
        </w:rPr>
        <w:t>: Our cost of revenues consists primarily of the materials and consumables.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Sales and marketing</w:t>
      </w:r>
      <w:r>
        <w:rPr>
          <w:rFonts w:ascii="Times New Roman" w:cs="Times New Roman" w:eastAsia="Times New Roman" w:hAnsi="Times New Roman"/>
          <w:sz w:val="10"/>
          <w:szCs w:val="10"/>
          <w:color w:val="auto"/>
        </w:rPr>
        <w:t>: Costs primarily consist of consulting fees as well as salaries, pension contributions and share-based compensation for sales and marketing employees.</w:t>
      </w:r>
    </w:p>
    <w:p>
      <w:pPr>
        <w:spacing w:after="0" w:line="58" w:lineRule="exact"/>
        <w:rPr>
          <w:sz w:val="20"/>
          <w:szCs w:val="20"/>
          <w:color w:val="auto"/>
        </w:rPr>
      </w:pPr>
    </w:p>
    <w:p>
      <w:pPr>
        <w:ind w:left="480" w:right="60"/>
        <w:spacing w:after="0" w:line="315" w:lineRule="auto"/>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i w:val="1"/>
          <w:iCs w:val="1"/>
          <w:color w:val="auto"/>
        </w:rPr>
        <w:t>General and administrative</w:t>
      </w:r>
      <w:r>
        <w:rPr>
          <w:rFonts w:ascii="Times New Roman" w:cs="Times New Roman" w:eastAsia="Times New Roman" w:hAnsi="Times New Roman"/>
          <w:sz w:val="9"/>
          <w:szCs w:val="9"/>
          <w:color w:val="auto"/>
        </w:rPr>
        <w:t>: Costs consist primarily of finance, legal, listing and other non-specific costs as well as salaries, pension contributions, share-based compensation for employees and nonrecurring share-based payments for non-employees. General and administrative also consists of payments made to developers who contract with Rezolve, fees and share-based compensation for directors, as well as business development expenses for our investments in Rezolve China by Rezolve Limited.</w:t>
      </w:r>
    </w:p>
    <w:p>
      <w:pPr>
        <w:spacing w:after="0" w:line="13"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Depreciation and amortization</w:t>
      </w:r>
      <w:r>
        <w:rPr>
          <w:rFonts w:ascii="Times New Roman" w:cs="Times New Roman" w:eastAsia="Times New Roman" w:hAnsi="Times New Roman"/>
          <w:sz w:val="10"/>
          <w:szCs w:val="10"/>
          <w:color w:val="auto"/>
        </w:rPr>
        <w:t>: primarily consists of amortization of a customer list and acquired information technology intangible assets as well as depreciation of fixed tangible assets. We note that all software development expenditure up until the end of December 2022 has been expensed.</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Other operating expenses</w:t>
      </w:r>
      <w:r>
        <w:rPr>
          <w:rFonts w:ascii="Times New Roman" w:cs="Times New Roman" w:eastAsia="Times New Roman" w:hAnsi="Times New Roman"/>
          <w:sz w:val="10"/>
          <w:szCs w:val="10"/>
          <w:color w:val="auto"/>
        </w:rPr>
        <w:t>: consists of an impairment of loans and accounts receivable in the years ended December 31, 2023.</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Impairment of investment in ANY</w:t>
      </w:r>
      <w:r>
        <w:rPr>
          <w:rFonts w:ascii="Times New Roman" w:cs="Times New Roman" w:eastAsia="Times New Roman" w:hAnsi="Times New Roman"/>
          <w:sz w:val="10"/>
          <w:szCs w:val="10"/>
          <w:color w:val="auto"/>
        </w:rPr>
        <w:t>: Consists of the value of the investment in ANY which was impaired following the Company’s loss of voting rights and indicators of impairment.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Interest expense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Interest expense consists primarily of costs associated with convertible debt. The group currently has no bank debt and no banking facilities which would incur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Other Non-Operating Income (Expense)</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Other non-operating income/ (expense), net consists of foreign exchange loss and research and development credits. Foreign exchange loss primarily consists of the revaluation of local currency bank ledger balances not denominated in U.S. dollars. Research and development credits primarily consists of activities related to government tax incentives on technology spent on certain operational activities in UK.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Income Tax Benefit</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0"/>
          <w:szCs w:val="10"/>
          <w:b w:val="1"/>
          <w:bCs w:val="1"/>
          <w:color w:val="auto"/>
        </w:rPr>
        <w:t>Results of Operations for the year ended December 31, 2023.</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tables set forth our consolidated statements of operations in dollar amounts and as a percentage of total revenues for each period presented:</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140" w:type="dxa"/>
            <w:vAlign w:val="bottom"/>
          </w:tcPr>
          <w:p>
            <w:pPr>
              <w:spacing w:after="0"/>
              <w:rPr>
                <w:sz w:val="9"/>
                <w:szCs w:val="9"/>
                <w:color w:val="auto"/>
              </w:rPr>
            </w:pPr>
          </w:p>
        </w:tc>
        <w:tc>
          <w:tcPr>
            <w:tcW w:w="2180" w:type="dxa"/>
            <w:vAlign w:val="bottom"/>
            <w:vMerge w:val="restart"/>
          </w:tcPr>
          <w:p>
            <w:pPr>
              <w:jc w:val="right"/>
              <w:ind w:right="15"/>
              <w:spacing w:after="0"/>
              <w:rPr>
                <w:sz w:val="20"/>
                <w:szCs w:val="20"/>
                <w:color w:val="auto"/>
              </w:rPr>
            </w:pPr>
            <w:r>
              <w:rPr>
                <w:rFonts w:ascii="Times New Roman" w:cs="Times New Roman" w:eastAsia="Times New Roman" w:hAnsi="Times New Roman"/>
                <w:sz w:val="8"/>
                <w:szCs w:val="8"/>
                <w:b w:val="1"/>
                <w:bCs w:val="1"/>
                <w:color w:val="auto"/>
              </w:rPr>
              <w:t>2023</w:t>
            </w:r>
          </w:p>
        </w:tc>
        <w:tc>
          <w:tcPr>
            <w:tcW w:w="120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20" w:type="dxa"/>
            <w:vAlign w:val="bottom"/>
            <w:vMerge w:val="restart"/>
          </w:tcPr>
          <w:p>
            <w:pPr>
              <w:jc w:val="right"/>
              <w:ind w:right="592"/>
              <w:spacing w:after="0"/>
              <w:rPr>
                <w:sz w:val="20"/>
                <w:szCs w:val="20"/>
                <w:color w:val="auto"/>
              </w:rPr>
            </w:pPr>
            <w:r>
              <w:rPr>
                <w:rFonts w:ascii="Times New Roman" w:cs="Times New Roman" w:eastAsia="Times New Roman" w:hAnsi="Times New Roman"/>
                <w:sz w:val="8"/>
                <w:szCs w:val="8"/>
                <w:b w:val="1"/>
                <w:bCs w:val="1"/>
                <w:color w:val="auto"/>
              </w:rPr>
              <w:t>2022</w:t>
            </w:r>
          </w:p>
        </w:tc>
        <w:tc>
          <w:tcPr>
            <w:tcW w:w="0" w:type="dxa"/>
            <w:vAlign w:val="bottom"/>
          </w:tcPr>
          <w:p>
            <w:pPr>
              <w:spacing w:after="0"/>
              <w:rPr>
                <w:sz w:val="1"/>
                <w:szCs w:val="1"/>
                <w:color w:val="auto"/>
              </w:rPr>
            </w:pPr>
          </w:p>
        </w:tc>
      </w:tr>
      <w:tr>
        <w:trPr>
          <w:trHeight w:val="96"/>
        </w:trPr>
        <w:tc>
          <w:tcPr>
            <w:tcW w:w="3140" w:type="dxa"/>
            <w:vAlign w:val="bottom"/>
          </w:tcPr>
          <w:p>
            <w:pPr>
              <w:spacing w:after="0"/>
              <w:rPr>
                <w:sz w:val="8"/>
                <w:szCs w:val="8"/>
                <w:color w:val="auto"/>
              </w:rPr>
            </w:pPr>
          </w:p>
        </w:tc>
        <w:tc>
          <w:tcPr>
            <w:tcW w:w="218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Revenue</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1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Other</w:t>
            </w:r>
          </w:p>
        </w:tc>
        <w:tc>
          <w:tcPr>
            <w:tcW w:w="2180" w:type="dxa"/>
            <w:vAlign w:val="bottom"/>
          </w:tcPr>
          <w:p>
            <w:pPr>
              <w:jc w:val="right"/>
              <w:ind w:right="715"/>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145,051</w:t>
            </w:r>
          </w:p>
        </w:tc>
        <w:tc>
          <w:tcPr>
            <w:tcW w:w="540" w:type="dxa"/>
            <w:vAlign w:val="bottom"/>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115,159</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220"/>
              <w:spacing w:after="0" w:line="113" w:lineRule="exact"/>
              <w:rPr>
                <w:sz w:val="20"/>
                <w:szCs w:val="20"/>
                <w:color w:val="auto"/>
              </w:rPr>
            </w:pPr>
            <w:r>
              <w:rPr>
                <w:rFonts w:ascii="Times New Roman" w:cs="Times New Roman" w:eastAsia="Times New Roman" w:hAnsi="Times New Roman"/>
                <w:sz w:val="10"/>
                <w:szCs w:val="10"/>
                <w:color w:val="auto"/>
              </w:rPr>
              <w:t>Revenue</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145,051</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115,159</w:t>
            </w:r>
          </w:p>
        </w:tc>
        <w:tc>
          <w:tcPr>
            <w:tcW w:w="0" w:type="dxa"/>
            <w:vAlign w:val="bottom"/>
          </w:tcPr>
          <w:p>
            <w:pPr>
              <w:spacing w:after="0"/>
              <w:rPr>
                <w:sz w:val="1"/>
                <w:szCs w:val="1"/>
                <w:color w:val="auto"/>
              </w:rPr>
            </w:pPr>
          </w:p>
        </w:tc>
      </w:tr>
      <w:tr>
        <w:trPr>
          <w:trHeight w:val="113"/>
        </w:trPr>
        <w:tc>
          <w:tcPr>
            <w:tcW w:w="3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Operating expenses</w:t>
            </w:r>
          </w:p>
        </w:tc>
        <w:tc>
          <w:tcPr>
            <w:tcW w:w="2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Cost of revenues</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34,791</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745,040</w:t>
            </w:r>
          </w:p>
        </w:tc>
        <w:tc>
          <w:tcPr>
            <w:tcW w:w="0" w:type="dxa"/>
            <w:vAlign w:val="bottom"/>
          </w:tcPr>
          <w:p>
            <w:pPr>
              <w:spacing w:after="0"/>
              <w:rPr>
                <w:sz w:val="1"/>
                <w:szCs w:val="1"/>
                <w:color w:val="auto"/>
              </w:rPr>
            </w:pPr>
          </w:p>
        </w:tc>
      </w:tr>
      <w:tr>
        <w:trPr>
          <w:trHeight w:val="113"/>
        </w:trPr>
        <w:tc>
          <w:tcPr>
            <w:tcW w:w="31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Sales and marketing expenses</w:t>
            </w:r>
          </w:p>
        </w:tc>
        <w:tc>
          <w:tcPr>
            <w:tcW w:w="218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6,731,254</w:t>
            </w:r>
          </w:p>
        </w:tc>
        <w:tc>
          <w:tcPr>
            <w:tcW w:w="540" w:type="dxa"/>
            <w:vAlign w:val="bottom"/>
          </w:tcPr>
          <w:p>
            <w:pPr>
              <w:spacing w:after="0"/>
              <w:rPr>
                <w:sz w:val="9"/>
                <w:szCs w:val="9"/>
                <w:color w:val="auto"/>
              </w:rPr>
            </w:pP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4,338,557</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General and administrative expenses</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17,986,528</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86,640,500</w:t>
            </w:r>
          </w:p>
        </w:tc>
        <w:tc>
          <w:tcPr>
            <w:tcW w:w="0" w:type="dxa"/>
            <w:vAlign w:val="bottom"/>
          </w:tcPr>
          <w:p>
            <w:pPr>
              <w:spacing w:after="0"/>
              <w:rPr>
                <w:sz w:val="1"/>
                <w:szCs w:val="1"/>
                <w:color w:val="auto"/>
              </w:rPr>
            </w:pPr>
          </w:p>
        </w:tc>
      </w:tr>
      <w:tr>
        <w:trPr>
          <w:trHeight w:val="113"/>
        </w:trPr>
        <w:tc>
          <w:tcPr>
            <w:tcW w:w="31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Other operating expenses</w:t>
            </w:r>
          </w:p>
        </w:tc>
        <w:tc>
          <w:tcPr>
            <w:tcW w:w="218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1,156,316</w:t>
            </w:r>
          </w:p>
        </w:tc>
        <w:tc>
          <w:tcPr>
            <w:tcW w:w="540" w:type="dxa"/>
            <w:vAlign w:val="bottom"/>
          </w:tcPr>
          <w:p>
            <w:pPr>
              <w:spacing w:after="0"/>
              <w:rPr>
                <w:sz w:val="9"/>
                <w:szCs w:val="9"/>
                <w:color w:val="auto"/>
              </w:rPr>
            </w:pP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334,952</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Depreciation and amortization expenses</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242,436</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235,797</w:t>
            </w:r>
          </w:p>
        </w:tc>
        <w:tc>
          <w:tcPr>
            <w:tcW w:w="0" w:type="dxa"/>
            <w:vAlign w:val="bottom"/>
          </w:tcPr>
          <w:p>
            <w:pPr>
              <w:spacing w:after="0"/>
              <w:rPr>
                <w:sz w:val="1"/>
                <w:szCs w:val="1"/>
                <w:color w:val="auto"/>
              </w:rPr>
            </w:pPr>
          </w:p>
        </w:tc>
      </w:tr>
      <w:tr>
        <w:trPr>
          <w:trHeight w:val="113"/>
        </w:trPr>
        <w:tc>
          <w:tcPr>
            <w:tcW w:w="31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Impairment of investment in ANY</w:t>
            </w:r>
          </w:p>
        </w:tc>
        <w:tc>
          <w:tcPr>
            <w:tcW w:w="218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9"/>
                <w:szCs w:val="9"/>
                <w:color w:val="auto"/>
              </w:rPr>
            </w:pPr>
          </w:p>
        </w:tc>
        <w:tc>
          <w:tcPr>
            <w:tcW w:w="92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14,822,022</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Impairment of goodwill</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44,438</w:t>
            </w:r>
          </w:p>
        </w:tc>
        <w:tc>
          <w:tcPr>
            <w:tcW w:w="0" w:type="dxa"/>
            <w:vAlign w:val="bottom"/>
          </w:tcPr>
          <w:p>
            <w:pPr>
              <w:spacing w:after="0"/>
              <w:rPr>
                <w:sz w:val="1"/>
                <w:szCs w:val="1"/>
                <w:color w:val="auto"/>
              </w:rPr>
            </w:pPr>
          </w:p>
        </w:tc>
      </w:tr>
      <w:tr>
        <w:trPr>
          <w:trHeight w:val="113"/>
        </w:trPr>
        <w:tc>
          <w:tcPr>
            <w:tcW w:w="3140" w:type="dxa"/>
            <w:vAlign w:val="bottom"/>
          </w:tcPr>
          <w:p>
            <w:pPr>
              <w:ind w:left="220"/>
              <w:spacing w:after="0" w:line="113" w:lineRule="exact"/>
              <w:rPr>
                <w:sz w:val="20"/>
                <w:szCs w:val="20"/>
                <w:color w:val="auto"/>
              </w:rPr>
            </w:pPr>
            <w:r>
              <w:rPr>
                <w:rFonts w:ascii="Times New Roman" w:cs="Times New Roman" w:eastAsia="Times New Roman" w:hAnsi="Times New Roman"/>
                <w:sz w:val="10"/>
                <w:szCs w:val="10"/>
                <w:color w:val="auto"/>
              </w:rPr>
              <w:t>Total operating expenses</w:t>
            </w:r>
          </w:p>
        </w:tc>
        <w:tc>
          <w:tcPr>
            <w:tcW w:w="218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26,151,325</w:t>
            </w:r>
          </w:p>
        </w:tc>
        <w:tc>
          <w:tcPr>
            <w:tcW w:w="540" w:type="dxa"/>
            <w:vAlign w:val="bottom"/>
          </w:tcPr>
          <w:p>
            <w:pPr>
              <w:spacing w:after="0"/>
              <w:rPr>
                <w:sz w:val="9"/>
                <w:szCs w:val="9"/>
                <w:color w:val="auto"/>
              </w:rPr>
            </w:pP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107,161,306</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Operating loss</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w w:val="99"/>
              </w:rPr>
              <w:t>(26,006,274 )</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(107,046,147 )</w:t>
            </w:r>
          </w:p>
        </w:tc>
        <w:tc>
          <w:tcPr>
            <w:tcW w:w="0" w:type="dxa"/>
            <w:vAlign w:val="bottom"/>
          </w:tcPr>
          <w:p>
            <w:pPr>
              <w:spacing w:after="0"/>
              <w:rPr>
                <w:sz w:val="1"/>
                <w:szCs w:val="1"/>
                <w:color w:val="auto"/>
              </w:rPr>
            </w:pPr>
          </w:p>
        </w:tc>
      </w:tr>
      <w:tr>
        <w:trPr>
          <w:trHeight w:val="113"/>
        </w:trPr>
        <w:tc>
          <w:tcPr>
            <w:tcW w:w="3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expenses</w:t>
            </w:r>
          </w:p>
        </w:tc>
        <w:tc>
          <w:tcPr>
            <w:tcW w:w="2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(4,791,782 )</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(3,884,695 )</w:t>
            </w:r>
          </w:p>
        </w:tc>
        <w:tc>
          <w:tcPr>
            <w:tcW w:w="0" w:type="dxa"/>
            <w:vAlign w:val="bottom"/>
          </w:tcPr>
          <w:p>
            <w:pPr>
              <w:spacing w:after="0"/>
              <w:rPr>
                <w:sz w:val="1"/>
                <w:szCs w:val="1"/>
                <w:color w:val="auto"/>
              </w:rPr>
            </w:pPr>
          </w:p>
        </w:tc>
      </w:tr>
      <w:tr>
        <w:trPr>
          <w:trHeight w:val="113"/>
        </w:trPr>
        <w:tc>
          <w:tcPr>
            <w:tcW w:w="31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Other non-operating income (expense), net</w:t>
            </w:r>
          </w:p>
        </w:tc>
        <w:tc>
          <w:tcPr>
            <w:tcW w:w="218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125,366</w:t>
            </w:r>
          </w:p>
        </w:tc>
        <w:tc>
          <w:tcPr>
            <w:tcW w:w="540" w:type="dxa"/>
            <w:vAlign w:val="bottom"/>
          </w:tcPr>
          <w:p>
            <w:pPr>
              <w:spacing w:after="0"/>
              <w:rPr>
                <w:sz w:val="9"/>
                <w:szCs w:val="9"/>
                <w:color w:val="auto"/>
              </w:rPr>
            </w:pP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256,659</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220"/>
              <w:spacing w:after="0" w:line="113" w:lineRule="exact"/>
              <w:rPr>
                <w:sz w:val="20"/>
                <w:szCs w:val="20"/>
                <w:color w:val="auto"/>
              </w:rPr>
            </w:pPr>
            <w:r>
              <w:rPr>
                <w:rFonts w:ascii="Times New Roman" w:cs="Times New Roman" w:eastAsia="Times New Roman" w:hAnsi="Times New Roman"/>
                <w:sz w:val="10"/>
                <w:szCs w:val="10"/>
                <w:color w:val="auto"/>
              </w:rPr>
              <w:t>Total other expenses, net</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(4,666,416 )</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(3,628,036 )</w:t>
            </w:r>
          </w:p>
        </w:tc>
        <w:tc>
          <w:tcPr>
            <w:tcW w:w="0" w:type="dxa"/>
            <w:vAlign w:val="bottom"/>
          </w:tcPr>
          <w:p>
            <w:pPr>
              <w:spacing w:after="0"/>
              <w:rPr>
                <w:sz w:val="1"/>
                <w:szCs w:val="1"/>
                <w:color w:val="auto"/>
              </w:rPr>
            </w:pPr>
          </w:p>
        </w:tc>
      </w:tr>
      <w:tr>
        <w:trPr>
          <w:trHeight w:val="113"/>
        </w:trPr>
        <w:tc>
          <w:tcPr>
            <w:tcW w:w="3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Loss before taxes</w:t>
            </w:r>
          </w:p>
        </w:tc>
        <w:tc>
          <w:tcPr>
            <w:tcW w:w="2180" w:type="dxa"/>
            <w:vAlign w:val="bottom"/>
          </w:tcPr>
          <w:p>
            <w:pPr>
              <w:spacing w:after="0"/>
              <w:rPr>
                <w:sz w:val="9"/>
                <w:szCs w:val="9"/>
                <w:color w:val="auto"/>
              </w:rPr>
            </w:pPr>
          </w:p>
        </w:tc>
        <w:tc>
          <w:tcPr>
            <w:tcW w:w="6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w w:val="99"/>
              </w:rPr>
              <w:t>(30,672,690 )</w:t>
            </w:r>
          </w:p>
        </w:tc>
        <w:tc>
          <w:tcPr>
            <w:tcW w:w="54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(110,674,183 )</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Income tax expense</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(63,408 )</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(38,765 )</w:t>
            </w:r>
          </w:p>
        </w:tc>
        <w:tc>
          <w:tcPr>
            <w:tcW w:w="0" w:type="dxa"/>
            <w:vAlign w:val="bottom"/>
          </w:tcPr>
          <w:p>
            <w:pPr>
              <w:spacing w:after="0"/>
              <w:rPr>
                <w:sz w:val="1"/>
                <w:szCs w:val="1"/>
                <w:color w:val="auto"/>
              </w:rPr>
            </w:pPr>
          </w:p>
        </w:tc>
      </w:tr>
      <w:tr>
        <w:trPr>
          <w:trHeight w:val="125"/>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loss for the year</w:t>
            </w:r>
          </w:p>
        </w:tc>
        <w:tc>
          <w:tcPr>
            <w:tcW w:w="218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9"/>
              </w:rPr>
              <w:t>(30,736,098 )</w:t>
            </w:r>
          </w:p>
        </w:tc>
        <w:tc>
          <w:tcPr>
            <w:tcW w:w="54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(110,712,948 )</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Comparison of year ended December 31, 2023 and 2022</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Revenues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shows total revenues from ticketing transactions for the year ended December 31, 2023, as compared to the year ended December 31, 2022:</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gridSpan w:val="3"/>
          </w:tcPr>
          <w:p>
            <w:pPr>
              <w:jc w:val="right"/>
              <w:ind w:right="3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20" w:type="dxa"/>
            <w:vAlign w:val="bottom"/>
          </w:tcPr>
          <w:p>
            <w:pPr>
              <w:jc w:val="right"/>
              <w:ind w:right="1215"/>
              <w:spacing w:after="0"/>
              <w:rPr>
                <w:sz w:val="20"/>
                <w:szCs w:val="20"/>
                <w:color w:val="auto"/>
              </w:rPr>
            </w:pPr>
            <w:r>
              <w:rPr>
                <w:rFonts w:ascii="Times New Roman" w:cs="Times New Roman" w:eastAsia="Times New Roman" w:hAnsi="Times New Roman"/>
                <w:sz w:val="8"/>
                <w:szCs w:val="8"/>
                <w:b w:val="1"/>
                <w:bCs w:val="1"/>
                <w:color w:val="auto"/>
                <w:w w:val="91"/>
              </w:rPr>
              <w:t>Change</w:t>
            </w:r>
          </w:p>
        </w:tc>
      </w:tr>
      <w:tr>
        <w:trPr>
          <w:trHeight w:val="106"/>
        </w:trPr>
        <w:tc>
          <w:tcPr>
            <w:tcW w:w="4100" w:type="dxa"/>
            <w:vAlign w:val="bottom"/>
          </w:tcPr>
          <w:p>
            <w:pPr>
              <w:spacing w:after="0"/>
              <w:rPr>
                <w:sz w:val="9"/>
                <w:szCs w:val="9"/>
                <w:color w:val="auto"/>
              </w:rPr>
            </w:pP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8"/>
                <w:szCs w:val="8"/>
                <w:b w:val="1"/>
                <w:bCs w:val="1"/>
                <w:color w:val="auto"/>
              </w:rPr>
              <w:t>2023</w:t>
            </w: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jc w:val="right"/>
              <w:ind w:right="454"/>
              <w:spacing w:after="0"/>
              <w:rPr>
                <w:sz w:val="20"/>
                <w:szCs w:val="20"/>
                <w:color w:val="auto"/>
              </w:rPr>
            </w:pPr>
            <w:r>
              <w:rPr>
                <w:rFonts w:ascii="Times New Roman" w:cs="Times New Roman" w:eastAsia="Times New Roman" w:hAnsi="Times New Roman"/>
                <w:sz w:val="8"/>
                <w:szCs w:val="8"/>
                <w:b w:val="1"/>
                <w:bCs w:val="1"/>
                <w:color w:val="auto"/>
              </w:rPr>
              <w:t>2022</w:t>
            </w: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jc w:val="right"/>
              <w:ind w:right="514"/>
              <w:spacing w:after="0"/>
              <w:rPr>
                <w:sz w:val="20"/>
                <w:szCs w:val="20"/>
                <w:color w:val="auto"/>
              </w:rPr>
            </w:pPr>
            <w:r>
              <w:rPr>
                <w:rFonts w:ascii="Times New Roman" w:cs="Times New Roman" w:eastAsia="Times New Roman" w:hAnsi="Times New Roman"/>
                <w:sz w:val="8"/>
                <w:szCs w:val="8"/>
                <w:b w:val="1"/>
                <w:bCs w:val="1"/>
                <w:color w:val="auto"/>
              </w:rPr>
              <w:t>$</w:t>
            </w:r>
          </w:p>
        </w:tc>
        <w:tc>
          <w:tcPr>
            <w:tcW w:w="1520" w:type="dxa"/>
            <w:vAlign w:val="bottom"/>
          </w:tcPr>
          <w:p>
            <w:pPr>
              <w:jc w:val="right"/>
              <w:ind w:right="635"/>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4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Revenues</w:t>
            </w:r>
          </w:p>
        </w:tc>
        <w:tc>
          <w:tcPr>
            <w:tcW w:w="7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145,051</w:t>
            </w:r>
          </w:p>
        </w:tc>
        <w:tc>
          <w:tcPr>
            <w:tcW w:w="22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115,159</w:t>
            </w: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29,892</w:t>
            </w:r>
          </w:p>
        </w:tc>
        <w:tc>
          <w:tcPr>
            <w:tcW w:w="1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26 %</w:t>
            </w:r>
          </w:p>
        </w:tc>
      </w:tr>
      <w:tr>
        <w:trPr>
          <w:trHeight w:val="113"/>
        </w:trPr>
        <w:tc>
          <w:tcPr>
            <w:tcW w:w="4100" w:type="dxa"/>
            <w:vAlign w:val="bottom"/>
          </w:tcPr>
          <w:p>
            <w:pPr>
              <w:ind w:left="100"/>
              <w:spacing w:after="0" w:line="93" w:lineRule="exact"/>
              <w:rPr>
                <w:sz w:val="20"/>
                <w:szCs w:val="20"/>
                <w:color w:val="auto"/>
              </w:rPr>
            </w:pPr>
            <w:r>
              <w:rPr>
                <w:rFonts w:ascii="Times New Roman" w:cs="Times New Roman" w:eastAsia="Times New Roman" w:hAnsi="Times New Roman"/>
                <w:sz w:val="10"/>
                <w:szCs w:val="10"/>
                <w:color w:val="auto"/>
              </w:rPr>
              <w:t>Total revenues</w:t>
            </w:r>
          </w:p>
        </w:tc>
        <w:tc>
          <w:tcPr>
            <w:tcW w:w="760" w:type="dxa"/>
            <w:vAlign w:val="bottom"/>
          </w:tcPr>
          <w:p>
            <w:pPr>
              <w:jc w:val="right"/>
              <w:ind w:right="655"/>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145,051</w:t>
            </w:r>
          </w:p>
        </w:tc>
        <w:tc>
          <w:tcPr>
            <w:tcW w:w="220" w:type="dxa"/>
            <w:vAlign w:val="bottom"/>
          </w:tcPr>
          <w:p>
            <w:pPr>
              <w:spacing w:after="0"/>
              <w:rPr>
                <w:sz w:val="9"/>
                <w:szCs w:val="9"/>
                <w:color w:val="auto"/>
              </w:rPr>
            </w:pPr>
          </w:p>
        </w:tc>
        <w:tc>
          <w:tcPr>
            <w:tcW w:w="420" w:type="dxa"/>
            <w:vAlign w:val="bottom"/>
          </w:tcPr>
          <w:p>
            <w:pPr>
              <w:jc w:val="right"/>
              <w:ind w:right="31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115,159</w:t>
            </w:r>
          </w:p>
        </w:tc>
        <w:tc>
          <w:tcPr>
            <w:tcW w:w="520" w:type="dxa"/>
            <w:vAlign w:val="bottom"/>
            <w:gridSpan w:val="2"/>
          </w:tcPr>
          <w:p>
            <w:pPr>
              <w:jc w:val="right"/>
              <w:ind w:right="260"/>
              <w:spacing w:after="0" w:line="93"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29,892</w:t>
            </w:r>
          </w:p>
        </w:tc>
        <w:tc>
          <w:tcPr>
            <w:tcW w:w="15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26 %</w:t>
            </w:r>
          </w:p>
        </w:tc>
      </w:tr>
      <w:tr>
        <w:trPr>
          <w:trHeight w:val="23"/>
        </w:trPr>
        <w:tc>
          <w:tcPr>
            <w:tcW w:w="4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Revenues increased from $0.11 million for the year ended December 31, 2022 as compared to $0.15 million for the year ended December 31, 2023 is attributable to increased ticketing revenue from Spain.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Operating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shows operating expenses for the year ended December 31, 2023, as compared to the year ended December 31, 2022:</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20" w:type="dxa"/>
            <w:vAlign w:val="bottom"/>
            <w:gridSpan w:val="3"/>
          </w:tcPr>
          <w:p>
            <w:pPr>
              <w:jc w:val="right"/>
              <w:ind w:right="56"/>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8"/>
                <w:szCs w:val="8"/>
                <w:b w:val="1"/>
                <w:bCs w:val="1"/>
                <w:color w:val="auto"/>
              </w:rPr>
              <w:t>Change</w:t>
            </w:r>
          </w:p>
        </w:tc>
        <w:tc>
          <w:tcPr>
            <w:tcW w:w="1040" w:type="dxa"/>
            <w:vAlign w:val="bottom"/>
          </w:tcPr>
          <w:p>
            <w:pPr>
              <w:spacing w:after="0"/>
              <w:rPr>
                <w:sz w:val="8"/>
                <w:szCs w:val="8"/>
                <w:color w:val="auto"/>
              </w:rPr>
            </w:pPr>
          </w:p>
        </w:tc>
      </w:tr>
      <w:tr>
        <w:trPr>
          <w:trHeight w:val="106"/>
        </w:trPr>
        <w:tc>
          <w:tcPr>
            <w:tcW w:w="410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jc w:val="right"/>
              <w:ind w:right="472"/>
              <w:spacing w:after="0"/>
              <w:rPr>
                <w:sz w:val="20"/>
                <w:szCs w:val="20"/>
                <w:color w:val="auto"/>
              </w:rPr>
            </w:pPr>
            <w:r>
              <w:rPr>
                <w:rFonts w:ascii="Times New Roman" w:cs="Times New Roman" w:eastAsia="Times New Roman" w:hAnsi="Times New Roman"/>
                <w:sz w:val="8"/>
                <w:szCs w:val="8"/>
                <w:b w:val="1"/>
                <w:bCs w:val="1"/>
                <w:color w:val="auto"/>
              </w:rPr>
              <w:t>2022</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jc w:val="right"/>
              <w:ind w:right="514"/>
              <w:spacing w:after="0"/>
              <w:rPr>
                <w:sz w:val="20"/>
                <w:szCs w:val="20"/>
                <w:color w:val="auto"/>
              </w:rPr>
            </w:pPr>
            <w:r>
              <w:rPr>
                <w:rFonts w:ascii="Times New Roman" w:cs="Times New Roman" w:eastAsia="Times New Roman" w:hAnsi="Times New Roman"/>
                <w:sz w:val="8"/>
                <w:szCs w:val="8"/>
                <w:b w:val="1"/>
                <w:bCs w:val="1"/>
                <w:color w:val="auto"/>
              </w:rPr>
              <w:t>$</w:t>
            </w:r>
          </w:p>
        </w:tc>
        <w:tc>
          <w:tcPr>
            <w:tcW w:w="500" w:type="dxa"/>
            <w:vAlign w:val="bottom"/>
          </w:tcPr>
          <w:p>
            <w:pPr>
              <w:spacing w:after="0"/>
              <w:rPr>
                <w:sz w:val="9"/>
                <w:szCs w:val="9"/>
                <w:color w:val="auto"/>
              </w:rPr>
            </w:pPr>
          </w:p>
        </w:tc>
        <w:tc>
          <w:tcPr>
            <w:tcW w:w="1040" w:type="dxa"/>
            <w:vAlign w:val="bottom"/>
          </w:tcPr>
          <w:p>
            <w:pPr>
              <w:jc w:val="right"/>
              <w:ind w:right="652"/>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4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Operating expenses</w:t>
            </w:r>
          </w:p>
        </w:tc>
        <w:tc>
          <w:tcPr>
            <w:tcW w:w="7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r>
      <w:tr>
        <w:trPr>
          <w:trHeight w:val="113"/>
        </w:trPr>
        <w:tc>
          <w:tcPr>
            <w:tcW w:w="41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Cost of revenue</w:t>
            </w:r>
          </w:p>
        </w:tc>
        <w:tc>
          <w:tcPr>
            <w:tcW w:w="700" w:type="dxa"/>
            <w:vAlign w:val="bottom"/>
          </w:tcPr>
          <w:p>
            <w:pPr>
              <w:jc w:val="right"/>
              <w:ind w:right="630"/>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34,791</w:t>
            </w:r>
          </w:p>
        </w:tc>
        <w:tc>
          <w:tcPr>
            <w:tcW w:w="620" w:type="dxa"/>
            <w:vAlign w:val="bottom"/>
            <w:gridSpan w:val="2"/>
          </w:tcPr>
          <w:p>
            <w:pPr>
              <w:jc w:val="right"/>
              <w:ind w:right="356"/>
              <w:spacing w:after="0" w:line="113"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745,040</w:t>
            </w:r>
          </w:p>
        </w:tc>
        <w:tc>
          <w:tcPr>
            <w:tcW w:w="500" w:type="dxa"/>
            <w:vAlign w:val="bottom"/>
            <w:gridSpan w:val="2"/>
          </w:tcPr>
          <w:p>
            <w:pPr>
              <w:jc w:val="right"/>
              <w:ind w:right="1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60" w:type="dxa"/>
            <w:vAlign w:val="bottom"/>
            <w:gridSpan w:val="2"/>
          </w:tcPr>
          <w:p>
            <w:pPr>
              <w:jc w:val="right"/>
              <w:ind w:right="460"/>
              <w:spacing w:after="0" w:line="113" w:lineRule="exact"/>
              <w:rPr>
                <w:sz w:val="20"/>
                <w:szCs w:val="20"/>
                <w:color w:val="auto"/>
              </w:rPr>
            </w:pPr>
            <w:r>
              <w:rPr>
                <w:rFonts w:ascii="Times New Roman" w:cs="Times New Roman" w:eastAsia="Times New Roman" w:hAnsi="Times New Roman"/>
                <w:sz w:val="10"/>
                <w:szCs w:val="10"/>
                <w:color w:val="auto"/>
              </w:rPr>
              <w:t>(710,259 )</w:t>
            </w: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95 %</w:t>
            </w:r>
          </w:p>
        </w:tc>
      </w:tr>
      <w:tr>
        <w:trPr>
          <w:trHeight w:val="113"/>
        </w:trPr>
        <w:tc>
          <w:tcPr>
            <w:tcW w:w="41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Sales and marketing expenses</w:t>
            </w:r>
          </w:p>
        </w:tc>
        <w:tc>
          <w:tcPr>
            <w:tcW w:w="70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6,731,254</w:t>
            </w:r>
          </w:p>
        </w:tc>
        <w:tc>
          <w:tcPr>
            <w:tcW w:w="2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4,338,557</w:t>
            </w:r>
          </w:p>
        </w:tc>
        <w:tc>
          <w:tcPr>
            <w:tcW w:w="2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2,392,697</w:t>
            </w:r>
          </w:p>
        </w:tc>
        <w:tc>
          <w:tcPr>
            <w:tcW w:w="50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55 %</w:t>
            </w:r>
          </w:p>
        </w:tc>
      </w:tr>
      <w:tr>
        <w:trPr>
          <w:trHeight w:val="113"/>
        </w:trPr>
        <w:tc>
          <w:tcPr>
            <w:tcW w:w="41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General and administrative expenses</w:t>
            </w:r>
          </w:p>
        </w:tc>
        <w:tc>
          <w:tcPr>
            <w:tcW w:w="700" w:type="dxa"/>
            <w:vAlign w:val="bottom"/>
          </w:tcPr>
          <w:p>
            <w:pPr>
              <w:spacing w:after="0"/>
              <w:rPr>
                <w:sz w:val="9"/>
                <w:szCs w:val="9"/>
                <w:color w:val="auto"/>
              </w:rPr>
            </w:pPr>
          </w:p>
        </w:tc>
        <w:tc>
          <w:tcPr>
            <w:tcW w:w="5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17,986,528</w:t>
            </w: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86,640,500</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gridSpan w:val="2"/>
          </w:tcPr>
          <w:p>
            <w:pPr>
              <w:jc w:val="right"/>
              <w:ind w:right="460"/>
              <w:spacing w:after="0" w:line="113" w:lineRule="exact"/>
              <w:rPr>
                <w:sz w:val="20"/>
                <w:szCs w:val="20"/>
                <w:color w:val="auto"/>
              </w:rPr>
            </w:pPr>
            <w:r>
              <w:rPr>
                <w:rFonts w:ascii="Times New Roman" w:cs="Times New Roman" w:eastAsia="Times New Roman" w:hAnsi="Times New Roman"/>
                <w:sz w:val="10"/>
                <w:szCs w:val="10"/>
                <w:color w:val="auto"/>
              </w:rPr>
              <w:t>(68,653,972 )</w:t>
            </w: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(79 )%</w:t>
            </w:r>
          </w:p>
        </w:tc>
      </w:tr>
      <w:tr>
        <w:trPr>
          <w:trHeight w:val="113"/>
        </w:trPr>
        <w:tc>
          <w:tcPr>
            <w:tcW w:w="41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Other operating expenses</w:t>
            </w:r>
          </w:p>
        </w:tc>
        <w:tc>
          <w:tcPr>
            <w:tcW w:w="70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1,156,316</w:t>
            </w:r>
          </w:p>
        </w:tc>
        <w:tc>
          <w:tcPr>
            <w:tcW w:w="2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334,952</w:t>
            </w:r>
          </w:p>
        </w:tc>
        <w:tc>
          <w:tcPr>
            <w:tcW w:w="2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821,364</w:t>
            </w:r>
          </w:p>
        </w:tc>
        <w:tc>
          <w:tcPr>
            <w:tcW w:w="50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245 %</w:t>
            </w:r>
          </w:p>
        </w:tc>
      </w:tr>
      <w:tr>
        <w:trPr>
          <w:trHeight w:val="113"/>
        </w:trPr>
        <w:tc>
          <w:tcPr>
            <w:tcW w:w="41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Depreciation and amortization expenses</w:t>
            </w:r>
          </w:p>
        </w:tc>
        <w:tc>
          <w:tcPr>
            <w:tcW w:w="700" w:type="dxa"/>
            <w:vAlign w:val="bottom"/>
          </w:tcPr>
          <w:p>
            <w:pPr>
              <w:spacing w:after="0"/>
              <w:rPr>
                <w:sz w:val="9"/>
                <w:szCs w:val="9"/>
                <w:color w:val="auto"/>
              </w:rPr>
            </w:pPr>
          </w:p>
        </w:tc>
        <w:tc>
          <w:tcPr>
            <w:tcW w:w="5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242,436</w:t>
            </w: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235,797</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6,639</w:t>
            </w:r>
          </w:p>
        </w:tc>
        <w:tc>
          <w:tcPr>
            <w:tcW w:w="50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3 %</w:t>
            </w:r>
          </w:p>
        </w:tc>
      </w:tr>
      <w:tr>
        <w:trPr>
          <w:trHeight w:val="113"/>
        </w:trPr>
        <w:tc>
          <w:tcPr>
            <w:tcW w:w="41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Impairment of investment in ANY</w:t>
            </w:r>
          </w:p>
        </w:tc>
        <w:tc>
          <w:tcPr>
            <w:tcW w:w="70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14,822,022</w:t>
            </w:r>
          </w:p>
        </w:tc>
        <w:tc>
          <w:tcPr>
            <w:tcW w:w="2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360" w:type="dxa"/>
            <w:vAlign w:val="bottom"/>
            <w:gridSpan w:val="2"/>
            <w:shd w:val="clear" w:color="auto" w:fill="CFF0FC"/>
          </w:tcPr>
          <w:p>
            <w:pPr>
              <w:jc w:val="right"/>
              <w:ind w:right="460"/>
              <w:spacing w:after="0" w:line="113" w:lineRule="exact"/>
              <w:rPr>
                <w:sz w:val="20"/>
                <w:szCs w:val="20"/>
                <w:color w:val="auto"/>
              </w:rPr>
            </w:pPr>
            <w:r>
              <w:rPr>
                <w:rFonts w:ascii="Times New Roman" w:cs="Times New Roman" w:eastAsia="Times New Roman" w:hAnsi="Times New Roman"/>
                <w:sz w:val="10"/>
                <w:szCs w:val="10"/>
                <w:color w:val="auto"/>
              </w:rPr>
              <w:t>(14,822,022 )</w:t>
            </w: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100 %</w:t>
            </w:r>
          </w:p>
        </w:tc>
      </w:tr>
      <w:tr>
        <w:trPr>
          <w:trHeight w:val="113"/>
        </w:trPr>
        <w:tc>
          <w:tcPr>
            <w:tcW w:w="41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Impairment of goodwill</w:t>
            </w:r>
          </w:p>
        </w:tc>
        <w:tc>
          <w:tcPr>
            <w:tcW w:w="700" w:type="dxa"/>
            <w:vAlign w:val="bottom"/>
          </w:tcPr>
          <w:p>
            <w:pPr>
              <w:spacing w:after="0"/>
              <w:rPr>
                <w:sz w:val="9"/>
                <w:szCs w:val="9"/>
                <w:color w:val="auto"/>
              </w:rPr>
            </w:pPr>
          </w:p>
        </w:tc>
        <w:tc>
          <w:tcPr>
            <w:tcW w:w="5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44,438</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gridSpan w:val="2"/>
          </w:tcPr>
          <w:p>
            <w:pPr>
              <w:jc w:val="right"/>
              <w:ind w:right="460"/>
              <w:spacing w:after="0" w:line="113" w:lineRule="exact"/>
              <w:rPr>
                <w:sz w:val="20"/>
                <w:szCs w:val="20"/>
                <w:color w:val="auto"/>
              </w:rPr>
            </w:pPr>
            <w:r>
              <w:rPr>
                <w:rFonts w:ascii="Times New Roman" w:cs="Times New Roman" w:eastAsia="Times New Roman" w:hAnsi="Times New Roman"/>
                <w:sz w:val="10"/>
                <w:szCs w:val="10"/>
                <w:color w:val="auto"/>
              </w:rPr>
              <w:t>(44,438 )</w:t>
            </w: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100 %</w:t>
            </w:r>
          </w:p>
        </w:tc>
      </w:tr>
      <w:tr>
        <w:trPr>
          <w:trHeight w:val="113"/>
        </w:trPr>
        <w:tc>
          <w:tcPr>
            <w:tcW w:w="4100" w:type="dxa"/>
            <w:vAlign w:val="bottom"/>
            <w:shd w:val="clear" w:color="auto" w:fill="CFF0FC"/>
          </w:tcPr>
          <w:p>
            <w:pPr>
              <w:ind w:left="100"/>
              <w:spacing w:after="0" w:line="93" w:lineRule="exact"/>
              <w:rPr>
                <w:sz w:val="20"/>
                <w:szCs w:val="20"/>
                <w:color w:val="auto"/>
              </w:rPr>
            </w:pPr>
            <w:r>
              <w:rPr>
                <w:rFonts w:ascii="Times New Roman" w:cs="Times New Roman" w:eastAsia="Times New Roman" w:hAnsi="Times New Roman"/>
                <w:sz w:val="10"/>
                <w:szCs w:val="10"/>
                <w:color w:val="auto"/>
              </w:rPr>
              <w:t>Total operating expenses</w:t>
            </w:r>
          </w:p>
        </w:tc>
        <w:tc>
          <w:tcPr>
            <w:tcW w:w="70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color w:val="auto"/>
              </w:rPr>
              <w:t>26,151,325</w:t>
            </w:r>
          </w:p>
        </w:tc>
        <w:tc>
          <w:tcPr>
            <w:tcW w:w="200" w:type="dxa"/>
            <w:vAlign w:val="bottom"/>
            <w:shd w:val="clear" w:color="auto" w:fill="CFF0FC"/>
          </w:tcPr>
          <w:p>
            <w:pPr>
              <w:spacing w:after="0"/>
              <w:rPr>
                <w:sz w:val="9"/>
                <w:szCs w:val="9"/>
                <w:color w:val="auto"/>
              </w:rPr>
            </w:pPr>
          </w:p>
        </w:tc>
        <w:tc>
          <w:tcPr>
            <w:tcW w:w="4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color w:val="auto"/>
              </w:rPr>
              <w:t>107,161,306</w:t>
            </w:r>
          </w:p>
        </w:tc>
        <w:tc>
          <w:tcPr>
            <w:tcW w:w="200" w:type="dxa"/>
            <w:vAlign w:val="bottom"/>
            <w:shd w:val="clear" w:color="auto" w:fill="CFF0FC"/>
          </w:tcPr>
          <w:p>
            <w:pPr>
              <w:spacing w:after="0"/>
              <w:rPr>
                <w:sz w:val="9"/>
                <w:szCs w:val="9"/>
                <w:color w:val="auto"/>
              </w:rPr>
            </w:pPr>
          </w:p>
        </w:tc>
        <w:tc>
          <w:tcPr>
            <w:tcW w:w="300" w:type="dxa"/>
            <w:vAlign w:val="bottom"/>
            <w:shd w:val="clear" w:color="auto" w:fill="CFF0FC"/>
          </w:tcPr>
          <w:p>
            <w:pPr>
              <w:jc w:val="right"/>
              <w:ind w:right="19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1360" w:type="dxa"/>
            <w:vAlign w:val="bottom"/>
            <w:gridSpan w:val="2"/>
            <w:shd w:val="clear" w:color="auto" w:fill="CFF0FC"/>
          </w:tcPr>
          <w:p>
            <w:pPr>
              <w:jc w:val="right"/>
              <w:ind w:right="460"/>
              <w:spacing w:after="0" w:line="93" w:lineRule="exact"/>
              <w:rPr>
                <w:sz w:val="20"/>
                <w:szCs w:val="20"/>
                <w:color w:val="auto"/>
              </w:rPr>
            </w:pPr>
            <w:r>
              <w:rPr>
                <w:rFonts w:ascii="Times New Roman" w:cs="Times New Roman" w:eastAsia="Times New Roman" w:hAnsi="Times New Roman"/>
                <w:sz w:val="6"/>
                <w:szCs w:val="6"/>
                <w:color w:val="auto"/>
              </w:rPr>
              <w:t xml:space="preserve">(81,009,981 </w:t>
            </w:r>
            <w:r>
              <w:rPr>
                <w:rFonts w:ascii="Times New Roman" w:cs="Times New Roman" w:eastAsia="Times New Roman" w:hAnsi="Times New Roman"/>
                <w:sz w:val="10"/>
                <w:szCs w:val="10"/>
                <w:color w:val="auto"/>
                <w:vertAlign w:val="subscript"/>
              </w:rPr>
              <w:t>)</w:t>
            </w:r>
          </w:p>
        </w:tc>
        <w:tc>
          <w:tcPr>
            <w:tcW w:w="104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color w:val="auto"/>
              </w:rPr>
              <w:t>(76 )%</w:t>
            </w:r>
          </w:p>
        </w:tc>
      </w:tr>
      <w:tr>
        <w:trPr>
          <w:trHeight w:val="23"/>
        </w:trPr>
        <w:tc>
          <w:tcPr>
            <w:tcW w:w="41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r>
    </w:tbl>
    <w:p>
      <w:pPr>
        <w:spacing w:after="0" w:line="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Percentages have been rounded for presentation purposes and may differ from unrounded results.</w:t>
      </w:r>
    </w:p>
    <w:p>
      <w:pPr>
        <w:spacing w:after="0" w:line="11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0"/>
          <w:szCs w:val="1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100"/>
          </w:cols>
          <w:pgMar w:left="640" w:top="1213" w:right="116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0"/>
          <w:szCs w:val="10"/>
          <w:i w:val="1"/>
          <w:iCs w:val="1"/>
          <w:color w:val="auto"/>
        </w:rPr>
        <w:t>Cost of Revenues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Cost of revenues have decreased by $0.7 million, for the year ended December 31, 2023, compared to the year ended December 31, 2022. This was due to the impairment of inventory of $0.7 million in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Sales and Marketing Expenses</w:t>
      </w:r>
    </w:p>
    <w:p>
      <w:pPr>
        <w:spacing w:after="0" w:line="60"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Sales and marketing expenses increased by $2.4 million, for the year ended December 31, 2023, compared to the year ended December 31, 2022. This was primarily due to an increase in share-based payments of $3.3 million from a grant made in September 2023, offset by a reduction of $0.5 million and $0.4 million in advertisement and salary costs, respectively due to reduced headcount.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General and Administrative Expenses</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General and Administrative expenses decreased by $68.6 million, for the year ended December 31, 2023, compared to the year ended December 31, 2022. $14.6 million of the reduction related to the impairment of investment in ANY in 2022. Share-based payments to employees increased by $3.6 million due to a grant in September 2023. Share based payments to directors decreased by $36.5 million for payments to related parties due to a grant to DBLP Sea Cow and directors of the Company, and a decrease in share-based payments of $18.4 million for share based payments to consultants. Other general and administrative expenses decreased by $2.7 million due to the Company’s reduced head count and reduced activities and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Other operating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Other operating expenses increased by $0.8 million due to an impairment of a loan receivables to Swipeby and Moneymatic.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Depreciation and Amortization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Depreciation and amortization expenses remained unchanged at $0.24 million, for the year ended December 31, 2023, compared to the year ended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Impairment of goodwill</w:t>
      </w:r>
    </w:p>
    <w:p>
      <w:pPr>
        <w:spacing w:after="0" w:line="60" w:lineRule="exact"/>
        <w:rPr>
          <w:sz w:val="20"/>
          <w:szCs w:val="20"/>
          <w:color w:val="auto"/>
        </w:rPr>
      </w:pPr>
    </w:p>
    <w:p>
      <w:pPr>
        <w:ind w:right="340" w:firstLine="480"/>
        <w:spacing w:after="0" w:line="255" w:lineRule="auto"/>
        <w:rPr>
          <w:sz w:val="20"/>
          <w:szCs w:val="20"/>
          <w:color w:val="auto"/>
        </w:rPr>
      </w:pPr>
      <w:r>
        <w:rPr>
          <w:rFonts w:ascii="Times New Roman" w:cs="Times New Roman" w:eastAsia="Times New Roman" w:hAnsi="Times New Roman"/>
          <w:sz w:val="10"/>
          <w:szCs w:val="10"/>
          <w:color w:val="auto"/>
        </w:rPr>
        <w:t>Impairment of investment in ANY in the year ended December 31, 2023 decreased by $14.8 million primarily due to an impairment charge in 2022. We impaired our investment in ANY due to the loss of voting rights, the uncertainty of completing the acquisition of control of ANY at the end of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Other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shows interest expense and other non-operating income for the year ended December 31, 2023, as compared to the year ended December 31, 2022:</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80" w:type="dxa"/>
            <w:vAlign w:val="bottom"/>
            <w:gridSpan w:val="3"/>
          </w:tcPr>
          <w:p>
            <w:pPr>
              <w:jc w:val="right"/>
              <w:ind w:right="56"/>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60" w:type="dxa"/>
            <w:vAlign w:val="bottom"/>
            <w:gridSpan w:val="2"/>
          </w:tcPr>
          <w:p>
            <w:pPr>
              <w:jc w:val="right"/>
              <w:ind w:right="1231"/>
              <w:spacing w:after="0"/>
              <w:rPr>
                <w:sz w:val="20"/>
                <w:szCs w:val="20"/>
                <w:color w:val="auto"/>
              </w:rPr>
            </w:pPr>
            <w:r>
              <w:rPr>
                <w:rFonts w:ascii="Times New Roman" w:cs="Times New Roman" w:eastAsia="Times New Roman" w:hAnsi="Times New Roman"/>
                <w:sz w:val="8"/>
                <w:szCs w:val="8"/>
                <w:b w:val="1"/>
                <w:bCs w:val="1"/>
                <w:color w:val="auto"/>
                <w:w w:val="98"/>
              </w:rPr>
              <w:t>Change</w:t>
            </w:r>
          </w:p>
        </w:tc>
      </w:tr>
      <w:tr>
        <w:trPr>
          <w:trHeight w:val="106"/>
        </w:trPr>
        <w:tc>
          <w:tcPr>
            <w:tcW w:w="4100" w:type="dxa"/>
            <w:vAlign w:val="bottom"/>
          </w:tcPr>
          <w:p>
            <w:pPr>
              <w:spacing w:after="0"/>
              <w:rPr>
                <w:sz w:val="9"/>
                <w:szCs w:val="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8"/>
                <w:szCs w:val="8"/>
                <w:b w:val="1"/>
                <w:bCs w:val="1"/>
                <w:color w:val="auto"/>
              </w:rPr>
              <w:t>2023</w:t>
            </w: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jc w:val="right"/>
              <w:ind w:right="473"/>
              <w:spacing w:after="0"/>
              <w:rPr>
                <w:sz w:val="20"/>
                <w:szCs w:val="20"/>
                <w:color w:val="auto"/>
              </w:rPr>
            </w:pPr>
            <w:r>
              <w:rPr>
                <w:rFonts w:ascii="Times New Roman" w:cs="Times New Roman" w:eastAsia="Times New Roman" w:hAnsi="Times New Roman"/>
                <w:sz w:val="8"/>
                <w:szCs w:val="8"/>
                <w:b w:val="1"/>
                <w:bCs w:val="1"/>
                <w:color w:val="auto"/>
              </w:rPr>
              <w:t>2022</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jc w:val="right"/>
              <w:ind w:right="493"/>
              <w:spacing w:after="0"/>
              <w:rPr>
                <w:sz w:val="20"/>
                <w:szCs w:val="20"/>
                <w:color w:val="auto"/>
              </w:rPr>
            </w:pPr>
            <w:r>
              <w:rPr>
                <w:rFonts w:ascii="Times New Roman" w:cs="Times New Roman" w:eastAsia="Times New Roman" w:hAnsi="Times New Roman"/>
                <w:sz w:val="8"/>
                <w:szCs w:val="8"/>
                <w:b w:val="1"/>
                <w:bCs w:val="1"/>
                <w:color w:val="auto"/>
              </w:rPr>
              <w:t>$</w:t>
            </w:r>
          </w:p>
        </w:tc>
        <w:tc>
          <w:tcPr>
            <w:tcW w:w="1560" w:type="dxa"/>
            <w:vAlign w:val="bottom"/>
            <w:gridSpan w:val="2"/>
          </w:tcPr>
          <w:p>
            <w:pPr>
              <w:jc w:val="right"/>
              <w:ind w:right="651"/>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4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expenses</w:t>
            </w:r>
          </w:p>
        </w:tc>
        <w:tc>
          <w:tcPr>
            <w:tcW w:w="7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r>
      <w:tr>
        <w:trPr>
          <w:trHeight w:val="113"/>
        </w:trPr>
        <w:tc>
          <w:tcPr>
            <w:tcW w:w="41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740" w:type="dxa"/>
            <w:vAlign w:val="bottom"/>
          </w:tcPr>
          <w:p>
            <w:pPr>
              <w:jc w:val="right"/>
              <w:ind w:right="670"/>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4,791,782</w:t>
            </w:r>
          </w:p>
        </w:tc>
        <w:tc>
          <w:tcPr>
            <w:tcW w:w="200" w:type="dxa"/>
            <w:vAlign w:val="bottom"/>
          </w:tcPr>
          <w:p>
            <w:pPr>
              <w:spacing w:after="0"/>
              <w:rPr>
                <w:sz w:val="9"/>
                <w:szCs w:val="9"/>
                <w:color w:val="auto"/>
              </w:rPr>
            </w:pPr>
          </w:p>
        </w:tc>
        <w:tc>
          <w:tcPr>
            <w:tcW w:w="420" w:type="dxa"/>
            <w:vAlign w:val="bottom"/>
          </w:tcPr>
          <w:p>
            <w:pPr>
              <w:jc w:val="right"/>
              <w:ind w:right="35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3,884,695</w:t>
            </w:r>
          </w:p>
        </w:tc>
        <w:tc>
          <w:tcPr>
            <w:tcW w:w="200" w:type="dxa"/>
            <w:vAlign w:val="bottom"/>
          </w:tcPr>
          <w:p>
            <w:pPr>
              <w:spacing w:after="0"/>
              <w:rPr>
                <w:sz w:val="9"/>
                <w:szCs w:val="9"/>
                <w:color w:val="auto"/>
              </w:rPr>
            </w:pPr>
          </w:p>
        </w:tc>
        <w:tc>
          <w:tcPr>
            <w:tcW w:w="300" w:type="dxa"/>
            <w:vAlign w:val="bottom"/>
          </w:tcPr>
          <w:p>
            <w:pPr>
              <w:jc w:val="right"/>
              <w:ind w:right="19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907,087</w:t>
            </w:r>
          </w:p>
        </w:tc>
        <w:tc>
          <w:tcPr>
            <w:tcW w:w="15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23 %</w:t>
            </w:r>
          </w:p>
        </w:tc>
      </w:tr>
      <w:tr>
        <w:trPr>
          <w:trHeight w:val="113"/>
        </w:trPr>
        <w:tc>
          <w:tcPr>
            <w:tcW w:w="41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Other non-operating (income) expense, net</w:t>
            </w:r>
          </w:p>
        </w:tc>
        <w:tc>
          <w:tcPr>
            <w:tcW w:w="7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(125,366 )</w:t>
            </w:r>
          </w:p>
        </w:tc>
        <w:tc>
          <w:tcPr>
            <w:tcW w:w="420" w:type="dxa"/>
            <w:vAlign w:val="bottom"/>
            <w:shd w:val="clear" w:color="auto" w:fill="CFF0FC"/>
          </w:tcPr>
          <w:p>
            <w:pPr>
              <w:spacing w:after="0"/>
              <w:rPr>
                <w:sz w:val="9"/>
                <w:szCs w:val="9"/>
                <w:color w:val="auto"/>
              </w:rPr>
            </w:pPr>
          </w:p>
        </w:tc>
        <w:tc>
          <w:tcPr>
            <w:tcW w:w="960" w:type="dxa"/>
            <w:vAlign w:val="bottom"/>
            <w:gridSpan w:val="2"/>
            <w:shd w:val="clear" w:color="auto" w:fill="CFF0FC"/>
          </w:tcPr>
          <w:p>
            <w:pPr>
              <w:jc w:val="right"/>
              <w:ind w:right="160"/>
              <w:spacing w:after="0" w:line="113" w:lineRule="exact"/>
              <w:rPr>
                <w:sz w:val="20"/>
                <w:szCs w:val="20"/>
                <w:color w:val="auto"/>
              </w:rPr>
            </w:pPr>
            <w:r>
              <w:rPr>
                <w:rFonts w:ascii="Times New Roman" w:cs="Times New Roman" w:eastAsia="Times New Roman" w:hAnsi="Times New Roman"/>
                <w:sz w:val="10"/>
                <w:szCs w:val="10"/>
                <w:color w:val="auto"/>
              </w:rPr>
              <w:t>(256,659 )</w:t>
            </w:r>
          </w:p>
        </w:tc>
        <w:tc>
          <w:tcPr>
            <w:tcW w:w="300" w:type="dxa"/>
            <w:vAlign w:val="bottom"/>
            <w:shd w:val="clear" w:color="auto" w:fill="CFF0FC"/>
          </w:tcPr>
          <w:p>
            <w:pPr>
              <w:spacing w:after="0"/>
              <w:rPr>
                <w:sz w:val="9"/>
                <w:szCs w:val="9"/>
                <w:color w:val="auto"/>
              </w:rPr>
            </w:pP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131,293</w:t>
            </w:r>
          </w:p>
        </w:tc>
        <w:tc>
          <w:tcPr>
            <w:tcW w:w="156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(51 )%</w:t>
            </w:r>
          </w:p>
        </w:tc>
      </w:tr>
      <w:tr>
        <w:trPr>
          <w:trHeight w:val="115"/>
        </w:trPr>
        <w:tc>
          <w:tcPr>
            <w:tcW w:w="4100" w:type="dxa"/>
            <w:vAlign w:val="bottom"/>
          </w:tcPr>
          <w:p>
            <w:pPr>
              <w:ind w:left="20"/>
              <w:spacing w:after="0" w:line="93" w:lineRule="exact"/>
              <w:rPr>
                <w:sz w:val="20"/>
                <w:szCs w:val="20"/>
                <w:color w:val="auto"/>
              </w:rPr>
            </w:pPr>
            <w:r>
              <w:rPr>
                <w:rFonts w:ascii="Times New Roman" w:cs="Times New Roman" w:eastAsia="Times New Roman" w:hAnsi="Times New Roman"/>
                <w:sz w:val="10"/>
                <w:szCs w:val="10"/>
                <w:color w:val="auto"/>
              </w:rPr>
              <w:t>Total other expense, net</w:t>
            </w:r>
          </w:p>
        </w:tc>
        <w:tc>
          <w:tcPr>
            <w:tcW w:w="7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bottom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color w:val="auto"/>
              </w:rPr>
              <w:t>4,666,416</w:t>
            </w:r>
          </w:p>
        </w:tc>
        <w:tc>
          <w:tcPr>
            <w:tcW w:w="200" w:type="dxa"/>
            <w:vAlign w:val="bottom"/>
          </w:tcPr>
          <w:p>
            <w:pPr>
              <w:spacing w:after="0"/>
              <w:rPr>
                <w:sz w:val="10"/>
                <w:szCs w:val="10"/>
                <w:color w:val="auto"/>
              </w:rPr>
            </w:pPr>
          </w:p>
        </w:tc>
        <w:tc>
          <w:tcPr>
            <w:tcW w:w="4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bottom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color w:val="auto"/>
              </w:rPr>
              <w:t>3,628,036</w:t>
            </w:r>
          </w:p>
        </w:tc>
        <w:tc>
          <w:tcPr>
            <w:tcW w:w="2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color w:val="auto"/>
              </w:rPr>
              <w:t>1,038,380</w:t>
            </w:r>
          </w:p>
        </w:tc>
        <w:tc>
          <w:tcPr>
            <w:tcW w:w="20" w:type="dxa"/>
            <w:vAlign w:val="bottom"/>
            <w:tcBorders>
              <w:bottom w:val="single" w:sz="8" w:color="auto"/>
            </w:tcBorders>
          </w:tcPr>
          <w:p>
            <w:pPr>
              <w:spacing w:after="0"/>
              <w:rPr>
                <w:sz w:val="10"/>
                <w:szCs w:val="10"/>
                <w:color w:val="auto"/>
              </w:rPr>
            </w:pPr>
          </w:p>
        </w:tc>
        <w:tc>
          <w:tcPr>
            <w:tcW w:w="154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29 %</w:t>
            </w:r>
          </w:p>
        </w:tc>
      </w:tr>
    </w:tbl>
    <w:p>
      <w:pPr>
        <w:spacing w:after="0" w:line="136"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Interest expense increased by $0.9 million for the year ended December 31, 2023 as compared to the year ended December 31, 2022. This was primarily due to an increase in borrowing in 2023 related to the convertible loan note. An additional loan from Igor Lychagov of $4.2 million added an additional $1.2 million of borrowing fees to interest costs, offset by the forbearance of $0.5 million of interest costs related to the convertible loan note.</w:t>
      </w:r>
    </w:p>
    <w:p>
      <w:pPr>
        <w:spacing w:after="0" w:line="101"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Other non-operating (income) expense decreased by $0.1 million for the year ended December 31, 2023 as compared to the year ended December 31, 2022, this is due to an increase in foreign exchange losses of $0.2 million offset by the recognition of research and development tax credits of $0.5m in each of 2023 and 2022.</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0"/>
          <w:szCs w:val="10"/>
          <w:b w:val="1"/>
          <w:bCs w:val="1"/>
          <w:i w:val="1"/>
          <w:iCs w:val="1"/>
          <w:color w:val="auto"/>
        </w:rPr>
        <w:t>Operating Losses</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Operating losses decreased from $107.1 million for the year ended December 31, 2022 million to $26.0 million for the year ended December 31, 2023. This was due to a decrease in Operating expenses from $107.2 million for the year ended December 31, 2022 to $26.2 million for the year ended 31 December, 2023. The drivers of decreased Operating expenses are as detailed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Key Business Metrics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 addition to information related to our financial performance, we regularly review the following key metrics to evaluate our business, measure our performance, identify trends in our business, prepare financial projections and make strategic decisions. We discuss revenues below under “—</w:t>
      </w:r>
      <w:r>
        <w:rPr>
          <w:rFonts w:ascii="Times New Roman" w:cs="Times New Roman" w:eastAsia="Times New Roman" w:hAnsi="Times New Roman"/>
          <w:sz w:val="10"/>
          <w:szCs w:val="10"/>
          <w:i w:val="1"/>
          <w:iCs w:val="1"/>
          <w:color w:val="auto"/>
        </w:rPr>
        <w:t>Components of Results of Operations</w:t>
      </w:r>
      <w:r>
        <w:rPr>
          <w:rFonts w:ascii="Times New Roman" w:cs="Times New Roman" w:eastAsia="Times New Roman" w:hAnsi="Times New Roman"/>
          <w:sz w:val="10"/>
          <w:szCs w:val="10"/>
          <w:color w:val="auto"/>
        </w:rPr>
        <w:t>.” Period-on-period revenues growth, EBITDA and total number of merchants are discussed immediately below the following table. The following financial metrics are used by management to monitor and analyze the operational performance of our business.</w:t>
      </w:r>
    </w:p>
    <w:p>
      <w:pPr>
        <w:spacing w:after="0" w:line="43" w:lineRule="exact"/>
        <w:rPr>
          <w:sz w:val="20"/>
          <w:szCs w:val="20"/>
          <w:color w:val="auto"/>
        </w:rPr>
      </w:pPr>
    </w:p>
    <w:p>
      <w:pPr>
        <w:ind w:left="480" w:right="8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Ticketing:</w:t>
      </w:r>
      <w:r>
        <w:rPr>
          <w:rFonts w:ascii="Times New Roman" w:cs="Times New Roman" w:eastAsia="Times New Roman" w:hAnsi="Times New Roman"/>
          <w:sz w:val="10"/>
          <w:szCs w:val="10"/>
          <w:color w:val="auto"/>
        </w:rPr>
        <w:t xml:space="preserve"> Total Ticketing revenue transactions reflect the number of loyalty card transactions in a calendar year, loyalty is linked to the consumers football ticket. We track ticketing transactions as an indicator of customer transactions and as a key driver of revenues.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EBITDA</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changes in, or cash requirements for, our working capital needs or contractual commitments;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our interest expense, or the cash requirements to service interest or principal payments on, our indebtedness;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our tax expense or the cash requirements to pay our taxes;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the impact on earnings or changes resulting from matters that we consider not to be indicative of our future operations;</w:t>
      </w:r>
    </w:p>
    <w:p>
      <w:pPr>
        <w:spacing w:after="0" w:line="58" w:lineRule="exact"/>
        <w:rPr>
          <w:sz w:val="20"/>
          <w:szCs w:val="20"/>
          <w:color w:val="auto"/>
        </w:rPr>
      </w:pPr>
    </w:p>
    <w:p>
      <w:pPr>
        <w:ind w:left="480" w:right="1200"/>
        <w:spacing w:after="0" w:line="380" w:lineRule="auto"/>
        <w:rPr>
          <w:sz w:val="20"/>
          <w:szCs w:val="20"/>
          <w:color w:val="auto"/>
        </w:rPr>
      </w:pPr>
      <w:r>
        <w:rPr>
          <w:rFonts w:ascii="Times New Roman" w:cs="Times New Roman" w:eastAsia="Times New Roman" w:hAnsi="Times New Roman"/>
          <w:sz w:val="10"/>
          <w:szCs w:val="10"/>
          <w:color w:val="auto"/>
        </w:rPr>
        <w:t>•although depreciation and amortization are non-cash charges, the assets being depreciated or amortized will often need to be replaced in the future, and EBITDA does not reflect any cash requirements for these replacements; and •other companies may calculate EBITDA differently than we do.</w:t>
      </w:r>
    </w:p>
    <w:p>
      <w:pPr>
        <w:spacing w:after="0" w:line="41"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table below provides a reconciliation of our net income (loss) to EBITDA:</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140" w:type="dxa"/>
            <w:vAlign w:val="bottom"/>
          </w:tcPr>
          <w:p>
            <w:pPr>
              <w:spacing w:after="0"/>
              <w:rPr>
                <w:sz w:val="9"/>
                <w:szCs w:val="9"/>
                <w:color w:val="auto"/>
              </w:rPr>
            </w:pPr>
          </w:p>
        </w:tc>
        <w:tc>
          <w:tcPr>
            <w:tcW w:w="2180" w:type="dxa"/>
            <w:vAlign w:val="bottom"/>
            <w:vMerge w:val="restart"/>
          </w:tcPr>
          <w:p>
            <w:pPr>
              <w:jc w:val="right"/>
              <w:ind w:right="14"/>
              <w:spacing w:after="0"/>
              <w:rPr>
                <w:sz w:val="20"/>
                <w:szCs w:val="20"/>
                <w:color w:val="auto"/>
              </w:rPr>
            </w:pPr>
            <w:r>
              <w:rPr>
                <w:rFonts w:ascii="Times New Roman" w:cs="Times New Roman" w:eastAsia="Times New Roman" w:hAnsi="Times New Roman"/>
                <w:sz w:val="8"/>
                <w:szCs w:val="8"/>
                <w:b w:val="1"/>
                <w:bCs w:val="1"/>
                <w:color w:val="auto"/>
              </w:rPr>
              <w:t>2023</w:t>
            </w:r>
          </w:p>
        </w:tc>
        <w:tc>
          <w:tcPr>
            <w:tcW w:w="120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20" w:type="dxa"/>
            <w:vAlign w:val="bottom"/>
            <w:vMerge w:val="restart"/>
          </w:tcPr>
          <w:p>
            <w:pPr>
              <w:jc w:val="right"/>
              <w:ind w:right="593"/>
              <w:spacing w:after="0"/>
              <w:rPr>
                <w:sz w:val="20"/>
                <w:szCs w:val="20"/>
                <w:color w:val="auto"/>
              </w:rPr>
            </w:pPr>
            <w:r>
              <w:rPr>
                <w:rFonts w:ascii="Times New Roman" w:cs="Times New Roman" w:eastAsia="Times New Roman" w:hAnsi="Times New Roman"/>
                <w:sz w:val="8"/>
                <w:szCs w:val="8"/>
                <w:b w:val="1"/>
                <w:bCs w:val="1"/>
                <w:color w:val="auto"/>
              </w:rPr>
              <w:t>2022</w:t>
            </w:r>
          </w:p>
        </w:tc>
        <w:tc>
          <w:tcPr>
            <w:tcW w:w="0" w:type="dxa"/>
            <w:vAlign w:val="bottom"/>
          </w:tcPr>
          <w:p>
            <w:pPr>
              <w:spacing w:after="0"/>
              <w:rPr>
                <w:sz w:val="1"/>
                <w:szCs w:val="1"/>
                <w:color w:val="auto"/>
              </w:rPr>
            </w:pPr>
          </w:p>
        </w:tc>
      </w:tr>
      <w:tr>
        <w:trPr>
          <w:trHeight w:val="96"/>
        </w:trPr>
        <w:tc>
          <w:tcPr>
            <w:tcW w:w="3140" w:type="dxa"/>
            <w:vAlign w:val="bottom"/>
          </w:tcPr>
          <w:p>
            <w:pPr>
              <w:spacing w:after="0"/>
              <w:rPr>
                <w:sz w:val="8"/>
                <w:szCs w:val="8"/>
                <w:color w:val="auto"/>
              </w:rPr>
            </w:pPr>
          </w:p>
        </w:tc>
        <w:tc>
          <w:tcPr>
            <w:tcW w:w="218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income (loss)</w:t>
            </w:r>
          </w:p>
        </w:tc>
        <w:tc>
          <w:tcPr>
            <w:tcW w:w="2180" w:type="dxa"/>
            <w:vAlign w:val="bottom"/>
            <w:shd w:val="clear" w:color="auto" w:fill="CFF0FC"/>
          </w:tcPr>
          <w:p>
            <w:pPr>
              <w:jc w:val="right"/>
              <w:ind w:right="7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w w:val="99"/>
              </w:rPr>
              <w:t>(30,736,098 )</w:t>
            </w:r>
          </w:p>
        </w:tc>
        <w:tc>
          <w:tcPr>
            <w:tcW w:w="540" w:type="dxa"/>
            <w:vAlign w:val="bottom"/>
            <w:shd w:val="clear" w:color="auto" w:fill="CFF0FC"/>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(110,712,948 )</w:t>
            </w:r>
          </w:p>
        </w:tc>
        <w:tc>
          <w:tcPr>
            <w:tcW w:w="0" w:type="dxa"/>
            <w:vAlign w:val="bottom"/>
          </w:tcPr>
          <w:p>
            <w:pPr>
              <w:spacing w:after="0"/>
              <w:rPr>
                <w:sz w:val="1"/>
                <w:szCs w:val="1"/>
                <w:color w:val="auto"/>
              </w:rPr>
            </w:pPr>
          </w:p>
        </w:tc>
      </w:tr>
      <w:tr>
        <w:trPr>
          <w:trHeight w:val="113"/>
        </w:trPr>
        <w:tc>
          <w:tcPr>
            <w:tcW w:w="3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Add (subtract)</w:t>
            </w:r>
          </w:p>
        </w:tc>
        <w:tc>
          <w:tcPr>
            <w:tcW w:w="2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4,791,782</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3,884,695</w:t>
            </w:r>
          </w:p>
        </w:tc>
        <w:tc>
          <w:tcPr>
            <w:tcW w:w="0" w:type="dxa"/>
            <w:vAlign w:val="bottom"/>
          </w:tcPr>
          <w:p>
            <w:pPr>
              <w:spacing w:after="0"/>
              <w:rPr>
                <w:sz w:val="1"/>
                <w:szCs w:val="1"/>
                <w:color w:val="auto"/>
              </w:rPr>
            </w:pPr>
          </w:p>
        </w:tc>
      </w:tr>
      <w:tr>
        <w:trPr>
          <w:trHeight w:val="113"/>
        </w:trPr>
        <w:tc>
          <w:tcPr>
            <w:tcW w:w="31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Provision for income tax expense (benefit)</w:t>
            </w:r>
          </w:p>
        </w:tc>
        <w:tc>
          <w:tcPr>
            <w:tcW w:w="2180" w:type="dxa"/>
            <w:vAlign w:val="bottom"/>
          </w:tcPr>
          <w:p>
            <w:pPr>
              <w:spacing w:after="0"/>
              <w:rPr>
                <w:sz w:val="9"/>
                <w:szCs w:val="9"/>
                <w:color w:val="auto"/>
              </w:rPr>
            </w:pPr>
          </w:p>
        </w:tc>
        <w:tc>
          <w:tcPr>
            <w:tcW w:w="660" w:type="dxa"/>
            <w:vAlign w:val="bottom"/>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63,408</w:t>
            </w:r>
          </w:p>
        </w:tc>
        <w:tc>
          <w:tcPr>
            <w:tcW w:w="540" w:type="dxa"/>
            <w:vAlign w:val="bottom"/>
          </w:tcPr>
          <w:p>
            <w:pPr>
              <w:spacing w:after="0"/>
              <w:rPr>
                <w:sz w:val="9"/>
                <w:szCs w:val="9"/>
                <w:color w:val="auto"/>
              </w:rPr>
            </w:pPr>
          </w:p>
        </w:tc>
        <w:tc>
          <w:tcPr>
            <w:tcW w:w="92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38,765</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242,436</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235,797</w:t>
            </w:r>
          </w:p>
        </w:tc>
        <w:tc>
          <w:tcPr>
            <w:tcW w:w="0" w:type="dxa"/>
            <w:vAlign w:val="bottom"/>
          </w:tcPr>
          <w:p>
            <w:pPr>
              <w:spacing w:after="0"/>
              <w:rPr>
                <w:sz w:val="1"/>
                <w:szCs w:val="1"/>
                <w:color w:val="auto"/>
              </w:rPr>
            </w:pPr>
          </w:p>
        </w:tc>
      </w:tr>
      <w:tr>
        <w:trPr>
          <w:trHeight w:val="125"/>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EBITDA</w:t>
            </w:r>
          </w:p>
        </w:tc>
        <w:tc>
          <w:tcPr>
            <w:tcW w:w="2180" w:type="dxa"/>
            <w:vAlign w:val="bottom"/>
          </w:tcPr>
          <w:p>
            <w:pPr>
              <w:jc w:val="right"/>
              <w:ind w:right="714"/>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w w:val="99"/>
              </w:rPr>
              <w:t>(25,638,472 )</w:t>
            </w:r>
          </w:p>
        </w:tc>
        <w:tc>
          <w:tcPr>
            <w:tcW w:w="540" w:type="dxa"/>
            <w:vAlign w:val="bottom"/>
          </w:tcPr>
          <w:p>
            <w:pPr>
              <w:jc w:val="right"/>
              <w:ind w:right="37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(106,553,691 )</w:t>
            </w:r>
          </w:p>
        </w:tc>
        <w:tc>
          <w:tcPr>
            <w:tcW w:w="0" w:type="dxa"/>
            <w:vAlign w:val="bottom"/>
          </w:tcPr>
          <w:p>
            <w:pPr>
              <w:spacing w:after="0"/>
              <w:rPr>
                <w:sz w:val="1"/>
                <w:szCs w:val="1"/>
                <w:color w:val="auto"/>
              </w:rPr>
            </w:pPr>
          </w:p>
        </w:tc>
      </w:tr>
    </w:tbl>
    <w:p>
      <w:pPr>
        <w:spacing w:after="0" w:line="1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0"/>
          <w:szCs w:val="10"/>
          <w:color w:val="auto"/>
        </w:rPr>
        <w:t>We have booked transaction-related costs in each of the years ended December 31, 2023 and December 31, 2022. PCAOB audit and U.S. legal counsel costs for the periods under review have been accrued as incurred in the year ended December 31, 2023.</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0"/>
          <w:szCs w:val="10"/>
          <w:b w:val="1"/>
          <w:bCs w:val="1"/>
          <w:i w:val="1"/>
          <w:iCs w:val="1"/>
          <w:color w:val="auto"/>
        </w:rPr>
        <w:t>Adjusted EBITDA</w:t>
      </w:r>
    </w:p>
    <w:p>
      <w:pPr>
        <w:spacing w:after="0" w:line="60"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We define Adjusted EBITDA as EBITDA adjusted for unrealized foreign exchange gains (losses), impairment of goodwill and other assets, business development expenses, warrants issued and share-based compensation. Although it is frequently used by investors and securities analysts in their evaluations of companies, Adjusted EBITDA has limitations as an analytical tool, including:</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•Adjusted EBITDA does not reflect changes in, or cash requirements for, our working capital needs or contractual commitments;</w:t>
      </w:r>
    </w:p>
    <w:p>
      <w:pPr>
        <w:spacing w:after="0" w:line="58" w:lineRule="exact"/>
        <w:rPr>
          <w:sz w:val="20"/>
          <w:szCs w:val="20"/>
          <w:color w:val="auto"/>
        </w:rPr>
      </w:pPr>
    </w:p>
    <w:p>
      <w:pPr>
        <w:ind w:left="480" w:right="4480"/>
        <w:spacing w:after="0" w:line="360" w:lineRule="auto"/>
        <w:rPr>
          <w:sz w:val="20"/>
          <w:szCs w:val="20"/>
          <w:color w:val="auto"/>
        </w:rPr>
      </w:pPr>
      <w:r>
        <w:rPr>
          <w:rFonts w:ascii="Times New Roman" w:cs="Times New Roman" w:eastAsia="Times New Roman" w:hAnsi="Times New Roman"/>
          <w:sz w:val="10"/>
          <w:szCs w:val="10"/>
          <w:color w:val="auto"/>
        </w:rPr>
        <w:t>•Adjusted EBITDA does not reflect our interest expense, or the cash requirements to service interest or principal payments on, our indebtedness; •Adjusted EBITDA does not reflect our tax expense or the cash requirements to pay our taxes;</w:t>
      </w:r>
    </w:p>
    <w:p>
      <w:pPr>
        <w:ind w:left="480"/>
        <w:spacing w:after="0"/>
        <w:rPr>
          <w:sz w:val="20"/>
          <w:szCs w:val="20"/>
          <w:color w:val="auto"/>
        </w:rPr>
      </w:pPr>
      <w:r>
        <w:rPr>
          <w:rFonts w:ascii="Times New Roman" w:cs="Times New Roman" w:eastAsia="Times New Roman" w:hAnsi="Times New Roman"/>
          <w:sz w:val="10"/>
          <w:szCs w:val="10"/>
          <w:color w:val="auto"/>
        </w:rPr>
        <w:t>•Adjusted EBITDA does not reflect the impact on earnings or changes resulting from matters that we consider not to be indicative of our future operations;</w:t>
      </w:r>
    </w:p>
    <w:p>
      <w:pPr>
        <w:spacing w:after="0" w:line="58" w:lineRule="exact"/>
        <w:rPr>
          <w:sz w:val="20"/>
          <w:szCs w:val="20"/>
          <w:color w:val="auto"/>
        </w:rPr>
      </w:pPr>
    </w:p>
    <w:p>
      <w:pPr>
        <w:ind w:left="480" w:right="820"/>
        <w:spacing w:after="0" w:line="380" w:lineRule="auto"/>
        <w:rPr>
          <w:sz w:val="20"/>
          <w:szCs w:val="20"/>
          <w:color w:val="auto"/>
        </w:rPr>
      </w:pPr>
      <w:r>
        <w:rPr>
          <w:rFonts w:ascii="Times New Roman" w:cs="Times New Roman" w:eastAsia="Times New Roman" w:hAnsi="Times New Roman"/>
          <w:sz w:val="10"/>
          <w:szCs w:val="10"/>
          <w:color w:val="auto"/>
        </w:rPr>
        <w:t>•although depreciation and amortization are non-cash charges, the assets being depreciated or amortized will often need to be replaced in the future, and Adjusted EBITDA does not reflect any cash requirements for these replacements; and •other companies may calculate Adjusted EBITDA differently than we do.</w:t>
      </w:r>
    </w:p>
    <w:p>
      <w:pPr>
        <w:spacing w:after="0" w:line="41"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spacing w:after="0" w:line="101" w:lineRule="exact"/>
        <w:rPr>
          <w:sz w:val="20"/>
          <w:szCs w:val="20"/>
          <w:color w:val="auto"/>
        </w:rPr>
      </w:pPr>
    </w:p>
    <w:p>
      <w:pPr>
        <w:ind w:right="380" w:firstLine="480"/>
        <w:spacing w:after="0" w:line="255" w:lineRule="auto"/>
        <w:rPr>
          <w:sz w:val="20"/>
          <w:szCs w:val="20"/>
          <w:color w:val="auto"/>
        </w:rPr>
      </w:pPr>
      <w:r>
        <w:rPr>
          <w:rFonts w:ascii="Times New Roman" w:cs="Times New Roman" w:eastAsia="Times New Roman" w:hAnsi="Times New Roman"/>
          <w:sz w:val="10"/>
          <w:szCs w:val="10"/>
          <w:color w:val="auto"/>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Adjusted EBITDA is used by management to understand and track underlying earnings performance by excluding one-time and non-recurring costs. The company believe it is appropriate to exclude theses costs from Adjusted EBITDA as they relate to:</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•Investments made in the China Business;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•One-time impairments of the Taiwan and German businesses;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•Impairments of loans and accounts receivable;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•Share based compensation related to non-recurring capital raising activities;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•Share based compensation related only to initial employees, consultants and related parties;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•Unrealized foreign exchange (gain)/loss are one-time costs.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Internally adjusted EBITDA and contribution margin by reportable segment are significant measures used by management for purposes of:</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•Supplementing the financial results and forecasts reported to the Company’s board of directors;</w:t>
      </w:r>
    </w:p>
    <w:p>
      <w:pPr>
        <w:spacing w:after="0" w:line="58" w:lineRule="exact"/>
        <w:rPr>
          <w:sz w:val="20"/>
          <w:szCs w:val="20"/>
          <w:color w:val="auto"/>
        </w:rPr>
      </w:pPr>
    </w:p>
    <w:p>
      <w:pPr>
        <w:ind w:left="480" w:right="1880"/>
        <w:spacing w:after="0" w:line="380" w:lineRule="auto"/>
        <w:rPr>
          <w:sz w:val="20"/>
          <w:szCs w:val="20"/>
          <w:color w:val="auto"/>
        </w:rPr>
      </w:pPr>
      <w:r>
        <w:rPr>
          <w:rFonts w:ascii="Times New Roman" w:cs="Times New Roman" w:eastAsia="Times New Roman" w:hAnsi="Times New Roman"/>
          <w:sz w:val="10"/>
          <w:szCs w:val="10"/>
          <w:color w:val="auto"/>
        </w:rPr>
        <w:t>•Evaluating the operating performance of which includes direct and incrementally controllable revenue and costs of operations but excludes items considered by management to be non-cash or non-operating; and •Establishing internal operating budgets and target.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•Business development expenses reflect the costs incurred by Rezolve Limited in funding our platform activities in China in 2022.</w:t>
      </w:r>
    </w:p>
    <w:p>
      <w:pPr>
        <w:spacing w:after="0" w:line="58" w:lineRule="exact"/>
        <w:rPr>
          <w:sz w:val="20"/>
          <w:szCs w:val="20"/>
          <w:color w:val="auto"/>
        </w:rPr>
      </w:pPr>
    </w:p>
    <w:p>
      <w:pPr>
        <w:ind w:left="480"/>
        <w:spacing w:after="0" w:line="245" w:lineRule="auto"/>
        <w:rPr>
          <w:sz w:val="20"/>
          <w:szCs w:val="20"/>
          <w:color w:val="auto"/>
        </w:rPr>
      </w:pPr>
      <w:r>
        <w:rPr>
          <w:rFonts w:ascii="Times New Roman" w:cs="Times New Roman" w:eastAsia="Times New Roman" w:hAnsi="Times New Roman"/>
          <w:sz w:val="10"/>
          <w:szCs w:val="10"/>
          <w:color w:val="auto"/>
        </w:rPr>
        <w:t>•Share based compensation issued to related parties represents for the year ended December 31, 2023 represents share based compensation of $ 33.4 million issued to a related-party organization (DBLP Sea Cow Ltd) and $6.2 million of share-based compensation related to two directors of Rezolve Limited. For the year ended December 31, 2021 the charge represents a share-based payment of $13.2 million paid to the CEO. DBLP Sea Cow Limited is wholly legally owned by Daniel Wagner and is wholly beneficially owned by John Wagner. These fees were paid primarily in relation to capital raising activities.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59" w:name="page60"/>
    <w:bookmarkEnd w:id="59"/>
    <w:p>
      <w:pPr>
        <w:ind w:left="480"/>
        <w:spacing w:after="0"/>
        <w:rPr>
          <w:sz w:val="20"/>
          <w:szCs w:val="20"/>
          <w:color w:val="auto"/>
        </w:rPr>
      </w:pPr>
      <w:r>
        <w:rPr>
          <w:rFonts w:ascii="Times New Roman" w:cs="Times New Roman" w:eastAsia="Times New Roman" w:hAnsi="Times New Roman"/>
          <w:sz w:val="10"/>
          <w:szCs w:val="10"/>
          <w:color w:val="auto"/>
        </w:rPr>
        <w:t>•Share based compensation for consultancy expenses relate to shares issued to consultants for advisory services. These fees were paid primarily in relation to capital raising activities in 2022.</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of these costs are recorded within General and Administrative expenses.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table below provides a reconciliation of our net income (loss) to Adjusted EBITDA:</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300" w:type="dxa"/>
            <w:vAlign w:val="bottom"/>
          </w:tcPr>
          <w:p>
            <w:pPr>
              <w:spacing w:after="0"/>
              <w:rPr>
                <w:sz w:val="9"/>
                <w:szCs w:val="9"/>
                <w:color w:val="auto"/>
              </w:rPr>
            </w:pPr>
          </w:p>
        </w:tc>
        <w:tc>
          <w:tcPr>
            <w:tcW w:w="2020" w:type="dxa"/>
            <w:vAlign w:val="bottom"/>
            <w:vMerge w:val="restart"/>
          </w:tcPr>
          <w:p>
            <w:pPr>
              <w:jc w:val="right"/>
              <w:ind w:right="13"/>
              <w:spacing w:after="0"/>
              <w:rPr>
                <w:sz w:val="20"/>
                <w:szCs w:val="20"/>
                <w:color w:val="auto"/>
              </w:rPr>
            </w:pPr>
            <w:r>
              <w:rPr>
                <w:rFonts w:ascii="Times New Roman" w:cs="Times New Roman" w:eastAsia="Times New Roman" w:hAnsi="Times New Roman"/>
                <w:sz w:val="8"/>
                <w:szCs w:val="8"/>
                <w:b w:val="1"/>
                <w:bCs w:val="1"/>
                <w:color w:val="auto"/>
              </w:rPr>
              <w:t>2023</w:t>
            </w:r>
          </w:p>
        </w:tc>
        <w:tc>
          <w:tcPr>
            <w:tcW w:w="120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20" w:type="dxa"/>
            <w:vAlign w:val="bottom"/>
            <w:vMerge w:val="restart"/>
          </w:tcPr>
          <w:p>
            <w:pPr>
              <w:jc w:val="right"/>
              <w:ind w:right="592"/>
              <w:spacing w:after="0"/>
              <w:rPr>
                <w:sz w:val="20"/>
                <w:szCs w:val="20"/>
                <w:color w:val="auto"/>
              </w:rPr>
            </w:pPr>
            <w:r>
              <w:rPr>
                <w:rFonts w:ascii="Times New Roman" w:cs="Times New Roman" w:eastAsia="Times New Roman" w:hAnsi="Times New Roman"/>
                <w:sz w:val="8"/>
                <w:szCs w:val="8"/>
                <w:b w:val="1"/>
                <w:bCs w:val="1"/>
                <w:color w:val="auto"/>
              </w:rPr>
              <w:t>2022</w:t>
            </w:r>
          </w:p>
        </w:tc>
        <w:tc>
          <w:tcPr>
            <w:tcW w:w="0" w:type="dxa"/>
            <w:vAlign w:val="bottom"/>
          </w:tcPr>
          <w:p>
            <w:pPr>
              <w:spacing w:after="0"/>
              <w:rPr>
                <w:sz w:val="1"/>
                <w:szCs w:val="1"/>
                <w:color w:val="auto"/>
              </w:rPr>
            </w:pPr>
          </w:p>
        </w:tc>
      </w:tr>
      <w:tr>
        <w:trPr>
          <w:trHeight w:val="96"/>
        </w:trPr>
        <w:tc>
          <w:tcPr>
            <w:tcW w:w="330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income (loss)</w:t>
            </w:r>
          </w:p>
        </w:tc>
        <w:tc>
          <w:tcPr>
            <w:tcW w:w="2020" w:type="dxa"/>
            <w:vAlign w:val="bottom"/>
            <w:shd w:val="clear" w:color="auto" w:fill="CFF0FC"/>
          </w:tcPr>
          <w:p>
            <w:pPr>
              <w:jc w:val="right"/>
              <w:ind w:right="713"/>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w w:val="99"/>
              </w:rPr>
              <w:t>(30,736,098 )</w:t>
            </w:r>
          </w:p>
        </w:tc>
        <w:tc>
          <w:tcPr>
            <w:tcW w:w="540" w:type="dxa"/>
            <w:vAlign w:val="bottom"/>
            <w:shd w:val="clear" w:color="auto" w:fill="CFF0FC"/>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(110,712,948 )</w:t>
            </w:r>
          </w:p>
        </w:tc>
        <w:tc>
          <w:tcPr>
            <w:tcW w:w="0" w:type="dxa"/>
            <w:vAlign w:val="bottom"/>
          </w:tcPr>
          <w:p>
            <w:pPr>
              <w:spacing w:after="0"/>
              <w:rPr>
                <w:sz w:val="1"/>
                <w:szCs w:val="1"/>
                <w:color w:val="auto"/>
              </w:rPr>
            </w:pPr>
          </w:p>
        </w:tc>
      </w:tr>
      <w:tr>
        <w:trPr>
          <w:trHeight w:val="113"/>
        </w:trPr>
        <w:tc>
          <w:tcPr>
            <w:tcW w:w="33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Add (subtract)</w:t>
            </w:r>
          </w:p>
        </w:tc>
        <w:tc>
          <w:tcPr>
            <w:tcW w:w="2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20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4,791,782</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3,884,698</w:t>
            </w:r>
          </w:p>
        </w:tc>
        <w:tc>
          <w:tcPr>
            <w:tcW w:w="0" w:type="dxa"/>
            <w:vAlign w:val="bottom"/>
          </w:tcPr>
          <w:p>
            <w:pPr>
              <w:spacing w:after="0"/>
              <w:rPr>
                <w:sz w:val="1"/>
                <w:szCs w:val="1"/>
                <w:color w:val="auto"/>
              </w:rPr>
            </w:pPr>
          </w:p>
        </w:tc>
      </w:tr>
      <w:tr>
        <w:trPr>
          <w:trHeight w:val="113"/>
        </w:trPr>
        <w:tc>
          <w:tcPr>
            <w:tcW w:w="33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Provision for income tax expense (benefit)</w:t>
            </w:r>
          </w:p>
        </w:tc>
        <w:tc>
          <w:tcPr>
            <w:tcW w:w="202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63,408</w:t>
            </w:r>
          </w:p>
        </w:tc>
        <w:tc>
          <w:tcPr>
            <w:tcW w:w="540" w:type="dxa"/>
            <w:vAlign w:val="bottom"/>
          </w:tcPr>
          <w:p>
            <w:pPr>
              <w:spacing w:after="0"/>
              <w:rPr>
                <w:sz w:val="9"/>
                <w:szCs w:val="9"/>
                <w:color w:val="auto"/>
              </w:rPr>
            </w:pP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38,765</w:t>
            </w: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20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242,436</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235,797</w:t>
            </w:r>
          </w:p>
        </w:tc>
        <w:tc>
          <w:tcPr>
            <w:tcW w:w="0" w:type="dxa"/>
            <w:vAlign w:val="bottom"/>
          </w:tcPr>
          <w:p>
            <w:pPr>
              <w:spacing w:after="0"/>
              <w:rPr>
                <w:sz w:val="1"/>
                <w:szCs w:val="1"/>
                <w:color w:val="auto"/>
              </w:rPr>
            </w:pPr>
          </w:p>
        </w:tc>
      </w:tr>
      <w:tr>
        <w:trPr>
          <w:trHeight w:val="113"/>
        </w:trPr>
        <w:tc>
          <w:tcPr>
            <w:tcW w:w="33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EBITDA</w:t>
            </w:r>
          </w:p>
        </w:tc>
        <w:tc>
          <w:tcPr>
            <w:tcW w:w="2020" w:type="dxa"/>
            <w:vAlign w:val="bottom"/>
          </w:tcPr>
          <w:p>
            <w:pPr>
              <w:jc w:val="right"/>
              <w:ind w:right="713"/>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w w:val="99"/>
              </w:rPr>
              <w:t>(25,638,472 )</w:t>
            </w:r>
          </w:p>
        </w:tc>
        <w:tc>
          <w:tcPr>
            <w:tcW w:w="540" w:type="dxa"/>
            <w:vAlign w:val="bottom"/>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(106,553,691 )</w:t>
            </w: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Add (subtract)</w:t>
            </w:r>
          </w:p>
        </w:tc>
        <w:tc>
          <w:tcPr>
            <w:tcW w:w="20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0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Unrealized foreign exchange (gain) loss</w:t>
            </w:r>
          </w:p>
        </w:tc>
        <w:tc>
          <w:tcPr>
            <w:tcW w:w="2020" w:type="dxa"/>
            <w:vAlign w:val="bottom"/>
          </w:tcPr>
          <w:p>
            <w:pPr>
              <w:spacing w:after="0"/>
              <w:rPr>
                <w:sz w:val="9"/>
                <w:szCs w:val="9"/>
                <w:color w:val="auto"/>
              </w:rPr>
            </w:pPr>
          </w:p>
        </w:tc>
        <w:tc>
          <w:tcPr>
            <w:tcW w:w="6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(375,298 )</w:t>
            </w:r>
          </w:p>
        </w:tc>
        <w:tc>
          <w:tcPr>
            <w:tcW w:w="54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(714,914 )</w:t>
            </w: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Impairment in ANY</w:t>
            </w:r>
          </w:p>
        </w:tc>
        <w:tc>
          <w:tcPr>
            <w:tcW w:w="20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44,438</w:t>
            </w:r>
          </w:p>
        </w:tc>
        <w:tc>
          <w:tcPr>
            <w:tcW w:w="0" w:type="dxa"/>
            <w:vAlign w:val="bottom"/>
          </w:tcPr>
          <w:p>
            <w:pPr>
              <w:spacing w:after="0"/>
              <w:rPr>
                <w:sz w:val="1"/>
                <w:szCs w:val="1"/>
                <w:color w:val="auto"/>
              </w:rPr>
            </w:pPr>
          </w:p>
        </w:tc>
      </w:tr>
      <w:tr>
        <w:trPr>
          <w:trHeight w:val="113"/>
        </w:trPr>
        <w:tc>
          <w:tcPr>
            <w:tcW w:w="330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Impairment of goodwill</w:t>
            </w:r>
          </w:p>
        </w:tc>
        <w:tc>
          <w:tcPr>
            <w:tcW w:w="202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9"/>
                <w:szCs w:val="9"/>
                <w:color w:val="auto"/>
              </w:rPr>
            </w:pPr>
          </w:p>
        </w:tc>
        <w:tc>
          <w:tcPr>
            <w:tcW w:w="92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14,822,022</w:t>
            </w:r>
          </w:p>
        </w:tc>
        <w:tc>
          <w:tcPr>
            <w:tcW w:w="0" w:type="dxa"/>
            <w:vAlign w:val="bottom"/>
          </w:tcPr>
          <w:p>
            <w:pPr>
              <w:spacing w:after="0"/>
              <w:rPr>
                <w:sz w:val="1"/>
                <w:szCs w:val="1"/>
                <w:color w:val="auto"/>
              </w:rPr>
            </w:pPr>
          </w:p>
        </w:tc>
      </w:tr>
      <w:tr>
        <w:trPr>
          <w:trHeight w:val="106"/>
        </w:trPr>
        <w:tc>
          <w:tcPr>
            <w:tcW w:w="3300" w:type="dxa"/>
            <w:vAlign w:val="bottom"/>
            <w:shd w:val="clear" w:color="auto" w:fill="CFF0FC"/>
          </w:tcPr>
          <w:p>
            <w:pPr>
              <w:ind w:left="120"/>
              <w:spacing w:after="0" w:line="106" w:lineRule="exact"/>
              <w:rPr>
                <w:sz w:val="20"/>
                <w:szCs w:val="20"/>
                <w:color w:val="auto"/>
              </w:rPr>
            </w:pPr>
            <w:r>
              <w:rPr>
                <w:rFonts w:ascii="Times New Roman" w:cs="Times New Roman" w:eastAsia="Times New Roman" w:hAnsi="Times New Roman"/>
                <w:sz w:val="10"/>
                <w:szCs w:val="10"/>
                <w:color w:val="auto"/>
              </w:rPr>
              <w:t>Impairment of prepayments and other current</w:t>
            </w:r>
          </w:p>
        </w:tc>
        <w:tc>
          <w:tcPr>
            <w:tcW w:w="20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3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0"/>
                <w:szCs w:val="10"/>
                <w:color w:val="auto"/>
              </w:rPr>
              <w:t>assets</w:t>
            </w:r>
          </w:p>
        </w:tc>
        <w:tc>
          <w:tcPr>
            <w:tcW w:w="202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FF0FC"/>
          </w:tcPr>
          <w:p>
            <w:pPr>
              <w:spacing w:after="0"/>
              <w:rPr>
                <w:sz w:val="10"/>
                <w:szCs w:val="10"/>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731,940</w:t>
            </w:r>
          </w:p>
        </w:tc>
        <w:tc>
          <w:tcPr>
            <w:tcW w:w="0" w:type="dxa"/>
            <w:vAlign w:val="bottom"/>
          </w:tcPr>
          <w:p>
            <w:pPr>
              <w:spacing w:after="0"/>
              <w:rPr>
                <w:sz w:val="1"/>
                <w:szCs w:val="1"/>
                <w:color w:val="auto"/>
              </w:rPr>
            </w:pPr>
          </w:p>
        </w:tc>
      </w:tr>
      <w:tr>
        <w:trPr>
          <w:trHeight w:val="113"/>
        </w:trPr>
        <w:tc>
          <w:tcPr>
            <w:tcW w:w="330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Impairment of loan and accounts receivable .</w:t>
            </w:r>
          </w:p>
        </w:tc>
        <w:tc>
          <w:tcPr>
            <w:tcW w:w="202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1,156,316</w:t>
            </w:r>
          </w:p>
        </w:tc>
        <w:tc>
          <w:tcPr>
            <w:tcW w:w="540" w:type="dxa"/>
            <w:vAlign w:val="bottom"/>
          </w:tcPr>
          <w:p>
            <w:pPr>
              <w:spacing w:after="0"/>
              <w:rPr>
                <w:sz w:val="9"/>
                <w:szCs w:val="9"/>
                <w:color w:val="auto"/>
              </w:rPr>
            </w:pP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334,952</w:t>
            </w: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Business development expenses</w:t>
            </w:r>
          </w:p>
        </w:tc>
        <w:tc>
          <w:tcPr>
            <w:tcW w:w="20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777,161</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7,136,168</w:t>
            </w:r>
          </w:p>
        </w:tc>
        <w:tc>
          <w:tcPr>
            <w:tcW w:w="0" w:type="dxa"/>
            <w:vAlign w:val="bottom"/>
          </w:tcPr>
          <w:p>
            <w:pPr>
              <w:spacing w:after="0"/>
              <w:rPr>
                <w:sz w:val="1"/>
                <w:szCs w:val="1"/>
                <w:color w:val="auto"/>
              </w:rPr>
            </w:pPr>
          </w:p>
        </w:tc>
      </w:tr>
      <w:tr>
        <w:trPr>
          <w:trHeight w:val="113"/>
        </w:trPr>
        <w:tc>
          <w:tcPr>
            <w:tcW w:w="330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Share based compensation issued to related parties</w:t>
            </w:r>
          </w:p>
        </w:tc>
        <w:tc>
          <w:tcPr>
            <w:tcW w:w="202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3,002,021</w:t>
            </w:r>
          </w:p>
        </w:tc>
        <w:tc>
          <w:tcPr>
            <w:tcW w:w="540" w:type="dxa"/>
            <w:vAlign w:val="bottom"/>
          </w:tcPr>
          <w:p>
            <w:pPr>
              <w:spacing w:after="0"/>
              <w:rPr>
                <w:sz w:val="9"/>
                <w:szCs w:val="9"/>
                <w:color w:val="auto"/>
              </w:rPr>
            </w:pPr>
          </w:p>
        </w:tc>
        <w:tc>
          <w:tcPr>
            <w:tcW w:w="92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39,501,701</w:t>
            </w: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Share based compensation for consultancy services</w:t>
            </w:r>
          </w:p>
        </w:tc>
        <w:tc>
          <w:tcPr>
            <w:tcW w:w="20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485,080</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18,417,816</w:t>
            </w:r>
          </w:p>
        </w:tc>
        <w:tc>
          <w:tcPr>
            <w:tcW w:w="0" w:type="dxa"/>
            <w:vAlign w:val="bottom"/>
          </w:tcPr>
          <w:p>
            <w:pPr>
              <w:spacing w:after="0"/>
              <w:rPr>
                <w:sz w:val="1"/>
                <w:szCs w:val="1"/>
                <w:color w:val="auto"/>
              </w:rPr>
            </w:pPr>
          </w:p>
        </w:tc>
      </w:tr>
      <w:tr>
        <w:trPr>
          <w:trHeight w:val="113"/>
        </w:trPr>
        <w:tc>
          <w:tcPr>
            <w:tcW w:w="330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Employee and Other Share-based compensation</w:t>
            </w:r>
          </w:p>
        </w:tc>
        <w:tc>
          <w:tcPr>
            <w:tcW w:w="202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5,238,117</w:t>
            </w:r>
          </w:p>
        </w:tc>
        <w:tc>
          <w:tcPr>
            <w:tcW w:w="540" w:type="dxa"/>
            <w:vAlign w:val="bottom"/>
          </w:tcPr>
          <w:p>
            <w:pPr>
              <w:spacing w:after="0"/>
              <w:rPr>
                <w:sz w:val="9"/>
                <w:szCs w:val="9"/>
                <w:color w:val="auto"/>
              </w:rPr>
            </w:pP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2,115,015</w:t>
            </w: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Adjusted EBITDA .</w:t>
            </w:r>
          </w:p>
        </w:tc>
        <w:tc>
          <w:tcPr>
            <w:tcW w:w="2020" w:type="dxa"/>
            <w:vAlign w:val="bottom"/>
            <w:shd w:val="clear" w:color="auto" w:fill="CFF0FC"/>
          </w:tcPr>
          <w:p>
            <w:pPr>
              <w:jc w:val="right"/>
              <w:ind w:right="713"/>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w w:val="99"/>
              </w:rPr>
              <w:t>(15,355,075 )</w:t>
            </w:r>
          </w:p>
        </w:tc>
        <w:tc>
          <w:tcPr>
            <w:tcW w:w="540" w:type="dxa"/>
            <w:vAlign w:val="bottom"/>
            <w:shd w:val="clear" w:color="auto" w:fill="CFF0FC"/>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(24,164,553 )</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Total Number of Merchants</w:t>
      </w:r>
    </w:p>
    <w:p>
      <w:pPr>
        <w:spacing w:after="0" w:line="60"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Employee share based compensation</w:t>
      </w:r>
    </w:p>
    <w:p>
      <w:pPr>
        <w:spacing w:after="0" w:line="60"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Employee shares have significant restrictions including management’s and or the board’s rights to cancel the shares any time, restrictions on right to transfer, to vote and cumulative dividends. Considering the restrictions imposed on these shares, these shares are considered to be ungranted to the employees. Management expects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December 31, 2023, the Company estimates the total share-based payment expense to have been recognized immediately for the grant of 58,315,800 employee shares to be $36,738,954. This estimate uses a fair value per employee share of $.63 based on a recent funding of the Company at $.63 per Ordinary Share and an exercise price of £0.0001 for each employee share.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Balance Sheet Information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sets forth our unrestricted cash and cash equivalents on our balance sheet and undrawn amounts under our revolving credit facility as of December 31, 2023 and December 31, 2022: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5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760" w:type="dxa"/>
            <w:vAlign w:val="bottom"/>
            <w:vMerge w:val="restart"/>
          </w:tcPr>
          <w:p>
            <w:pPr>
              <w:jc w:val="right"/>
              <w:ind w:right="53"/>
              <w:spacing w:after="0"/>
              <w:rPr>
                <w:sz w:val="20"/>
                <w:szCs w:val="20"/>
                <w:color w:val="auto"/>
              </w:rPr>
            </w:pPr>
            <w:r>
              <w:rPr>
                <w:rFonts w:ascii="Times New Roman" w:cs="Times New Roman" w:eastAsia="Times New Roman" w:hAnsi="Times New Roman"/>
                <w:sz w:val="8"/>
                <w:szCs w:val="8"/>
                <w:b w:val="1"/>
                <w:bCs w:val="1"/>
                <w:color w:val="auto"/>
              </w:rPr>
              <w:t>2023</w:t>
            </w:r>
          </w:p>
        </w:tc>
        <w:tc>
          <w:tcPr>
            <w:tcW w:w="116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20" w:type="dxa"/>
            <w:vAlign w:val="bottom"/>
            <w:vMerge w:val="restart"/>
          </w:tcPr>
          <w:p>
            <w:pPr>
              <w:jc w:val="right"/>
              <w:ind w:right="593"/>
              <w:spacing w:after="0"/>
              <w:rPr>
                <w:sz w:val="20"/>
                <w:szCs w:val="20"/>
                <w:color w:val="auto"/>
              </w:rPr>
            </w:pPr>
            <w:r>
              <w:rPr>
                <w:rFonts w:ascii="Times New Roman" w:cs="Times New Roman" w:eastAsia="Times New Roman" w:hAnsi="Times New Roman"/>
                <w:sz w:val="8"/>
                <w:szCs w:val="8"/>
                <w:b w:val="1"/>
                <w:bCs w:val="1"/>
                <w:color w:val="auto"/>
              </w:rPr>
              <w:t>2022</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58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7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Unrestricted cash and cash equivalents</w:t>
            </w:r>
          </w:p>
        </w:tc>
        <w:tc>
          <w:tcPr>
            <w:tcW w:w="2760" w:type="dxa"/>
            <w:vAlign w:val="bottom"/>
            <w:shd w:val="clear" w:color="auto" w:fill="CFF0FC"/>
          </w:tcPr>
          <w:p>
            <w:pPr>
              <w:jc w:val="right"/>
              <w:ind w:right="753"/>
              <w:spacing w:after="0" w:line="113"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10,441</w:t>
            </w:r>
          </w:p>
        </w:tc>
        <w:tc>
          <w:tcPr>
            <w:tcW w:w="580" w:type="dxa"/>
            <w:vAlign w:val="bottom"/>
            <w:shd w:val="clear" w:color="auto" w:fill="CFF0FC"/>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39,380</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Undrawn convertible notes</w:t>
            </w:r>
          </w:p>
        </w:tc>
        <w:tc>
          <w:tcPr>
            <w:tcW w:w="2760" w:type="dxa"/>
            <w:vAlign w:val="bottom"/>
          </w:tcPr>
          <w:p>
            <w:pPr>
              <w:spacing w:after="0"/>
              <w:rPr>
                <w:sz w:val="9"/>
                <w:szCs w:val="9"/>
                <w:color w:val="auto"/>
              </w:rPr>
            </w:pPr>
          </w:p>
        </w:tc>
        <w:tc>
          <w:tcPr>
            <w:tcW w:w="58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9"/>
                <w:szCs w:val="9"/>
                <w:color w:val="auto"/>
              </w:rPr>
            </w:pPr>
          </w:p>
        </w:tc>
        <w:tc>
          <w:tcPr>
            <w:tcW w:w="92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Available liquidity</w:t>
            </w:r>
          </w:p>
        </w:tc>
        <w:tc>
          <w:tcPr>
            <w:tcW w:w="2760" w:type="dxa"/>
            <w:vAlign w:val="bottom"/>
            <w:shd w:val="clear" w:color="auto" w:fill="CFF0FC"/>
          </w:tcPr>
          <w:p>
            <w:pPr>
              <w:jc w:val="right"/>
              <w:ind w:right="753"/>
              <w:spacing w:after="0" w:line="113"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10,441</w:t>
            </w:r>
          </w:p>
        </w:tc>
        <w:tc>
          <w:tcPr>
            <w:tcW w:w="580" w:type="dxa"/>
            <w:vAlign w:val="bottom"/>
            <w:shd w:val="clear" w:color="auto" w:fill="CFF0FC"/>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39,380</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0"/>
        </w:trPr>
        <w:tc>
          <w:tcPr>
            <w:tcW w:w="1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760" w:type="dxa"/>
            <w:vAlign w:val="bottom"/>
          </w:tcPr>
          <w:p>
            <w:pPr>
              <w:jc w:val="right"/>
              <w:ind w:right="1533"/>
              <w:spacing w:after="0"/>
              <w:rPr>
                <w:sz w:val="20"/>
                <w:szCs w:val="20"/>
                <w:color w:val="auto"/>
              </w:rPr>
            </w:pPr>
            <w:r>
              <w:rPr>
                <w:rFonts w:ascii="Times New Roman" w:cs="Times New Roman" w:eastAsia="Times New Roman" w:hAnsi="Times New Roman"/>
                <w:sz w:val="10"/>
                <w:szCs w:val="10"/>
                <w:color w:val="auto"/>
              </w:rPr>
              <w:t>51</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600" w:type="dxa"/>
            <w:vAlign w:val="bottom"/>
            <w:tcBorders>
              <w:bottom w:val="single" w:sz="8" w:color="EEEEEE"/>
            </w:tcBorders>
          </w:tcPr>
          <w:p>
            <w:pPr>
              <w:spacing w:after="0"/>
              <w:rPr>
                <w:sz w:val="24"/>
                <w:szCs w:val="24"/>
                <w:color w:val="auto"/>
              </w:rPr>
            </w:pPr>
          </w:p>
        </w:tc>
        <w:tc>
          <w:tcPr>
            <w:tcW w:w="276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0"/>
          <w:szCs w:val="10"/>
          <w:b w:val="1"/>
          <w:bCs w:val="1"/>
          <w:color w:val="auto"/>
        </w:rPr>
        <w:t>Cash Flows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summarizes our cash flows for the periods presented:</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280" w:type="dxa"/>
            <w:vAlign w:val="bottom"/>
          </w:tcPr>
          <w:p>
            <w:pPr>
              <w:spacing w:after="0"/>
              <w:rPr>
                <w:sz w:val="9"/>
                <w:szCs w:val="9"/>
                <w:color w:val="auto"/>
              </w:rPr>
            </w:pPr>
          </w:p>
        </w:tc>
        <w:tc>
          <w:tcPr>
            <w:tcW w:w="2040" w:type="dxa"/>
            <w:vAlign w:val="bottom"/>
            <w:vMerge w:val="restart"/>
          </w:tcPr>
          <w:p>
            <w:pPr>
              <w:jc w:val="right"/>
              <w:ind w:right="14"/>
              <w:spacing w:after="0"/>
              <w:rPr>
                <w:sz w:val="20"/>
                <w:szCs w:val="20"/>
                <w:color w:val="auto"/>
              </w:rPr>
            </w:pPr>
            <w:r>
              <w:rPr>
                <w:rFonts w:ascii="Times New Roman" w:cs="Times New Roman" w:eastAsia="Times New Roman" w:hAnsi="Times New Roman"/>
                <w:sz w:val="8"/>
                <w:szCs w:val="8"/>
                <w:b w:val="1"/>
                <w:bCs w:val="1"/>
                <w:color w:val="auto"/>
              </w:rPr>
              <w:t>2023</w:t>
            </w:r>
          </w:p>
        </w:tc>
        <w:tc>
          <w:tcPr>
            <w:tcW w:w="120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20" w:type="dxa"/>
            <w:vAlign w:val="bottom"/>
            <w:vMerge w:val="restart"/>
          </w:tcPr>
          <w:p>
            <w:pPr>
              <w:jc w:val="right"/>
              <w:ind w:right="593"/>
              <w:spacing w:after="0"/>
              <w:rPr>
                <w:sz w:val="20"/>
                <w:szCs w:val="20"/>
                <w:color w:val="auto"/>
              </w:rPr>
            </w:pPr>
            <w:r>
              <w:rPr>
                <w:rFonts w:ascii="Times New Roman" w:cs="Times New Roman" w:eastAsia="Times New Roman" w:hAnsi="Times New Roman"/>
                <w:sz w:val="8"/>
                <w:szCs w:val="8"/>
                <w:b w:val="1"/>
                <w:bCs w:val="1"/>
                <w:color w:val="auto"/>
              </w:rPr>
              <w:t>2022</w:t>
            </w:r>
          </w:p>
        </w:tc>
        <w:tc>
          <w:tcPr>
            <w:tcW w:w="0" w:type="dxa"/>
            <w:vAlign w:val="bottom"/>
          </w:tcPr>
          <w:p>
            <w:pPr>
              <w:spacing w:after="0"/>
              <w:rPr>
                <w:sz w:val="1"/>
                <w:szCs w:val="1"/>
                <w:color w:val="auto"/>
              </w:rPr>
            </w:pPr>
          </w:p>
        </w:tc>
      </w:tr>
      <w:tr>
        <w:trPr>
          <w:trHeight w:val="96"/>
        </w:trPr>
        <w:tc>
          <w:tcPr>
            <w:tcW w:w="3280" w:type="dxa"/>
            <w:vAlign w:val="bottom"/>
          </w:tcPr>
          <w:p>
            <w:pPr>
              <w:spacing w:after="0"/>
              <w:rPr>
                <w:sz w:val="8"/>
                <w:szCs w:val="8"/>
                <w:color w:val="auto"/>
              </w:rPr>
            </w:pPr>
          </w:p>
        </w:tc>
        <w:tc>
          <w:tcPr>
            <w:tcW w:w="204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2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cash used in operating activities</w:t>
            </w:r>
          </w:p>
        </w:tc>
        <w:tc>
          <w:tcPr>
            <w:tcW w:w="2040" w:type="dxa"/>
            <w:vAlign w:val="bottom"/>
            <w:shd w:val="clear" w:color="auto" w:fill="CFF0FC"/>
          </w:tcPr>
          <w:p>
            <w:pPr>
              <w:jc w:val="right"/>
              <w:ind w:right="7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w w:val="99"/>
              </w:rPr>
              <w:t>(13,001,875 )</w:t>
            </w:r>
          </w:p>
        </w:tc>
        <w:tc>
          <w:tcPr>
            <w:tcW w:w="540" w:type="dxa"/>
            <w:vAlign w:val="bottom"/>
            <w:shd w:val="clear" w:color="auto" w:fill="CFF0FC"/>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(26,788,906 )</w:t>
            </w:r>
          </w:p>
        </w:tc>
        <w:tc>
          <w:tcPr>
            <w:tcW w:w="0" w:type="dxa"/>
            <w:vAlign w:val="bottom"/>
          </w:tcPr>
          <w:p>
            <w:pPr>
              <w:spacing w:after="0"/>
              <w:rPr>
                <w:sz w:val="1"/>
                <w:szCs w:val="1"/>
                <w:color w:val="auto"/>
              </w:rPr>
            </w:pPr>
          </w:p>
        </w:tc>
      </w:tr>
      <w:tr>
        <w:trPr>
          <w:trHeight w:val="113"/>
        </w:trPr>
        <w:tc>
          <w:tcPr>
            <w:tcW w:w="32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Net cash used in investing activities</w:t>
            </w:r>
          </w:p>
        </w:tc>
        <w:tc>
          <w:tcPr>
            <w:tcW w:w="2040" w:type="dxa"/>
            <w:vAlign w:val="bottom"/>
          </w:tcPr>
          <w:p>
            <w:pPr>
              <w:spacing w:after="0"/>
              <w:rPr>
                <w:sz w:val="9"/>
                <w:szCs w:val="9"/>
                <w:color w:val="auto"/>
              </w:rPr>
            </w:pPr>
          </w:p>
        </w:tc>
        <w:tc>
          <w:tcPr>
            <w:tcW w:w="66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(1,781,524 )</w:t>
            </w:r>
          </w:p>
        </w:tc>
        <w:tc>
          <w:tcPr>
            <w:tcW w:w="54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(36,854 )</w:t>
            </w:r>
          </w:p>
        </w:tc>
        <w:tc>
          <w:tcPr>
            <w:tcW w:w="0" w:type="dxa"/>
            <w:vAlign w:val="bottom"/>
          </w:tcPr>
          <w:p>
            <w:pPr>
              <w:spacing w:after="0"/>
              <w:rPr>
                <w:sz w:val="1"/>
                <w:szCs w:val="1"/>
                <w:color w:val="auto"/>
              </w:rPr>
            </w:pPr>
          </w:p>
        </w:tc>
      </w:tr>
      <w:tr>
        <w:trPr>
          <w:trHeight w:val="113"/>
        </w:trPr>
        <w:tc>
          <w:tcPr>
            <w:tcW w:w="32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cash provided by financing activities</w:t>
            </w:r>
          </w:p>
        </w:tc>
        <w:tc>
          <w:tcPr>
            <w:tcW w:w="204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14,712,061</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23,999,920</w:t>
            </w:r>
          </w:p>
        </w:tc>
        <w:tc>
          <w:tcPr>
            <w:tcW w:w="0" w:type="dxa"/>
            <w:vAlign w:val="bottom"/>
          </w:tcPr>
          <w:p>
            <w:pPr>
              <w:spacing w:after="0"/>
              <w:rPr>
                <w:sz w:val="1"/>
                <w:szCs w:val="1"/>
                <w:color w:val="auto"/>
              </w:rPr>
            </w:pPr>
          </w:p>
        </w:tc>
      </w:tr>
      <w:tr>
        <w:trPr>
          <w:trHeight w:val="106"/>
        </w:trPr>
        <w:tc>
          <w:tcPr>
            <w:tcW w:w="3280" w:type="dxa"/>
            <w:vAlign w:val="bottom"/>
          </w:tcPr>
          <w:p>
            <w:pPr>
              <w:ind w:left="20"/>
              <w:spacing w:after="0" w:line="106" w:lineRule="exact"/>
              <w:rPr>
                <w:sz w:val="20"/>
                <w:szCs w:val="20"/>
                <w:color w:val="auto"/>
              </w:rPr>
            </w:pPr>
            <w:r>
              <w:rPr>
                <w:rFonts w:ascii="Times New Roman" w:cs="Times New Roman" w:eastAsia="Times New Roman" w:hAnsi="Times New Roman"/>
                <w:sz w:val="10"/>
                <w:szCs w:val="10"/>
                <w:color w:val="auto"/>
              </w:rPr>
              <w:t>Effect of exchange rate changes on cash and cash</w:t>
            </w:r>
          </w:p>
        </w:tc>
        <w:tc>
          <w:tcPr>
            <w:tcW w:w="2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32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equivalents</w:t>
            </w:r>
          </w:p>
        </w:tc>
        <w:tc>
          <w:tcPr>
            <w:tcW w:w="2040" w:type="dxa"/>
            <w:vAlign w:val="bottom"/>
          </w:tcPr>
          <w:p>
            <w:pPr>
              <w:spacing w:after="0"/>
              <w:rPr>
                <w:sz w:val="10"/>
                <w:szCs w:val="10"/>
                <w:color w:val="auto"/>
              </w:rPr>
            </w:pP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0"/>
                <w:szCs w:val="10"/>
                <w:color w:val="auto"/>
              </w:rPr>
              <w:t>42,399</w:t>
            </w:r>
          </w:p>
        </w:tc>
        <w:tc>
          <w:tcPr>
            <w:tcW w:w="540" w:type="dxa"/>
            <w:vAlign w:val="bottom"/>
          </w:tcPr>
          <w:p>
            <w:pPr>
              <w:spacing w:after="0"/>
              <w:rPr>
                <w:sz w:val="10"/>
                <w:szCs w:val="10"/>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177,287</w:t>
            </w:r>
          </w:p>
        </w:tc>
        <w:tc>
          <w:tcPr>
            <w:tcW w:w="0" w:type="dxa"/>
            <w:vAlign w:val="bottom"/>
          </w:tcPr>
          <w:p>
            <w:pPr>
              <w:spacing w:after="0"/>
              <w:rPr>
                <w:sz w:val="1"/>
                <w:szCs w:val="1"/>
                <w:color w:val="auto"/>
              </w:rPr>
            </w:pPr>
          </w:p>
        </w:tc>
      </w:tr>
      <w:tr>
        <w:trPr>
          <w:trHeight w:val="113"/>
        </w:trPr>
        <w:tc>
          <w:tcPr>
            <w:tcW w:w="32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(decrease) increase in cash and cash equivalents</w:t>
            </w:r>
          </w:p>
        </w:tc>
        <w:tc>
          <w:tcPr>
            <w:tcW w:w="2040" w:type="dxa"/>
            <w:vAlign w:val="bottom"/>
            <w:shd w:val="clear" w:color="auto" w:fill="CFF0FC"/>
          </w:tcPr>
          <w:p>
            <w:pPr>
              <w:jc w:val="right"/>
              <w:ind w:right="7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(28,939 )</w:t>
            </w:r>
          </w:p>
        </w:tc>
        <w:tc>
          <w:tcPr>
            <w:tcW w:w="540" w:type="dxa"/>
            <w:vAlign w:val="bottom"/>
            <w:shd w:val="clear" w:color="auto" w:fill="CFF0FC"/>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(2,648,553 )</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Operating Activities</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Net cash used in operating activities was $ 13.0 million for the year ended December 31, 2023, which resulted from a net loss of $31.6 million from operating activities, adjusted for non-cash items such as share based compensation of $8.7 million, impairments of $0.8 million, interest expense of $6.0 million and of changes in working capital of $2.4 million primarily due to an increase in trade payables.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Financing Activities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Net cash provided by financing activities of $14.7 million for the year ended December 31, 2023 was due to proceeds from rights issues of $7.8 million, $4.2 million of loans from related parties and $2.5 million from convertible loans.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Debt Obligations</w:t>
      </w:r>
    </w:p>
    <w:p>
      <w:pPr>
        <w:spacing w:after="0" w:line="58" w:lineRule="exact"/>
        <w:rPr>
          <w:sz w:val="20"/>
          <w:szCs w:val="20"/>
          <w:color w:val="auto"/>
        </w:rPr>
      </w:pPr>
    </w:p>
    <w:p>
      <w:pPr>
        <w:ind w:right="180" w:firstLine="480"/>
        <w:spacing w:after="0" w:line="259" w:lineRule="auto"/>
        <w:rPr>
          <w:sz w:val="20"/>
          <w:szCs w:val="20"/>
          <w:color w:val="auto"/>
        </w:rPr>
      </w:pPr>
      <w:r>
        <w:rPr>
          <w:rFonts w:ascii="Times New Roman" w:cs="Times New Roman" w:eastAsia="Times New Roman" w:hAnsi="Times New Roman"/>
          <w:sz w:val="10"/>
          <w:szCs w:val="10"/>
          <w:color w:val="auto"/>
        </w:rPr>
        <w:t>We have debt outstanding to DBLP Sea Cow Limited (a company incorporated in the Seychelles) (“</w:t>
      </w:r>
      <w:r>
        <w:rPr>
          <w:rFonts w:ascii="Times New Roman" w:cs="Times New Roman" w:eastAsia="Times New Roman" w:hAnsi="Times New Roman"/>
          <w:sz w:val="10"/>
          <w:szCs w:val="10"/>
          <w:b w:val="1"/>
          <w:bCs w:val="1"/>
          <w:i w:val="1"/>
          <w:iCs w:val="1"/>
          <w:color w:val="auto"/>
        </w:rPr>
        <w:t>DBLP</w:t>
      </w:r>
      <w:r>
        <w:rPr>
          <w:rFonts w:ascii="Times New Roman" w:cs="Times New Roman" w:eastAsia="Times New Roman" w:hAnsi="Times New Roman"/>
          <w:sz w:val="10"/>
          <w:szCs w:val="10"/>
          <w:color w:val="auto"/>
        </w:rPr>
        <w:t>”), which is wholly legally owned by Daniel Wagner and beneficially owned by John Wagner, in the amounts of $447,067. There are no formal loan documents in place and no interest is payable.</w:t>
      </w:r>
    </w:p>
    <w:p>
      <w:pPr>
        <w:spacing w:after="0" w:line="99" w:lineRule="exact"/>
        <w:rPr>
          <w:sz w:val="20"/>
          <w:szCs w:val="20"/>
          <w:color w:val="auto"/>
        </w:rPr>
      </w:pPr>
    </w:p>
    <w:p>
      <w:pPr>
        <w:ind w:right="340" w:firstLine="480"/>
        <w:spacing w:after="0" w:line="255" w:lineRule="auto"/>
        <w:rPr>
          <w:sz w:val="20"/>
          <w:szCs w:val="20"/>
          <w:color w:val="auto"/>
        </w:rPr>
      </w:pPr>
      <w:r>
        <w:rPr>
          <w:rFonts w:ascii="Times New Roman" w:cs="Times New Roman" w:eastAsia="Times New Roman" w:hAnsi="Times New Roman"/>
          <w:sz w:val="10"/>
          <w:szCs w:val="10"/>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are no longer in default.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at year ended December 31, 2023 we had a secured convertible Loan Note Instrument in respect of $39,625,000 in aggregate principal amount of loan notes of $1.00 each in the capital of Rezolve.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Off-Balance Sheet Arrangements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December 31, 2022, we did not have any significant off-balance sheet arrangements, as defined in Item 303(a)(4)(ii) of Regulation 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Critical Accounting Policies and Estimates</w:t>
      </w:r>
    </w:p>
    <w:p>
      <w:pPr>
        <w:spacing w:after="0" w:line="60"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The Rezolve Financial Statements are prepared in conformity with U.S. generally accepted accounting principles. In preparing the Rezolve Financial Statements, we make assumptions, judgments and estimates that can have a significant impact on amounts reported in the Rezolve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2, “Basis of presentation and summary of significant accounting policies” in the Notes to the Rezolve Financial Statements included elsewhere in this prospectus. We believe that the following critical accounting policies affect the more significant judgments and estimates used in the preparation of the Rezolve Financial Statements.</w:t>
      </w:r>
    </w:p>
    <w:p>
      <w:pPr>
        <w:spacing w:after="0" w:line="106" w:lineRule="exact"/>
        <w:rPr>
          <w:sz w:val="20"/>
          <w:szCs w:val="20"/>
          <w:color w:val="auto"/>
        </w:rPr>
      </w:pPr>
    </w:p>
    <w:p>
      <w:pPr>
        <w:ind w:firstLine="480"/>
        <w:spacing w:after="0" w:line="259" w:lineRule="auto"/>
        <w:rPr>
          <w:sz w:val="20"/>
          <w:szCs w:val="20"/>
          <w:color w:val="auto"/>
        </w:rPr>
      </w:pPr>
      <w:r>
        <w:rPr>
          <w:rFonts w:ascii="Times New Roman" w:cs="Times New Roman" w:eastAsia="Times New Roman" w:hAnsi="Times New Roman"/>
          <w:sz w:val="10"/>
          <w:szCs w:val="10"/>
          <w:color w:val="auto"/>
        </w:rPr>
        <w:t>The carve-out consolidated financial statements of Rezolve AI Limited and its subsidiaries have been prepared in accordance with accounting principles generally accepted in the United States (the “</w:t>
      </w:r>
      <w:r>
        <w:rPr>
          <w:rFonts w:ascii="Times New Roman" w:cs="Times New Roman" w:eastAsia="Times New Roman" w:hAnsi="Times New Roman"/>
          <w:sz w:val="10"/>
          <w:szCs w:val="10"/>
          <w:b w:val="1"/>
          <w:bCs w:val="1"/>
          <w:i w:val="1"/>
          <w:iCs w:val="1"/>
          <w:color w:val="auto"/>
        </w:rPr>
        <w:t>Carve-out Consolidated Financial Statements</w:t>
      </w:r>
      <w:r>
        <w:rPr>
          <w:rFonts w:ascii="Times New Roman" w:cs="Times New Roman" w:eastAsia="Times New Roman" w:hAnsi="Times New Roman"/>
          <w:sz w:val="10"/>
          <w:szCs w:val="10"/>
          <w:color w:val="auto"/>
        </w:rPr>
        <w:t>”). The Carve-out Consolidated Financial Statements have been prepared using the United States Dollar as the reporting currency.</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3" w:right="660" w:bottom="1440" w:gutter="0" w:footer="0" w:header="0"/>
        </w:sectPr>
      </w:pPr>
    </w:p>
    <w:bookmarkStart w:id="61" w:name="page62"/>
    <w:bookmarkEnd w:id="61"/>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The Carve-out Consolidated Financial Statements include the financial statements of Rezolve AI Limited, Rezolve Limited, its consolidated subsidiaries and any variable interest entity in which we are the primary beneficiary, with the exception of the subsidiaries Rezolve Information Technology (Shanghai) Co., Ltd. (“</w:t>
      </w:r>
      <w:r>
        <w:rPr>
          <w:rFonts w:ascii="Times New Roman" w:cs="Times New Roman" w:eastAsia="Times New Roman" w:hAnsi="Times New Roman"/>
          <w:sz w:val="10"/>
          <w:szCs w:val="10"/>
          <w:b w:val="1"/>
          <w:bCs w:val="1"/>
          <w:i w:val="1"/>
          <w:iCs w:val="1"/>
          <w:color w:val="auto"/>
        </w:rPr>
        <w:t>Rezolve China</w:t>
      </w:r>
      <w:r>
        <w:rPr>
          <w:rFonts w:ascii="Times New Roman" w:cs="Times New Roman" w:eastAsia="Times New Roman" w:hAnsi="Times New Roman"/>
          <w:sz w:val="10"/>
          <w:szCs w:val="10"/>
          <w:color w:val="auto"/>
        </w:rPr>
        <w:t>”) and Rezolve China’s subsidiary Nine Stone (Shanghai) Ltd (“</w:t>
      </w:r>
      <w:r>
        <w:rPr>
          <w:rFonts w:ascii="Times New Roman" w:cs="Times New Roman" w:eastAsia="Times New Roman" w:hAnsi="Times New Roman"/>
          <w:sz w:val="10"/>
          <w:szCs w:val="10"/>
          <w:b w:val="1"/>
          <w:bCs w:val="1"/>
          <w:i w:val="1"/>
          <w:iCs w:val="1"/>
          <w:color w:val="auto"/>
        </w:rPr>
        <w:t>Nine Stone</w:t>
      </w:r>
      <w:r>
        <w:rPr>
          <w:rFonts w:ascii="Times New Roman" w:cs="Times New Roman" w:eastAsia="Times New Roman" w:hAnsi="Times New Roman"/>
          <w:sz w:val="10"/>
          <w:szCs w:val="10"/>
          <w:color w:val="auto"/>
        </w:rPr>
        <w:t>”) (collectively, the “</w:t>
      </w:r>
      <w:r>
        <w:rPr>
          <w:rFonts w:ascii="Times New Roman" w:cs="Times New Roman" w:eastAsia="Times New Roman" w:hAnsi="Times New Roman"/>
          <w:sz w:val="10"/>
          <w:szCs w:val="10"/>
          <w:b w:val="1"/>
          <w:bCs w:val="1"/>
          <w:i w:val="1"/>
          <w:iCs w:val="1"/>
          <w:color w:val="auto"/>
        </w:rPr>
        <w:t>China Business</w:t>
      </w:r>
      <w:r>
        <w:rPr>
          <w:rFonts w:ascii="Times New Roman" w:cs="Times New Roman" w:eastAsia="Times New Roman" w:hAnsi="Times New Roman"/>
          <w:sz w:val="10"/>
          <w:szCs w:val="10"/>
          <w:color w:val="auto"/>
        </w:rPr>
        <w:t>”).</w:t>
      </w:r>
    </w:p>
    <w:p>
      <w:pPr>
        <w:spacing w:after="0" w:line="101" w:lineRule="exact"/>
        <w:rPr>
          <w:sz w:val="20"/>
          <w:szCs w:val="20"/>
          <w:color w:val="auto"/>
        </w:rPr>
      </w:pPr>
    </w:p>
    <w:p>
      <w:pPr>
        <w:ind w:right="80" w:firstLine="480"/>
        <w:spacing w:after="0" w:line="238" w:lineRule="auto"/>
        <w:rPr>
          <w:sz w:val="20"/>
          <w:szCs w:val="20"/>
          <w:color w:val="auto"/>
        </w:rPr>
      </w:pPr>
      <w:r>
        <w:rPr>
          <w:rFonts w:ascii="Times New Roman" w:cs="Times New Roman" w:eastAsia="Times New Roman" w:hAnsi="Times New Roman"/>
          <w:sz w:val="10"/>
          <w:szCs w:val="10"/>
          <w:color w:val="auto"/>
        </w:rPr>
        <w:t xml:space="preserve">In response to the lack of available audit evidence from counterparties to complete audit procedures related to the operations of Rezolve Shanghai, the Company’s directors approved a plan to abandon its operations in China completely on January 3, 2023. Subsequently, on January 5, 2023, the Company’s directors approved an application to the United Kingdom (the “ </w:t>
      </w:r>
      <w:r>
        <w:rPr>
          <w:rFonts w:ascii="Times New Roman" w:cs="Times New Roman" w:eastAsia="Times New Roman" w:hAnsi="Times New Roman"/>
          <w:sz w:val="10"/>
          <w:szCs w:val="10"/>
          <w:b w:val="1"/>
          <w:bCs w:val="1"/>
          <w:i w:val="1"/>
          <w:iCs w:val="1"/>
          <w:color w:val="auto"/>
        </w:rPr>
        <w:t>UK</w:t>
      </w:r>
      <w:r>
        <w:rPr>
          <w:rFonts w:ascii="Times New Roman" w:cs="Times New Roman" w:eastAsia="Times New Roman" w:hAnsi="Times New Roman"/>
          <w:sz w:val="10"/>
          <w:szCs w:val="10"/>
          <w:color w:val="auto"/>
        </w:rPr>
        <w:t xml:space="preserve"> ”) tax authorities requesting tax clearance for a solvent demerger (the “</w:t>
      </w:r>
      <w:r>
        <w:rPr>
          <w:rFonts w:ascii="Times New Roman" w:cs="Times New Roman" w:eastAsia="Times New Roman" w:hAnsi="Times New Roman"/>
          <w:sz w:val="10"/>
          <w:szCs w:val="10"/>
          <w:b w:val="1"/>
          <w:bCs w:val="1"/>
          <w:i w:val="1"/>
          <w:iCs w:val="1"/>
          <w:color w:val="auto"/>
        </w:rPr>
        <w:t>Demerger</w:t>
      </w:r>
      <w:r>
        <w:rPr>
          <w:rFonts w:ascii="Times New Roman" w:cs="Times New Roman" w:eastAsia="Times New Roman" w:hAnsi="Times New Roman"/>
          <w:sz w:val="10"/>
          <w:szCs w:val="10"/>
          <w:color w:val="auto"/>
        </w:rPr>
        <w:t>”) of the Company under section 110 of the UK Insolvency Act, 1986 which clearance was subsequently granted. The Demerger involves establishing a new holding company, Rezolve AI Limited (“</w:t>
      </w:r>
      <w:r>
        <w:rPr>
          <w:rFonts w:ascii="Times New Roman" w:cs="Times New Roman" w:eastAsia="Times New Roman" w:hAnsi="Times New Roman"/>
          <w:sz w:val="10"/>
          <w:szCs w:val="10"/>
          <w:b w:val="1"/>
          <w:bCs w:val="1"/>
          <w:i w:val="1"/>
          <w:iCs w:val="1"/>
          <w:color w:val="auto"/>
        </w:rPr>
        <w:t>Rezolve AI</w:t>
      </w:r>
      <w:r>
        <w:rPr>
          <w:rFonts w:ascii="Times New Roman" w:cs="Times New Roman" w:eastAsia="Times New Roman" w:hAnsi="Times New Roman"/>
          <w:sz w:val="10"/>
          <w:szCs w:val="10"/>
          <w:color w:val="auto"/>
        </w:rPr>
        <w:t>”),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It is anticipated that the Demerger will be completed before the completion of the business combination with Armada, which will be effected with Rezolve AI instead of Rezolve Limited. The listed company will consist of Rezolve AI and its subsidiaries, which will legally not include Rezolve Shanghai directly or indirectly.</w:t>
      </w:r>
    </w:p>
    <w:p>
      <w:pPr>
        <w:spacing w:after="0" w:line="109"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These Carve-out Consolidated Financial Statements have been prepared on the basis that the Demerger was completed retrospectively on December 31, 2020, and thus reflects the predecessor company prior to completion of the Demerger. They are prepared on a carve- out basis. Investments made in the China Business by Rezolve Limited in the People’s Republic of China for the years ending December 31, 2022 and 2021 have been presented as “Business development expenses” in the Company’s Consolidated Statement of Operations in accordance with Staff Accounting Bulletin Topic 1-B1, Costs reflected in historical financial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Revenue from Contracts with Customers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Under ASC 606, the Company determines revenue recognition through the following steps: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the contract, or contracts, with the customer;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the performance obligations in the contract;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•Determining the transaction price;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•Allocating the transaction price to performance obligations in the contract;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•Recognizing revenue when, or as, the Company satisfies performance obligations by transferring the promised goods or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Recently Issued Accounting Pronouncements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description of recently issued accounting pronouncements that may potentially impact our financial position, results of operations or cash flows is disclosed in Note 3 to the Rezolve Financial Statements included elsewhere in this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Quantitative and Qualitative Disclosures About Market Risk</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Interest Rate Risk</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have no interest rate risk, as the interest rate on our senior secured convertible loan notes is fixed, and the accrued interest converts into ordinary shares upon completion of a listing on a recognized stock exchange.</w:t>
      </w:r>
    </w:p>
    <w:p>
      <w:pPr>
        <w:spacing w:after="0" w:line="118"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As of December 31, 2023, the principal amount outstanding of our senior secured convertible loan notes was $39.5 million. We carry the senior secured convertible loan notes at face value on our consolidated balance sheets. We do not have any material debt issuance costs.</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1155" w:right="70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0"/>
          <w:szCs w:val="10"/>
          <w:b w:val="1"/>
          <w:bCs w:val="1"/>
          <w:i w:val="1"/>
          <w:iCs w:val="1"/>
          <w:color w:val="auto"/>
        </w:rPr>
        <w:t>Foreign Currency Risk</w:t>
      </w:r>
    </w:p>
    <w:p>
      <w:pPr>
        <w:spacing w:after="0" w:line="58" w:lineRule="exact"/>
        <w:rPr>
          <w:sz w:val="20"/>
          <w:szCs w:val="20"/>
          <w:color w:val="auto"/>
        </w:rPr>
      </w:pPr>
    </w:p>
    <w:p>
      <w:pPr>
        <w:ind w:firstLine="480"/>
        <w:spacing w:after="0" w:line="259" w:lineRule="auto"/>
        <w:rPr>
          <w:sz w:val="20"/>
          <w:szCs w:val="20"/>
          <w:color w:val="auto"/>
        </w:rPr>
      </w:pPr>
      <w:r>
        <w:rPr>
          <w:rFonts w:ascii="Times New Roman" w:cs="Times New Roman" w:eastAsia="Times New Roman" w:hAnsi="Times New Roman"/>
          <w:sz w:val="10"/>
          <w:szCs w:val="10"/>
          <w:color w:val="auto"/>
        </w:rPr>
        <w:t>All of our revenue is denominated in the Euro (“</w:t>
      </w:r>
      <w:r>
        <w:rPr>
          <w:rFonts w:ascii="Times New Roman" w:cs="Times New Roman" w:eastAsia="Times New Roman" w:hAnsi="Times New Roman"/>
          <w:sz w:val="10"/>
          <w:szCs w:val="10"/>
          <w:b w:val="1"/>
          <w:bCs w:val="1"/>
          <w:i w:val="1"/>
          <w:iCs w:val="1"/>
          <w:color w:val="auto"/>
        </w:rPr>
        <w:t>EUR</w:t>
      </w:r>
      <w:r>
        <w:rPr>
          <w:rFonts w:ascii="Times New Roman" w:cs="Times New Roman" w:eastAsia="Times New Roman" w:hAnsi="Times New Roman"/>
          <w:sz w:val="10"/>
          <w:szCs w:val="10"/>
          <w:color w:val="auto"/>
        </w:rPr>
        <w:t>”) since our sales are primarily in Spain. Based upon our level of operations for the year ended December 31, 2023, a sensitivity analysis shows that a 10% appreciation or depreciation in the EUR against the dollar would have increased or decreased, respectively, our revenue for the years ended December 31, 2023 and 2022 by approximately $0.01 million and $0.01 million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Inflation Risk</w:t>
      </w:r>
    </w:p>
    <w:p>
      <w:pPr>
        <w:spacing w:after="0" w:line="6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Credit Risk</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Liquidity and Capital Resources</w:t>
      </w:r>
    </w:p>
    <w:p>
      <w:pPr>
        <w:spacing w:after="0" w:line="6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w:t>
      </w:r>
    </w:p>
    <w:p>
      <w:pPr>
        <w:spacing w:after="0" w:line="101" w:lineRule="exact"/>
        <w:rPr>
          <w:sz w:val="20"/>
          <w:szCs w:val="20"/>
          <w:color w:val="auto"/>
        </w:rPr>
      </w:pPr>
    </w:p>
    <w:p>
      <w:pPr>
        <w:ind w:right="360" w:firstLine="480"/>
        <w:spacing w:after="0" w:line="255" w:lineRule="auto"/>
        <w:rPr>
          <w:sz w:val="20"/>
          <w:szCs w:val="20"/>
          <w:color w:val="auto"/>
        </w:rPr>
      </w:pPr>
      <w:r>
        <w:rPr>
          <w:rFonts w:ascii="Times New Roman" w:cs="Times New Roman" w:eastAsia="Times New Roman" w:hAnsi="Times New Roman"/>
          <w:sz w:val="10"/>
          <w:szCs w:val="10"/>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no longer in default.</w:t>
      </w:r>
    </w:p>
    <w:p>
      <w:pPr>
        <w:spacing w:after="0" w:line="101"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•Seeking additional capital through the issuance of debtor equity securities.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•Generating revenue by execution of successful trials and long-term partner arrangements.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•Reducing expenses by taking restructuring actions and reducing the number of employees and consultants.</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•Limiting capital expenditures</w:t>
      </w:r>
      <w:r>
        <w:rPr>
          <w:rFonts w:ascii="Times New Roman" w:cs="Times New Roman" w:eastAsia="Times New Roman" w:hAnsi="Times New Roman"/>
          <w:sz w:val="10"/>
          <w:szCs w:val="10"/>
          <w:i w:val="1"/>
          <w:iCs w:val="1"/>
          <w:color w:val="auto"/>
        </w:rPr>
        <w:t>.</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2023 we financed our operations in large part with cash flows from financing activities through cash proceeds from issuance of convertible and short term-debt and a rights issue.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Yorkville Convertible Promissory Note and Capital Commitment</w:t>
      </w:r>
    </w:p>
    <w:p>
      <w:pPr>
        <w:spacing w:after="0" w:line="60"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212529"/>
        </w:rPr>
        <w:t>On February 23, 2023, Rezolve Limited entered into the YA Agreement, which was amended and restated on February 2, 2024 to provide for, inter alia, Rezolve AI Limited joining as a party to the agreement. Pursuant to the YA Agreement, Rezolve has the right to sell to YA up to $250,000,000 Ordinary Shares, subject to certain limitations and conditions set forth in the YA Agreement, from time to time during the term of the YA Agreement. In connection with the amendment and restatement of the YA Agreement, on February 2, 2024, Rezolve Limited and Rezolve issued the YA Note with a total principal amount of $2.5 million to YA, pursuant to the terms of the YA Note Instrument.</w:t>
      </w:r>
    </w:p>
    <w:p>
      <w:pPr>
        <w:spacing w:after="0" w:line="45" w:lineRule="exact"/>
        <w:rPr>
          <w:sz w:val="20"/>
          <w:szCs w:val="20"/>
          <w:color w:val="auto"/>
        </w:rPr>
      </w:pPr>
    </w:p>
    <w:p>
      <w:pPr>
        <w:jc w:val="both"/>
        <w:ind w:right="120" w:firstLine="705"/>
        <w:spacing w:after="0" w:line="285" w:lineRule="auto"/>
        <w:rPr>
          <w:sz w:val="20"/>
          <w:szCs w:val="20"/>
          <w:color w:val="auto"/>
        </w:rPr>
      </w:pPr>
      <w:r>
        <w:rPr>
          <w:rFonts w:ascii="Times New Roman" w:cs="Times New Roman" w:eastAsia="Times New Roman" w:hAnsi="Times New Roman"/>
          <w:sz w:val="9"/>
          <w:szCs w:val="9"/>
          <w:color w:val="auto"/>
        </w:rPr>
        <w:t>On September 6, 2024, YA and Rezolve amended and restated the YA Agreement to incorporate an additional prepaid advance arrangement pursuant to which YA committed to provide Rezolve with prepaid advances in an aggregate original principal amount of an additional Seven Million Five Hundred Thousand Dollars ($7,500,000), payable in three tranches, with the first tranche in an original principal amount of Two Million Five Hundred Thousand Dollars ($2,500,000) that was funded as part of the Second YA Note (as defined below), the second tranche in an original principal amount of Two Million Five Hundred Thousand Dollars ($2,500,000) that was funded as part of the Second YA Note and the third tranche in an original principal amount of Two Million Five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0"/>
          <w:szCs w:val="10"/>
          <w:color w:val="auto"/>
        </w:rPr>
        <w:t>Hundred Thousand Dollars ($2,500,000) that was funded as part of the Third YA Note (as defined below). The Second A&amp;R YA Agreement superseded the original agreement.</w:t>
      </w:r>
    </w:p>
    <w:p>
      <w:pPr>
        <w:spacing w:after="0" w:line="58" w:lineRule="exact"/>
        <w:rPr>
          <w:sz w:val="20"/>
          <w:szCs w:val="20"/>
          <w:color w:val="auto"/>
        </w:rPr>
      </w:pPr>
    </w:p>
    <w:p>
      <w:pPr>
        <w:jc w:val="both"/>
        <w:ind w:right="100" w:firstLine="705"/>
        <w:spacing w:after="0" w:line="245" w:lineRule="auto"/>
        <w:rPr>
          <w:sz w:val="20"/>
          <w:szCs w:val="20"/>
          <w:color w:val="auto"/>
        </w:rPr>
      </w:pPr>
      <w:r>
        <w:rPr>
          <w:rFonts w:ascii="Times New Roman" w:cs="Times New Roman" w:eastAsia="Times New Roman" w:hAnsi="Times New Roman"/>
          <w:sz w:val="10"/>
          <w:szCs w:val="10"/>
          <w:color w:val="auto"/>
        </w:rPr>
        <w:t>In connection with the execution of the Second A&amp;R YA Agreement, YA and Rezolve also entered into a second amendment to convertible promissory note and acknowledgement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spacing w:after="0" w:line="45" w:lineRule="exact"/>
        <w:rPr>
          <w:sz w:val="20"/>
          <w:szCs w:val="20"/>
          <w:color w:val="auto"/>
        </w:rPr>
      </w:pPr>
    </w:p>
    <w:p>
      <w:pPr>
        <w:ind w:firstLine="705"/>
        <w:spacing w:after="0" w:line="310" w:lineRule="auto"/>
        <w:rPr>
          <w:sz w:val="20"/>
          <w:szCs w:val="20"/>
          <w:color w:val="auto"/>
        </w:rPr>
      </w:pPr>
      <w:r>
        <w:rPr>
          <w:rFonts w:ascii="Times New Roman" w:cs="Times New Roman" w:eastAsia="Times New Roman" w:hAnsi="Times New Roman"/>
          <w:sz w:val="9"/>
          <w:szCs w:val="9"/>
          <w:color w:val="auto"/>
        </w:rPr>
        <w:t>Also in connection with the Second A&amp;R YA Agreement, on September 9, 2024, Rezolve issued the Second YA Note in the principal amount of $5,000,000, reflecting the first and second tranche of the prepaid advances, and on November 29, 2024, upon effectiveness of the F-1 Registration Statement originally filed with the U.S. Securities and Exchange Commission on September 6, 2024, and declared effective on November 27, 2024, Rezolve issued YA the Third YA Note in the principal amount of $2,500,000.</w:t>
      </w:r>
    </w:p>
    <w:p>
      <w:pPr>
        <w:spacing w:after="0" w:line="78" w:lineRule="exact"/>
        <w:rPr>
          <w:sz w:val="20"/>
          <w:szCs w:val="20"/>
          <w:color w:val="auto"/>
        </w:rPr>
      </w:pPr>
    </w:p>
    <w:p>
      <w:pPr>
        <w:ind w:right="100" w:firstLine="705"/>
        <w:spacing w:after="0" w:line="255" w:lineRule="auto"/>
        <w:rPr>
          <w:sz w:val="20"/>
          <w:szCs w:val="20"/>
          <w:color w:val="auto"/>
        </w:rPr>
      </w:pPr>
      <w:r>
        <w:rPr>
          <w:rFonts w:ascii="Times New Roman" w:cs="Times New Roman" w:eastAsia="Times New Roman" w:hAnsi="Times New Roman"/>
          <w:sz w:val="10"/>
          <w:szCs w:val="10"/>
          <w:color w:val="auto"/>
        </w:rPr>
        <w:t>As of December 30, 2024, the Company satisfied all of the the principal and interest outstanding under the YA Notes. In connection therewith, the Company issued an aggregate of 5,724,154 Ordinary Shares (including in payment of a fee to YA). As of the date hereof, no amount remains outstanding under the YA Notes.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Convertible Secured Loan Notes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Business Combination Agreement, on December 16, 2021, Rezolve Limited entered into the Loan Note Instrument. Upon the closing of the Pre-Closing Demerger, the Loan Note Instrument was novated to Rezolve and was secured by a debenture over the assets of Rezolve. As of December 5, 2024, there was outstanding an aggregate amount of approximately $49 million of Convertible Notes outstanding under the Loan Note Instrument.</w:t>
      </w:r>
    </w:p>
    <w:p>
      <w:pPr>
        <w:spacing w:after="0" w:line="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On December 5, 2024, pursuant to the terms of the Loan Note Instrument, one of the holders of the Convertible Notes converted all of his approximately $8 million of outstanding Convertible Notes at a conversion price of $7 per ordinary share.</w:t>
      </w:r>
    </w:p>
    <w:p>
      <w:pPr>
        <w:spacing w:after="0" w:line="1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On December 17, 2024, the Company, Apeiron Investment Group Ltd. and Bradley Wickens, the beneficial holders of the majority of Convertible Notes entered into an agreement (the “</w:t>
      </w:r>
      <w:r>
        <w:rPr>
          <w:rFonts w:ascii="Times New Roman" w:cs="Times New Roman" w:eastAsia="Times New Roman" w:hAnsi="Times New Roman"/>
          <w:sz w:val="10"/>
          <w:szCs w:val="10"/>
          <w:b w:val="1"/>
          <w:bCs w:val="1"/>
          <w:i w:val="1"/>
          <w:iCs w:val="1"/>
          <w:color w:val="auto"/>
        </w:rPr>
        <w:t>Agreement</w:t>
      </w:r>
      <w:r>
        <w:rPr>
          <w:rFonts w:ascii="Times New Roman" w:cs="Times New Roman" w:eastAsia="Times New Roman" w:hAnsi="Times New Roman"/>
          <w:sz w:val="10"/>
          <w:szCs w:val="10"/>
          <w:color w:val="auto"/>
        </w:rPr>
        <w:t>”) to amend the Loan Note Instrument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b w:val="1"/>
          <w:bCs w:val="1"/>
          <w:i w:val="1"/>
          <w:iCs w:val="1"/>
          <w:color w:val="auto"/>
        </w:rPr>
        <w:t>Amendment</w:t>
      </w:r>
      <w:r>
        <w:rPr>
          <w:rFonts w:ascii="Times New Roman" w:cs="Times New Roman" w:eastAsia="Times New Roman" w:hAnsi="Times New Roman"/>
          <w:sz w:val="9"/>
          <w:szCs w:val="9"/>
          <w:color w:val="auto"/>
        </w:rPr>
        <w:t>”) and that the beneficial holders shall procure that the registered nominees holding their Convertible Notes provide the necessary consents to the Amendment. Pursuant to the Amendment, the conversion price with respect to approximately $41 million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outstanding Convertible Notes was revised to equal $2 per ordinary share.</w:t>
      </w:r>
    </w:p>
    <w:p>
      <w:pPr>
        <w:spacing w:after="0" w:line="1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In December 2024, all of the remaining Convertible Note holders elected to convert. As of the date hereof, no amount remains outstanding under the Convertible Notes.</w:t>
      </w:r>
    </w:p>
    <w:p>
      <w:pPr>
        <w:spacing w:after="0" w:line="118" w:lineRule="exact"/>
        <w:rPr>
          <w:sz w:val="20"/>
          <w:szCs w:val="20"/>
          <w:color w:val="auto"/>
        </w:rPr>
      </w:pPr>
    </w:p>
    <w:p>
      <w:pPr>
        <w:ind w:right="80" w:firstLine="705"/>
        <w:spacing w:after="0" w:line="245" w:lineRule="auto"/>
        <w:rPr>
          <w:sz w:val="20"/>
          <w:szCs w:val="20"/>
          <w:color w:val="auto"/>
        </w:rPr>
      </w:pPr>
      <w:r>
        <w:rPr>
          <w:rFonts w:ascii="Times New Roman" w:cs="Times New Roman" w:eastAsia="Times New Roman" w:hAnsi="Times New Roman"/>
          <w:sz w:val="10"/>
          <w:szCs w:val="10"/>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05" w:lineRule="exact"/>
        <w:rPr>
          <w:sz w:val="20"/>
          <w:szCs w:val="20"/>
          <w:color w:val="auto"/>
        </w:rPr>
      </w:pPr>
    </w:p>
    <w:p>
      <w:pPr>
        <w:ind w:right="60" w:firstLine="705"/>
        <w:spacing w:after="0" w:line="285" w:lineRule="auto"/>
        <w:rPr>
          <w:sz w:val="20"/>
          <w:szCs w:val="20"/>
          <w:color w:val="auto"/>
        </w:rPr>
      </w:pPr>
      <w:r>
        <w:rPr>
          <w:rFonts w:ascii="Times New Roman" w:cs="Times New Roman" w:eastAsia="Times New Roman" w:hAnsi="Times New Roman"/>
          <w:sz w:val="9"/>
          <w:szCs w:val="9"/>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1—Inputs are quoted prices (unadjusted) in active markets for identical assets or liabilities that the Company has the ability to access at the measurement date.</w:t>
      </w:r>
    </w:p>
    <w:p>
      <w:pPr>
        <w:spacing w:after="0" w:line="58" w:lineRule="exact"/>
        <w:rPr>
          <w:sz w:val="20"/>
          <w:szCs w:val="20"/>
          <w:color w:val="auto"/>
        </w:rPr>
      </w:pPr>
    </w:p>
    <w:p>
      <w:pPr>
        <w:ind w:left="480" w:right="480"/>
        <w:spacing w:after="0" w:line="255" w:lineRule="auto"/>
        <w:rPr>
          <w:sz w:val="20"/>
          <w:szCs w:val="20"/>
          <w:color w:val="auto"/>
        </w:rPr>
      </w:pPr>
      <w:r>
        <w:rPr>
          <w:rFonts w:ascii="Times New Roman" w:cs="Times New Roman" w:eastAsia="Times New Roman" w:hAnsi="Times New Roman"/>
          <w:sz w:val="10"/>
          <w:szCs w:val="10"/>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3—Inputs are unobservable inputs for the asset or liability.</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64" w:name="page65"/>
    <w:bookmarkEnd w:id="64"/>
    <w:p>
      <w:pPr>
        <w:ind w:left="480"/>
        <w:spacing w:after="0"/>
        <w:rPr>
          <w:sz w:val="20"/>
          <w:szCs w:val="20"/>
          <w:color w:val="auto"/>
        </w:rPr>
      </w:pPr>
      <w:r>
        <w:rPr>
          <w:rFonts w:ascii="Times New Roman" w:cs="Times New Roman" w:eastAsia="Times New Roman" w:hAnsi="Times New Roman"/>
          <w:sz w:val="10"/>
          <w:szCs w:val="10"/>
          <w:color w:val="auto"/>
        </w:rPr>
        <w:t>The level in the fair value hierarchy within which a fair value measurement in its entirety falls is based on the lowest-level input that is significant to the fair value measurement in its entirety.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Fair value measurement at reporting date:</w:t>
      </w:r>
    </w:p>
    <w:p>
      <w:pPr>
        <w:spacing w:after="0" w:line="153" w:lineRule="exact"/>
        <w:rPr>
          <w:sz w:val="20"/>
          <w:szCs w:val="20"/>
          <w:color w:val="auto"/>
        </w:rPr>
      </w:pPr>
    </w:p>
    <w:tbl>
      <w:tblPr>
        <w:tblLayout w:type="fixed"/>
        <w:tblInd w:w="1060" w:type="dxa"/>
        <w:tblCellMar>
          <w:top w:w="0" w:type="dxa"/>
          <w:left w:w="0" w:type="dxa"/>
          <w:bottom w:w="0" w:type="dxa"/>
          <w:right w:w="0" w:type="dxa"/>
        </w:tblCellMar>
      </w:tblPr>
      <w:tr>
        <w:trPr>
          <w:trHeight w:val="106"/>
        </w:trPr>
        <w:tc>
          <w:tcPr>
            <w:tcW w:w="30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Description</w:t>
            </w:r>
          </w:p>
        </w:tc>
        <w:tc>
          <w:tcPr>
            <w:tcW w:w="2880" w:type="dxa"/>
            <w:vAlign w:val="bottom"/>
          </w:tcPr>
          <w:p>
            <w:pPr>
              <w:ind w:left="1760"/>
              <w:spacing w:after="0"/>
              <w:rPr>
                <w:sz w:val="20"/>
                <w:szCs w:val="20"/>
                <w:color w:val="auto"/>
              </w:rPr>
            </w:pPr>
            <w:r>
              <w:rPr>
                <w:rFonts w:ascii="Times New Roman" w:cs="Times New Roman" w:eastAsia="Times New Roman" w:hAnsi="Times New Roman"/>
                <w:sz w:val="8"/>
                <w:szCs w:val="8"/>
                <w:b w:val="1"/>
                <w:bCs w:val="1"/>
                <w:color w:val="auto"/>
              </w:rPr>
              <w:t>Level 1</w:t>
            </w:r>
          </w:p>
        </w:tc>
        <w:tc>
          <w:tcPr>
            <w:tcW w:w="1200" w:type="dxa"/>
            <w:vAlign w:val="bottom"/>
          </w:tcPr>
          <w:p>
            <w:pPr>
              <w:ind w:left="340"/>
              <w:spacing w:after="0"/>
              <w:rPr>
                <w:sz w:val="20"/>
                <w:szCs w:val="20"/>
                <w:color w:val="auto"/>
              </w:rPr>
            </w:pPr>
            <w:r>
              <w:rPr>
                <w:rFonts w:ascii="Times New Roman" w:cs="Times New Roman" w:eastAsia="Times New Roman" w:hAnsi="Times New Roman"/>
                <w:sz w:val="8"/>
                <w:szCs w:val="8"/>
                <w:b w:val="1"/>
                <w:bCs w:val="1"/>
                <w:color w:val="auto"/>
              </w:rPr>
              <w:t>Level 2</w:t>
            </w:r>
          </w:p>
        </w:tc>
        <w:tc>
          <w:tcPr>
            <w:tcW w:w="320" w:type="dxa"/>
            <w:vAlign w:val="bottom"/>
          </w:tcPr>
          <w:p>
            <w:pPr>
              <w:spacing w:after="0"/>
              <w:rPr>
                <w:sz w:val="9"/>
                <w:szCs w:val="9"/>
                <w:color w:val="auto"/>
              </w:rPr>
            </w:pPr>
          </w:p>
        </w:tc>
        <w:tc>
          <w:tcPr>
            <w:tcW w:w="1060" w:type="dxa"/>
            <w:vAlign w:val="bottom"/>
          </w:tcPr>
          <w:p>
            <w:pPr>
              <w:jc w:val="right"/>
              <w:ind w:right="534"/>
              <w:spacing w:after="0"/>
              <w:rPr>
                <w:sz w:val="20"/>
                <w:szCs w:val="20"/>
                <w:color w:val="auto"/>
              </w:rPr>
            </w:pPr>
            <w:r>
              <w:rPr>
                <w:rFonts w:ascii="Times New Roman" w:cs="Times New Roman" w:eastAsia="Times New Roman" w:hAnsi="Times New Roman"/>
                <w:sz w:val="8"/>
                <w:szCs w:val="8"/>
                <w:b w:val="1"/>
                <w:bCs w:val="1"/>
                <w:color w:val="auto"/>
              </w:rPr>
              <w:t>Level 3</w:t>
            </w:r>
          </w:p>
        </w:tc>
      </w:tr>
      <w:tr>
        <w:trPr>
          <w:trHeight w:val="113"/>
        </w:trPr>
        <w:tc>
          <w:tcPr>
            <w:tcW w:w="30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December 31, 2023</w:t>
            </w:r>
          </w:p>
        </w:tc>
        <w:tc>
          <w:tcPr>
            <w:tcW w:w="28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r>
      <w:tr>
        <w:trPr>
          <w:trHeight w:val="113"/>
        </w:trPr>
        <w:tc>
          <w:tcPr>
            <w:tcW w:w="3040" w:type="dxa"/>
            <w:vAlign w:val="bottom"/>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113"/>
        </w:trPr>
        <w:tc>
          <w:tcPr>
            <w:tcW w:w="30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(1) Share-based payment liability</w:t>
            </w:r>
          </w:p>
        </w:tc>
        <w:tc>
          <w:tcPr>
            <w:tcW w:w="2880" w:type="dxa"/>
            <w:vAlign w:val="bottom"/>
            <w:shd w:val="clear" w:color="auto" w:fill="CFF0FC"/>
          </w:tcPr>
          <w:p>
            <w:pPr>
              <w:ind w:left="24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00" w:type="dxa"/>
            <w:vAlign w:val="bottom"/>
            <w:shd w:val="clear" w:color="auto" w:fill="CFF0FC"/>
          </w:tcPr>
          <w:p>
            <w:pPr>
              <w:ind w:left="10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FF0FC"/>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1,177,617</w:t>
            </w:r>
          </w:p>
        </w:tc>
      </w:tr>
      <w:tr>
        <w:trPr>
          <w:trHeight w:val="113"/>
        </w:trPr>
        <w:tc>
          <w:tcPr>
            <w:tcW w:w="30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December 31, 2022</w:t>
            </w:r>
          </w:p>
        </w:tc>
        <w:tc>
          <w:tcPr>
            <w:tcW w:w="2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113"/>
        </w:trPr>
        <w:tc>
          <w:tcPr>
            <w:tcW w:w="30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8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r>
      <w:tr>
        <w:trPr>
          <w:trHeight w:val="125"/>
        </w:trPr>
        <w:tc>
          <w:tcPr>
            <w:tcW w:w="3040" w:type="dxa"/>
            <w:vAlign w:val="bottom"/>
          </w:tcPr>
          <w:p>
            <w:pPr>
              <w:spacing w:after="0"/>
              <w:rPr>
                <w:sz w:val="20"/>
                <w:szCs w:val="20"/>
                <w:color w:val="auto"/>
              </w:rPr>
            </w:pPr>
            <w:r>
              <w:rPr>
                <w:rFonts w:ascii="Times New Roman" w:cs="Times New Roman" w:eastAsia="Times New Roman" w:hAnsi="Times New Roman"/>
                <w:sz w:val="10"/>
                <w:szCs w:val="10"/>
                <w:color w:val="auto"/>
              </w:rPr>
              <w:t>(1) Share-based payment liability</w:t>
            </w:r>
          </w:p>
        </w:tc>
        <w:tc>
          <w:tcPr>
            <w:tcW w:w="2880" w:type="dxa"/>
            <w:vAlign w:val="bottom"/>
          </w:tcPr>
          <w:p>
            <w:pPr>
              <w:ind w:left="2440"/>
              <w:spacing w:after="0"/>
              <w:rPr>
                <w:sz w:val="20"/>
                <w:szCs w:val="20"/>
                <w:color w:val="auto"/>
              </w:rPr>
            </w:pPr>
            <w:r>
              <w:rPr>
                <w:rFonts w:ascii="Times New Roman" w:cs="Times New Roman" w:eastAsia="Times New Roman" w:hAnsi="Times New Roman"/>
                <w:sz w:val="10"/>
                <w:szCs w:val="10"/>
                <w:color w:val="auto"/>
              </w:rPr>
              <w:t>—</w:t>
            </w:r>
          </w:p>
        </w:tc>
        <w:tc>
          <w:tcPr>
            <w:tcW w:w="1200" w:type="dxa"/>
            <w:vAlign w:val="bottom"/>
          </w:tcPr>
          <w:p>
            <w:pPr>
              <w:ind w:left="102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1,311,028</w:t>
            </w: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(1)The fair value of the share-based payment liability was valued using a discounted cash flow method using a risk adjusted discount rate of 10.8%.</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carrying amount of the Company’s cash, accounts receivable, accounts payable and accrued expenses approximated their fair values due to their short term to maturity.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Other Convertible Promissory Notes and Warrants</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In February 2024, certain persons (including Apeiron Investment Group Ltd and certain related parties of Rezolve) entered into Subscription Agreements to subscribe for the Promissory Notes with a total principal amount of $2,849,906 in consideration for an advance by each subscriber to Rezolve Limited of the Net Investment Amount.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Promissory Notes were issued during the course of February, 2024, pursuant to the terms of the Promissory Note Instruments.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With effect from the completion of the Pre-Closing Demerger, the rights and obligations of Rezolve Limited under the Subscription Agreements and the Promissory Note Instruments were novated to Rezolve AI Limited.</w:t>
      </w:r>
    </w:p>
    <w:p>
      <w:pPr>
        <w:spacing w:after="0" w:line="118"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(save where an event of default has occurred and is continuing, an 18% interest rate will apply). The Promissory Notes are freely transferrable in whole or in part, subject to the terms of the Promissory Notes Instrument.</w:t>
      </w:r>
    </w:p>
    <w:p>
      <w:pPr>
        <w:spacing w:after="0" w:line="105"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 Promissory Notes are convertible into ordinary shares in Rezolve AI Limited.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105"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Rezolve has the right to redeem early a portion or all amounts outstanding under the Promissory Notes pursuant to a Redemption Notice, provided that on the date of the Redemption Notice the VWAP of the ordinary shares in Rezolve AI Limited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103" w:lineRule="exact"/>
        <w:rPr>
          <w:sz w:val="20"/>
          <w:szCs w:val="20"/>
          <w:color w:val="auto"/>
        </w:rPr>
      </w:pPr>
    </w:p>
    <w:p>
      <w:pPr>
        <w:ind w:right="20" w:firstLine="480"/>
        <w:spacing w:after="0" w:line="278" w:lineRule="auto"/>
        <w:rPr>
          <w:sz w:val="20"/>
          <w:szCs w:val="20"/>
          <w:color w:val="auto"/>
        </w:rPr>
      </w:pPr>
      <w:r>
        <w:rPr>
          <w:rFonts w:ascii="Times New Roman" w:cs="Times New Roman" w:eastAsia="Times New Roman" w:hAnsi="Times New Roman"/>
          <w:sz w:val="9"/>
          <w:szCs w:val="9"/>
          <w:color w:val="auto"/>
        </w:rPr>
        <w:t>Following the public listing of the ordinary shares in Rezolve AI Limited, if a “</w:t>
      </w:r>
      <w:r>
        <w:rPr>
          <w:rFonts w:ascii="Times New Roman" w:cs="Times New Roman" w:eastAsia="Times New Roman" w:hAnsi="Times New Roman"/>
          <w:sz w:val="9"/>
          <w:szCs w:val="9"/>
          <w:b w:val="1"/>
          <w:bCs w:val="1"/>
          <w:i w:val="1"/>
          <w:iCs w:val="1"/>
          <w:color w:val="auto"/>
        </w:rPr>
        <w:t>Promissory Note Trigger Event</w:t>
      </w:r>
      <w:r>
        <w:rPr>
          <w:rFonts w:ascii="Times New Roman" w:cs="Times New Roman" w:eastAsia="Times New Roman" w:hAnsi="Times New Roman"/>
          <w:sz w:val="9"/>
          <w:szCs w:val="9"/>
          <w:color w:val="auto"/>
        </w:rPr>
        <w:t>” occurs (being where (i) the daily VWAP is less than the Floor Price for five (5) trading days during a period of seven (7) consecutive trading days (the “</w:t>
      </w:r>
      <w:r>
        <w:rPr>
          <w:rFonts w:ascii="Times New Roman" w:cs="Times New Roman" w:eastAsia="Times New Roman" w:hAnsi="Times New Roman"/>
          <w:sz w:val="9"/>
          <w:szCs w:val="9"/>
          <w:b w:val="1"/>
          <w:bCs w:val="1"/>
          <w:i w:val="1"/>
          <w:iCs w:val="1"/>
          <w:color w:val="auto"/>
        </w:rPr>
        <w:t>Promissory Note Floor Price Trigger</w:t>
      </w:r>
      <w:r>
        <w:rPr>
          <w:rFonts w:ascii="Times New Roman" w:cs="Times New Roman" w:eastAsia="Times New Roman" w:hAnsi="Times New Roman"/>
          <w:sz w:val="9"/>
          <w:szCs w:val="9"/>
          <w:color w:val="auto"/>
        </w:rPr>
        <w:t>”), or (ii) Rezolve AI Limited has issued in excess of 99% of the ordinary shares available under the Exchange Cap unless Rezolve AI Limited shareholders have approved such issuances, or if Rezolve AI Limited is permitted to follow (and has elected to do so) its home country practices instead of the stockholder approval requirements of Nasdaq Rule 5635) (the “</w:t>
      </w:r>
      <w:r>
        <w:rPr>
          <w:rFonts w:ascii="Times New Roman" w:cs="Times New Roman" w:eastAsia="Times New Roman" w:hAnsi="Times New Roman"/>
          <w:sz w:val="9"/>
          <w:szCs w:val="9"/>
          <w:b w:val="1"/>
          <w:bCs w:val="1"/>
          <w:i w:val="1"/>
          <w:iCs w:val="1"/>
          <w:color w:val="auto"/>
        </w:rPr>
        <w:t>Promissory Note Exchange Cap Trigger</w:t>
      </w:r>
      <w:r>
        <w:rPr>
          <w:rFonts w:ascii="Times New Roman" w:cs="Times New Roman" w:eastAsia="Times New Roman" w:hAnsi="Times New Roman"/>
          <w:sz w:val="9"/>
          <w:szCs w:val="9"/>
          <w:color w:val="auto"/>
        </w:rPr>
        <w:t>”)), then Rezolve AI Limited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65" w:name="page66"/>
    <w:bookmarkEnd w:id="65"/>
    <w:p>
      <w:pPr>
        <w:ind w:right="80"/>
        <w:spacing w:after="0" w:line="245" w:lineRule="auto"/>
        <w:rPr>
          <w:sz w:val="20"/>
          <w:szCs w:val="20"/>
          <w:color w:val="auto"/>
        </w:rPr>
      </w:pPr>
      <w:r>
        <w:rPr>
          <w:rFonts w:ascii="Times New Roman" w:cs="Times New Roman" w:eastAsia="Times New Roman" w:hAnsi="Times New Roman"/>
          <w:sz w:val="10"/>
          <w:szCs w:val="10"/>
          <w:color w:val="auto"/>
        </w:rPr>
        <w:t>monthly payment obligation to cease if any time after the date of a Promissory Note Trigger Event, (i) in the event of a Promissory Note Floor Price Trigger, the daily VWAP is greater than 110% of the Floor Price for any 5 of 7 consecutive trading days, or the date Rezolve AI Limited reduces the Floor Price (in accordance with its rights to do so under the Promissory Note Instruments), or (ii) in the event of an Exchange Cap Trigger, the date Rezolve AI Limited has obtained stockholder approval to increase the number of ordinary shares under the Exchange Cap (or if the Exchange Cap no longer applies), unless a subsequent Promissory Note Trigger Event occurs.</w:t>
      </w:r>
    </w:p>
    <w:p>
      <w:pPr>
        <w:spacing w:after="0" w:line="105"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Pursuant to the Subscription Agreements, each subscriber was granted freely transferrable warrants by Rezolve upon completion of the Business Combination, with the warrant subscription value for each subscriber to be two (2) times the Net Investment Amount. The warrants shall confer the right to each warrant holder to subscribe for Ordinary Shares at the exercise price of $ 8.00 per share (which may be adjusted upon an alteration of Rezolve’s share capital), and which may be exercised until the Expiry Date. If before the Expiry Date it comes to the attention of Rezolve of an Exercise Event, it shall give notice to each warrant holder to allow such holder to exercise their warrants (on condition that such notified Exercise Event does occur within 14 days of the notice), and if such Exercise Event does occur then any unexercised warrants shall lapse.</w:t>
      </w:r>
    </w:p>
    <w:p>
      <w:pPr>
        <w:spacing w:after="0" w:line="10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Rezolve may (and shall on the written request by warrant holders holding at least one-fifth of the warrants then outstanding) convene a meeting of warrant holders, and such meeting shall have power to sanction any modification or compromise in respect of rights of the warrant holders including any provisions of the warrant instrument, and to appoint any person as agent to represent the interests of warrant holders.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66" w:name="page67"/>
    <w:bookmarkEnd w:id="66"/>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MANAGEMENT’S DISCUSSION AND ANALYSIS OF</w:t>
      </w:r>
    </w:p>
    <w:p>
      <w:pPr>
        <w:spacing w:after="0" w:line="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FINANCIAL CONDITION AND RESULTS OF OPERATIONS</w:t>
      </w:r>
    </w:p>
    <w:p>
      <w:pPr>
        <w:spacing w:after="0" w:line="8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i w:val="1"/>
          <w:iCs w:val="1"/>
          <w:color w:val="auto"/>
        </w:rPr>
        <w:t>In this section, “we,” “us,” “our” and “Rezolve” refer to Rezolve Limited and its subsidiaries prior to the consummation of the Pre-Closing Demerger and to Rezolve AI Limited and its subsidiaries following the consummation of the Pre-Closing Demerger.</w:t>
      </w:r>
    </w:p>
    <w:p>
      <w:pPr>
        <w:spacing w:after="0" w:line="17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color w:val="auto"/>
        </w:rPr>
        <w:t>Overview</w:t>
      </w:r>
    </w:p>
    <w:p>
      <w:pPr>
        <w:spacing w:after="0" w:line="68" w:lineRule="exact"/>
        <w:rPr>
          <w:sz w:val="20"/>
          <w:szCs w:val="20"/>
          <w:color w:val="auto"/>
        </w:rPr>
      </w:pPr>
    </w:p>
    <w:p>
      <w:pPr>
        <w:ind w:left="10" w:firstLine="480"/>
        <w:spacing w:after="0" w:line="230" w:lineRule="auto"/>
        <w:rPr>
          <w:sz w:val="20"/>
          <w:szCs w:val="20"/>
          <w:color w:val="auto"/>
        </w:rPr>
      </w:pPr>
      <w:r>
        <w:rPr>
          <w:rFonts w:ascii="Times New Roman" w:cs="Times New Roman" w:eastAsia="Times New Roman" w:hAnsi="Times New Roman"/>
          <w:sz w:val="10"/>
          <w:szCs w:val="10"/>
          <w:color w:val="auto"/>
        </w:rPr>
        <w:t>We are recognized</w:t>
      </w:r>
      <w:r>
        <w:rPr>
          <w:rFonts w:ascii="Times New Roman" w:cs="Times New Roman" w:eastAsia="Times New Roman" w:hAnsi="Times New Roman"/>
          <w:sz w:val="13"/>
          <w:szCs w:val="13"/>
          <w:color w:val="auto"/>
          <w:vertAlign w:val="superscript"/>
        </w:rPr>
        <w:t>2</w:t>
      </w:r>
      <w:r>
        <w:rPr>
          <w:rFonts w:ascii="Times New Roman" w:cs="Times New Roman" w:eastAsia="Times New Roman" w:hAnsi="Times New Roman"/>
          <w:sz w:val="10"/>
          <w:szCs w:val="10"/>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1805305" cy="50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05305" cy="5080"/>
                    </a:xfrm>
                    <a:prstGeom prst="rect">
                      <a:avLst/>
                    </a:prstGeom>
                    <a:noFill/>
                  </pic:spPr>
                </pic:pic>
              </a:graphicData>
            </a:graphic>
          </wp:anchor>
        </w:drawing>
      </w:r>
    </w:p>
    <w:p>
      <w:pPr>
        <w:spacing w:after="0" w:line="54" w:lineRule="exact"/>
        <w:rPr>
          <w:sz w:val="20"/>
          <w:szCs w:val="20"/>
          <w:color w:val="auto"/>
        </w:rPr>
      </w:pPr>
    </w:p>
    <w:p>
      <w:pPr>
        <w:ind w:left="70" w:hanging="70"/>
        <w:spacing w:after="0"/>
        <w:tabs>
          <w:tab w:leader="none" w:pos="70" w:val="left"/>
        </w:tabs>
        <w:numPr>
          <w:ilvl w:val="0"/>
          <w:numId w:val="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Please see Rezolve Press Release dated July 25, 2023, available at https://www.rezolve.com/investors/britainsbrain-heralds-new-era-of-commerce-enabled-ai/</w:t>
      </w:r>
    </w:p>
    <w:p>
      <w:pPr>
        <w:spacing w:after="0" w:line="108" w:lineRule="exact"/>
        <w:rPr>
          <w:sz w:val="20"/>
          <w:szCs w:val="20"/>
          <w:color w:val="auto"/>
        </w:rPr>
      </w:pPr>
    </w:p>
    <w:p>
      <w:pPr>
        <w:ind w:left="10" w:right="80" w:firstLine="480"/>
        <w:spacing w:after="0" w:line="310" w:lineRule="auto"/>
        <w:rPr>
          <w:sz w:val="20"/>
          <w:szCs w:val="20"/>
          <w:color w:val="auto"/>
        </w:rPr>
      </w:pPr>
      <w:r>
        <w:rPr>
          <w:rFonts w:ascii="Times New Roman" w:cs="Times New Roman" w:eastAsia="Times New Roman" w:hAnsi="Times New Roman"/>
          <w:sz w:val="9"/>
          <w:szCs w:val="9"/>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78" w:lineRule="exact"/>
        <w:rPr>
          <w:sz w:val="20"/>
          <w:szCs w:val="20"/>
          <w:color w:val="auto"/>
        </w:rPr>
      </w:pPr>
    </w:p>
    <w:p>
      <w:pPr>
        <w:ind w:left="10" w:right="140" w:firstLine="480"/>
        <w:spacing w:after="0" w:line="245" w:lineRule="auto"/>
        <w:rPr>
          <w:sz w:val="20"/>
          <w:szCs w:val="20"/>
          <w:color w:val="auto"/>
        </w:rPr>
      </w:pPr>
      <w:r>
        <w:rPr>
          <w:rFonts w:ascii="Times New Roman" w:cs="Times New Roman" w:eastAsia="Times New Roman" w:hAnsi="Times New Roman"/>
          <w:sz w:val="10"/>
          <w:szCs w:val="10"/>
          <w:color w:val="auto"/>
        </w:rPr>
        <w:t>We commenced the commercialization of the Rezolve platform in quarter 4 of 2024. Revenues from Brain are also forecast to begin in Q4 2024, increasing significantly in 2025. We also expect to generate revenues in Q4 2024 in Europe, North America and the Middle East. We expect revenues to increase in Q4 2024 through our signed partner agreements with Microsoft, Adobe, ACI, Haendlerbund, Epages, JTL, Oxid and Chatwerk and others by marketing our products to their customer base and are in discussions with significant new partners in markets around the world. For additional information regarding the partner agreements, see “Business of Rezolve Limited—Partner Agreements”</w:t>
      </w:r>
    </w:p>
    <w:p>
      <w:pPr>
        <w:spacing w:after="0" w:line="105" w:lineRule="exact"/>
        <w:rPr>
          <w:sz w:val="20"/>
          <w:szCs w:val="20"/>
          <w:color w:val="auto"/>
        </w:rPr>
      </w:pPr>
    </w:p>
    <w:p>
      <w:pPr>
        <w:ind w:left="10" w:right="20" w:firstLine="480"/>
        <w:spacing w:after="0" w:line="245" w:lineRule="auto"/>
        <w:rPr>
          <w:sz w:val="20"/>
          <w:szCs w:val="20"/>
          <w:color w:val="auto"/>
        </w:rPr>
      </w:pPr>
      <w:r>
        <w:rPr>
          <w:rFonts w:ascii="Times New Roman" w:cs="Times New Roman" w:eastAsia="Times New Roman" w:hAnsi="Times New Roman"/>
          <w:sz w:val="10"/>
          <w:szCs w:val="10"/>
          <w:color w:val="auto"/>
        </w:rPr>
        <w:t>Rezolve was incorporated in England and Wales as a private limited company on January 5, 2023 under the name Rezolve Group Limited with company number 14573691 and changed its name on June 5, 2023 to Rezolve AI Limited. Rezolve intends to re-register as a public limited company.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05"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We currently derive our revenue through the transaction fees based on sales of ticketing for La Liga football events in Spain.</w:t>
      </w:r>
    </w:p>
    <w:p>
      <w:pPr>
        <w:spacing w:after="0" w:line="118" w:lineRule="exact"/>
        <w:rPr>
          <w:sz w:val="20"/>
          <w:szCs w:val="20"/>
          <w:color w:val="auto"/>
        </w:rPr>
      </w:pPr>
    </w:p>
    <w:p>
      <w:pPr>
        <w:ind w:left="10" w:right="100" w:firstLine="480"/>
        <w:spacing w:after="0" w:line="255" w:lineRule="auto"/>
        <w:rPr>
          <w:sz w:val="20"/>
          <w:szCs w:val="20"/>
          <w:color w:val="auto"/>
        </w:rPr>
      </w:pPr>
      <w:r>
        <w:rPr>
          <w:rFonts w:ascii="Times New Roman" w:cs="Times New Roman" w:eastAsia="Times New Roman" w:hAnsi="Times New Roman"/>
          <w:sz w:val="10"/>
          <w:szCs w:val="10"/>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 to.</w:t>
      </w:r>
    </w:p>
    <w:p>
      <w:pPr>
        <w:spacing w:after="0" w:line="101" w:lineRule="exact"/>
        <w:rPr>
          <w:sz w:val="20"/>
          <w:szCs w:val="20"/>
          <w:color w:val="auto"/>
        </w:rPr>
      </w:pPr>
    </w:p>
    <w:p>
      <w:pPr>
        <w:ind w:left="10" w:right="280" w:firstLine="480"/>
        <w:spacing w:after="0" w:line="255" w:lineRule="auto"/>
        <w:rPr>
          <w:sz w:val="20"/>
          <w:szCs w:val="20"/>
          <w:color w:val="auto"/>
        </w:rPr>
      </w:pPr>
      <w:r>
        <w:rPr>
          <w:rFonts w:ascii="Times New Roman" w:cs="Times New Roman" w:eastAsia="Times New Roman" w:hAnsi="Times New Roman"/>
          <w:sz w:val="10"/>
          <w:szCs w:val="10"/>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41"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•Seeking additional capital through the issuance of debtor equity securities.</w:t>
      </w:r>
    </w:p>
    <w:p>
      <w:pPr>
        <w:spacing w:after="0" w:line="5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•Generating revenue by execution of successful trials and long-term partner arrangements.</w:t>
      </w:r>
    </w:p>
    <w:p>
      <w:pPr>
        <w:spacing w:after="0" w:line="11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0"/>
          <w:szCs w:val="1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50"/>
          </w:cols>
          <w:pgMar w:left="630" w:top="1033" w:right="620" w:bottom="1440" w:gutter="0" w:footer="0" w:header="0"/>
        </w:sectPr>
      </w:pPr>
    </w:p>
    <w:bookmarkStart w:id="67" w:name="page68"/>
    <w:bookmarkEnd w:id="67"/>
    <w:p>
      <w:pPr>
        <w:ind w:left="480"/>
        <w:spacing w:after="0"/>
        <w:rPr>
          <w:sz w:val="20"/>
          <w:szCs w:val="20"/>
          <w:color w:val="auto"/>
        </w:rPr>
      </w:pPr>
      <w:r>
        <w:rPr>
          <w:rFonts w:ascii="Times New Roman" w:cs="Times New Roman" w:eastAsia="Times New Roman" w:hAnsi="Times New Roman"/>
          <w:sz w:val="10"/>
          <w:szCs w:val="10"/>
          <w:color w:val="auto"/>
        </w:rPr>
        <w:t>•Reducing expenses by taking restructuring actions and reducing the number of employees and consultants.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•Limiting capital expenditures.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Key Factors Affecting Our Performance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believe our future performance will depend on many factors, including the following:</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Growth from Transactions</w:t>
      </w:r>
      <w:r>
        <w:rPr>
          <w:rFonts w:ascii="Times New Roman" w:cs="Times New Roman" w:eastAsia="Times New Roman" w:hAnsi="Times New Roman"/>
          <w:sz w:val="10"/>
          <w:szCs w:val="10"/>
          <w:color w:val="auto"/>
        </w:rPr>
        <w:t>: Our growth depends on SaaS subscription fees and commissions earned from merchant’s transactions with their customers.</w:t>
      </w:r>
    </w:p>
    <w:p>
      <w:pPr>
        <w:spacing w:after="0" w:line="58" w:lineRule="exact"/>
        <w:rPr>
          <w:sz w:val="20"/>
          <w:szCs w:val="20"/>
          <w:color w:val="auto"/>
        </w:rPr>
      </w:pPr>
    </w:p>
    <w:p>
      <w:pPr>
        <w:jc w:val="both"/>
        <w:ind w:left="480"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New Merchant Acquisition</w:t>
      </w:r>
      <w:r>
        <w:rPr>
          <w:rFonts w:ascii="Times New Roman" w:cs="Times New Roman" w:eastAsia="Times New Roman" w:hAnsi="Times New Roman"/>
          <w:sz w:val="10"/>
          <w:szCs w:val="10"/>
          <w:color w:val="auto"/>
        </w:rPr>
        <w:t>: Our growth depends in part on our ability to attract merchants to our platform. A key avenue of merchant 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spacing w:after="0" w:line="42" w:lineRule="exact"/>
        <w:rPr>
          <w:sz w:val="20"/>
          <w:szCs w:val="20"/>
          <w:color w:val="auto"/>
        </w:rPr>
      </w:pPr>
    </w:p>
    <w:p>
      <w:pPr>
        <w:jc w:val="both"/>
        <w:ind w:left="480"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Successful Expansion to Additional Geographies</w:t>
      </w:r>
      <w:r>
        <w:rPr>
          <w:rFonts w:ascii="Times New Roman" w:cs="Times New Roman" w:eastAsia="Times New Roman" w:hAnsi="Times New Roman"/>
          <w:sz w:val="10"/>
          <w:szCs w:val="10"/>
          <w:color w:val="auto"/>
        </w:rPr>
        <w:t>: We believe our platform can compete successfully in various geographic regions. This 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spacing w:after="0" w:line="42" w:lineRule="exact"/>
        <w:rPr>
          <w:sz w:val="20"/>
          <w:szCs w:val="20"/>
          <w:color w:val="auto"/>
        </w:rPr>
      </w:pPr>
    </w:p>
    <w:p>
      <w:pPr>
        <w:ind w:left="480"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Merchant Retention and Expansion</w:t>
      </w:r>
      <w:r>
        <w:rPr>
          <w:rFonts w:ascii="Times New Roman" w:cs="Times New Roman" w:eastAsia="Times New Roman" w:hAnsi="Times New Roman"/>
          <w:sz w:val="10"/>
          <w:szCs w:val="10"/>
          <w:color w:val="auto"/>
        </w:rPr>
        <w:t>: We care deeply about merchants. Our commitment to their success, we believe, increases retention and likelihood of expanding their activity on our platform. Supporting merchants begins with enhancing both the shopper and the merchant experience. We 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spacing w:after="0" w:line="42"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Offering and service enhancement</w:t>
      </w:r>
      <w:r>
        <w:rPr>
          <w:rFonts w:ascii="Times New Roman" w:cs="Times New Roman" w:eastAsia="Times New Roman" w:hAnsi="Times New Roman"/>
          <w:sz w:val="10"/>
          <w:szCs w:val="10"/>
          <w:color w:val="auto"/>
        </w:rPr>
        <w:t>: We intend to continue investing in the capabilities of our offerings and services to deliver better value for our users and merchants and address new market opportunities. Additionally, we will work to perfect our platform service</w:t>
      </w:r>
    </w:p>
    <w:p>
      <w:pPr>
        <w:spacing w:after="0" w:line="37" w:lineRule="exact"/>
        <w:rPr>
          <w:sz w:val="20"/>
          <w:szCs w:val="20"/>
          <w:color w:val="auto"/>
        </w:rPr>
      </w:pPr>
    </w:p>
    <w:p>
      <w:pPr>
        <w:ind w:left="480" w:right="4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Growth through Mergers &amp; Acquisitions</w:t>
      </w:r>
      <w:r>
        <w:rPr>
          <w:rFonts w:ascii="Times New Roman" w:cs="Times New Roman" w:eastAsia="Times New Roman" w:hAnsi="Times New Roman"/>
          <w:sz w:val="10"/>
          <w:szCs w:val="10"/>
          <w:color w:val="auto"/>
        </w:rPr>
        <w:t>: The growth of our business can be supported by a successful merger agreement with a SPAC and access to financing through capital markets. Additionally, our growth may be supported by acquisitions of businesses where management identifies synergistic growth opportunities.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Components of our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Revenues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generate transaction revenues through the sale of ticketing of football events using our technology with La Liga in Spain.</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Operating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Operating expenses consist of cost of revenues, employee benefit expenses, consultancy expense, sales and marketing expenses, business development expenses, general and administrative expenses, and depreciation and amortization.</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Cost of revenues</w:t>
      </w:r>
      <w:r>
        <w:rPr>
          <w:rFonts w:ascii="Times New Roman" w:cs="Times New Roman" w:eastAsia="Times New Roman" w:hAnsi="Times New Roman"/>
          <w:sz w:val="10"/>
          <w:szCs w:val="10"/>
          <w:color w:val="auto"/>
        </w:rPr>
        <w:t>: Our cost of revenues consists primarily of the materials and consumables.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Sales and marketing</w:t>
      </w:r>
      <w:r>
        <w:rPr>
          <w:rFonts w:ascii="Times New Roman" w:cs="Times New Roman" w:eastAsia="Times New Roman" w:hAnsi="Times New Roman"/>
          <w:sz w:val="10"/>
          <w:szCs w:val="10"/>
          <w:color w:val="auto"/>
        </w:rPr>
        <w:t>: Costs primarily consist of consulting fees as well as salaries, pension contributions and share-based compensation for sales and marketing employees.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68" w:name="page69"/>
    <w:bookmarkEnd w:id="68"/>
    <w:p>
      <w:pPr>
        <w:ind w:left="480" w:right="60"/>
        <w:spacing w:after="0" w:line="315" w:lineRule="auto"/>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i w:val="1"/>
          <w:iCs w:val="1"/>
          <w:color w:val="auto"/>
        </w:rPr>
        <w:t>General and administrative</w:t>
      </w:r>
      <w:r>
        <w:rPr>
          <w:rFonts w:ascii="Times New Roman" w:cs="Times New Roman" w:eastAsia="Times New Roman" w:hAnsi="Times New Roman"/>
          <w:sz w:val="9"/>
          <w:szCs w:val="9"/>
          <w:color w:val="auto"/>
        </w:rPr>
        <w:t>: Costs consist primarily of finance, legal, listing and other non-specific costs as well as salaries, pension contributions, share-based compensation for employees and nonrecurring share-based payments for non-employees. General and administrative also consists of payments made to developers who contract with Rezolve, fees and share-based compensation for directors, as well as business development expenses for our investments in Rezolve China by Rezolve Limited.</w:t>
      </w:r>
    </w:p>
    <w:p>
      <w:pPr>
        <w:spacing w:after="0" w:line="13"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Depreciation and amortization</w:t>
      </w:r>
      <w:r>
        <w:rPr>
          <w:rFonts w:ascii="Times New Roman" w:cs="Times New Roman" w:eastAsia="Times New Roman" w:hAnsi="Times New Roman"/>
          <w:sz w:val="10"/>
          <w:szCs w:val="10"/>
          <w:color w:val="auto"/>
        </w:rPr>
        <w:t>: primarily consists of amortization of a customer list and acquired information technology intangible assets as well as depreciation of fixed tangible assets. We note that all software development expenditure up until the end of December 2022 has been expensed.</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Other operating expenses</w:t>
      </w:r>
      <w:r>
        <w:rPr>
          <w:rFonts w:ascii="Times New Roman" w:cs="Times New Roman" w:eastAsia="Times New Roman" w:hAnsi="Times New Roman"/>
          <w:sz w:val="10"/>
          <w:szCs w:val="10"/>
          <w:color w:val="auto"/>
        </w:rPr>
        <w:t>: consists of an impairment of loans and accounts receivable in the six months ended June 30,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Interest expense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Interest expense consists primarily of costs associated with convertible debt. The group currently has no bank debt and no banking facilities which would incur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Other Non-Operating Income (Expense)</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Other non-operating income/ (expense), net consists of foreign exchange loss and research and development credits. Foreign exchange loss primarily consists of the revaluation of local currency bank ledger balances not denominated in U.S. dollars. Research and development credits primarily consists of activities related to government tax incentives on technology spent on certain operational activities in UK.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Income Tax Benefit</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Results of Operations for six months ended June 30, 2024.</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tables set forth our consolidated statements of operations in dollar amounts and as a percentage of total revenues for each period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740" w:type="dxa"/>
            <w:vAlign w:val="bottom"/>
          </w:tcPr>
          <w:p>
            <w:pPr>
              <w:spacing w:after="0"/>
              <w:rPr>
                <w:sz w:val="8"/>
                <w:szCs w:val="8"/>
                <w:color w:val="auto"/>
              </w:rPr>
            </w:pPr>
          </w:p>
        </w:tc>
        <w:tc>
          <w:tcPr>
            <w:tcW w:w="1600" w:type="dxa"/>
            <w:vAlign w:val="bottom"/>
          </w:tcPr>
          <w:p>
            <w:pPr>
              <w:spacing w:after="0"/>
              <w:rPr>
                <w:sz w:val="8"/>
                <w:szCs w:val="8"/>
                <w:color w:val="auto"/>
              </w:rPr>
            </w:pPr>
          </w:p>
        </w:tc>
      </w:tr>
      <w:tr>
        <w:trPr>
          <w:trHeight w:val="106"/>
        </w:trPr>
        <w:tc>
          <w:tcPr>
            <w:tcW w:w="15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960" w:type="dxa"/>
            <w:vAlign w:val="bottom"/>
          </w:tcPr>
          <w:p>
            <w:pPr>
              <w:jc w:val="right"/>
              <w:ind w:right="532"/>
              <w:spacing w:after="0"/>
              <w:rPr>
                <w:sz w:val="20"/>
                <w:szCs w:val="20"/>
                <w:color w:val="auto"/>
              </w:rPr>
            </w:pPr>
            <w:r>
              <w:rPr>
                <w:rFonts w:ascii="Times New Roman" w:cs="Times New Roman" w:eastAsia="Times New Roman" w:hAnsi="Times New Roman"/>
                <w:sz w:val="8"/>
                <w:szCs w:val="8"/>
                <w:b w:val="1"/>
                <w:bCs w:val="1"/>
                <w:color w:val="auto"/>
              </w:rPr>
              <w:t>2024</w:t>
            </w:r>
          </w:p>
        </w:tc>
        <w:tc>
          <w:tcPr>
            <w:tcW w:w="480" w:type="dxa"/>
            <w:vAlign w:val="bottom"/>
          </w:tcPr>
          <w:p>
            <w:pPr>
              <w:spacing w:after="0"/>
              <w:rPr>
                <w:sz w:val="9"/>
                <w:szCs w:val="9"/>
                <w:color w:val="auto"/>
              </w:rPr>
            </w:pPr>
          </w:p>
        </w:tc>
        <w:tc>
          <w:tcPr>
            <w:tcW w:w="740" w:type="dxa"/>
            <w:vAlign w:val="bottom"/>
          </w:tcPr>
          <w:p>
            <w:pPr>
              <w:jc w:val="right"/>
              <w:ind w:right="472"/>
              <w:spacing w:after="0"/>
              <w:rPr>
                <w:sz w:val="20"/>
                <w:szCs w:val="20"/>
                <w:color w:val="auto"/>
              </w:rPr>
            </w:pPr>
            <w:r>
              <w:rPr>
                <w:rFonts w:ascii="Times New Roman" w:cs="Times New Roman" w:eastAsia="Times New Roman" w:hAnsi="Times New Roman"/>
                <w:sz w:val="8"/>
                <w:szCs w:val="8"/>
                <w:b w:val="1"/>
                <w:bCs w:val="1"/>
                <w:color w:val="auto"/>
              </w:rPr>
              <w:t>2023</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Revenue</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Other</w:t>
            </w:r>
          </w:p>
        </w:tc>
        <w:tc>
          <w:tcPr>
            <w:tcW w:w="2520" w:type="dxa"/>
            <w:vAlign w:val="bottom"/>
          </w:tcPr>
          <w:p>
            <w:pPr>
              <w:jc w:val="right"/>
              <w:ind w:right="1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53,399</w:t>
            </w:r>
          </w:p>
        </w:tc>
        <w:tc>
          <w:tcPr>
            <w:tcW w:w="48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46,764</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220"/>
              <w:spacing w:after="0" w:line="113" w:lineRule="exact"/>
              <w:rPr>
                <w:sz w:val="20"/>
                <w:szCs w:val="20"/>
                <w:color w:val="auto"/>
              </w:rPr>
            </w:pPr>
            <w:r>
              <w:rPr>
                <w:rFonts w:ascii="Times New Roman" w:cs="Times New Roman" w:eastAsia="Times New Roman" w:hAnsi="Times New Roman"/>
                <w:sz w:val="10"/>
                <w:szCs w:val="10"/>
                <w:color w:val="auto"/>
              </w:rPr>
              <w:t>Revenue</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53,399</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46,764</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Operating expenses</w:t>
            </w:r>
          </w:p>
        </w:tc>
        <w:tc>
          <w:tcPr>
            <w:tcW w:w="2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Cost of revenues</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16,177</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16,111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Sales and marketing expenses</w:t>
            </w:r>
          </w:p>
        </w:tc>
        <w:tc>
          <w:tcPr>
            <w:tcW w:w="2520" w:type="dxa"/>
            <w:vAlign w:val="bottom"/>
          </w:tcPr>
          <w:p>
            <w:pPr>
              <w:spacing w:after="0"/>
              <w:rPr>
                <w:sz w:val="9"/>
                <w:szCs w:val="9"/>
                <w:color w:val="auto"/>
              </w:rPr>
            </w:pPr>
          </w:p>
        </w:tc>
        <w:tc>
          <w:tcPr>
            <w:tcW w:w="9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1,431,430</w:t>
            </w:r>
          </w:p>
        </w:tc>
        <w:tc>
          <w:tcPr>
            <w:tcW w:w="480" w:type="dxa"/>
            <w:vAlign w:val="bottom"/>
          </w:tcPr>
          <w:p>
            <w:pPr>
              <w:spacing w:after="0"/>
              <w:rPr>
                <w:sz w:val="9"/>
                <w:szCs w:val="9"/>
                <w:color w:val="auto"/>
              </w:rPr>
            </w:pPr>
          </w:p>
        </w:tc>
        <w:tc>
          <w:tcPr>
            <w:tcW w:w="74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4,710,174</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General and administrative expenses</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8,066,209</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8,743,377</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Other operating expenses</w:t>
            </w:r>
          </w:p>
        </w:tc>
        <w:tc>
          <w:tcPr>
            <w:tcW w:w="2520" w:type="dxa"/>
            <w:vAlign w:val="bottom"/>
          </w:tcPr>
          <w:p>
            <w:pPr>
              <w:spacing w:after="0"/>
              <w:rPr>
                <w:sz w:val="9"/>
                <w:szCs w:val="9"/>
                <w:color w:val="auto"/>
              </w:rPr>
            </w:pPr>
          </w:p>
        </w:tc>
        <w:tc>
          <w:tcPr>
            <w:tcW w:w="9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84,500</w:t>
            </w:r>
          </w:p>
        </w:tc>
        <w:tc>
          <w:tcPr>
            <w:tcW w:w="480" w:type="dxa"/>
            <w:vAlign w:val="bottom"/>
          </w:tcPr>
          <w:p>
            <w:pPr>
              <w:spacing w:after="0"/>
              <w:rPr>
                <w:sz w:val="9"/>
                <w:szCs w:val="9"/>
                <w:color w:val="auto"/>
              </w:rPr>
            </w:pPr>
          </w:p>
        </w:tc>
        <w:tc>
          <w:tcPr>
            <w:tcW w:w="74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785,000</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Depreciation and amortization expenses</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120,841</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121,571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220"/>
              <w:spacing w:after="0" w:line="113" w:lineRule="exact"/>
              <w:rPr>
                <w:sz w:val="20"/>
                <w:szCs w:val="20"/>
                <w:color w:val="auto"/>
              </w:rPr>
            </w:pPr>
            <w:r>
              <w:rPr>
                <w:rFonts w:ascii="Times New Roman" w:cs="Times New Roman" w:eastAsia="Times New Roman" w:hAnsi="Times New Roman"/>
                <w:sz w:val="10"/>
                <w:szCs w:val="10"/>
                <w:color w:val="auto"/>
              </w:rPr>
              <w:t>Total operating expenses</w:t>
            </w:r>
          </w:p>
        </w:tc>
        <w:tc>
          <w:tcPr>
            <w:tcW w:w="2520" w:type="dxa"/>
            <w:vAlign w:val="bottom"/>
          </w:tcPr>
          <w:p>
            <w:pPr>
              <w:spacing w:after="0"/>
              <w:rPr>
                <w:sz w:val="9"/>
                <w:szCs w:val="9"/>
                <w:color w:val="auto"/>
              </w:rPr>
            </w:pPr>
          </w:p>
        </w:tc>
        <w:tc>
          <w:tcPr>
            <w:tcW w:w="9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9,719,157</w:t>
            </w:r>
          </w:p>
        </w:tc>
        <w:tc>
          <w:tcPr>
            <w:tcW w:w="480" w:type="dxa"/>
            <w:vAlign w:val="bottom"/>
          </w:tcPr>
          <w:p>
            <w:pPr>
              <w:spacing w:after="0"/>
              <w:rPr>
                <w:sz w:val="9"/>
                <w:szCs w:val="9"/>
                <w:color w:val="auto"/>
              </w:rPr>
            </w:pPr>
          </w:p>
        </w:tc>
        <w:tc>
          <w:tcPr>
            <w:tcW w:w="74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14,376,233</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Operating loss</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(9,665,758 )</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(14,329,469 )</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expenses</w:t>
            </w:r>
          </w:p>
        </w:tc>
        <w:tc>
          <w:tcPr>
            <w:tcW w:w="2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(3,009,002 )</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(3,054,946 )</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Other non-operating income (expense), net</w:t>
            </w:r>
          </w:p>
        </w:tc>
        <w:tc>
          <w:tcPr>
            <w:tcW w:w="2520" w:type="dxa"/>
            <w:vAlign w:val="bottom"/>
          </w:tcPr>
          <w:p>
            <w:pPr>
              <w:spacing w:after="0"/>
              <w:rPr>
                <w:sz w:val="9"/>
                <w:szCs w:val="9"/>
                <w:color w:val="auto"/>
              </w:rPr>
            </w:pPr>
          </w:p>
        </w:tc>
        <w:tc>
          <w:tcPr>
            <w:tcW w:w="96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(107,816 )</w:t>
            </w:r>
          </w:p>
        </w:tc>
        <w:tc>
          <w:tcPr>
            <w:tcW w:w="480" w:type="dxa"/>
            <w:vAlign w:val="bottom"/>
          </w:tcPr>
          <w:p>
            <w:pPr>
              <w:spacing w:after="0"/>
              <w:rPr>
                <w:sz w:val="9"/>
                <w:szCs w:val="9"/>
                <w:color w:val="auto"/>
              </w:rPr>
            </w:pPr>
          </w:p>
        </w:tc>
        <w:tc>
          <w:tcPr>
            <w:tcW w:w="74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171,751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220"/>
              <w:spacing w:after="0" w:line="113" w:lineRule="exact"/>
              <w:rPr>
                <w:sz w:val="20"/>
                <w:szCs w:val="20"/>
                <w:color w:val="auto"/>
              </w:rPr>
            </w:pPr>
            <w:r>
              <w:rPr>
                <w:rFonts w:ascii="Times New Roman" w:cs="Times New Roman" w:eastAsia="Times New Roman" w:hAnsi="Times New Roman"/>
                <w:sz w:val="10"/>
                <w:szCs w:val="10"/>
                <w:color w:val="auto"/>
              </w:rPr>
              <w:t>Total other expenses, net</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(3,116,818 )</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(2,883,195 )</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Loss before taxes</w:t>
            </w:r>
          </w:p>
        </w:tc>
        <w:tc>
          <w:tcPr>
            <w:tcW w:w="2520" w:type="dxa"/>
            <w:vAlign w:val="bottom"/>
          </w:tcPr>
          <w:p>
            <w:pPr>
              <w:spacing w:after="0"/>
              <w:rPr>
                <w:sz w:val="9"/>
                <w:szCs w:val="9"/>
                <w:color w:val="auto"/>
              </w:rPr>
            </w:pPr>
          </w:p>
        </w:tc>
        <w:tc>
          <w:tcPr>
            <w:tcW w:w="96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(12,782,576 )</w:t>
            </w:r>
          </w:p>
        </w:tc>
        <w:tc>
          <w:tcPr>
            <w:tcW w:w="480" w:type="dxa"/>
            <w:vAlign w:val="bottom"/>
          </w:tcPr>
          <w:p>
            <w:pPr>
              <w:spacing w:after="0"/>
              <w:rPr>
                <w:sz w:val="9"/>
                <w:szCs w:val="9"/>
                <w:color w:val="auto"/>
              </w:rPr>
            </w:pPr>
          </w:p>
        </w:tc>
        <w:tc>
          <w:tcPr>
            <w:tcW w:w="7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(17,212,664 )</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Income tax expense</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(59,870 )</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(63,408 )</w:t>
            </w:r>
          </w:p>
        </w:tc>
        <w:tc>
          <w:tcPr>
            <w:tcW w:w="1600" w:type="dxa"/>
            <w:vAlign w:val="bottom"/>
          </w:tcPr>
          <w:p>
            <w:pPr>
              <w:spacing w:after="0"/>
              <w:rPr>
                <w:sz w:val="9"/>
                <w:szCs w:val="9"/>
                <w:color w:val="auto"/>
              </w:rPr>
            </w:pPr>
          </w:p>
        </w:tc>
      </w:tr>
      <w:tr>
        <w:trPr>
          <w:trHeight w:val="125"/>
        </w:trPr>
        <w:tc>
          <w:tcPr>
            <w:tcW w:w="1580" w:type="dxa"/>
            <w:vAlign w:val="bottom"/>
          </w:tcPr>
          <w:p>
            <w:pPr>
              <w:spacing w:after="0"/>
              <w:rPr>
                <w:sz w:val="10"/>
                <w:szCs w:val="10"/>
                <w:color w:val="auto"/>
              </w:rPr>
            </w:pPr>
          </w:p>
        </w:tc>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loss for the year</w:t>
            </w:r>
          </w:p>
        </w:tc>
        <w:tc>
          <w:tcPr>
            <w:tcW w:w="2520" w:type="dxa"/>
            <w:vAlign w:val="bottom"/>
          </w:tcPr>
          <w:p>
            <w:pPr>
              <w:spacing w:after="0"/>
              <w:rPr>
                <w:sz w:val="10"/>
                <w:szCs w:val="1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(12,842,446 )</w:t>
            </w:r>
          </w:p>
        </w:tc>
        <w:tc>
          <w:tcPr>
            <w:tcW w:w="48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(17,276,072 )</w:t>
            </w:r>
          </w:p>
        </w:tc>
        <w:tc>
          <w:tcPr>
            <w:tcW w:w="1600" w:type="dxa"/>
            <w:vAlign w:val="bottom"/>
          </w:tcPr>
          <w:p>
            <w:pPr>
              <w:spacing w:after="0"/>
              <w:rPr>
                <w:sz w:val="10"/>
                <w:szCs w:val="10"/>
                <w:color w:val="auto"/>
              </w:rPr>
            </w:pPr>
          </w:p>
        </w:tc>
      </w:tr>
      <w:tr>
        <w:trPr>
          <w:trHeight w:val="338"/>
        </w:trPr>
        <w:tc>
          <w:tcPr>
            <w:tcW w:w="15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520" w:type="dxa"/>
            <w:vAlign w:val="bottom"/>
          </w:tcPr>
          <w:p>
            <w:pPr>
              <w:jc w:val="right"/>
              <w:ind w:right="1431"/>
              <w:spacing w:after="0"/>
              <w:rPr>
                <w:sz w:val="20"/>
                <w:szCs w:val="20"/>
                <w:color w:val="auto"/>
              </w:rPr>
            </w:pPr>
            <w:r>
              <w:rPr>
                <w:rFonts w:ascii="Times New Roman" w:cs="Times New Roman" w:eastAsia="Times New Roman" w:hAnsi="Times New Roman"/>
                <w:sz w:val="10"/>
                <w:szCs w:val="10"/>
                <w:color w:val="auto"/>
              </w:rPr>
              <w:t>60</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740" w:type="dxa"/>
            <w:vAlign w:val="bottom"/>
            <w:tcBorders>
              <w:bottom w:val="single" w:sz="8" w:color="EEEEEE"/>
            </w:tcBorders>
          </w:tcPr>
          <w:p>
            <w:pPr>
              <w:spacing w:after="0"/>
              <w:rPr>
                <w:sz w:val="24"/>
                <w:szCs w:val="24"/>
                <w:color w:val="auto"/>
              </w:rPr>
            </w:pPr>
          </w:p>
        </w:tc>
        <w:tc>
          <w:tcPr>
            <w:tcW w:w="252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3" w:right="6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0"/>
          <w:szCs w:val="10"/>
          <w:b w:val="1"/>
          <w:bCs w:val="1"/>
          <w:color w:val="auto"/>
        </w:rPr>
        <w:t>Comparison of six months ended June 30, 2024 and 2023</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Revenues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shows total revenues from ticketing transactions for the six months ended June 30, 2024, as compared to the six months ended June 30, 2023:</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20" w:type="dxa"/>
            <w:vAlign w:val="bottom"/>
            <w:gridSpan w:val="3"/>
          </w:tcPr>
          <w:p>
            <w:pPr>
              <w:jc w:val="right"/>
              <w:ind w:right="271"/>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gridSpan w:val="2"/>
          </w:tcPr>
          <w:p>
            <w:pPr>
              <w:ind w:left="340"/>
              <w:spacing w:after="0"/>
              <w:rPr>
                <w:sz w:val="20"/>
                <w:szCs w:val="20"/>
                <w:color w:val="auto"/>
              </w:rPr>
            </w:pPr>
            <w:r>
              <w:rPr>
                <w:rFonts w:ascii="Times New Roman" w:cs="Times New Roman" w:eastAsia="Times New Roman" w:hAnsi="Times New Roman"/>
                <w:sz w:val="8"/>
                <w:szCs w:val="8"/>
                <w:b w:val="1"/>
                <w:bCs w:val="1"/>
                <w:color w:val="auto"/>
              </w:rPr>
              <w:t>Change</w:t>
            </w:r>
          </w:p>
        </w:tc>
        <w:tc>
          <w:tcPr>
            <w:tcW w:w="920" w:type="dxa"/>
            <w:vAlign w:val="bottom"/>
          </w:tcPr>
          <w:p>
            <w:pPr>
              <w:spacing w:after="0"/>
              <w:rPr>
                <w:sz w:val="8"/>
                <w:szCs w:val="8"/>
                <w:color w:val="auto"/>
              </w:rPr>
            </w:pPr>
          </w:p>
        </w:tc>
      </w:tr>
      <w:tr>
        <w:trPr>
          <w:trHeight w:val="106"/>
        </w:trPr>
        <w:tc>
          <w:tcPr>
            <w:tcW w:w="460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420" w:type="dxa"/>
            <w:vAlign w:val="bottom"/>
          </w:tcPr>
          <w:p>
            <w:pPr>
              <w:spacing w:after="0"/>
              <w:rPr>
                <w:sz w:val="9"/>
                <w:szCs w:val="9"/>
                <w:color w:val="auto"/>
              </w:rPr>
            </w:pPr>
          </w:p>
        </w:tc>
        <w:tc>
          <w:tcPr>
            <w:tcW w:w="900" w:type="dxa"/>
            <w:vAlign w:val="bottom"/>
            <w:gridSpan w:val="2"/>
          </w:tcPr>
          <w:p>
            <w:pPr>
              <w:jc w:val="right"/>
              <w:ind w:right="31"/>
              <w:spacing w:after="0"/>
              <w:rPr>
                <w:sz w:val="20"/>
                <w:szCs w:val="20"/>
                <w:color w:val="auto"/>
              </w:rPr>
            </w:pPr>
            <w:r>
              <w:rPr>
                <w:rFonts w:ascii="Times New Roman" w:cs="Times New Roman" w:eastAsia="Times New Roman" w:hAnsi="Times New Roman"/>
                <w:sz w:val="8"/>
                <w:szCs w:val="8"/>
                <w:b w:val="1"/>
                <w:bCs w:val="1"/>
                <w:color w:val="auto"/>
              </w:rPr>
              <w:t>2023</w:t>
            </w:r>
          </w:p>
        </w:tc>
        <w:tc>
          <w:tcPr>
            <w:tcW w:w="360" w:type="dxa"/>
            <w:vAlign w:val="bottom"/>
          </w:tcPr>
          <w:p>
            <w:pPr>
              <w:spacing w:after="0"/>
              <w:rPr>
                <w:sz w:val="9"/>
                <w:szCs w:val="9"/>
                <w:color w:val="auto"/>
              </w:rPr>
            </w:pPr>
          </w:p>
        </w:tc>
        <w:tc>
          <w:tcPr>
            <w:tcW w:w="900" w:type="dxa"/>
            <w:vAlign w:val="bottom"/>
            <w:gridSpan w:val="2"/>
          </w:tcPr>
          <w:p>
            <w:pPr>
              <w:jc w:val="right"/>
              <w:ind w:right="91"/>
              <w:spacing w:after="0"/>
              <w:rPr>
                <w:sz w:val="20"/>
                <w:szCs w:val="20"/>
                <w:color w:val="auto"/>
              </w:rPr>
            </w:pPr>
            <w:r>
              <w:rPr>
                <w:rFonts w:ascii="Times New Roman" w:cs="Times New Roman" w:eastAsia="Times New Roman" w:hAnsi="Times New Roman"/>
                <w:sz w:val="8"/>
                <w:szCs w:val="8"/>
                <w:b w:val="1"/>
                <w:bCs w:val="1"/>
                <w:color w:val="auto"/>
              </w:rPr>
              <w:t>$</w:t>
            </w: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tcPr>
          <w:p>
            <w:pPr>
              <w:jc w:val="right"/>
              <w:ind w:right="574"/>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4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Revenues</w:t>
            </w:r>
          </w:p>
        </w:tc>
        <w:tc>
          <w:tcPr>
            <w:tcW w:w="64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53,399</w:t>
            </w:r>
          </w:p>
        </w:tc>
        <w:tc>
          <w:tcPr>
            <w:tcW w:w="2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46,764</w:t>
            </w:r>
          </w:p>
        </w:tc>
        <w:tc>
          <w:tcPr>
            <w:tcW w:w="2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6,635</w:t>
            </w:r>
          </w:p>
        </w:tc>
        <w:tc>
          <w:tcPr>
            <w:tcW w:w="48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14 %</w:t>
            </w:r>
          </w:p>
        </w:tc>
      </w:tr>
      <w:tr>
        <w:trPr>
          <w:trHeight w:val="115"/>
        </w:trPr>
        <w:tc>
          <w:tcPr>
            <w:tcW w:w="4600" w:type="dxa"/>
            <w:vAlign w:val="bottom"/>
          </w:tcPr>
          <w:p>
            <w:pPr>
              <w:ind w:left="100"/>
              <w:spacing w:after="0" w:line="93" w:lineRule="exact"/>
              <w:rPr>
                <w:sz w:val="20"/>
                <w:szCs w:val="20"/>
                <w:color w:val="auto"/>
              </w:rPr>
            </w:pPr>
            <w:r>
              <w:rPr>
                <w:rFonts w:ascii="Times New Roman" w:cs="Times New Roman" w:eastAsia="Times New Roman" w:hAnsi="Times New Roman"/>
                <w:sz w:val="10"/>
                <w:szCs w:val="10"/>
                <w:color w:val="auto"/>
              </w:rPr>
              <w:t>Total revenues</w:t>
            </w:r>
          </w:p>
        </w:tc>
        <w:tc>
          <w:tcPr>
            <w:tcW w:w="640" w:type="dxa"/>
            <w:vAlign w:val="bottom"/>
            <w:tcBorders>
              <w:bottom w:val="single" w:sz="8" w:color="auto"/>
            </w:tcBorders>
          </w:tcPr>
          <w:p>
            <w:pPr>
              <w:jc w:val="right"/>
              <w:ind w:right="535"/>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bottom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color w:val="auto"/>
              </w:rPr>
              <w:t>53,399</w:t>
            </w:r>
          </w:p>
        </w:tc>
        <w:tc>
          <w:tcPr>
            <w:tcW w:w="200" w:type="dxa"/>
            <w:vAlign w:val="bottom"/>
          </w:tcPr>
          <w:p>
            <w:pPr>
              <w:spacing w:after="0"/>
              <w:rPr>
                <w:sz w:val="10"/>
                <w:szCs w:val="10"/>
                <w:color w:val="auto"/>
              </w:rPr>
            </w:pPr>
          </w:p>
        </w:tc>
        <w:tc>
          <w:tcPr>
            <w:tcW w:w="700" w:type="dxa"/>
            <w:vAlign w:val="bottom"/>
            <w:tcBorders>
              <w:bottom w:val="single" w:sz="8" w:color="auto"/>
            </w:tcBorders>
          </w:tcPr>
          <w:p>
            <w:pPr>
              <w:jc w:val="right"/>
              <w:ind w:right="59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bottom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color w:val="auto"/>
              </w:rPr>
              <w:t>46,764</w:t>
            </w:r>
          </w:p>
        </w:tc>
        <w:tc>
          <w:tcPr>
            <w:tcW w:w="220" w:type="dxa"/>
            <w:vAlign w:val="bottom"/>
          </w:tcPr>
          <w:p>
            <w:pPr>
              <w:spacing w:after="0"/>
              <w:rPr>
                <w:sz w:val="10"/>
                <w:szCs w:val="10"/>
                <w:color w:val="auto"/>
              </w:rPr>
            </w:pPr>
          </w:p>
        </w:tc>
        <w:tc>
          <w:tcPr>
            <w:tcW w:w="680" w:type="dxa"/>
            <w:vAlign w:val="bottom"/>
            <w:tcBorders>
              <w:bottom w:val="single" w:sz="8" w:color="auto"/>
            </w:tcBorders>
          </w:tcPr>
          <w:p>
            <w:pPr>
              <w:jc w:val="right"/>
              <w:ind w:right="57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bottom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color w:val="auto"/>
              </w:rPr>
              <w:t>6,635</w:t>
            </w:r>
          </w:p>
        </w:tc>
        <w:tc>
          <w:tcPr>
            <w:tcW w:w="480" w:type="dxa"/>
            <w:vAlign w:val="bottom"/>
          </w:tcPr>
          <w:p>
            <w:pPr>
              <w:spacing w:after="0"/>
              <w:rPr>
                <w:sz w:val="10"/>
                <w:szCs w:val="10"/>
                <w:color w:val="auto"/>
              </w:rPr>
            </w:pPr>
          </w:p>
        </w:tc>
        <w:tc>
          <w:tcPr>
            <w:tcW w:w="9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14 %</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Revenues increased from $0.047 million for the six months ended June 30, 2023 as compared to $0.053 million for the six months ended June 30, 2024 is attributable to increased ticketing revenue from Spain.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Operating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shows operating expenses for the six months ended June 30, 2024, as compared to the six months ended June 30, 2023:</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b w:val="1"/>
                <w:bCs w:val="1"/>
                <w:color w:val="auto"/>
              </w:rPr>
              <w:t>Change</w:t>
            </w:r>
          </w:p>
        </w:tc>
        <w:tc>
          <w:tcPr>
            <w:tcW w:w="940" w:type="dxa"/>
            <w:vAlign w:val="bottom"/>
          </w:tcPr>
          <w:p>
            <w:pPr>
              <w:spacing w:after="0"/>
              <w:rPr>
                <w:sz w:val="8"/>
                <w:szCs w:val="8"/>
                <w:color w:val="auto"/>
              </w:rPr>
            </w:pPr>
          </w:p>
        </w:tc>
      </w:tr>
      <w:tr>
        <w:trPr>
          <w:trHeight w:val="106"/>
        </w:trPr>
        <w:tc>
          <w:tcPr>
            <w:tcW w:w="458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jc w:val="right"/>
              <w:ind w:right="392"/>
              <w:spacing w:after="0"/>
              <w:rPr>
                <w:sz w:val="20"/>
                <w:szCs w:val="20"/>
                <w:color w:val="auto"/>
              </w:rPr>
            </w:pPr>
            <w:r>
              <w:rPr>
                <w:rFonts w:ascii="Times New Roman" w:cs="Times New Roman" w:eastAsia="Times New Roman" w:hAnsi="Times New Roman"/>
                <w:sz w:val="8"/>
                <w:szCs w:val="8"/>
                <w:b w:val="1"/>
                <w:bCs w:val="1"/>
                <w:color w:val="auto"/>
              </w:rPr>
              <w:t>2023</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jc w:val="right"/>
              <w:ind w:right="455"/>
              <w:spacing w:after="0"/>
              <w:rPr>
                <w:sz w:val="20"/>
                <w:szCs w:val="20"/>
                <w:color w:val="auto"/>
              </w:rPr>
            </w:pPr>
            <w:r>
              <w:rPr>
                <w:rFonts w:ascii="Times New Roman" w:cs="Times New Roman" w:eastAsia="Times New Roman" w:hAnsi="Times New Roman"/>
                <w:sz w:val="8"/>
                <w:szCs w:val="8"/>
                <w:b w:val="1"/>
                <w:bCs w:val="1"/>
                <w:color w:val="auto"/>
              </w:rPr>
              <w:t>$</w:t>
            </w:r>
          </w:p>
        </w:tc>
        <w:tc>
          <w:tcPr>
            <w:tcW w:w="460" w:type="dxa"/>
            <w:vAlign w:val="bottom"/>
          </w:tcPr>
          <w:p>
            <w:pPr>
              <w:spacing w:after="0"/>
              <w:rPr>
                <w:sz w:val="9"/>
                <w:szCs w:val="9"/>
                <w:color w:val="auto"/>
              </w:rPr>
            </w:pPr>
          </w:p>
        </w:tc>
        <w:tc>
          <w:tcPr>
            <w:tcW w:w="940" w:type="dxa"/>
            <w:vAlign w:val="bottom"/>
          </w:tcPr>
          <w:p>
            <w:pPr>
              <w:jc w:val="right"/>
              <w:ind w:right="592"/>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45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Operating expenses</w:t>
            </w:r>
          </w:p>
        </w:tc>
        <w:tc>
          <w:tcPr>
            <w:tcW w:w="64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r>
      <w:tr>
        <w:trPr>
          <w:trHeight w:val="113"/>
        </w:trPr>
        <w:tc>
          <w:tcPr>
            <w:tcW w:w="45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Cost of revenue</w:t>
            </w:r>
          </w:p>
        </w:tc>
        <w:tc>
          <w:tcPr>
            <w:tcW w:w="640" w:type="dxa"/>
            <w:vAlign w:val="bottom"/>
          </w:tcPr>
          <w:p>
            <w:pPr>
              <w:jc w:val="right"/>
              <w:ind w:right="53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16,177</w:t>
            </w:r>
          </w:p>
        </w:tc>
        <w:tc>
          <w:tcPr>
            <w:tcW w:w="620" w:type="dxa"/>
            <w:vAlign w:val="bottom"/>
            <w:gridSpan w:val="2"/>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16,111</w:t>
            </w:r>
          </w:p>
        </w:tc>
        <w:tc>
          <w:tcPr>
            <w:tcW w:w="500" w:type="dxa"/>
            <w:vAlign w:val="bottom"/>
            <w:gridSpan w:val="2"/>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66</w:t>
            </w:r>
          </w:p>
        </w:tc>
        <w:tc>
          <w:tcPr>
            <w:tcW w:w="460" w:type="dxa"/>
            <w:vAlign w:val="bottom"/>
          </w:tcPr>
          <w:p>
            <w:pPr>
              <w:spacing w:after="0"/>
              <w:rPr>
                <w:sz w:val="9"/>
                <w:szCs w:val="9"/>
                <w:color w:val="auto"/>
              </w:rPr>
            </w:pP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0 %</w:t>
            </w:r>
          </w:p>
        </w:tc>
      </w:tr>
      <w:tr>
        <w:trPr>
          <w:trHeight w:val="113"/>
        </w:trPr>
        <w:tc>
          <w:tcPr>
            <w:tcW w:w="45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Sales and marketing expenses</w:t>
            </w:r>
          </w:p>
        </w:tc>
        <w:tc>
          <w:tcPr>
            <w:tcW w:w="64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w w:val="99"/>
              </w:rPr>
              <w:t>1,431,430</w:t>
            </w:r>
          </w:p>
        </w:tc>
        <w:tc>
          <w:tcPr>
            <w:tcW w:w="2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6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4,710,174</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20" w:type="dxa"/>
            <w:vAlign w:val="bottom"/>
            <w:gridSpan w:val="2"/>
            <w:shd w:val="clear" w:color="auto" w:fill="CFF0FC"/>
          </w:tcPr>
          <w:p>
            <w:pPr>
              <w:jc w:val="right"/>
              <w:ind w:right="440"/>
              <w:spacing w:after="0" w:line="113" w:lineRule="exact"/>
              <w:rPr>
                <w:sz w:val="20"/>
                <w:szCs w:val="20"/>
                <w:color w:val="auto"/>
              </w:rPr>
            </w:pPr>
            <w:r>
              <w:rPr>
                <w:rFonts w:ascii="Times New Roman" w:cs="Times New Roman" w:eastAsia="Times New Roman" w:hAnsi="Times New Roman"/>
                <w:sz w:val="10"/>
                <w:szCs w:val="10"/>
                <w:color w:val="auto"/>
              </w:rPr>
              <w:t>(3,278,744 )</w:t>
            </w:r>
          </w:p>
        </w:tc>
        <w:tc>
          <w:tcPr>
            <w:tcW w:w="9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(70 )%</w:t>
            </w:r>
          </w:p>
        </w:tc>
      </w:tr>
      <w:tr>
        <w:trPr>
          <w:trHeight w:val="113"/>
        </w:trPr>
        <w:tc>
          <w:tcPr>
            <w:tcW w:w="45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General and administrative expenses</w:t>
            </w: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w w:val="99"/>
              </w:rPr>
              <w:t>8,066,209</w:t>
            </w: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8,743,377</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2"/>
          </w:tcPr>
          <w:p>
            <w:pPr>
              <w:jc w:val="right"/>
              <w:ind w:right="440"/>
              <w:spacing w:after="0" w:line="113" w:lineRule="exact"/>
              <w:rPr>
                <w:sz w:val="20"/>
                <w:szCs w:val="20"/>
                <w:color w:val="auto"/>
              </w:rPr>
            </w:pPr>
            <w:r>
              <w:rPr>
                <w:rFonts w:ascii="Times New Roman" w:cs="Times New Roman" w:eastAsia="Times New Roman" w:hAnsi="Times New Roman"/>
                <w:sz w:val="10"/>
                <w:szCs w:val="10"/>
                <w:color w:val="auto"/>
              </w:rPr>
              <w:t>(677,168 )</w:t>
            </w: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(8 )%</w:t>
            </w:r>
          </w:p>
        </w:tc>
      </w:tr>
      <w:tr>
        <w:trPr>
          <w:trHeight w:val="113"/>
        </w:trPr>
        <w:tc>
          <w:tcPr>
            <w:tcW w:w="45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Other operating expenses</w:t>
            </w:r>
          </w:p>
        </w:tc>
        <w:tc>
          <w:tcPr>
            <w:tcW w:w="64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84,500</w:t>
            </w:r>
          </w:p>
        </w:tc>
        <w:tc>
          <w:tcPr>
            <w:tcW w:w="2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6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785,000</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20" w:type="dxa"/>
            <w:vAlign w:val="bottom"/>
            <w:gridSpan w:val="2"/>
            <w:shd w:val="clear" w:color="auto" w:fill="CFF0FC"/>
          </w:tcPr>
          <w:p>
            <w:pPr>
              <w:jc w:val="right"/>
              <w:ind w:right="440"/>
              <w:spacing w:after="0" w:line="113" w:lineRule="exact"/>
              <w:rPr>
                <w:sz w:val="20"/>
                <w:szCs w:val="20"/>
                <w:color w:val="auto"/>
              </w:rPr>
            </w:pPr>
            <w:r>
              <w:rPr>
                <w:rFonts w:ascii="Times New Roman" w:cs="Times New Roman" w:eastAsia="Times New Roman" w:hAnsi="Times New Roman"/>
                <w:sz w:val="10"/>
                <w:szCs w:val="10"/>
                <w:color w:val="auto"/>
              </w:rPr>
              <w:t>(700,500 )</w:t>
            </w:r>
          </w:p>
        </w:tc>
        <w:tc>
          <w:tcPr>
            <w:tcW w:w="9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(89 )%</w:t>
            </w:r>
          </w:p>
        </w:tc>
      </w:tr>
      <w:tr>
        <w:trPr>
          <w:trHeight w:val="113"/>
        </w:trPr>
        <w:tc>
          <w:tcPr>
            <w:tcW w:w="45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Depreciation and amortization expenses</w:t>
            </w: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120,841</w:t>
            </w: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121,571</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2"/>
          </w:tcPr>
          <w:p>
            <w:pPr>
              <w:jc w:val="right"/>
              <w:ind w:right="440"/>
              <w:spacing w:after="0" w:line="113" w:lineRule="exact"/>
              <w:rPr>
                <w:sz w:val="20"/>
                <w:szCs w:val="20"/>
                <w:color w:val="auto"/>
              </w:rPr>
            </w:pPr>
            <w:r>
              <w:rPr>
                <w:rFonts w:ascii="Times New Roman" w:cs="Times New Roman" w:eastAsia="Times New Roman" w:hAnsi="Times New Roman"/>
                <w:sz w:val="10"/>
                <w:szCs w:val="10"/>
                <w:color w:val="auto"/>
              </w:rPr>
              <w:t>(730 )</w:t>
            </w: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(1 )%</w:t>
            </w:r>
          </w:p>
        </w:tc>
      </w:tr>
      <w:tr>
        <w:trPr>
          <w:trHeight w:val="113"/>
        </w:trPr>
        <w:tc>
          <w:tcPr>
            <w:tcW w:w="4580" w:type="dxa"/>
            <w:vAlign w:val="bottom"/>
            <w:shd w:val="clear" w:color="auto" w:fill="CFF0FC"/>
          </w:tcPr>
          <w:p>
            <w:pPr>
              <w:ind w:left="100"/>
              <w:spacing w:after="0" w:line="93" w:lineRule="exact"/>
              <w:rPr>
                <w:sz w:val="20"/>
                <w:szCs w:val="20"/>
                <w:color w:val="auto"/>
              </w:rPr>
            </w:pPr>
            <w:r>
              <w:rPr>
                <w:rFonts w:ascii="Times New Roman" w:cs="Times New Roman" w:eastAsia="Times New Roman" w:hAnsi="Times New Roman"/>
                <w:sz w:val="10"/>
                <w:szCs w:val="10"/>
                <w:color w:val="auto"/>
              </w:rPr>
              <w:t>Total operating expenses</w:t>
            </w:r>
          </w:p>
        </w:tc>
        <w:tc>
          <w:tcPr>
            <w:tcW w:w="640" w:type="dxa"/>
            <w:vAlign w:val="bottom"/>
            <w:shd w:val="clear" w:color="auto" w:fill="CFF0FC"/>
          </w:tcPr>
          <w:p>
            <w:pPr>
              <w:jc w:val="right"/>
              <w:ind w:right="534"/>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color w:val="auto"/>
                <w:w w:val="99"/>
              </w:rPr>
              <w:t>9,719,157</w:t>
            </w:r>
          </w:p>
        </w:tc>
        <w:tc>
          <w:tcPr>
            <w:tcW w:w="220" w:type="dxa"/>
            <w:vAlign w:val="bottom"/>
            <w:shd w:val="clear" w:color="auto" w:fill="CFF0FC"/>
          </w:tcPr>
          <w:p>
            <w:pPr>
              <w:spacing w:after="0"/>
              <w:rPr>
                <w:sz w:val="9"/>
                <w:szCs w:val="9"/>
                <w:color w:val="auto"/>
              </w:rPr>
            </w:pPr>
          </w:p>
        </w:tc>
        <w:tc>
          <w:tcPr>
            <w:tcW w:w="400" w:type="dxa"/>
            <w:vAlign w:val="bottom"/>
            <w:shd w:val="clear" w:color="auto" w:fill="CFF0FC"/>
          </w:tcPr>
          <w:p>
            <w:pPr>
              <w:jc w:val="right"/>
              <w:ind w:right="29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color w:val="auto"/>
              </w:rPr>
              <w:t>14,376,233</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jc w:val="right"/>
              <w:ind w:right="17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gridSpan w:val="2"/>
            <w:shd w:val="clear" w:color="auto" w:fill="CFF0FC"/>
          </w:tcPr>
          <w:p>
            <w:pPr>
              <w:jc w:val="right"/>
              <w:ind w:right="440"/>
              <w:spacing w:after="0" w:line="93" w:lineRule="exact"/>
              <w:rPr>
                <w:sz w:val="20"/>
                <w:szCs w:val="20"/>
                <w:color w:val="auto"/>
              </w:rPr>
            </w:pPr>
            <w:r>
              <w:rPr>
                <w:rFonts w:ascii="Times New Roman" w:cs="Times New Roman" w:eastAsia="Times New Roman" w:hAnsi="Times New Roman"/>
                <w:sz w:val="6"/>
                <w:szCs w:val="6"/>
                <w:color w:val="auto"/>
              </w:rPr>
              <w:t xml:space="preserve">(4,657,076 </w:t>
            </w:r>
            <w:r>
              <w:rPr>
                <w:rFonts w:ascii="Times New Roman" w:cs="Times New Roman" w:eastAsia="Times New Roman" w:hAnsi="Times New Roman"/>
                <w:sz w:val="10"/>
                <w:szCs w:val="10"/>
                <w:color w:val="auto"/>
                <w:vertAlign w:val="subscript"/>
              </w:rPr>
              <w:t>)</w:t>
            </w:r>
          </w:p>
        </w:tc>
        <w:tc>
          <w:tcPr>
            <w:tcW w:w="94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color w:val="auto"/>
              </w:rPr>
              <w:t>(32 )%</w:t>
            </w:r>
          </w:p>
        </w:tc>
      </w:tr>
      <w:tr>
        <w:trPr>
          <w:trHeight w:val="23"/>
        </w:trPr>
        <w:tc>
          <w:tcPr>
            <w:tcW w:w="45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Percentages have been rounded for presentation purposes and may differ from unrounded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Cost of Revenues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Cost of revenues have remained unchanged at $0.02 million, for the six months ended June 30, 2024 compared to the six months ended June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Sales and Marketing Expenses</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Sales and marketing expenses decreased by $3.3 million, for the six months ended June 30, 2024, compared to the six months ended June 30, 2023. This was primarily due decrease in share-based payments of $2.8 million and a reduction in salary costs of $0.5 million due to reduced headcount.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General and Administrative Expenses</w:t>
      </w:r>
    </w:p>
    <w:p>
      <w:pPr>
        <w:spacing w:after="0" w:line="60"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General and Administrative expenses decreased by $0.7 million, for the six months ended June 30, 2024, compared to the six months ended June 30, 2023. Share- based payments to employees increased by $2.0 million, professional fees increased by $0.4 million related to listing costs, general and administrative other expenses increased by $0.2 million, offset by a reduction in Business Development costs of $0.6 million and a reduction of $2.9 million staff and consulting costs due to lower headcount and level of IT resources.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Other operating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Other operating expenses decreased by $0.8 million due to an impairment of a loan receivables to Swipeby in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Depreciation and Amortization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Depreciation and amortization expenses remained unchanged at $0.1 million, for the six months ended June 30, 2024, compared to the six months ended June 30, 2023.</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3" w:right="66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0"/>
          <w:szCs w:val="10"/>
          <w:i w:val="1"/>
          <w:iCs w:val="1"/>
          <w:color w:val="auto"/>
        </w:rPr>
        <w:t>Other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shows interest expense and other non-operating income for the six months ended June 30, 2024, as compared to the six months ended June 30, 2023:</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b w:val="1"/>
                <w:bCs w:val="1"/>
                <w:color w:val="auto"/>
              </w:rPr>
              <w:t>Change</w:t>
            </w:r>
          </w:p>
        </w:tc>
        <w:tc>
          <w:tcPr>
            <w:tcW w:w="940" w:type="dxa"/>
            <w:vAlign w:val="bottom"/>
          </w:tcPr>
          <w:p>
            <w:pPr>
              <w:spacing w:after="0"/>
              <w:rPr>
                <w:sz w:val="8"/>
                <w:szCs w:val="8"/>
                <w:color w:val="auto"/>
              </w:rPr>
            </w:pPr>
          </w:p>
        </w:tc>
      </w:tr>
      <w:tr>
        <w:trPr>
          <w:trHeight w:val="106"/>
        </w:trPr>
        <w:tc>
          <w:tcPr>
            <w:tcW w:w="458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jc w:val="right"/>
              <w:ind w:right="397"/>
              <w:spacing w:after="0"/>
              <w:rPr>
                <w:sz w:val="20"/>
                <w:szCs w:val="20"/>
                <w:color w:val="auto"/>
              </w:rPr>
            </w:pPr>
            <w:r>
              <w:rPr>
                <w:rFonts w:ascii="Times New Roman" w:cs="Times New Roman" w:eastAsia="Times New Roman" w:hAnsi="Times New Roman"/>
                <w:sz w:val="8"/>
                <w:szCs w:val="8"/>
                <w:b w:val="1"/>
                <w:bCs w:val="1"/>
                <w:color w:val="auto"/>
              </w:rPr>
              <w:t>2023</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jc w:val="right"/>
              <w:ind w:right="458"/>
              <w:spacing w:after="0"/>
              <w:rPr>
                <w:sz w:val="20"/>
                <w:szCs w:val="20"/>
                <w:color w:val="auto"/>
              </w:rPr>
            </w:pPr>
            <w:r>
              <w:rPr>
                <w:rFonts w:ascii="Times New Roman" w:cs="Times New Roman" w:eastAsia="Times New Roman" w:hAnsi="Times New Roman"/>
                <w:sz w:val="8"/>
                <w:szCs w:val="8"/>
                <w:b w:val="1"/>
                <w:bCs w:val="1"/>
                <w:color w:val="auto"/>
              </w:rPr>
              <w:t>$</w:t>
            </w:r>
          </w:p>
        </w:tc>
        <w:tc>
          <w:tcPr>
            <w:tcW w:w="460" w:type="dxa"/>
            <w:vAlign w:val="bottom"/>
          </w:tcPr>
          <w:p>
            <w:pPr>
              <w:spacing w:after="0"/>
              <w:rPr>
                <w:sz w:val="9"/>
                <w:szCs w:val="9"/>
                <w:color w:val="auto"/>
              </w:rPr>
            </w:pPr>
          </w:p>
        </w:tc>
        <w:tc>
          <w:tcPr>
            <w:tcW w:w="940" w:type="dxa"/>
            <w:vAlign w:val="bottom"/>
          </w:tcPr>
          <w:p>
            <w:pPr>
              <w:jc w:val="right"/>
              <w:ind w:right="593"/>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45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expenses</w:t>
            </w:r>
          </w:p>
        </w:tc>
        <w:tc>
          <w:tcPr>
            <w:tcW w:w="64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r>
      <w:tr>
        <w:trPr>
          <w:trHeight w:val="113"/>
        </w:trPr>
        <w:tc>
          <w:tcPr>
            <w:tcW w:w="45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640" w:type="dxa"/>
            <w:vAlign w:val="bottom"/>
          </w:tcPr>
          <w:p>
            <w:pPr>
              <w:jc w:val="right"/>
              <w:ind w:right="53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w w:val="89"/>
              </w:rPr>
              <w:t>(3,009,002 )</w:t>
            </w:r>
          </w:p>
        </w:tc>
        <w:tc>
          <w:tcPr>
            <w:tcW w:w="400" w:type="dxa"/>
            <w:vAlign w:val="bottom"/>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(3,054,946 )</w:t>
            </w:r>
          </w:p>
        </w:tc>
        <w:tc>
          <w:tcPr>
            <w:tcW w:w="280" w:type="dxa"/>
            <w:vAlign w:val="bottom"/>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45,944</w:t>
            </w:r>
          </w:p>
        </w:tc>
        <w:tc>
          <w:tcPr>
            <w:tcW w:w="460" w:type="dxa"/>
            <w:vAlign w:val="bottom"/>
          </w:tcPr>
          <w:p>
            <w:pPr>
              <w:spacing w:after="0"/>
              <w:rPr>
                <w:sz w:val="9"/>
                <w:szCs w:val="9"/>
                <w:color w:val="auto"/>
              </w:rPr>
            </w:pP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(2 )%</w:t>
            </w:r>
          </w:p>
        </w:tc>
      </w:tr>
      <w:tr>
        <w:trPr>
          <w:trHeight w:val="113"/>
        </w:trPr>
        <w:tc>
          <w:tcPr>
            <w:tcW w:w="45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Other non-operating (income) expense, net</w:t>
            </w:r>
          </w:p>
        </w:tc>
        <w:tc>
          <w:tcPr>
            <w:tcW w:w="6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(107,816 )</w:t>
            </w:r>
          </w:p>
        </w:tc>
        <w:tc>
          <w:tcPr>
            <w:tcW w:w="400" w:type="dxa"/>
            <w:vAlign w:val="bottom"/>
            <w:shd w:val="clear" w:color="auto" w:fill="CFF0FC"/>
          </w:tcPr>
          <w:p>
            <w:pPr>
              <w:spacing w:after="0"/>
              <w:rPr>
                <w:sz w:val="9"/>
                <w:szCs w:val="9"/>
                <w:color w:val="auto"/>
              </w:rPr>
            </w:pPr>
          </w:p>
        </w:tc>
        <w:tc>
          <w:tcPr>
            <w:tcW w:w="6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171,751</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20" w:type="dxa"/>
            <w:vAlign w:val="bottom"/>
            <w:gridSpan w:val="2"/>
            <w:shd w:val="clear" w:color="auto" w:fill="CFF0FC"/>
          </w:tcPr>
          <w:p>
            <w:pPr>
              <w:jc w:val="right"/>
              <w:ind w:right="440"/>
              <w:spacing w:after="0" w:line="113" w:lineRule="exact"/>
              <w:rPr>
                <w:sz w:val="20"/>
                <w:szCs w:val="20"/>
                <w:color w:val="auto"/>
              </w:rPr>
            </w:pPr>
            <w:r>
              <w:rPr>
                <w:rFonts w:ascii="Times New Roman" w:cs="Times New Roman" w:eastAsia="Times New Roman" w:hAnsi="Times New Roman"/>
                <w:sz w:val="10"/>
                <w:szCs w:val="10"/>
                <w:color w:val="auto"/>
              </w:rPr>
              <w:t>(279,567 )</w:t>
            </w:r>
          </w:p>
        </w:tc>
        <w:tc>
          <w:tcPr>
            <w:tcW w:w="9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(163 )%</w:t>
            </w:r>
          </w:p>
        </w:tc>
      </w:tr>
      <w:tr>
        <w:trPr>
          <w:trHeight w:val="113"/>
        </w:trPr>
        <w:tc>
          <w:tcPr>
            <w:tcW w:w="4580" w:type="dxa"/>
            <w:vAlign w:val="bottom"/>
          </w:tcPr>
          <w:p>
            <w:pPr>
              <w:ind w:left="20"/>
              <w:spacing w:after="0" w:line="93" w:lineRule="exact"/>
              <w:rPr>
                <w:sz w:val="20"/>
                <w:szCs w:val="20"/>
                <w:color w:val="auto"/>
              </w:rPr>
            </w:pPr>
            <w:r>
              <w:rPr>
                <w:rFonts w:ascii="Times New Roman" w:cs="Times New Roman" w:eastAsia="Times New Roman" w:hAnsi="Times New Roman"/>
                <w:sz w:val="10"/>
                <w:szCs w:val="10"/>
                <w:color w:val="auto"/>
              </w:rPr>
              <w:t>Total other expense, net</w:t>
            </w:r>
          </w:p>
        </w:tc>
        <w:tc>
          <w:tcPr>
            <w:tcW w:w="640" w:type="dxa"/>
            <w:vAlign w:val="bottom"/>
          </w:tcPr>
          <w:p>
            <w:pPr>
              <w:jc w:val="right"/>
              <w:ind w:right="534"/>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color w:val="auto"/>
              </w:rPr>
              <w:t xml:space="preserve">(3,116,818 </w:t>
            </w:r>
            <w:r>
              <w:rPr>
                <w:rFonts w:ascii="Times New Roman" w:cs="Times New Roman" w:eastAsia="Times New Roman" w:hAnsi="Times New Roman"/>
                <w:sz w:val="10"/>
                <w:szCs w:val="10"/>
                <w:color w:val="auto"/>
                <w:vertAlign w:val="subscript"/>
              </w:rPr>
              <w:t>)</w:t>
            </w:r>
          </w:p>
        </w:tc>
        <w:tc>
          <w:tcPr>
            <w:tcW w:w="400" w:type="dxa"/>
            <w:vAlign w:val="bottom"/>
          </w:tcPr>
          <w:p>
            <w:pPr>
              <w:jc w:val="right"/>
              <w:ind w:right="29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color w:val="auto"/>
              </w:rPr>
              <w:t xml:space="preserve">(2,883,195 </w:t>
            </w:r>
            <w:r>
              <w:rPr>
                <w:rFonts w:ascii="Times New Roman" w:cs="Times New Roman" w:eastAsia="Times New Roman" w:hAnsi="Times New Roman"/>
                <w:sz w:val="10"/>
                <w:szCs w:val="10"/>
                <w:color w:val="auto"/>
                <w:vertAlign w:val="subscript"/>
              </w:rPr>
              <w:t>)</w:t>
            </w:r>
          </w:p>
        </w:tc>
        <w:tc>
          <w:tcPr>
            <w:tcW w:w="280" w:type="dxa"/>
            <w:vAlign w:val="bottom"/>
          </w:tcPr>
          <w:p>
            <w:pPr>
              <w:spacing w:after="0"/>
              <w:rPr>
                <w:sz w:val="9"/>
                <w:szCs w:val="9"/>
                <w:color w:val="auto"/>
              </w:rPr>
            </w:pPr>
          </w:p>
        </w:tc>
        <w:tc>
          <w:tcPr>
            <w:tcW w:w="1220" w:type="dxa"/>
            <w:vAlign w:val="bottom"/>
            <w:gridSpan w:val="2"/>
          </w:tcPr>
          <w:p>
            <w:pPr>
              <w:jc w:val="right"/>
              <w:ind w:right="440"/>
              <w:spacing w:after="0" w:line="93" w:lineRule="exact"/>
              <w:rPr>
                <w:sz w:val="20"/>
                <w:szCs w:val="20"/>
                <w:color w:val="auto"/>
              </w:rPr>
            </w:pPr>
            <w:r>
              <w:rPr>
                <w:rFonts w:ascii="Times New Roman" w:cs="Times New Roman" w:eastAsia="Times New Roman" w:hAnsi="Times New Roman"/>
                <w:sz w:val="6"/>
                <w:szCs w:val="6"/>
                <w:color w:val="auto"/>
              </w:rPr>
              <w:t xml:space="preserve">(233,623 </w:t>
            </w:r>
            <w:r>
              <w:rPr>
                <w:rFonts w:ascii="Times New Roman" w:cs="Times New Roman" w:eastAsia="Times New Roman" w:hAnsi="Times New Roman"/>
                <w:sz w:val="10"/>
                <w:szCs w:val="10"/>
                <w:color w:val="auto"/>
                <w:vertAlign w:val="subscript"/>
              </w:rPr>
              <w:t>)</w:t>
            </w:r>
          </w:p>
        </w:tc>
        <w:tc>
          <w:tcPr>
            <w:tcW w:w="94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8 %</w:t>
            </w:r>
          </w:p>
        </w:tc>
      </w:tr>
      <w:tr>
        <w:trPr>
          <w:trHeight w:val="23"/>
        </w:trPr>
        <w:tc>
          <w:tcPr>
            <w:tcW w:w="4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36"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Interest expense remained unchanged at $3.0 million for the six months ended June 30, 2024 as compared to the six months ended June 2023. The increase in interest related to the promissory notes has been offset by the lower effective interest rate on the convertible secured loan. Further details of the Yorkville Convertible Promissory Note and Capital Commitment, the Convertible Secured Loan Notes and the Other Convertible Promissory Notes and Warrants can be found later in the Management’s discussion and analysis of financial discussion condition and results of operation.</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Other non-operating (income) expense decreased by $0.3 million for the six months ended June 30, 2024 as compared to the six year ended June 30, 2023, this is due to an increase in foreign exchange losses of $0.3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Operating Losses</w:t>
      </w:r>
    </w:p>
    <w:p>
      <w:pPr>
        <w:spacing w:after="0" w:line="60"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Operating losses decreased from $14.3 million for the six months ended June 30, 2023 million to $9.7 million for the six months ended June 31, 2024. This was due to a decrease in Operating expenses from $14.4m million for the six months ended June 30, 2023 to $9.7 million for the six months ended June 30, 2024. The drivers of decreased Operating expenses are as detailed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Key Business Metrics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 addition to information related to our financial performance, we regularly review the following key metrics to evaluate our business, measure our performance, identify trends in our business, prepare financial projections and make strategic decisions. We discuss revenues below under “—</w:t>
      </w:r>
      <w:r>
        <w:rPr>
          <w:rFonts w:ascii="Times New Roman" w:cs="Times New Roman" w:eastAsia="Times New Roman" w:hAnsi="Times New Roman"/>
          <w:sz w:val="10"/>
          <w:szCs w:val="10"/>
          <w:i w:val="1"/>
          <w:iCs w:val="1"/>
          <w:color w:val="auto"/>
        </w:rPr>
        <w:t>Components of Results of Operations</w:t>
      </w:r>
      <w:r>
        <w:rPr>
          <w:rFonts w:ascii="Times New Roman" w:cs="Times New Roman" w:eastAsia="Times New Roman" w:hAnsi="Times New Roman"/>
          <w:sz w:val="10"/>
          <w:szCs w:val="10"/>
          <w:color w:val="auto"/>
        </w:rPr>
        <w:t>.” Period-on-period revenues growth, EBITDA and total number of merchants are discussed immediately below the following table. The following financial metrics are used by management to monitor and analyze the operational performance of our business.</w:t>
      </w:r>
    </w:p>
    <w:p>
      <w:pPr>
        <w:spacing w:after="0" w:line="43" w:lineRule="exact"/>
        <w:rPr>
          <w:sz w:val="20"/>
          <w:szCs w:val="20"/>
          <w:color w:val="auto"/>
        </w:rPr>
      </w:pPr>
    </w:p>
    <w:p>
      <w:pPr>
        <w:ind w:left="480" w:right="8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Ticketing:</w:t>
      </w:r>
      <w:r>
        <w:rPr>
          <w:rFonts w:ascii="Times New Roman" w:cs="Times New Roman" w:eastAsia="Times New Roman" w:hAnsi="Times New Roman"/>
          <w:sz w:val="10"/>
          <w:szCs w:val="10"/>
          <w:color w:val="auto"/>
        </w:rPr>
        <w:t xml:space="preserve"> Total Ticketing revenue transactions reflect the number of loyalty card transactions in a calendar year, loyalty is linked to the consumers football ticket. We track ticketing transactions as an indicator of customer transactions and as a key driver of revenues.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EBITDA</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changes in, or cash requirements for, our working capital needs or contractual commitments;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our interest expense, or the cash requirements to service interest or principal payments on, our indebtedness;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our tax expense or the cash requirements to pay our taxes;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the impact on earnings or changes resulting from matters that we consider not to be indicative of our future operations;</w:t>
      </w:r>
    </w:p>
    <w:p>
      <w:pPr>
        <w:spacing w:after="0" w:line="58" w:lineRule="exact"/>
        <w:rPr>
          <w:sz w:val="20"/>
          <w:szCs w:val="20"/>
          <w:color w:val="auto"/>
        </w:rPr>
      </w:pPr>
    </w:p>
    <w:p>
      <w:pPr>
        <w:ind w:left="480" w:right="1200"/>
        <w:spacing w:after="0" w:line="380" w:lineRule="auto"/>
        <w:rPr>
          <w:sz w:val="20"/>
          <w:szCs w:val="20"/>
          <w:color w:val="auto"/>
        </w:rPr>
      </w:pPr>
      <w:r>
        <w:rPr>
          <w:rFonts w:ascii="Times New Roman" w:cs="Times New Roman" w:eastAsia="Times New Roman" w:hAnsi="Times New Roman"/>
          <w:sz w:val="10"/>
          <w:szCs w:val="10"/>
          <w:color w:val="auto"/>
        </w:rPr>
        <w:t>•although depreciation and amortization are non-cash charges, the assets being depreciated or amortized will often need to be replaced in the future, and EBITDA does not reflect any cash requirements for these replacements; and •other companies may calculate EBITDA differently than we do.</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71" w:name="page72"/>
    <w:bookmarkEnd w:id="71"/>
    <w:p>
      <w:pPr>
        <w:ind w:firstLine="480"/>
        <w:spacing w:after="0" w:line="255" w:lineRule="auto"/>
        <w:rPr>
          <w:sz w:val="20"/>
          <w:szCs w:val="20"/>
          <w:color w:val="auto"/>
        </w:rPr>
      </w:pPr>
      <w:r>
        <w:rPr>
          <w:rFonts w:ascii="Times New Roman" w:cs="Times New Roman" w:eastAsia="Times New Roman" w:hAnsi="Times New Roman"/>
          <w:sz w:val="10"/>
          <w:szCs w:val="10"/>
          <w:color w:val="auto"/>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table below provides a reconciliation of our net income (loss) to EBITDA:</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3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740" w:type="dxa"/>
            <w:vAlign w:val="bottom"/>
          </w:tcPr>
          <w:p>
            <w:pPr>
              <w:spacing w:after="0"/>
              <w:rPr>
                <w:sz w:val="8"/>
                <w:szCs w:val="8"/>
                <w:color w:val="auto"/>
              </w:rPr>
            </w:pPr>
          </w:p>
        </w:tc>
      </w:tr>
      <w:tr>
        <w:trPr>
          <w:trHeight w:val="106"/>
        </w:trPr>
        <w:tc>
          <w:tcPr>
            <w:tcW w:w="34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60" w:type="dxa"/>
            <w:vAlign w:val="bottom"/>
          </w:tcPr>
          <w:p>
            <w:pPr>
              <w:jc w:val="right"/>
              <w:ind w:right="533"/>
              <w:spacing w:after="0"/>
              <w:rPr>
                <w:sz w:val="20"/>
                <w:szCs w:val="20"/>
                <w:color w:val="auto"/>
              </w:rPr>
            </w:pPr>
            <w:r>
              <w:rPr>
                <w:rFonts w:ascii="Times New Roman" w:cs="Times New Roman" w:eastAsia="Times New Roman" w:hAnsi="Times New Roman"/>
                <w:sz w:val="8"/>
                <w:szCs w:val="8"/>
                <w:b w:val="1"/>
                <w:bCs w:val="1"/>
                <w:color w:val="auto"/>
              </w:rPr>
              <w:t>2024</w:t>
            </w:r>
          </w:p>
        </w:tc>
        <w:tc>
          <w:tcPr>
            <w:tcW w:w="480" w:type="dxa"/>
            <w:vAlign w:val="bottom"/>
          </w:tcPr>
          <w:p>
            <w:pPr>
              <w:spacing w:after="0"/>
              <w:rPr>
                <w:sz w:val="9"/>
                <w:szCs w:val="9"/>
                <w:color w:val="auto"/>
              </w:rPr>
            </w:pPr>
          </w:p>
        </w:tc>
        <w:tc>
          <w:tcPr>
            <w:tcW w:w="740" w:type="dxa"/>
            <w:vAlign w:val="bottom"/>
          </w:tcPr>
          <w:p>
            <w:pPr>
              <w:jc w:val="right"/>
              <w:ind w:right="473"/>
              <w:spacing w:after="0"/>
              <w:rPr>
                <w:sz w:val="20"/>
                <w:szCs w:val="20"/>
                <w:color w:val="auto"/>
              </w:rPr>
            </w:pPr>
            <w:r>
              <w:rPr>
                <w:rFonts w:ascii="Times New Roman" w:cs="Times New Roman" w:eastAsia="Times New Roman" w:hAnsi="Times New Roman"/>
                <w:sz w:val="8"/>
                <w:szCs w:val="8"/>
                <w:b w:val="1"/>
                <w:bCs w:val="1"/>
                <w:color w:val="auto"/>
              </w:rPr>
              <w:t>2023</w:t>
            </w:r>
          </w:p>
        </w:tc>
      </w:tr>
      <w:tr>
        <w:trPr>
          <w:trHeight w:val="113"/>
        </w:trPr>
        <w:tc>
          <w:tcPr>
            <w:tcW w:w="34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income (loss)</w:t>
            </w:r>
          </w:p>
        </w:tc>
        <w:tc>
          <w:tcPr>
            <w:tcW w:w="1860" w:type="dxa"/>
            <w:vAlign w:val="bottom"/>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(12,842,446 )</w:t>
            </w:r>
          </w:p>
        </w:tc>
        <w:tc>
          <w:tcPr>
            <w:tcW w:w="48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(17,276,072 )</w:t>
            </w:r>
          </w:p>
        </w:tc>
      </w:tr>
      <w:tr>
        <w:trPr>
          <w:trHeight w:val="113"/>
        </w:trPr>
        <w:tc>
          <w:tcPr>
            <w:tcW w:w="34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Add (subtract)</w:t>
            </w:r>
          </w:p>
        </w:tc>
        <w:tc>
          <w:tcPr>
            <w:tcW w:w="18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13"/>
        </w:trPr>
        <w:tc>
          <w:tcPr>
            <w:tcW w:w="340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186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3,009,002</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3,054,946</w:t>
            </w:r>
          </w:p>
        </w:tc>
      </w:tr>
      <w:tr>
        <w:trPr>
          <w:trHeight w:val="113"/>
        </w:trPr>
        <w:tc>
          <w:tcPr>
            <w:tcW w:w="340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Provision for income tax expense (benefit)</w:t>
            </w:r>
          </w:p>
        </w:tc>
        <w:tc>
          <w:tcPr>
            <w:tcW w:w="1860" w:type="dxa"/>
            <w:vAlign w:val="bottom"/>
          </w:tcPr>
          <w:p>
            <w:pPr>
              <w:spacing w:after="0"/>
              <w:rPr>
                <w:sz w:val="9"/>
                <w:szCs w:val="9"/>
                <w:color w:val="auto"/>
              </w:rPr>
            </w:pPr>
          </w:p>
        </w:tc>
        <w:tc>
          <w:tcPr>
            <w:tcW w:w="960" w:type="dxa"/>
            <w:vAlign w:val="bottom"/>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59,870</w:t>
            </w:r>
          </w:p>
        </w:tc>
        <w:tc>
          <w:tcPr>
            <w:tcW w:w="480" w:type="dxa"/>
            <w:vAlign w:val="bottom"/>
          </w:tcPr>
          <w:p>
            <w:pPr>
              <w:spacing w:after="0"/>
              <w:rPr>
                <w:sz w:val="9"/>
                <w:szCs w:val="9"/>
                <w:color w:val="auto"/>
              </w:rPr>
            </w:pPr>
          </w:p>
        </w:tc>
        <w:tc>
          <w:tcPr>
            <w:tcW w:w="74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63,408</w:t>
            </w:r>
          </w:p>
        </w:tc>
      </w:tr>
      <w:tr>
        <w:trPr>
          <w:trHeight w:val="113"/>
        </w:trPr>
        <w:tc>
          <w:tcPr>
            <w:tcW w:w="340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186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120,841</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121,571</w:t>
            </w:r>
          </w:p>
        </w:tc>
      </w:tr>
      <w:tr>
        <w:trPr>
          <w:trHeight w:val="125"/>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EBITDA</w:t>
            </w:r>
          </w:p>
        </w:tc>
        <w:tc>
          <w:tcPr>
            <w:tcW w:w="18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(9,652,733 )</w:t>
            </w:r>
          </w:p>
        </w:tc>
        <w:tc>
          <w:tcPr>
            <w:tcW w:w="48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(14,036,147 )</w:t>
            </w:r>
          </w:p>
        </w:tc>
      </w:tr>
    </w:tbl>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have booked transaction-related costs in each of the six months ended June 30, 2024 and June 30, 2023. PCAOB audit and U.S. legal counsel costs for the periods under review have been accrued as incurred in the six months ended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Adjusted EBITDA</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We define Adjusted EBITDA as EBITDA adjusted for unrealized foreign exchange gains (losses), impairment of goodwill and other assets, business development expenses, warrants issued and share-based compensation. Although it is frequently used by investors and securities analysts in their evaluations of companies, Adjusted EBITDA has limitations as an analytical tool, including:</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•Adjusted EBITDA does not reflect changes in, or cash requirements for, our working capital needs or contractual commitments;</w:t>
      </w:r>
    </w:p>
    <w:p>
      <w:pPr>
        <w:spacing w:after="0" w:line="58" w:lineRule="exact"/>
        <w:rPr>
          <w:sz w:val="20"/>
          <w:szCs w:val="20"/>
          <w:color w:val="auto"/>
        </w:rPr>
      </w:pPr>
    </w:p>
    <w:p>
      <w:pPr>
        <w:ind w:left="480" w:right="4440"/>
        <w:spacing w:after="0" w:line="360" w:lineRule="auto"/>
        <w:rPr>
          <w:sz w:val="20"/>
          <w:szCs w:val="20"/>
          <w:color w:val="auto"/>
        </w:rPr>
      </w:pPr>
      <w:r>
        <w:rPr>
          <w:rFonts w:ascii="Times New Roman" w:cs="Times New Roman" w:eastAsia="Times New Roman" w:hAnsi="Times New Roman"/>
          <w:sz w:val="10"/>
          <w:szCs w:val="10"/>
          <w:color w:val="auto"/>
        </w:rPr>
        <w:t>•Adjusted EBITDA does not reflect our interest expense, or the cash requirements to service interest or principal payments on, our indebtedness; •Adjusted EBITDA does not reflect our tax expense or the cash requirements to pay our taxes;</w:t>
      </w:r>
    </w:p>
    <w:p>
      <w:pPr>
        <w:ind w:left="480"/>
        <w:spacing w:after="0"/>
        <w:rPr>
          <w:sz w:val="20"/>
          <w:szCs w:val="20"/>
          <w:color w:val="auto"/>
        </w:rPr>
      </w:pPr>
      <w:r>
        <w:rPr>
          <w:rFonts w:ascii="Times New Roman" w:cs="Times New Roman" w:eastAsia="Times New Roman" w:hAnsi="Times New Roman"/>
          <w:sz w:val="10"/>
          <w:szCs w:val="10"/>
          <w:color w:val="auto"/>
        </w:rPr>
        <w:t>•Adjusted EBITDA does not reflect the impact on earnings or changes resulting from matters that we consider not to be indicative of our future operations;</w:t>
      </w:r>
    </w:p>
    <w:p>
      <w:pPr>
        <w:spacing w:after="0" w:line="58" w:lineRule="exact"/>
        <w:rPr>
          <w:sz w:val="20"/>
          <w:szCs w:val="20"/>
          <w:color w:val="auto"/>
        </w:rPr>
      </w:pPr>
    </w:p>
    <w:p>
      <w:pPr>
        <w:ind w:left="480" w:right="780"/>
        <w:spacing w:after="0" w:line="380" w:lineRule="auto"/>
        <w:rPr>
          <w:sz w:val="20"/>
          <w:szCs w:val="20"/>
          <w:color w:val="auto"/>
        </w:rPr>
      </w:pPr>
      <w:r>
        <w:rPr>
          <w:rFonts w:ascii="Times New Roman" w:cs="Times New Roman" w:eastAsia="Times New Roman" w:hAnsi="Times New Roman"/>
          <w:sz w:val="10"/>
          <w:szCs w:val="10"/>
          <w:color w:val="auto"/>
        </w:rPr>
        <w:t>•although depreciation and amortization are non-cash charges, the assets being depreciated or amortized will often need to be replaced in the future, and Adjusted EBITDA does not reflect any cash requirements for these replacements; and •other companies may calculate Adjusted EBITDA differently than we do.</w:t>
      </w:r>
    </w:p>
    <w:p>
      <w:pPr>
        <w:spacing w:after="0" w:line="4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spacing w:after="0" w:line="101" w:lineRule="exact"/>
        <w:rPr>
          <w:sz w:val="20"/>
          <w:szCs w:val="20"/>
          <w:color w:val="auto"/>
        </w:rPr>
      </w:pPr>
    </w:p>
    <w:p>
      <w:pPr>
        <w:ind w:right="340" w:firstLine="480"/>
        <w:spacing w:after="0" w:line="255" w:lineRule="auto"/>
        <w:rPr>
          <w:sz w:val="20"/>
          <w:szCs w:val="20"/>
          <w:color w:val="auto"/>
        </w:rPr>
      </w:pPr>
      <w:r>
        <w:rPr>
          <w:rFonts w:ascii="Times New Roman" w:cs="Times New Roman" w:eastAsia="Times New Roman" w:hAnsi="Times New Roman"/>
          <w:sz w:val="10"/>
          <w:szCs w:val="10"/>
          <w:color w:val="auto"/>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Adjusted EBITDA is used by management to understand and track underlying earnings performance by excluding one-time and non-recurring costs. The company believe it is appropriate to exclude theses costs from Adjusted EBITDA as they relate to:</w:t>
      </w:r>
    </w:p>
    <w:p>
      <w:pPr>
        <w:spacing w:after="0" w:line="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•Investments made in the China Business;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•Impairments of loans and accounts receivable;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•Share based compensation related only to initial employees, consultants and related parties;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•Unrealized foreign exchange (gain)/loss are one-time costs.</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1155" w:right="700" w:bottom="1440" w:gutter="0" w:footer="0" w:header="0"/>
        </w:sectPr>
      </w:pPr>
    </w:p>
    <w:bookmarkStart w:id="72" w:name="page73"/>
    <w:bookmarkEnd w:id="72"/>
    <w:p>
      <w:pPr>
        <w:ind w:left="480"/>
        <w:spacing w:after="0"/>
        <w:rPr>
          <w:sz w:val="20"/>
          <w:szCs w:val="20"/>
          <w:color w:val="auto"/>
        </w:rPr>
      </w:pPr>
      <w:r>
        <w:rPr>
          <w:rFonts w:ascii="Times New Roman" w:cs="Times New Roman" w:eastAsia="Times New Roman" w:hAnsi="Times New Roman"/>
          <w:sz w:val="10"/>
          <w:szCs w:val="10"/>
          <w:color w:val="auto"/>
        </w:rPr>
        <w:t>Internally adjusted EBITDA and contribution margin by reportable segment are significant measures used by management for purposes of:</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•Supplementing the financial results and forecasts reported to the Company’s board of directors;</w:t>
      </w:r>
    </w:p>
    <w:p>
      <w:pPr>
        <w:spacing w:after="0" w:line="58" w:lineRule="exact"/>
        <w:rPr>
          <w:sz w:val="20"/>
          <w:szCs w:val="20"/>
          <w:color w:val="auto"/>
        </w:rPr>
      </w:pPr>
    </w:p>
    <w:p>
      <w:pPr>
        <w:ind w:left="480" w:right="1900"/>
        <w:spacing w:after="0" w:line="380" w:lineRule="auto"/>
        <w:rPr>
          <w:sz w:val="20"/>
          <w:szCs w:val="20"/>
          <w:color w:val="auto"/>
        </w:rPr>
      </w:pPr>
      <w:r>
        <w:rPr>
          <w:rFonts w:ascii="Times New Roman" w:cs="Times New Roman" w:eastAsia="Times New Roman" w:hAnsi="Times New Roman"/>
          <w:sz w:val="10"/>
          <w:szCs w:val="10"/>
          <w:color w:val="auto"/>
        </w:rPr>
        <w:t>•Evaluating the operating performance of which includes direct and incrementally controllable revenue and costs of operations but excludes items considered by management to be non-cash or non-operating; and •Establishing internal operating budgets and target.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•Business development expenses reflect the costs incurred by Rezolve Limited in funding our platform activities in China in 2023 and are recorded within General and Administrative expenses.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table below provides a reconciliation of our net income (loss) to Adjusted EBITDA:</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35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740" w:type="dxa"/>
            <w:vAlign w:val="bottom"/>
          </w:tcPr>
          <w:p>
            <w:pPr>
              <w:spacing w:after="0"/>
              <w:rPr>
                <w:sz w:val="8"/>
                <w:szCs w:val="8"/>
                <w:color w:val="auto"/>
              </w:rPr>
            </w:pPr>
          </w:p>
        </w:tc>
      </w:tr>
      <w:tr>
        <w:trPr>
          <w:trHeight w:val="106"/>
        </w:trPr>
        <w:tc>
          <w:tcPr>
            <w:tcW w:w="35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960" w:type="dxa"/>
            <w:vAlign w:val="bottom"/>
          </w:tcPr>
          <w:p>
            <w:pPr>
              <w:jc w:val="right"/>
              <w:ind w:right="533"/>
              <w:spacing w:after="0"/>
              <w:rPr>
                <w:sz w:val="20"/>
                <w:szCs w:val="20"/>
                <w:color w:val="auto"/>
              </w:rPr>
            </w:pPr>
            <w:r>
              <w:rPr>
                <w:rFonts w:ascii="Times New Roman" w:cs="Times New Roman" w:eastAsia="Times New Roman" w:hAnsi="Times New Roman"/>
                <w:sz w:val="8"/>
                <w:szCs w:val="8"/>
                <w:b w:val="1"/>
                <w:bCs w:val="1"/>
                <w:color w:val="auto"/>
              </w:rPr>
              <w:t>2024</w:t>
            </w:r>
          </w:p>
        </w:tc>
        <w:tc>
          <w:tcPr>
            <w:tcW w:w="480" w:type="dxa"/>
            <w:vAlign w:val="bottom"/>
          </w:tcPr>
          <w:p>
            <w:pPr>
              <w:spacing w:after="0"/>
              <w:rPr>
                <w:sz w:val="9"/>
                <w:szCs w:val="9"/>
                <w:color w:val="auto"/>
              </w:rPr>
            </w:pPr>
          </w:p>
        </w:tc>
        <w:tc>
          <w:tcPr>
            <w:tcW w:w="740" w:type="dxa"/>
            <w:vAlign w:val="bottom"/>
          </w:tcPr>
          <w:p>
            <w:pPr>
              <w:jc w:val="right"/>
              <w:ind w:right="472"/>
              <w:spacing w:after="0"/>
              <w:rPr>
                <w:sz w:val="20"/>
                <w:szCs w:val="20"/>
                <w:color w:val="auto"/>
              </w:rPr>
            </w:pPr>
            <w:r>
              <w:rPr>
                <w:rFonts w:ascii="Times New Roman" w:cs="Times New Roman" w:eastAsia="Times New Roman" w:hAnsi="Times New Roman"/>
                <w:sz w:val="8"/>
                <w:szCs w:val="8"/>
                <w:b w:val="1"/>
                <w:bCs w:val="1"/>
                <w:color w:val="auto"/>
              </w:rPr>
              <w:t>2023</w:t>
            </w:r>
          </w:p>
        </w:tc>
      </w:tr>
      <w:tr>
        <w:trPr>
          <w:trHeight w:val="113"/>
        </w:trPr>
        <w:tc>
          <w:tcPr>
            <w:tcW w:w="35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income (loss)</w:t>
            </w:r>
          </w:p>
        </w:tc>
        <w:tc>
          <w:tcPr>
            <w:tcW w:w="1680" w:type="dxa"/>
            <w:vAlign w:val="bottom"/>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(12,842,446 )</w:t>
            </w:r>
          </w:p>
        </w:tc>
        <w:tc>
          <w:tcPr>
            <w:tcW w:w="48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(17,276,072 )</w:t>
            </w:r>
          </w:p>
        </w:tc>
      </w:tr>
      <w:tr>
        <w:trPr>
          <w:trHeight w:val="113"/>
        </w:trPr>
        <w:tc>
          <w:tcPr>
            <w:tcW w:w="35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Add (subtract)</w:t>
            </w:r>
          </w:p>
        </w:tc>
        <w:tc>
          <w:tcPr>
            <w:tcW w:w="1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13"/>
        </w:trPr>
        <w:tc>
          <w:tcPr>
            <w:tcW w:w="35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168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3,009,002</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3,054,946</w:t>
            </w:r>
          </w:p>
        </w:tc>
      </w:tr>
      <w:tr>
        <w:trPr>
          <w:trHeight w:val="113"/>
        </w:trPr>
        <w:tc>
          <w:tcPr>
            <w:tcW w:w="35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Provision for income tax expense (benefit)</w:t>
            </w:r>
          </w:p>
        </w:tc>
        <w:tc>
          <w:tcPr>
            <w:tcW w:w="1680" w:type="dxa"/>
            <w:vAlign w:val="bottom"/>
          </w:tcPr>
          <w:p>
            <w:pPr>
              <w:spacing w:after="0"/>
              <w:rPr>
                <w:sz w:val="9"/>
                <w:szCs w:val="9"/>
                <w:color w:val="auto"/>
              </w:rPr>
            </w:pPr>
          </w:p>
        </w:tc>
        <w:tc>
          <w:tcPr>
            <w:tcW w:w="960" w:type="dxa"/>
            <w:vAlign w:val="bottom"/>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59,870</w:t>
            </w:r>
          </w:p>
        </w:tc>
        <w:tc>
          <w:tcPr>
            <w:tcW w:w="480" w:type="dxa"/>
            <w:vAlign w:val="bottom"/>
          </w:tcPr>
          <w:p>
            <w:pPr>
              <w:spacing w:after="0"/>
              <w:rPr>
                <w:sz w:val="9"/>
                <w:szCs w:val="9"/>
                <w:color w:val="auto"/>
              </w:rPr>
            </w:pPr>
          </w:p>
        </w:tc>
        <w:tc>
          <w:tcPr>
            <w:tcW w:w="74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63,408</w:t>
            </w:r>
          </w:p>
        </w:tc>
      </w:tr>
      <w:tr>
        <w:trPr>
          <w:trHeight w:val="113"/>
        </w:trPr>
        <w:tc>
          <w:tcPr>
            <w:tcW w:w="35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168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120,841</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121,571</w:t>
            </w:r>
          </w:p>
        </w:tc>
      </w:tr>
      <w:tr>
        <w:trPr>
          <w:trHeight w:val="113"/>
        </w:trPr>
        <w:tc>
          <w:tcPr>
            <w:tcW w:w="35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EBITDA</w:t>
            </w:r>
          </w:p>
        </w:tc>
        <w:tc>
          <w:tcPr>
            <w:tcW w:w="1680" w:type="dxa"/>
            <w:vAlign w:val="bottom"/>
          </w:tcPr>
          <w:p>
            <w:pPr>
              <w:jc w:val="right"/>
              <w:ind w:right="1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(9,652,733 )</w:t>
            </w:r>
          </w:p>
        </w:tc>
        <w:tc>
          <w:tcPr>
            <w:tcW w:w="48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(14,036,147 )</w:t>
            </w:r>
          </w:p>
        </w:tc>
      </w:tr>
      <w:tr>
        <w:trPr>
          <w:trHeight w:val="113"/>
        </w:trPr>
        <w:tc>
          <w:tcPr>
            <w:tcW w:w="35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Add (subtract)</w:t>
            </w:r>
          </w:p>
        </w:tc>
        <w:tc>
          <w:tcPr>
            <w:tcW w:w="168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r>
      <w:tr>
        <w:trPr>
          <w:trHeight w:val="113"/>
        </w:trPr>
        <w:tc>
          <w:tcPr>
            <w:tcW w:w="358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Unrealized foreign exchange (gain) loss</w:t>
            </w:r>
          </w:p>
        </w:tc>
        <w:tc>
          <w:tcPr>
            <w:tcW w:w="1680" w:type="dxa"/>
            <w:vAlign w:val="bottom"/>
          </w:tcPr>
          <w:p>
            <w:pPr>
              <w:spacing w:after="0"/>
              <w:rPr>
                <w:sz w:val="9"/>
                <w:szCs w:val="9"/>
                <w:color w:val="auto"/>
              </w:rPr>
            </w:pPr>
          </w:p>
        </w:tc>
        <w:tc>
          <w:tcPr>
            <w:tcW w:w="960" w:type="dxa"/>
            <w:vAlign w:val="bottom"/>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108,224</w:t>
            </w:r>
          </w:p>
        </w:tc>
        <w:tc>
          <w:tcPr>
            <w:tcW w:w="480" w:type="dxa"/>
            <w:vAlign w:val="bottom"/>
          </w:tcPr>
          <w:p>
            <w:pPr>
              <w:spacing w:after="0"/>
              <w:rPr>
                <w:sz w:val="9"/>
                <w:szCs w:val="9"/>
                <w:color w:val="auto"/>
              </w:rPr>
            </w:pPr>
          </w:p>
        </w:tc>
        <w:tc>
          <w:tcPr>
            <w:tcW w:w="74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327,383</w:t>
            </w:r>
          </w:p>
        </w:tc>
      </w:tr>
      <w:tr>
        <w:trPr>
          <w:trHeight w:val="113"/>
        </w:trPr>
        <w:tc>
          <w:tcPr>
            <w:tcW w:w="358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Impairment of prepayments and other current assets</w:t>
            </w:r>
          </w:p>
        </w:tc>
        <w:tc>
          <w:tcPr>
            <w:tcW w:w="168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785,000</w:t>
            </w:r>
          </w:p>
        </w:tc>
      </w:tr>
      <w:tr>
        <w:trPr>
          <w:trHeight w:val="113"/>
        </w:trPr>
        <w:tc>
          <w:tcPr>
            <w:tcW w:w="358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Business development expenses</w:t>
            </w:r>
          </w:p>
        </w:tc>
        <w:tc>
          <w:tcPr>
            <w:tcW w:w="1680" w:type="dxa"/>
            <w:vAlign w:val="bottom"/>
          </w:tcPr>
          <w:p>
            <w:pPr>
              <w:spacing w:after="0"/>
              <w:rPr>
                <w:sz w:val="9"/>
                <w:szCs w:val="9"/>
                <w:color w:val="auto"/>
              </w:rPr>
            </w:pPr>
          </w:p>
        </w:tc>
        <w:tc>
          <w:tcPr>
            <w:tcW w:w="960" w:type="dxa"/>
            <w:vAlign w:val="bottom"/>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9"/>
                <w:szCs w:val="9"/>
                <w:color w:val="auto"/>
              </w:rPr>
            </w:pPr>
          </w:p>
        </w:tc>
        <w:tc>
          <w:tcPr>
            <w:tcW w:w="74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570,731</w:t>
            </w:r>
          </w:p>
        </w:tc>
      </w:tr>
      <w:tr>
        <w:trPr>
          <w:trHeight w:val="113"/>
        </w:trPr>
        <w:tc>
          <w:tcPr>
            <w:tcW w:w="358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Employee and Other Share-based compensation</w:t>
            </w:r>
          </w:p>
        </w:tc>
        <w:tc>
          <w:tcPr>
            <w:tcW w:w="168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4,043,184</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4,880,389</w:t>
            </w:r>
          </w:p>
        </w:tc>
      </w:tr>
      <w:tr>
        <w:trPr>
          <w:trHeight w:val="125"/>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Adjusted EBITDA .</w:t>
            </w:r>
          </w:p>
        </w:tc>
        <w:tc>
          <w:tcPr>
            <w:tcW w:w="16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(5,501,325 )</w:t>
            </w:r>
          </w:p>
        </w:tc>
        <w:tc>
          <w:tcPr>
            <w:tcW w:w="48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(7,472,644 )</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Total Number of Merchants</w:t>
      </w:r>
    </w:p>
    <w:p>
      <w:pPr>
        <w:spacing w:after="0" w:line="60"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Employee share based compensation</w:t>
      </w:r>
    </w:p>
    <w:p>
      <w:pPr>
        <w:spacing w:after="0" w:line="60"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Employee shares have significant restrictions including management’s and or the board’s rights to cancel the shares any time, restrictions on right to transfer, to vote and cumulative dividends. Considering the restrictions imposed on these shares, these shares are considered to be ungranted to the employees. Management expects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June 30, 2024 the Company estimates the total share-based payment expense to have been recognized immediately for the grant of 58,315,800 employee shares to be $13,995,792. This estimate uses a fair value per employee share of $.24 based on a recent funding of the Company at $.24 per Ordinary Share and an exercise price of £0.0001 for each employee share.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Balance Sheet Information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sets forth our unrestricted cash and cash equivalents on our balance sheet and undrawn amounts under our revolving credit facility as of June 30, 2024 and June 30, 2023: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960" w:type="dxa"/>
            <w:vAlign w:val="bottom"/>
          </w:tcPr>
          <w:p>
            <w:pPr>
              <w:jc w:val="right"/>
              <w:ind w:right="455"/>
              <w:spacing w:after="0"/>
              <w:rPr>
                <w:sz w:val="20"/>
                <w:szCs w:val="20"/>
                <w:color w:val="auto"/>
              </w:rPr>
            </w:pPr>
            <w:r>
              <w:rPr>
                <w:rFonts w:ascii="Times New Roman" w:cs="Times New Roman" w:eastAsia="Times New Roman" w:hAnsi="Times New Roman"/>
                <w:sz w:val="8"/>
                <w:szCs w:val="8"/>
                <w:b w:val="1"/>
                <w:bCs w:val="1"/>
                <w:color w:val="auto"/>
              </w:rPr>
              <w:t>June 30</w:t>
            </w:r>
          </w:p>
        </w:tc>
        <w:tc>
          <w:tcPr>
            <w:tcW w:w="280" w:type="dxa"/>
            <w:vAlign w:val="bottom"/>
          </w:tcPr>
          <w:p>
            <w:pPr>
              <w:spacing w:after="0"/>
              <w:rPr>
                <w:sz w:val="8"/>
                <w:szCs w:val="8"/>
                <w:color w:val="auto"/>
              </w:rPr>
            </w:pPr>
          </w:p>
        </w:tc>
        <w:tc>
          <w:tcPr>
            <w:tcW w:w="960" w:type="dxa"/>
            <w:vAlign w:val="bottom"/>
          </w:tcPr>
          <w:p>
            <w:pPr>
              <w:jc w:val="right"/>
              <w:ind w:right="335"/>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1600" w:type="dxa"/>
            <w:vAlign w:val="bottom"/>
          </w:tcPr>
          <w:p>
            <w:pPr>
              <w:spacing w:after="0"/>
              <w:rPr>
                <w:sz w:val="8"/>
                <w:szCs w:val="8"/>
                <w:color w:val="auto"/>
              </w:rPr>
            </w:pPr>
          </w:p>
        </w:tc>
      </w:tr>
      <w:tr>
        <w:trPr>
          <w:trHeight w:val="106"/>
        </w:trPr>
        <w:tc>
          <w:tcPr>
            <w:tcW w:w="15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640" w:type="dxa"/>
            <w:vAlign w:val="bottom"/>
          </w:tcPr>
          <w:p>
            <w:pPr>
              <w:spacing w:after="0"/>
              <w:rPr>
                <w:sz w:val="9"/>
                <w:szCs w:val="9"/>
                <w:color w:val="auto"/>
              </w:rPr>
            </w:pPr>
          </w:p>
        </w:tc>
        <w:tc>
          <w:tcPr>
            <w:tcW w:w="960" w:type="dxa"/>
            <w:vAlign w:val="bottom"/>
          </w:tcPr>
          <w:p>
            <w:pPr>
              <w:jc w:val="right"/>
              <w:ind w:right="515"/>
              <w:spacing w:after="0"/>
              <w:rPr>
                <w:sz w:val="20"/>
                <w:szCs w:val="20"/>
                <w:color w:val="auto"/>
              </w:rPr>
            </w:pPr>
            <w:r>
              <w:rPr>
                <w:rFonts w:ascii="Times New Roman" w:cs="Times New Roman" w:eastAsia="Times New Roman" w:hAnsi="Times New Roman"/>
                <w:sz w:val="8"/>
                <w:szCs w:val="8"/>
                <w:b w:val="1"/>
                <w:bCs w:val="1"/>
                <w:color w:val="auto"/>
              </w:rPr>
              <w:t>2024</w:t>
            </w:r>
          </w:p>
        </w:tc>
        <w:tc>
          <w:tcPr>
            <w:tcW w:w="280" w:type="dxa"/>
            <w:vAlign w:val="bottom"/>
          </w:tcPr>
          <w:p>
            <w:pPr>
              <w:spacing w:after="0"/>
              <w:rPr>
                <w:sz w:val="9"/>
                <w:szCs w:val="9"/>
                <w:color w:val="auto"/>
              </w:rPr>
            </w:pPr>
          </w:p>
        </w:tc>
        <w:tc>
          <w:tcPr>
            <w:tcW w:w="960" w:type="dxa"/>
            <w:vAlign w:val="bottom"/>
          </w:tcPr>
          <w:p>
            <w:pPr>
              <w:jc w:val="right"/>
              <w:ind w:right="475"/>
              <w:spacing w:after="0"/>
              <w:rPr>
                <w:sz w:val="20"/>
                <w:szCs w:val="20"/>
                <w:color w:val="auto"/>
              </w:rPr>
            </w:pPr>
            <w:r>
              <w:rPr>
                <w:rFonts w:ascii="Times New Roman" w:cs="Times New Roman" w:eastAsia="Times New Roman" w:hAnsi="Times New Roman"/>
                <w:sz w:val="8"/>
                <w:szCs w:val="8"/>
                <w:b w:val="1"/>
                <w:bCs w:val="1"/>
                <w:color w:val="auto"/>
              </w:rPr>
              <w:t>2023</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Unrestricted cash and cash equivalents</w:t>
            </w:r>
          </w:p>
        </w:tc>
        <w:tc>
          <w:tcPr>
            <w:tcW w:w="264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ind w:right="75"/>
              <w:spacing w:after="0" w:line="113" w:lineRule="exact"/>
              <w:rPr>
                <w:sz w:val="20"/>
                <w:szCs w:val="20"/>
                <w:color w:val="auto"/>
              </w:rPr>
            </w:pPr>
            <w:r>
              <w:rPr>
                <w:rFonts w:ascii="Times New Roman" w:cs="Times New Roman" w:eastAsia="Times New Roman" w:hAnsi="Times New Roman"/>
                <w:sz w:val="10"/>
                <w:szCs w:val="10"/>
                <w:color w:val="auto"/>
              </w:rPr>
              <w:t>60,298</w:t>
            </w:r>
          </w:p>
        </w:tc>
        <w:tc>
          <w:tcPr>
            <w:tcW w:w="28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ind w:right="35"/>
              <w:spacing w:after="0" w:line="113" w:lineRule="exact"/>
              <w:rPr>
                <w:sz w:val="20"/>
                <w:szCs w:val="20"/>
                <w:color w:val="auto"/>
              </w:rPr>
            </w:pPr>
            <w:r>
              <w:rPr>
                <w:rFonts w:ascii="Times New Roman" w:cs="Times New Roman" w:eastAsia="Times New Roman" w:hAnsi="Times New Roman"/>
                <w:sz w:val="10"/>
                <w:szCs w:val="10"/>
                <w:color w:val="auto"/>
              </w:rPr>
              <w:t>10,441</w:t>
            </w:r>
          </w:p>
        </w:tc>
        <w:tc>
          <w:tcPr>
            <w:tcW w:w="1600" w:type="dxa"/>
            <w:vAlign w:val="bottom"/>
          </w:tcPr>
          <w:p>
            <w:pPr>
              <w:spacing w:after="0"/>
              <w:rPr>
                <w:sz w:val="9"/>
                <w:szCs w:val="9"/>
                <w:color w:val="auto"/>
              </w:rPr>
            </w:pPr>
          </w:p>
        </w:tc>
      </w:tr>
      <w:tr>
        <w:trPr>
          <w:trHeight w:val="125"/>
        </w:trPr>
        <w:tc>
          <w:tcPr>
            <w:tcW w:w="1580" w:type="dxa"/>
            <w:vAlign w:val="bottom"/>
          </w:tcPr>
          <w:p>
            <w:pPr>
              <w:spacing w:after="0"/>
              <w:rPr>
                <w:sz w:val="10"/>
                <w:szCs w:val="10"/>
                <w:color w:val="auto"/>
              </w:rPr>
            </w:pPr>
          </w:p>
        </w:tc>
        <w:tc>
          <w:tcPr>
            <w:tcW w:w="2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Available liquidity</w:t>
            </w:r>
          </w:p>
        </w:tc>
        <w:tc>
          <w:tcPr>
            <w:tcW w:w="264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75"/>
              <w:spacing w:after="0"/>
              <w:rPr>
                <w:sz w:val="20"/>
                <w:szCs w:val="20"/>
                <w:color w:val="auto"/>
              </w:rPr>
            </w:pPr>
            <w:r>
              <w:rPr>
                <w:rFonts w:ascii="Times New Roman" w:cs="Times New Roman" w:eastAsia="Times New Roman" w:hAnsi="Times New Roman"/>
                <w:sz w:val="10"/>
                <w:szCs w:val="10"/>
                <w:color w:val="auto"/>
              </w:rPr>
              <w:t>60,298</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0"/>
                <w:szCs w:val="10"/>
                <w:color w:val="auto"/>
              </w:rPr>
              <w:t>10,441</w:t>
            </w:r>
          </w:p>
        </w:tc>
        <w:tc>
          <w:tcPr>
            <w:tcW w:w="1600" w:type="dxa"/>
            <w:vAlign w:val="bottom"/>
          </w:tcPr>
          <w:p>
            <w:pPr>
              <w:spacing w:after="0"/>
              <w:rPr>
                <w:sz w:val="10"/>
                <w:szCs w:val="10"/>
                <w:color w:val="auto"/>
              </w:rPr>
            </w:pPr>
          </w:p>
        </w:tc>
      </w:tr>
      <w:tr>
        <w:trPr>
          <w:trHeight w:val="338"/>
        </w:trPr>
        <w:tc>
          <w:tcPr>
            <w:tcW w:w="1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640" w:type="dxa"/>
            <w:vAlign w:val="bottom"/>
          </w:tcPr>
          <w:p>
            <w:pPr>
              <w:jc w:val="right"/>
              <w:ind w:right="1411"/>
              <w:spacing w:after="0"/>
              <w:rPr>
                <w:sz w:val="20"/>
                <w:szCs w:val="20"/>
                <w:color w:val="auto"/>
              </w:rPr>
            </w:pPr>
            <w:r>
              <w:rPr>
                <w:rFonts w:ascii="Times New Roman" w:cs="Times New Roman" w:eastAsia="Times New Roman" w:hAnsi="Times New Roman"/>
                <w:sz w:val="10"/>
                <w:szCs w:val="10"/>
                <w:color w:val="auto"/>
              </w:rPr>
              <w:t>64</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600" w:type="dxa"/>
            <w:vAlign w:val="bottom"/>
            <w:tcBorders>
              <w:bottom w:val="single" w:sz="8" w:color="EEEEEE"/>
            </w:tcBorders>
          </w:tcPr>
          <w:p>
            <w:pPr>
              <w:spacing w:after="0"/>
              <w:rPr>
                <w:sz w:val="24"/>
                <w:szCs w:val="24"/>
                <w:color w:val="auto"/>
              </w:rPr>
            </w:pPr>
          </w:p>
        </w:tc>
        <w:tc>
          <w:tcPr>
            <w:tcW w:w="264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0"/>
          <w:szCs w:val="10"/>
          <w:b w:val="1"/>
          <w:bCs w:val="1"/>
          <w:color w:val="auto"/>
        </w:rPr>
        <w:t>Cash Flows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summarizes our cash flows for the periods presented:</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540" w:type="dxa"/>
            <w:vAlign w:val="bottom"/>
          </w:tcPr>
          <w:p>
            <w:pPr>
              <w:spacing w:after="0"/>
              <w:rPr>
                <w:sz w:val="9"/>
                <w:szCs w:val="9"/>
                <w:color w:val="auto"/>
              </w:rPr>
            </w:pPr>
          </w:p>
        </w:tc>
        <w:tc>
          <w:tcPr>
            <w:tcW w:w="212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740" w:type="dxa"/>
            <w:vAlign w:val="bottom"/>
            <w:vMerge w:val="restart"/>
          </w:tcPr>
          <w:p>
            <w:pPr>
              <w:jc w:val="right"/>
              <w:ind w:right="473"/>
              <w:spacing w:after="0"/>
              <w:rPr>
                <w:sz w:val="20"/>
                <w:szCs w:val="20"/>
                <w:color w:val="auto"/>
              </w:rPr>
            </w:pPr>
            <w:r>
              <w:rPr>
                <w:rFonts w:ascii="Times New Roman" w:cs="Times New Roman" w:eastAsia="Times New Roman" w:hAnsi="Times New Roman"/>
                <w:sz w:val="8"/>
                <w:szCs w:val="8"/>
                <w:b w:val="1"/>
                <w:bCs w:val="1"/>
                <w:color w:val="auto"/>
              </w:rPr>
              <w:t>2023</w:t>
            </w:r>
          </w:p>
        </w:tc>
        <w:tc>
          <w:tcPr>
            <w:tcW w:w="0" w:type="dxa"/>
            <w:vAlign w:val="bottom"/>
          </w:tcPr>
          <w:p>
            <w:pPr>
              <w:spacing w:after="0"/>
              <w:rPr>
                <w:sz w:val="1"/>
                <w:szCs w:val="1"/>
                <w:color w:val="auto"/>
              </w:rPr>
            </w:pPr>
          </w:p>
        </w:tc>
      </w:tr>
      <w:tr>
        <w:trPr>
          <w:trHeight w:val="96"/>
        </w:trPr>
        <w:tc>
          <w:tcPr>
            <w:tcW w:w="3540" w:type="dxa"/>
            <w:vAlign w:val="bottom"/>
          </w:tcPr>
          <w:p>
            <w:pPr>
              <w:spacing w:after="0"/>
              <w:rPr>
                <w:sz w:val="8"/>
                <w:szCs w:val="8"/>
                <w:color w:val="auto"/>
              </w:rPr>
            </w:pPr>
          </w:p>
        </w:tc>
        <w:tc>
          <w:tcPr>
            <w:tcW w:w="21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5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cash used in operating activities</w:t>
            </w:r>
          </w:p>
        </w:tc>
        <w:tc>
          <w:tcPr>
            <w:tcW w:w="2120" w:type="dxa"/>
            <w:vAlign w:val="bottom"/>
            <w:shd w:val="clear" w:color="auto" w:fill="CFF0FC"/>
          </w:tcPr>
          <w:p>
            <w:pPr>
              <w:jc w:val="right"/>
              <w:ind w:right="554"/>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w w:val="93"/>
              </w:rPr>
              <w:t>(4,898,451 )</w:t>
            </w:r>
          </w:p>
        </w:tc>
        <w:tc>
          <w:tcPr>
            <w:tcW w:w="48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(8,818,307 )</w:t>
            </w:r>
          </w:p>
        </w:tc>
        <w:tc>
          <w:tcPr>
            <w:tcW w:w="0" w:type="dxa"/>
            <w:vAlign w:val="bottom"/>
          </w:tcPr>
          <w:p>
            <w:pPr>
              <w:spacing w:after="0"/>
              <w:rPr>
                <w:sz w:val="1"/>
                <w:szCs w:val="1"/>
                <w:color w:val="auto"/>
              </w:rPr>
            </w:pPr>
          </w:p>
        </w:tc>
      </w:tr>
      <w:tr>
        <w:trPr>
          <w:trHeight w:val="113"/>
        </w:trPr>
        <w:tc>
          <w:tcPr>
            <w:tcW w:w="35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Net cash used in investing activities</w:t>
            </w:r>
          </w:p>
        </w:tc>
        <w:tc>
          <w:tcPr>
            <w:tcW w:w="2120" w:type="dxa"/>
            <w:vAlign w:val="bottom"/>
          </w:tcPr>
          <w:p>
            <w:pPr>
              <w:spacing w:after="0"/>
              <w:rPr>
                <w:sz w:val="9"/>
                <w:szCs w:val="9"/>
                <w:color w:val="auto"/>
              </w:rPr>
            </w:pPr>
          </w:p>
        </w:tc>
        <w:tc>
          <w:tcPr>
            <w:tcW w:w="56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w w:val="93"/>
              </w:rPr>
              <w:t>(1,364,375 )</w:t>
            </w:r>
          </w:p>
        </w:tc>
        <w:tc>
          <w:tcPr>
            <w:tcW w:w="480" w:type="dxa"/>
            <w:vAlign w:val="bottom"/>
          </w:tcPr>
          <w:p>
            <w:pPr>
              <w:spacing w:after="0"/>
              <w:rPr>
                <w:sz w:val="9"/>
                <w:szCs w:val="9"/>
                <w:color w:val="auto"/>
              </w:rPr>
            </w:pPr>
          </w:p>
        </w:tc>
        <w:tc>
          <w:tcPr>
            <w:tcW w:w="7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(112,666 )</w:t>
            </w:r>
          </w:p>
        </w:tc>
        <w:tc>
          <w:tcPr>
            <w:tcW w:w="0" w:type="dxa"/>
            <w:vAlign w:val="bottom"/>
          </w:tcPr>
          <w:p>
            <w:pPr>
              <w:spacing w:after="0"/>
              <w:rPr>
                <w:sz w:val="1"/>
                <w:szCs w:val="1"/>
                <w:color w:val="auto"/>
              </w:rPr>
            </w:pPr>
          </w:p>
        </w:tc>
      </w:tr>
      <w:tr>
        <w:trPr>
          <w:trHeight w:val="113"/>
        </w:trPr>
        <w:tc>
          <w:tcPr>
            <w:tcW w:w="35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cash provided by financing activities</w:t>
            </w:r>
          </w:p>
        </w:tc>
        <w:tc>
          <w:tcPr>
            <w:tcW w:w="2120" w:type="dxa"/>
            <w:vAlign w:val="bottom"/>
            <w:shd w:val="clear" w:color="auto" w:fill="CFF0FC"/>
          </w:tcPr>
          <w:p>
            <w:pPr>
              <w:spacing w:after="0"/>
              <w:rPr>
                <w:sz w:val="9"/>
                <w:szCs w:val="9"/>
                <w:color w:val="auto"/>
              </w:rPr>
            </w:pPr>
          </w:p>
        </w:tc>
        <w:tc>
          <w:tcPr>
            <w:tcW w:w="5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w w:val="99"/>
              </w:rPr>
              <w:t>6,274,161</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9,171,912</w:t>
            </w:r>
          </w:p>
        </w:tc>
        <w:tc>
          <w:tcPr>
            <w:tcW w:w="0" w:type="dxa"/>
            <w:vAlign w:val="bottom"/>
          </w:tcPr>
          <w:p>
            <w:pPr>
              <w:spacing w:after="0"/>
              <w:rPr>
                <w:sz w:val="1"/>
                <w:szCs w:val="1"/>
                <w:color w:val="auto"/>
              </w:rPr>
            </w:pPr>
          </w:p>
        </w:tc>
      </w:tr>
      <w:tr>
        <w:trPr>
          <w:trHeight w:val="106"/>
        </w:trPr>
        <w:tc>
          <w:tcPr>
            <w:tcW w:w="3540" w:type="dxa"/>
            <w:vAlign w:val="bottom"/>
          </w:tcPr>
          <w:p>
            <w:pPr>
              <w:ind w:left="20"/>
              <w:spacing w:after="0" w:line="106" w:lineRule="exact"/>
              <w:rPr>
                <w:sz w:val="20"/>
                <w:szCs w:val="20"/>
                <w:color w:val="auto"/>
              </w:rPr>
            </w:pPr>
            <w:r>
              <w:rPr>
                <w:rFonts w:ascii="Times New Roman" w:cs="Times New Roman" w:eastAsia="Times New Roman" w:hAnsi="Times New Roman"/>
                <w:sz w:val="10"/>
                <w:szCs w:val="10"/>
                <w:color w:val="auto"/>
              </w:rPr>
              <w:t>Effect of exchange rate changes on cash and cash</w:t>
            </w:r>
          </w:p>
        </w:tc>
        <w:tc>
          <w:tcPr>
            <w:tcW w:w="2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35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equivalents</w:t>
            </w:r>
          </w:p>
        </w:tc>
        <w:tc>
          <w:tcPr>
            <w:tcW w:w="2120" w:type="dxa"/>
            <w:vAlign w:val="bottom"/>
          </w:tcPr>
          <w:p>
            <w:pPr>
              <w:spacing w:after="0"/>
              <w:rPr>
                <w:sz w:val="10"/>
                <w:szCs w:val="10"/>
                <w:color w:val="auto"/>
              </w:rPr>
            </w:pPr>
          </w:p>
        </w:tc>
        <w:tc>
          <w:tcPr>
            <w:tcW w:w="560" w:type="dxa"/>
            <w:vAlign w:val="bottom"/>
          </w:tcPr>
          <w:p>
            <w:pPr>
              <w:jc w:val="right"/>
              <w:ind w:right="93"/>
              <w:spacing w:after="0"/>
              <w:rPr>
                <w:sz w:val="20"/>
                <w:szCs w:val="20"/>
                <w:color w:val="auto"/>
              </w:rPr>
            </w:pPr>
            <w:r>
              <w:rPr>
                <w:rFonts w:ascii="Times New Roman" w:cs="Times New Roman" w:eastAsia="Times New Roman" w:hAnsi="Times New Roman"/>
                <w:sz w:val="10"/>
                <w:szCs w:val="10"/>
                <w:color w:val="auto"/>
              </w:rPr>
              <w:t>38,522</w:t>
            </w:r>
          </w:p>
        </w:tc>
        <w:tc>
          <w:tcPr>
            <w:tcW w:w="48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(159,230 )</w:t>
            </w:r>
          </w:p>
        </w:tc>
        <w:tc>
          <w:tcPr>
            <w:tcW w:w="0" w:type="dxa"/>
            <w:vAlign w:val="bottom"/>
          </w:tcPr>
          <w:p>
            <w:pPr>
              <w:spacing w:after="0"/>
              <w:rPr>
                <w:sz w:val="1"/>
                <w:szCs w:val="1"/>
                <w:color w:val="auto"/>
              </w:rPr>
            </w:pPr>
          </w:p>
        </w:tc>
      </w:tr>
      <w:tr>
        <w:trPr>
          <w:trHeight w:val="113"/>
        </w:trPr>
        <w:tc>
          <w:tcPr>
            <w:tcW w:w="35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(decrease) increase in cash and cash equivalents</w:t>
            </w:r>
          </w:p>
        </w:tc>
        <w:tc>
          <w:tcPr>
            <w:tcW w:w="2120" w:type="dxa"/>
            <w:vAlign w:val="bottom"/>
            <w:shd w:val="clear" w:color="auto" w:fill="CFF0FC"/>
          </w:tcPr>
          <w:p>
            <w:pPr>
              <w:jc w:val="right"/>
              <w:ind w:right="554"/>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49,857</w:t>
            </w:r>
          </w:p>
        </w:tc>
        <w:tc>
          <w:tcPr>
            <w:tcW w:w="48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81,709</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Operating Activities</w:t>
      </w:r>
    </w:p>
    <w:p>
      <w:pPr>
        <w:spacing w:after="0" w:line="6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Net cash used in operating activities was $4.9 million for the six months ended June 30, 2024, which resulted from a net loss of $12.8 million from operating activities, adjusted for non-cash items such as share based compensation of $4.0 million, interest expense of $3.0 million, unrealized foreign exchange losses of $0.1m and of changes in working capital of $0.7 million primarily due to an increase in trade and other payables.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Financing Activities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Net cash provided by financing activities of $6.3 million for the six months ended June 30, 2024 was due to proceeds from rights issues of $1.4 million, $0.4 million of short term loans and $4.3 million from convertible loans.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Debt Obligations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Unsecured interest free loan taken from DBLP Sea Cow Ltd of $860,778 consists of $ 447,067 loan repayable on demand and DBLP Sea Cow Ltd is owed $413,711 for amounts to be re-imbursed for expenses incurred on behalf of Rezolve at June 30, 2024 (December 31, 2023, $191,405). DBLP is a company incorporated in the Seychelles and is wholly legally owned by Daniel Wagner and beneficially owned by John Wagner, there are no formal loan documents in place and no interest is payable.</w:t>
      </w:r>
    </w:p>
    <w:p>
      <w:pPr>
        <w:spacing w:after="0" w:line="101" w:lineRule="exact"/>
        <w:rPr>
          <w:sz w:val="20"/>
          <w:szCs w:val="20"/>
          <w:color w:val="auto"/>
        </w:rPr>
      </w:pPr>
    </w:p>
    <w:p>
      <w:pPr>
        <w:ind w:firstLine="480"/>
        <w:spacing w:after="0" w:line="292" w:lineRule="auto"/>
        <w:rPr>
          <w:sz w:val="20"/>
          <w:szCs w:val="20"/>
          <w:color w:val="auto"/>
        </w:rPr>
      </w:pPr>
      <w:r>
        <w:rPr>
          <w:rFonts w:ascii="Times New Roman" w:cs="Times New Roman" w:eastAsia="Times New Roman" w:hAnsi="Times New Roman"/>
          <w:sz w:val="10"/>
          <w:szCs w:val="10"/>
          <w:color w:val="auto"/>
        </w:rPr>
        <w:t>The Company entered into a promissory note (“the promissory note”) agreement with an investor in the amount of $400,000. The promissory note bears a borrowing fee of $100,000 and matures on November 1st, 2024. The borrowing fee has been recognized in interest expense over the term of the loan using the effective interest rate method. As at June 30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xml:space="preserve"> 2024, $37,956 of borrowing fees have been recognized.</w:t>
      </w:r>
    </w:p>
    <w:p>
      <w:pPr>
        <w:spacing w:after="0" w:line="38"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As at June 30, 2024 the Company had Convertible Loans of $38,473,892, plus a Convertible promissory notes of $5,395,702, comprising of a Convertible promissory note of $2,508,685and a Promissory loan note of $2,887,017. Further details of the Yorkville Convertible Promissory Note and Capital Commitment, the Convertible Secured Loan Notes and the Other Convertible Promissory Notes and Warrants can be found later in the Management’s discussion and analysis of financial discussion condition and results of operation.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Off-Balance Sheet Arrangements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December 31, 2022, we did not have any significant off-balance sheet arrangements, as defined in Item 303(a)(4)(ii) of Regulation 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Critical Accounting Policies and Estimates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The Rezolve Financial Statements are prepared in conformity with U.S. generally accepted accounting principles. In preparing the Rezolve Financial Statements, we make assumptions, judgments and estimates that can have a significant impact on amounts reported in the Rezolve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2, “Basis of presentation and summary of significant accounting policies” in the Notes to the Rezolve Financial Statements included elsewhere in this prospectus. We believe that the following critical accounting policies affect the more significant judgments and estimates used in the preparation of the Rezolve Financial Statements.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093" w:right="680" w:bottom="1440" w:gutter="0" w:footer="0" w:header="0"/>
        </w:sectPr>
      </w:pPr>
    </w:p>
    <w:bookmarkStart w:id="74" w:name="page75"/>
    <w:bookmarkEnd w:id="74"/>
    <w:p>
      <w:pPr>
        <w:ind w:firstLine="480"/>
        <w:spacing w:after="0" w:line="259" w:lineRule="auto"/>
        <w:rPr>
          <w:sz w:val="20"/>
          <w:szCs w:val="20"/>
          <w:color w:val="auto"/>
        </w:rPr>
      </w:pPr>
      <w:r>
        <w:rPr>
          <w:rFonts w:ascii="Times New Roman" w:cs="Times New Roman" w:eastAsia="Times New Roman" w:hAnsi="Times New Roman"/>
          <w:sz w:val="10"/>
          <w:szCs w:val="10"/>
          <w:color w:val="auto"/>
        </w:rPr>
        <w:t>The carve-out consolidated financial statements of Rezolve AI Limited and its subsidiaries have been prepared in accordance with accounting principles generally accepted in the United States (the “</w:t>
      </w:r>
      <w:r>
        <w:rPr>
          <w:rFonts w:ascii="Times New Roman" w:cs="Times New Roman" w:eastAsia="Times New Roman" w:hAnsi="Times New Roman"/>
          <w:sz w:val="10"/>
          <w:szCs w:val="10"/>
          <w:b w:val="1"/>
          <w:bCs w:val="1"/>
          <w:i w:val="1"/>
          <w:iCs w:val="1"/>
          <w:color w:val="auto"/>
        </w:rPr>
        <w:t>Carve-out Consolidated Financial Statements</w:t>
      </w:r>
      <w:r>
        <w:rPr>
          <w:rFonts w:ascii="Times New Roman" w:cs="Times New Roman" w:eastAsia="Times New Roman" w:hAnsi="Times New Roman"/>
          <w:sz w:val="10"/>
          <w:szCs w:val="10"/>
          <w:color w:val="auto"/>
        </w:rPr>
        <w:t>”). The Carve-out Consolidated Financial Statements have been prepared using the United States Dollar as the reporting currency.</w:t>
      </w:r>
    </w:p>
    <w:p>
      <w:pPr>
        <w:spacing w:after="0" w:line="99" w:lineRule="exact"/>
        <w:rPr>
          <w:sz w:val="20"/>
          <w:szCs w:val="20"/>
          <w:color w:val="auto"/>
        </w:rPr>
      </w:pPr>
    </w:p>
    <w:p>
      <w:pPr>
        <w:ind w:right="360" w:firstLine="480"/>
        <w:spacing w:after="0" w:line="255" w:lineRule="auto"/>
        <w:rPr>
          <w:sz w:val="20"/>
          <w:szCs w:val="20"/>
          <w:color w:val="auto"/>
        </w:rPr>
      </w:pPr>
      <w:r>
        <w:rPr>
          <w:rFonts w:ascii="Times New Roman" w:cs="Times New Roman" w:eastAsia="Times New Roman" w:hAnsi="Times New Roman"/>
          <w:sz w:val="10"/>
          <w:szCs w:val="10"/>
          <w:color w:val="auto"/>
        </w:rPr>
        <w:t>The Carve-out Consolidated Financial Statements include the financial statements of Rezolve AI Limited, Rezolve Limited, its consolidated subsidiaries and any variable interest entity in which we are the primary beneficiary, with the exception of the subsidiaries Rezolve Information Technology (Shanghai) Co., Ltd. (“</w:t>
      </w:r>
      <w:r>
        <w:rPr>
          <w:rFonts w:ascii="Times New Roman" w:cs="Times New Roman" w:eastAsia="Times New Roman" w:hAnsi="Times New Roman"/>
          <w:sz w:val="10"/>
          <w:szCs w:val="10"/>
          <w:b w:val="1"/>
          <w:bCs w:val="1"/>
          <w:i w:val="1"/>
          <w:iCs w:val="1"/>
          <w:color w:val="auto"/>
        </w:rPr>
        <w:t>Rezolve China</w:t>
      </w:r>
      <w:r>
        <w:rPr>
          <w:rFonts w:ascii="Times New Roman" w:cs="Times New Roman" w:eastAsia="Times New Roman" w:hAnsi="Times New Roman"/>
          <w:sz w:val="10"/>
          <w:szCs w:val="10"/>
          <w:color w:val="auto"/>
        </w:rPr>
        <w:t>”) and Rezolve China’s subsidiary Nine Stone (Shanghai) Ltd (“</w:t>
      </w:r>
      <w:r>
        <w:rPr>
          <w:rFonts w:ascii="Times New Roman" w:cs="Times New Roman" w:eastAsia="Times New Roman" w:hAnsi="Times New Roman"/>
          <w:sz w:val="10"/>
          <w:szCs w:val="10"/>
          <w:b w:val="1"/>
          <w:bCs w:val="1"/>
          <w:i w:val="1"/>
          <w:iCs w:val="1"/>
          <w:color w:val="auto"/>
        </w:rPr>
        <w:t>Nine Stone</w:t>
      </w:r>
      <w:r>
        <w:rPr>
          <w:rFonts w:ascii="Times New Roman" w:cs="Times New Roman" w:eastAsia="Times New Roman" w:hAnsi="Times New Roman"/>
          <w:sz w:val="10"/>
          <w:szCs w:val="10"/>
          <w:color w:val="auto"/>
        </w:rPr>
        <w:t>”) (collectively, the “</w:t>
      </w:r>
      <w:r>
        <w:rPr>
          <w:rFonts w:ascii="Times New Roman" w:cs="Times New Roman" w:eastAsia="Times New Roman" w:hAnsi="Times New Roman"/>
          <w:sz w:val="10"/>
          <w:szCs w:val="10"/>
          <w:b w:val="1"/>
          <w:bCs w:val="1"/>
          <w:i w:val="1"/>
          <w:iCs w:val="1"/>
          <w:color w:val="auto"/>
        </w:rPr>
        <w:t>China Business</w:t>
      </w:r>
      <w:r>
        <w:rPr>
          <w:rFonts w:ascii="Times New Roman" w:cs="Times New Roman" w:eastAsia="Times New Roman" w:hAnsi="Times New Roman"/>
          <w:sz w:val="10"/>
          <w:szCs w:val="10"/>
          <w:color w:val="auto"/>
        </w:rPr>
        <w:t>”).</w:t>
      </w:r>
    </w:p>
    <w:p>
      <w:pPr>
        <w:spacing w:after="0" w:line="101" w:lineRule="exact"/>
        <w:rPr>
          <w:sz w:val="20"/>
          <w:szCs w:val="20"/>
          <w:color w:val="auto"/>
        </w:rPr>
      </w:pPr>
    </w:p>
    <w:p>
      <w:pPr>
        <w:ind w:right="120" w:firstLine="480"/>
        <w:spacing w:after="0" w:line="238" w:lineRule="auto"/>
        <w:rPr>
          <w:sz w:val="20"/>
          <w:szCs w:val="20"/>
          <w:color w:val="auto"/>
        </w:rPr>
      </w:pPr>
      <w:r>
        <w:rPr>
          <w:rFonts w:ascii="Times New Roman" w:cs="Times New Roman" w:eastAsia="Times New Roman" w:hAnsi="Times New Roman"/>
          <w:sz w:val="10"/>
          <w:szCs w:val="10"/>
          <w:color w:val="auto"/>
        </w:rPr>
        <w:t xml:space="preserve">In response to the lack of available audit evidence from counterparties to complete audit procedures related to the operations of Rezolve Shanghai, the Company’s directors approved a plan to abandon its operations in China completely on January 3, 2023. Subsequently, on January 5, 2023, the Company’s directors approved an application to the United Kingdom (the “ </w:t>
      </w:r>
      <w:r>
        <w:rPr>
          <w:rFonts w:ascii="Times New Roman" w:cs="Times New Roman" w:eastAsia="Times New Roman" w:hAnsi="Times New Roman"/>
          <w:sz w:val="10"/>
          <w:szCs w:val="10"/>
          <w:b w:val="1"/>
          <w:bCs w:val="1"/>
          <w:i w:val="1"/>
          <w:iCs w:val="1"/>
          <w:color w:val="auto"/>
        </w:rPr>
        <w:t>UK</w:t>
      </w:r>
      <w:r>
        <w:rPr>
          <w:rFonts w:ascii="Times New Roman" w:cs="Times New Roman" w:eastAsia="Times New Roman" w:hAnsi="Times New Roman"/>
          <w:sz w:val="10"/>
          <w:szCs w:val="10"/>
          <w:color w:val="auto"/>
        </w:rPr>
        <w:t xml:space="preserve"> ”) tax authorities requesting tax clearance for a solvent demerger (the “</w:t>
      </w:r>
      <w:r>
        <w:rPr>
          <w:rFonts w:ascii="Times New Roman" w:cs="Times New Roman" w:eastAsia="Times New Roman" w:hAnsi="Times New Roman"/>
          <w:sz w:val="10"/>
          <w:szCs w:val="10"/>
          <w:b w:val="1"/>
          <w:bCs w:val="1"/>
          <w:i w:val="1"/>
          <w:iCs w:val="1"/>
          <w:color w:val="auto"/>
        </w:rPr>
        <w:t>Demerger</w:t>
      </w:r>
      <w:r>
        <w:rPr>
          <w:rFonts w:ascii="Times New Roman" w:cs="Times New Roman" w:eastAsia="Times New Roman" w:hAnsi="Times New Roman"/>
          <w:sz w:val="10"/>
          <w:szCs w:val="10"/>
          <w:color w:val="auto"/>
        </w:rPr>
        <w:t>”) of the Company under section 110 of the UK Insolvency Act, 1986 which clearance was subsequently granted. The Demerger involves establishing a new holding company, Rezolve AI Limited (“</w:t>
      </w:r>
      <w:r>
        <w:rPr>
          <w:rFonts w:ascii="Times New Roman" w:cs="Times New Roman" w:eastAsia="Times New Roman" w:hAnsi="Times New Roman"/>
          <w:sz w:val="10"/>
          <w:szCs w:val="10"/>
          <w:b w:val="1"/>
          <w:bCs w:val="1"/>
          <w:i w:val="1"/>
          <w:iCs w:val="1"/>
          <w:color w:val="auto"/>
        </w:rPr>
        <w:t>Rezolve AI</w:t>
      </w:r>
      <w:r>
        <w:rPr>
          <w:rFonts w:ascii="Times New Roman" w:cs="Times New Roman" w:eastAsia="Times New Roman" w:hAnsi="Times New Roman"/>
          <w:sz w:val="10"/>
          <w:szCs w:val="10"/>
          <w:color w:val="auto"/>
        </w:rPr>
        <w:t>”),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It is anticipated that the Demerger will be completed before the completion of the business combination with Armada, which will be effected with Rezolve AI instead of Rezolve Limited. The listed company will consist of Rezolve AI and its subsidiaries, which will legally not include Rezolve Shanghai directly or indirectly.</w:t>
      </w:r>
    </w:p>
    <w:p>
      <w:pPr>
        <w:spacing w:after="0" w:line="109"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These Carve-out Consolidated Financial Statements have been prepared on the basis that the Demerger was completed retrospectively on December 31, 2020, and thus reflects the predecessor company prior to completion of the Demerger. They are prepared on a carve- out basis. Investments made in the China Business by Rezolve Limited in the People’s Republic of China for the years ending December 31, 2022 and 2021 have been presented as “Business development expenses” in the Company’s Consolidated Statement of Operations in accordance with Staff Accounting Bulletin Topic 1-B1, Costs reflected in historical financial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Revenue from Contracts with Customers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Under ASC 606, the Company determines revenue recognition through the following steps: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the contract, or contracts, with the customer;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the performance obligations in the contract;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•Determining the transaction price;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•Allocating the transaction price to performance obligations in the contract;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•Recognizing revenue when, or as, the Company satisfies performance obligations by transferring the promised goods or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Recently Issued Accounting Pronouncements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description of recently issued accounting pronouncements that may potentially impact our financial position, results of operations or cash flows is disclosed in Note 2.6 to the Rezolve Financial Statements included elsewhere in this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Quantitative and Qualitative Disclosures About Market Risk</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Interest Rate Risk</w:t>
      </w:r>
    </w:p>
    <w:p>
      <w:pPr>
        <w:spacing w:after="0" w:line="60"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We have no interest rate risk, as the interest rate on our senior secured convertible loan notes is fixed, and the accrued interest converts into ordinary shares upon completion of a listing on a recognized stock exchange and the other loans are either convertible or have a fixed interest rate. The Convertible secured loan notes are reported as debt under troubled debt restructuring. Further details of the Yorkville Convertible Promissory Note and Capital Commitment, the Convertible Secured Loan Notes and the Other Convertible Promissory Notes and Warrants can be found later in the Management’s discussion and analysis of financial discussion condition and results of operation.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3" w:right="66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0"/>
          <w:szCs w:val="10"/>
          <w:b w:val="1"/>
          <w:bCs w:val="1"/>
          <w:i w:val="1"/>
          <w:iCs w:val="1"/>
          <w:color w:val="auto"/>
        </w:rPr>
        <w:t>Foreign Currency Risk</w:t>
      </w:r>
    </w:p>
    <w:p>
      <w:pPr>
        <w:spacing w:after="0" w:line="58" w:lineRule="exact"/>
        <w:rPr>
          <w:sz w:val="20"/>
          <w:szCs w:val="20"/>
          <w:color w:val="auto"/>
        </w:rPr>
      </w:pPr>
    </w:p>
    <w:p>
      <w:pPr>
        <w:ind w:firstLine="480"/>
        <w:spacing w:after="0" w:line="259" w:lineRule="auto"/>
        <w:rPr>
          <w:sz w:val="20"/>
          <w:szCs w:val="20"/>
          <w:color w:val="auto"/>
        </w:rPr>
      </w:pPr>
      <w:r>
        <w:rPr>
          <w:rFonts w:ascii="Times New Roman" w:cs="Times New Roman" w:eastAsia="Times New Roman" w:hAnsi="Times New Roman"/>
          <w:sz w:val="10"/>
          <w:szCs w:val="10"/>
          <w:color w:val="auto"/>
        </w:rPr>
        <w:t>All of our revenue is denominated in the Euro (“</w:t>
      </w:r>
      <w:r>
        <w:rPr>
          <w:rFonts w:ascii="Times New Roman" w:cs="Times New Roman" w:eastAsia="Times New Roman" w:hAnsi="Times New Roman"/>
          <w:sz w:val="10"/>
          <w:szCs w:val="10"/>
          <w:b w:val="1"/>
          <w:bCs w:val="1"/>
          <w:i w:val="1"/>
          <w:iCs w:val="1"/>
          <w:color w:val="auto"/>
        </w:rPr>
        <w:t>EUR</w:t>
      </w:r>
      <w:r>
        <w:rPr>
          <w:rFonts w:ascii="Times New Roman" w:cs="Times New Roman" w:eastAsia="Times New Roman" w:hAnsi="Times New Roman"/>
          <w:sz w:val="10"/>
          <w:szCs w:val="10"/>
          <w:color w:val="auto"/>
        </w:rPr>
        <w:t>”) since our sales are primarily in Spain. Based upon our level of operations for the year ended December 31, 2023, a sensitivity analysis shows that a 10% appreciation or depreciation in the EUR against the dollar would have increased or decreased, respectively, our revenue for the six months ended June 30, 2024 and 2023 by approximately $0.01 million and $0.01 million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Inflation Risk</w:t>
      </w:r>
    </w:p>
    <w:p>
      <w:pPr>
        <w:spacing w:after="0" w:line="6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Credit Risk</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Liquidity and Capital Resources</w:t>
      </w:r>
    </w:p>
    <w:p>
      <w:pPr>
        <w:spacing w:after="0" w:line="6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w:t>
      </w:r>
    </w:p>
    <w:p>
      <w:pPr>
        <w:spacing w:after="0" w:line="101"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•Seeking additional capital through the issuance of debtor equity securities.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•Generating revenue by execution of successful trials and long-term partner arrangements.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•Reducing expenses by taking restructuring actions and reducing the number of employees and consultants.</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•Limiting capital expenditures</w:t>
      </w:r>
      <w:r>
        <w:rPr>
          <w:rFonts w:ascii="Times New Roman" w:cs="Times New Roman" w:eastAsia="Times New Roman" w:hAnsi="Times New Roman"/>
          <w:sz w:val="10"/>
          <w:szCs w:val="10"/>
          <w:i w:val="1"/>
          <w:iCs w:val="1"/>
          <w:color w:val="auto"/>
        </w:rPr>
        <w:t>.</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2024 we financed our operations in large part with cash flows from financing activities through cash proceeds from issuance of convertible and short term-debt and a rights issue.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Yorkville Convertible Promissory Note and Capital Commitment</w:t>
      </w:r>
    </w:p>
    <w:p>
      <w:pPr>
        <w:spacing w:after="0" w:line="60"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212529"/>
        </w:rPr>
        <w:t>On February 23, 2023, Rezolve Limited entered into the YA Agreement, which was amended and restated on February 2, 2024 to provide for, inter alia, Rezolve AI Limited joining as a party to the agreement. Pursuant to the YA Agreement, Rezolve has the right to sell to YA up to $250,000,000 Ordinary Shares, subject to certain limitations and conditions set forth in the YA Agreement, from time to time during the term of the YA Agreement. In connection with the amendment and restatement of the YA Agreement, on February 2, 2024, Rezolve Limited and Rezolve issued the YA Note with a total principal amount of $2.5 million to YA, pursuant to the terms of the YA Note Instrument.</w:t>
      </w:r>
    </w:p>
    <w:p>
      <w:pPr>
        <w:spacing w:after="0" w:line="45" w:lineRule="exact"/>
        <w:rPr>
          <w:sz w:val="20"/>
          <w:szCs w:val="20"/>
          <w:color w:val="auto"/>
        </w:rPr>
      </w:pPr>
    </w:p>
    <w:p>
      <w:pPr>
        <w:jc w:val="both"/>
        <w:ind w:right="120" w:firstLine="705"/>
        <w:spacing w:after="0" w:line="241" w:lineRule="auto"/>
        <w:rPr>
          <w:sz w:val="20"/>
          <w:szCs w:val="20"/>
          <w:color w:val="auto"/>
        </w:rPr>
      </w:pPr>
      <w:r>
        <w:rPr>
          <w:rFonts w:ascii="Times New Roman" w:cs="Times New Roman" w:eastAsia="Times New Roman" w:hAnsi="Times New Roman"/>
          <w:sz w:val="10"/>
          <w:szCs w:val="10"/>
          <w:color w:val="auto"/>
        </w:rPr>
        <w:t>On September 6, 2024, YA and Rezolve amended and restated the YA Agreement to incorporate an additional prepaid advance arrangement pursuant to which YA committed to provide Rezolve with prepaid advances in an aggregate original principal amount of an additional Seven Million Five Hundred Thousand Dollars ($7,500,000), payable in three tranches, with the first tranche in an original principal amount of Two Million Five Hundred Thousand Dollars ($2,500,000) that was funded as part of the Second YA Note (as defined below), the second tranche in an original principal amount of Two Million Five Hundred Thousand Dollars ($2,500,000) that was funded as part of the Second YA Note and the third tranche in an original principal amount of Two Million Five Hundred Thousand Dollars ($2,500,000) that was funded as part of the Third YA Note (as defined below). The Second A&amp;R YA Agreement superseded the original agreement.</w:t>
      </w:r>
    </w:p>
    <w:p>
      <w:pPr>
        <w:spacing w:after="0" w:line="48" w:lineRule="exact"/>
        <w:rPr>
          <w:sz w:val="20"/>
          <w:szCs w:val="20"/>
          <w:color w:val="auto"/>
        </w:rPr>
      </w:pPr>
    </w:p>
    <w:p>
      <w:pPr>
        <w:ind w:right="80" w:firstLine="705"/>
        <w:spacing w:after="0" w:line="255" w:lineRule="auto"/>
        <w:rPr>
          <w:sz w:val="20"/>
          <w:szCs w:val="20"/>
          <w:color w:val="auto"/>
        </w:rPr>
      </w:pPr>
      <w:r>
        <w:rPr>
          <w:rFonts w:ascii="Times New Roman" w:cs="Times New Roman" w:eastAsia="Times New Roman" w:hAnsi="Times New Roman"/>
          <w:sz w:val="10"/>
          <w:szCs w:val="10"/>
          <w:color w:val="auto"/>
        </w:rPr>
        <w:t>In connection with the execution of the Second A&amp;R YA Agreement, YA and Rezolve also entered into a second amendment to convertible promissory note and acknowledgement whereby certain terms of the YA Note were amended. In particular, the YA Note Amendment extended the Maturity Date of the YA Note to September 11, 2025, provides that for purposes of determining the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0"/>
          <w:szCs w:val="10"/>
          <w:color w:val="auto"/>
        </w:rPr>
        <w:t>Triggered Principal Amount, the term “Other Notes” will not include the additional promissory notes issuable pursuant to the Second A&amp;R YA Agreement, and reduced the floor price to $0.25 per share.</w:t>
      </w:r>
    </w:p>
    <w:p>
      <w:pPr>
        <w:spacing w:after="0" w:line="58" w:lineRule="exact"/>
        <w:rPr>
          <w:sz w:val="20"/>
          <w:szCs w:val="20"/>
          <w:color w:val="auto"/>
        </w:rPr>
      </w:pPr>
    </w:p>
    <w:p>
      <w:pPr>
        <w:ind w:firstLine="705"/>
        <w:spacing w:after="0" w:line="310" w:lineRule="auto"/>
        <w:rPr>
          <w:sz w:val="20"/>
          <w:szCs w:val="20"/>
          <w:color w:val="auto"/>
        </w:rPr>
      </w:pPr>
      <w:r>
        <w:rPr>
          <w:rFonts w:ascii="Times New Roman" w:cs="Times New Roman" w:eastAsia="Times New Roman" w:hAnsi="Times New Roman"/>
          <w:sz w:val="9"/>
          <w:szCs w:val="9"/>
          <w:color w:val="auto"/>
        </w:rPr>
        <w:t>Also in connection with the Second A&amp;R YA Agreement, on September 9, 2024, Rezolve issued the Second YA Note in the principal amount of $5,000,000, reflecting the first and second tranche of the prepaid advances, and on November 29, 2024, upon effectiveness of the F-1 Registration Statement originally filed with the U.S. Securities and Exchange Commission on September 6, 2024, and declared effective on November 27, 2024, Rezolve issued YA the Third YA Note in the principal amount of $2,500,000.</w:t>
      </w:r>
    </w:p>
    <w:p>
      <w:pPr>
        <w:spacing w:after="0" w:line="78" w:lineRule="exact"/>
        <w:rPr>
          <w:sz w:val="20"/>
          <w:szCs w:val="20"/>
          <w:color w:val="auto"/>
        </w:rPr>
      </w:pPr>
    </w:p>
    <w:p>
      <w:pPr>
        <w:ind w:right="100" w:firstLine="705"/>
        <w:spacing w:after="0" w:line="255" w:lineRule="auto"/>
        <w:rPr>
          <w:sz w:val="20"/>
          <w:szCs w:val="20"/>
          <w:color w:val="auto"/>
        </w:rPr>
      </w:pPr>
      <w:r>
        <w:rPr>
          <w:rFonts w:ascii="Times New Roman" w:cs="Times New Roman" w:eastAsia="Times New Roman" w:hAnsi="Times New Roman"/>
          <w:sz w:val="10"/>
          <w:szCs w:val="10"/>
          <w:color w:val="auto"/>
        </w:rPr>
        <w:t>As of December 30, 2024, the Company satisfied all of the the principal and interest outstanding under the YA Notes. In connection therewith, the Company issued an aggregate of 5,724,154 Ordinary Shares (including in payment of a fee to YA). As of the date hereof, no amount remains outstanding under the YA Notes.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Convertible Secured Loan Notes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Business Combination Agreement, on December 16, 2021, Rezolve Limited entered into the Loan Note Instrument. Upon the closing of the Pre-Closing Demerger, the Loan Note Instrument was novated to Rezolve and was secured by a debenture over the assets of Rezolve. As of December 5, 2024, there was outstanding an aggregate amount of approximately $49 million of Convertible Notes outstanding under the Loan Note Instrument.</w:t>
      </w:r>
    </w:p>
    <w:p>
      <w:pPr>
        <w:spacing w:after="0" w:line="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On December 5, 2024, pursuant to the terms of the Loan Note Instrument, one of the holders of the Convertible Notes converted all of his approximately $8 million of outstanding Convertible Notes at a conversion price of $7 per ordinary share.</w:t>
      </w:r>
    </w:p>
    <w:p>
      <w:pPr>
        <w:spacing w:after="0" w:line="1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On December 17, 2024, the Company, Apeiron Investment Group Ltd. and Bradley Wickens, the beneficial holders of the majority of Convertible Notes entered into an agreement (the “</w:t>
      </w:r>
      <w:r>
        <w:rPr>
          <w:rFonts w:ascii="Times New Roman" w:cs="Times New Roman" w:eastAsia="Times New Roman" w:hAnsi="Times New Roman"/>
          <w:sz w:val="10"/>
          <w:szCs w:val="10"/>
          <w:b w:val="1"/>
          <w:bCs w:val="1"/>
          <w:i w:val="1"/>
          <w:iCs w:val="1"/>
          <w:color w:val="auto"/>
        </w:rPr>
        <w:t>Agreement</w:t>
      </w:r>
      <w:r>
        <w:rPr>
          <w:rFonts w:ascii="Times New Roman" w:cs="Times New Roman" w:eastAsia="Times New Roman" w:hAnsi="Times New Roman"/>
          <w:sz w:val="10"/>
          <w:szCs w:val="10"/>
          <w:color w:val="auto"/>
        </w:rPr>
        <w:t>”) to amend the Loan Note Instrument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b w:val="1"/>
          <w:bCs w:val="1"/>
          <w:i w:val="1"/>
          <w:iCs w:val="1"/>
          <w:color w:val="auto"/>
        </w:rPr>
        <w:t>Amendment</w:t>
      </w:r>
      <w:r>
        <w:rPr>
          <w:rFonts w:ascii="Times New Roman" w:cs="Times New Roman" w:eastAsia="Times New Roman" w:hAnsi="Times New Roman"/>
          <w:sz w:val="9"/>
          <w:szCs w:val="9"/>
          <w:color w:val="auto"/>
        </w:rPr>
        <w:t>”) and that the beneficial holders shall procure that the registered nominees holding their Convertible Notes provide the necessary consents to the Amendment. Pursuant to the Amendment, the conversion price with respect to approximately $41 million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outstanding Convertible Notes was revised to equal $2 per ordinary share.</w:t>
      </w:r>
    </w:p>
    <w:p>
      <w:pPr>
        <w:spacing w:after="0" w:line="1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In December 2024, all of the remaining Convertible Note holders elected to convert. As of the date hereof, no amount remains outstanding under the Convertible Notes.</w:t>
      </w:r>
    </w:p>
    <w:p>
      <w:pPr>
        <w:spacing w:after="0" w:line="118"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05" w:lineRule="exact"/>
        <w:rPr>
          <w:sz w:val="20"/>
          <w:szCs w:val="20"/>
          <w:color w:val="auto"/>
        </w:rPr>
      </w:pPr>
    </w:p>
    <w:p>
      <w:pPr>
        <w:jc w:val="both"/>
        <w:ind w:right="20" w:firstLine="480"/>
        <w:spacing w:after="0" w:line="285" w:lineRule="auto"/>
        <w:rPr>
          <w:sz w:val="20"/>
          <w:szCs w:val="20"/>
          <w:color w:val="auto"/>
        </w:rPr>
      </w:pPr>
      <w:r>
        <w:rPr>
          <w:rFonts w:ascii="Times New Roman" w:cs="Times New Roman" w:eastAsia="Times New Roman" w:hAnsi="Times New Roman"/>
          <w:sz w:val="9"/>
          <w:szCs w:val="9"/>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1—Inputs are quoted prices (unadjusted) in active markets for identical assets or liabilities that the Company has the ability to access at the measurement date.</w:t>
      </w:r>
    </w:p>
    <w:p>
      <w:pPr>
        <w:spacing w:after="0" w:line="58" w:lineRule="exact"/>
        <w:rPr>
          <w:sz w:val="20"/>
          <w:szCs w:val="20"/>
          <w:color w:val="auto"/>
        </w:rPr>
      </w:pPr>
    </w:p>
    <w:p>
      <w:pPr>
        <w:ind w:left="480" w:right="480"/>
        <w:spacing w:after="0" w:line="255" w:lineRule="auto"/>
        <w:rPr>
          <w:sz w:val="20"/>
          <w:szCs w:val="20"/>
          <w:color w:val="auto"/>
        </w:rPr>
      </w:pPr>
      <w:r>
        <w:rPr>
          <w:rFonts w:ascii="Times New Roman" w:cs="Times New Roman" w:eastAsia="Times New Roman" w:hAnsi="Times New Roman"/>
          <w:sz w:val="10"/>
          <w:szCs w:val="10"/>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3—Inputs are unobservable inputs for the asset or liability.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level in the fair value hierarchy within which a fair value measurement in its entirety falls is based on the lowest-level input that is significant to the fair value measurement in its entirety.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Fair value measurement at reporting date:</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77" w:name="page78"/>
    <w:bookmarkEnd w:id="77"/>
    <w:tbl>
      <w:tblPr>
        <w:tblLayout w:type="fixed"/>
        <w:tblInd w:w="1060" w:type="dxa"/>
        <w:tblCellMar>
          <w:top w:w="0" w:type="dxa"/>
          <w:left w:w="0" w:type="dxa"/>
          <w:bottom w:w="0" w:type="dxa"/>
          <w:right w:w="0" w:type="dxa"/>
        </w:tblCellMar>
      </w:tblPr>
      <w:tr>
        <w:trPr>
          <w:trHeight w:val="106"/>
        </w:trPr>
        <w:tc>
          <w:tcPr>
            <w:tcW w:w="33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Description</w:t>
            </w:r>
          </w:p>
        </w:tc>
        <w:tc>
          <w:tcPr>
            <w:tcW w:w="2960" w:type="dxa"/>
            <w:vAlign w:val="bottom"/>
          </w:tcPr>
          <w:p>
            <w:pPr>
              <w:ind w:left="2020"/>
              <w:spacing w:after="0"/>
              <w:rPr>
                <w:sz w:val="20"/>
                <w:szCs w:val="20"/>
                <w:color w:val="auto"/>
              </w:rPr>
            </w:pPr>
            <w:r>
              <w:rPr>
                <w:rFonts w:ascii="Times New Roman" w:cs="Times New Roman" w:eastAsia="Times New Roman" w:hAnsi="Times New Roman"/>
                <w:sz w:val="8"/>
                <w:szCs w:val="8"/>
                <w:b w:val="1"/>
                <w:bCs w:val="1"/>
                <w:color w:val="auto"/>
              </w:rPr>
              <w:t>Level 1</w:t>
            </w:r>
          </w:p>
        </w:tc>
        <w:tc>
          <w:tcPr>
            <w:tcW w:w="1020" w:type="dxa"/>
            <w:vAlign w:val="bottom"/>
          </w:tcPr>
          <w:p>
            <w:pPr>
              <w:ind w:left="280"/>
              <w:spacing w:after="0"/>
              <w:rPr>
                <w:sz w:val="20"/>
                <w:szCs w:val="20"/>
                <w:color w:val="auto"/>
              </w:rPr>
            </w:pPr>
            <w:r>
              <w:rPr>
                <w:rFonts w:ascii="Times New Roman" w:cs="Times New Roman" w:eastAsia="Times New Roman" w:hAnsi="Times New Roman"/>
                <w:sz w:val="8"/>
                <w:szCs w:val="8"/>
                <w:b w:val="1"/>
                <w:bCs w:val="1"/>
                <w:color w:val="auto"/>
              </w:rPr>
              <w:t>Level 2</w:t>
            </w:r>
          </w:p>
        </w:tc>
        <w:tc>
          <w:tcPr>
            <w:tcW w:w="320" w:type="dxa"/>
            <w:vAlign w:val="bottom"/>
          </w:tcPr>
          <w:p>
            <w:pPr>
              <w:spacing w:after="0"/>
              <w:rPr>
                <w:sz w:val="9"/>
                <w:szCs w:val="9"/>
                <w:color w:val="auto"/>
              </w:rPr>
            </w:pPr>
          </w:p>
        </w:tc>
        <w:tc>
          <w:tcPr>
            <w:tcW w:w="860" w:type="dxa"/>
            <w:vAlign w:val="bottom"/>
          </w:tcPr>
          <w:p>
            <w:pPr>
              <w:jc w:val="right"/>
              <w:ind w:right="414"/>
              <w:spacing w:after="0"/>
              <w:rPr>
                <w:sz w:val="20"/>
                <w:szCs w:val="20"/>
                <w:color w:val="auto"/>
              </w:rPr>
            </w:pPr>
            <w:r>
              <w:rPr>
                <w:rFonts w:ascii="Times New Roman" w:cs="Times New Roman" w:eastAsia="Times New Roman" w:hAnsi="Times New Roman"/>
                <w:sz w:val="8"/>
                <w:szCs w:val="8"/>
                <w:b w:val="1"/>
                <w:bCs w:val="1"/>
                <w:color w:val="auto"/>
              </w:rPr>
              <w:t>Level 3</w:t>
            </w:r>
          </w:p>
        </w:tc>
      </w:tr>
      <w:tr>
        <w:trPr>
          <w:trHeight w:val="113"/>
        </w:trPr>
        <w:tc>
          <w:tcPr>
            <w:tcW w:w="3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June 30, 2024</w:t>
            </w:r>
          </w:p>
        </w:tc>
        <w:tc>
          <w:tcPr>
            <w:tcW w:w="296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r>
      <w:tr>
        <w:trPr>
          <w:trHeight w:val="113"/>
        </w:trPr>
        <w:tc>
          <w:tcPr>
            <w:tcW w:w="3340" w:type="dxa"/>
            <w:vAlign w:val="bottom"/>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13"/>
        </w:trPr>
        <w:tc>
          <w:tcPr>
            <w:tcW w:w="3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(1) Share-based payment liability</w:t>
            </w:r>
          </w:p>
        </w:tc>
        <w:tc>
          <w:tcPr>
            <w:tcW w:w="2960" w:type="dxa"/>
            <w:vAlign w:val="bottom"/>
            <w:shd w:val="clear" w:color="auto" w:fill="CFF0FC"/>
          </w:tcPr>
          <w:p>
            <w:pPr>
              <w:ind w:left="258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FF0FC"/>
          </w:tcPr>
          <w:p>
            <w:pPr>
              <w:ind w:left="8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1,383,298</w:t>
            </w:r>
          </w:p>
        </w:tc>
      </w:tr>
      <w:tr>
        <w:trPr>
          <w:trHeight w:val="113"/>
        </w:trPr>
        <w:tc>
          <w:tcPr>
            <w:tcW w:w="33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December 31, 2023</w:t>
            </w:r>
          </w:p>
        </w:tc>
        <w:tc>
          <w:tcPr>
            <w:tcW w:w="2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13"/>
        </w:trPr>
        <w:tc>
          <w:tcPr>
            <w:tcW w:w="3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96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r>
      <w:tr>
        <w:trPr>
          <w:trHeight w:val="125"/>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(1) Share-based payment liability</w:t>
            </w:r>
          </w:p>
        </w:tc>
        <w:tc>
          <w:tcPr>
            <w:tcW w:w="2960" w:type="dxa"/>
            <w:vAlign w:val="bottom"/>
          </w:tcPr>
          <w:p>
            <w:pPr>
              <w:ind w:left="258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1,311,028</w:t>
            </w: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(1)The fair value of the share-based payment liability was valued using a discounted cash flow method using a risk adjusted discount rate of 10.8%.</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carrying amount of the Company’s cash, accounts receivable, accounts payable and accrued expenses approximated their fair values due to their short term to maturity.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Other Convertible Promissory Notes and Warrants</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In February 2024, certain persons (including Apeiron Investment Group Ltd and certain related parties of Rezolve) entered into Subscription Agreements to subscribe for the Promissory Notes with a total principal amount of $2,877,319 in consideration for an advance by each subscriber to Rezolve Limited of the Net Investment Amount.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Promissory Notes were issued during the course of February, 2024, pursuant to the terms of the Promissory Note Instruments.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With effect from the completion of the Pre-Closing Demerger, the rights and obligations of Rezolve Limited under the Subscription Agreements and the Promissory Note Instruments were novated to Rezolve AI Limited.</w:t>
      </w:r>
    </w:p>
    <w:p>
      <w:pPr>
        <w:spacing w:after="0" w:line="118"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(save where an event of default has occurred and is continuing, an 18% interest rate will apply). The Promissory Notes are freely transferrable in whole or in part, subject to the terms of the Promissory Notes Instrument.</w:t>
      </w:r>
    </w:p>
    <w:p>
      <w:pPr>
        <w:spacing w:after="0" w:line="105"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 Promissory Notes are convertible into ordinary shares in Rezolve AI Limited.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105"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Rezolve has the right to redeem early a portion or all amounts outstanding under the Promissory Notes pursuant to a Redemption Notice, provided that on the date of the Redemption Notice the VWAP of the ordinary shares in Rezolve AI Limited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103"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Following the public listing of the ordinary shares in Rezolve AI Limited, if a “</w:t>
      </w:r>
      <w:r>
        <w:rPr>
          <w:rFonts w:ascii="Times New Roman" w:cs="Times New Roman" w:eastAsia="Times New Roman" w:hAnsi="Times New Roman"/>
          <w:sz w:val="10"/>
          <w:szCs w:val="10"/>
          <w:b w:val="1"/>
          <w:bCs w:val="1"/>
          <w:i w:val="1"/>
          <w:iCs w:val="1"/>
          <w:color w:val="auto"/>
        </w:rPr>
        <w:t>Promissory Note Trigger Event</w:t>
      </w:r>
      <w:r>
        <w:rPr>
          <w:rFonts w:ascii="Times New Roman" w:cs="Times New Roman" w:eastAsia="Times New Roman" w:hAnsi="Times New Roman"/>
          <w:sz w:val="10"/>
          <w:szCs w:val="10"/>
          <w:color w:val="auto"/>
        </w:rPr>
        <w:t>” occurs (being where (i) the daily VWAP is less than the Floor Price for five (5) trading days during a period of seven (7) consecutive trading days (the “</w:t>
      </w:r>
      <w:r>
        <w:rPr>
          <w:rFonts w:ascii="Times New Roman" w:cs="Times New Roman" w:eastAsia="Times New Roman" w:hAnsi="Times New Roman"/>
          <w:sz w:val="10"/>
          <w:szCs w:val="10"/>
          <w:b w:val="1"/>
          <w:bCs w:val="1"/>
          <w:i w:val="1"/>
          <w:iCs w:val="1"/>
          <w:color w:val="auto"/>
        </w:rPr>
        <w:t>Promissory Note Floor Price Trigger</w:t>
      </w:r>
      <w:r>
        <w:rPr>
          <w:rFonts w:ascii="Times New Roman" w:cs="Times New Roman" w:eastAsia="Times New Roman" w:hAnsi="Times New Roman"/>
          <w:sz w:val="10"/>
          <w:szCs w:val="10"/>
          <w:color w:val="auto"/>
        </w:rPr>
        <w:t>”), or (ii) Rezolve AI Limited has issued in excess of 99% of the ordinary shares available under the Exchange Cap unless Rezolve AI Limited shareholders have approved such issuances, or if Rezolve AI Limited is permitted to follow (and has elected to do so) its home country practices instead of the stockholder approval requirements of Nasdaq Rule 5635) (the “</w:t>
      </w:r>
      <w:r>
        <w:rPr>
          <w:rFonts w:ascii="Times New Roman" w:cs="Times New Roman" w:eastAsia="Times New Roman" w:hAnsi="Times New Roman"/>
          <w:sz w:val="10"/>
          <w:szCs w:val="10"/>
          <w:b w:val="1"/>
          <w:bCs w:val="1"/>
          <w:i w:val="1"/>
          <w:iCs w:val="1"/>
          <w:color w:val="auto"/>
        </w:rPr>
        <w:t>Promissory Note Exchange Cap Trigger</w:t>
      </w:r>
      <w:r>
        <w:rPr>
          <w:rFonts w:ascii="Times New Roman" w:cs="Times New Roman" w:eastAsia="Times New Roman" w:hAnsi="Times New Roman"/>
          <w:sz w:val="10"/>
          <w:szCs w:val="10"/>
          <w:color w:val="auto"/>
        </w:rPr>
        <w:t>”)), then Rezolve AI Limited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Limited reduces the Floor Price (in accordance with its rights to do so under the Promissory Note Instruments), or (ii) in the event of an Exchange Cap Trigger, the date Rezolve AI Limited has obtained stockholder approval to increase the number of ordinary shares under the Exchange Cap (or if the Exchange Cap no longer applies), unless a subsequent Promissory Note Trigger Event occurs.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48" w:right="660" w:bottom="1440" w:gutter="0" w:footer="0" w:header="0"/>
        </w:sectPr>
      </w:pPr>
    </w:p>
    <w:bookmarkStart w:id="78" w:name="page79"/>
    <w:bookmarkEnd w:id="78"/>
    <w:p>
      <w:pPr>
        <w:ind w:firstLine="480"/>
        <w:spacing w:after="0" w:line="241" w:lineRule="auto"/>
        <w:rPr>
          <w:sz w:val="20"/>
          <w:szCs w:val="20"/>
          <w:color w:val="auto"/>
        </w:rPr>
      </w:pPr>
      <w:r>
        <w:rPr>
          <w:rFonts w:ascii="Times New Roman" w:cs="Times New Roman" w:eastAsia="Times New Roman" w:hAnsi="Times New Roman"/>
          <w:sz w:val="10"/>
          <w:szCs w:val="10"/>
          <w:color w:val="auto"/>
        </w:rPr>
        <w:t>Pursuant to the Subscription Agreements, each subscriber was granted freely transferrable warrants by Rezolve upon completion of the Business Combination, with the warrant subscription value for each subscriber to be two (2) times the Net Investment Amount. The warrants shall confer the right to each warrant holder to subscribe for Ordinary Shares at the exercise price of $ 8.00 per share (which may be adjusted upon an alteration of Rezolve’s share capital), and which may be exercised until the Expiry Date. If before the Expiry Date it comes to the attention of Rezolve of an Exercise Event, it shall give notice to each warrant holder to allow such holder to exercise their warrants (on condition that such notified Exercise Event does occur within 14 days of the notice), and if such Exercise Event does occur then any unexercised warrants shall lapse.</w:t>
      </w:r>
    </w:p>
    <w:p>
      <w:pPr>
        <w:spacing w:after="0" w:line="10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Rezolve may (and shall on the written request by warrant holders holding at least one-fifth of the warrants then outstanding) convene a meeting of warrant holders, and such meeting shall have power to sanction any modification or compromise in respect of rights of the warrant holders including any provisions of the warrant instrument, and to appoint any person as agent to represent the interests of warrant holders.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79" w:name="page80"/>
    <w:bookmarkEnd w:id="79"/>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BUSINESS OF REZOLVE</w:t>
      </w:r>
    </w:p>
    <w:p>
      <w:pPr>
        <w:spacing w:after="0" w:line="95" w:lineRule="exact"/>
        <w:rPr>
          <w:sz w:val="20"/>
          <w:szCs w:val="20"/>
          <w:color w:val="auto"/>
        </w:rPr>
      </w:pPr>
    </w:p>
    <w:p>
      <w:pPr>
        <w:ind w:left="10" w:firstLine="480"/>
        <w:spacing w:after="0" w:line="247" w:lineRule="auto"/>
        <w:rPr>
          <w:sz w:val="20"/>
          <w:szCs w:val="20"/>
          <w:color w:val="auto"/>
        </w:rPr>
      </w:pPr>
      <w:r>
        <w:rPr>
          <w:rFonts w:ascii="Times New Roman" w:cs="Times New Roman" w:eastAsia="Times New Roman" w:hAnsi="Times New Roman"/>
          <w:sz w:val="10"/>
          <w:szCs w:val="10"/>
          <w:i w:val="1"/>
          <w:iCs w:val="1"/>
          <w:color w:val="auto"/>
        </w:rPr>
        <w:t>Shareholders should read this section in conjunction with the more detailed information about Rezolve contained in this prospectus, including the Financial Statements and the other information appearing in the section entitled “Management’s Discussion &amp; Analysis of Financial Condition and Results of Operations.” In this section, references to “we,” “us,” the “Company,” “Rezolve” and “our” are intended to refer to Rezolve Limited and its subsidiaries prior to the Pre-Closing Demerger, and to Rezolve AI Limited and its subsidiaries following the Pre-Closing Demerger, unless the context clearly indicates otherwise.</w:t>
      </w:r>
    </w:p>
    <w:p>
      <w:pPr>
        <w:spacing w:after="0" w:line="16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color w:val="auto"/>
        </w:rPr>
        <w:t>Overview</w:t>
      </w:r>
    </w:p>
    <w:p>
      <w:pPr>
        <w:spacing w:after="0" w:line="68" w:lineRule="exact"/>
        <w:rPr>
          <w:sz w:val="20"/>
          <w:szCs w:val="20"/>
          <w:color w:val="auto"/>
        </w:rPr>
      </w:pPr>
    </w:p>
    <w:p>
      <w:pPr>
        <w:ind w:left="10" w:firstLine="480"/>
        <w:spacing w:after="0" w:line="230" w:lineRule="auto"/>
        <w:rPr>
          <w:sz w:val="20"/>
          <w:szCs w:val="20"/>
          <w:color w:val="auto"/>
        </w:rPr>
      </w:pPr>
      <w:r>
        <w:rPr>
          <w:rFonts w:ascii="Times New Roman" w:cs="Times New Roman" w:eastAsia="Times New Roman" w:hAnsi="Times New Roman"/>
          <w:sz w:val="10"/>
          <w:szCs w:val="10"/>
          <w:color w:val="auto"/>
        </w:rPr>
        <w:t>We are recognized</w:t>
      </w:r>
      <w:r>
        <w:rPr>
          <w:rFonts w:ascii="Times New Roman" w:cs="Times New Roman" w:eastAsia="Times New Roman" w:hAnsi="Times New Roman"/>
          <w:sz w:val="13"/>
          <w:szCs w:val="13"/>
          <w:color w:val="auto"/>
          <w:vertAlign w:val="superscript"/>
        </w:rPr>
        <w:t>3</w:t>
      </w:r>
      <w:r>
        <w:rPr>
          <w:rFonts w:ascii="Times New Roman" w:cs="Times New Roman" w:eastAsia="Times New Roman" w:hAnsi="Times New Roman"/>
          <w:sz w:val="10"/>
          <w:szCs w:val="10"/>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10" w:lineRule="exact"/>
        <w:rPr>
          <w:sz w:val="20"/>
          <w:szCs w:val="20"/>
          <w:color w:val="auto"/>
        </w:rPr>
      </w:pPr>
    </w:p>
    <w:p>
      <w:pPr>
        <w:ind w:left="10" w:right="80" w:firstLine="480"/>
        <w:spacing w:after="0" w:line="310" w:lineRule="auto"/>
        <w:rPr>
          <w:sz w:val="20"/>
          <w:szCs w:val="20"/>
          <w:color w:val="auto"/>
        </w:rPr>
      </w:pPr>
      <w:r>
        <w:rPr>
          <w:rFonts w:ascii="Times New Roman" w:cs="Times New Roman" w:eastAsia="Times New Roman" w:hAnsi="Times New Roman"/>
          <w:sz w:val="9"/>
          <w:szCs w:val="9"/>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78" w:lineRule="exact"/>
        <w:rPr>
          <w:sz w:val="20"/>
          <w:szCs w:val="20"/>
          <w:color w:val="auto"/>
        </w:rPr>
      </w:pPr>
    </w:p>
    <w:p>
      <w:pPr>
        <w:ind w:left="10" w:right="20" w:firstLine="480"/>
        <w:spacing w:after="0" w:line="241" w:lineRule="auto"/>
        <w:rPr>
          <w:sz w:val="20"/>
          <w:szCs w:val="20"/>
          <w:color w:val="auto"/>
        </w:rPr>
      </w:pPr>
      <w:r>
        <w:rPr>
          <w:rFonts w:ascii="Times New Roman" w:cs="Times New Roman" w:eastAsia="Times New Roman" w:hAnsi="Times New Roman"/>
          <w:sz w:val="10"/>
          <w:szCs w:val="10"/>
          <w:color w:val="auto"/>
        </w:rPr>
        <w:t>Consumers and merchants expect to be able to transact anywhere, anytime, in a simple, seamless and secure way. We built our platform to address these challenges while simplifying complex processes. Merchants can deploy Rezolve technology quickly and easily and consumers can interact with most Rezolve capabilities intuitively. For example, our platform prompts a consumer’s device to react to certain triggers such as location, audio, images, beacons, touch or QR codes. These triggers result in various instant transaction events, ranging from checkout to e-ticketing to engagement events such as requesting a brochure or booking an appointment. Merchants can utilize our solution to enable consumers to immediately engage via a web-based dashboard which facilitates instant transactions via social media and other digital channels, and for enhanced capabilities, merchants can easily integrate our technology with their mobile applications, which requires minimal time and training.</w:t>
      </w:r>
    </w:p>
    <w:p>
      <w:pPr>
        <w:spacing w:after="0" w:line="108" w:lineRule="exact"/>
        <w:rPr>
          <w:sz w:val="20"/>
          <w:szCs w:val="20"/>
          <w:color w:val="auto"/>
        </w:rPr>
      </w:pPr>
    </w:p>
    <w:p>
      <w:pPr>
        <w:ind w:left="10" w:right="100" w:firstLine="480"/>
        <w:spacing w:after="0" w:line="245" w:lineRule="auto"/>
        <w:rPr>
          <w:sz w:val="20"/>
          <w:szCs w:val="20"/>
          <w:color w:val="auto"/>
        </w:rPr>
      </w:pPr>
      <w:r>
        <w:rPr>
          <w:rFonts w:ascii="Times New Roman" w:cs="Times New Roman" w:eastAsia="Times New Roman" w:hAnsi="Times New Roman"/>
          <w:sz w:val="10"/>
          <w:szCs w:val="10"/>
          <w:color w:val="auto"/>
        </w:rPr>
        <w:t>We provide an actionable platform for merchants that utilizes proprietary technology to engage directly with consumers. Our platform is able to manage large spikes in traffic that accompany events such as new offering releases, holiday shopping seasons and flash sales, and has been benchmarked to process at least 10,000 concurrent requests per second based on results from platform load testing. This capacity enables our merchants and brands on our platform to continuously engage with consumers in real time, gathering valuable engagement data. Our platform can scale to meet the needs of large merchants, and we focus on selling to merchants regardless of size, including small and medium-sized businesses, or SMBs.</w:t>
      </w:r>
    </w:p>
    <w:p>
      <w:pPr>
        <w:spacing w:after="0" w:line="105" w:lineRule="exact"/>
        <w:rPr>
          <w:sz w:val="20"/>
          <w:szCs w:val="20"/>
          <w:color w:val="auto"/>
        </w:rPr>
      </w:pPr>
    </w:p>
    <w:p>
      <w:pPr>
        <w:ind w:left="10" w:firstLine="480"/>
        <w:spacing w:after="0" w:line="255" w:lineRule="auto"/>
        <w:rPr>
          <w:sz w:val="20"/>
          <w:szCs w:val="20"/>
          <w:color w:val="auto"/>
        </w:rPr>
      </w:pPr>
      <w:r>
        <w:rPr>
          <w:rFonts w:ascii="Times New Roman" w:cs="Times New Roman" w:eastAsia="Times New Roman" w:hAnsi="Times New Roman"/>
          <w:sz w:val="10"/>
          <w:szCs w:val="10"/>
          <w:color w:val="auto"/>
        </w:rPr>
        <w:t>Our enterprise SaaS commerce platform has a global reach, including in our key geographies: India, the U.S., Latin America, and Europe. We believe that there are significant geographies and distribution and consumer-facing networks, which we refer to as our Channels, to expand as we establish new strategic alliances in new geographies.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1352550" cy="50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52550" cy="5080"/>
                    </a:xfrm>
                    <a:prstGeom prst="rect">
                      <a:avLst/>
                    </a:prstGeom>
                    <a:noFill/>
                  </pic:spPr>
                </pic:pic>
              </a:graphicData>
            </a:graphic>
          </wp:anchor>
        </w:drawing>
      </w:r>
    </w:p>
    <w:p>
      <w:pPr>
        <w:spacing w:after="0" w:line="148" w:lineRule="exact"/>
        <w:rPr>
          <w:sz w:val="20"/>
          <w:szCs w:val="20"/>
          <w:color w:val="auto"/>
        </w:rPr>
      </w:pPr>
    </w:p>
    <w:p>
      <w:pPr>
        <w:ind w:left="5270" w:right="4420" w:hanging="5270"/>
        <w:spacing w:after="0" w:line="644" w:lineRule="auto"/>
        <w:tabs>
          <w:tab w:leader="none" w:pos="63" w:val="left"/>
        </w:tabs>
        <w:numPr>
          <w:ilvl w:val="0"/>
          <w:numId w:val="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 xml:space="preserve">Please see Rezolve Press Release dated July 25, 2023, available at </w:t>
      </w:r>
      <w:r>
        <w:rPr>
          <w:rFonts w:ascii="Times New Roman" w:cs="Times New Roman" w:eastAsia="Times New Roman" w:hAnsi="Times New Roman"/>
          <w:sz w:val="10"/>
          <w:szCs w:val="10"/>
          <w:u w:val="single" w:color="auto"/>
          <w:color w:val="auto"/>
        </w:rPr>
        <w:t>https://www.rezolve.com/investors/britainsbrain-heralds-new-era-of-commerce-enabled-ai/</w:t>
      </w:r>
      <w:r>
        <w:rPr>
          <w:rFonts w:ascii="Times New Roman" w:cs="Times New Roman" w:eastAsia="Times New Roman" w:hAnsi="Times New Roman"/>
          <w:sz w:val="10"/>
          <w:szCs w:val="10"/>
          <w:color w:val="auto"/>
        </w:rPr>
        <w:t xml:space="preserv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78740</wp:posOffset>
            </wp:positionV>
            <wp:extent cx="6778625" cy="349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50"/>
          </w:cols>
          <w:pgMar w:left="630" w:top="1033" w:right="620" w:bottom="1440" w:gutter="0" w:footer="0" w:header="0"/>
        </w:sectPr>
      </w:pPr>
    </w:p>
    <w:bookmarkStart w:id="80" w:name="page81"/>
    <w:bookmarkEnd w:id="80"/>
    <w:p>
      <w:pPr>
        <w:ind w:left="10" w:firstLine="480"/>
        <w:spacing w:after="0" w:line="245" w:lineRule="auto"/>
        <w:rPr>
          <w:sz w:val="20"/>
          <w:szCs w:val="20"/>
          <w:color w:val="auto"/>
        </w:rPr>
      </w:pPr>
      <w:r>
        <w:rPr>
          <w:rFonts w:ascii="Times New Roman" w:cs="Times New Roman" w:eastAsia="Times New Roman" w:hAnsi="Times New Roman"/>
          <w:sz w:val="10"/>
          <w:szCs w:val="10"/>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0"/>
          <w:szCs w:val="10"/>
          <w:i w:val="1"/>
          <w:iCs w:val="1"/>
          <w:color w:val="auto"/>
        </w:rPr>
        <w:t>Partner Agreements</w:t>
      </w:r>
      <w:r>
        <w:rPr>
          <w:rFonts w:ascii="Times New Roman" w:cs="Times New Roman" w:eastAsia="Times New Roman" w:hAnsi="Times New Roman"/>
          <w:sz w:val="10"/>
          <w:szCs w:val="10"/>
          <w:color w:val="auto"/>
        </w:rPr>
        <w:t>”</w:t>
      </w:r>
    </w:p>
    <w:p>
      <w:pPr>
        <w:spacing w:after="0" w:line="338" w:lineRule="exact"/>
        <w:rPr>
          <w:sz w:val="20"/>
          <w:szCs w:val="20"/>
          <w:color w:val="auto"/>
        </w:rPr>
      </w:pPr>
    </w:p>
    <w:p>
      <w:pPr>
        <w:ind w:left="10" w:right="120" w:firstLine="480"/>
        <w:spacing w:after="0" w:line="255" w:lineRule="auto"/>
        <w:rPr>
          <w:sz w:val="20"/>
          <w:szCs w:val="20"/>
          <w:color w:val="auto"/>
        </w:rPr>
      </w:pPr>
      <w:r>
        <w:rPr>
          <w:rFonts w:ascii="Times New Roman" w:cs="Times New Roman" w:eastAsia="Times New Roman" w:hAnsi="Times New Roman"/>
          <w:sz w:val="10"/>
          <w:szCs w:val="10"/>
          <w:color w:val="auto"/>
        </w:rPr>
        <w:t>Our total revenues were $0.1 million and $0.1 million, for the years ended December 31, 2022 and 2023, respectively. We had net losses of $110.7 million and $31.7 million inclusive of non-cash items representing $10.2m and $28.6m, respectively for the years ended December 31, 2022 and 2023, respectively. We currently generate our revenue from Transaction fees based on sales of ticketing for La Liga football events in Spain.</w:t>
      </w:r>
    </w:p>
    <w:p>
      <w:pPr>
        <w:spacing w:after="0" w:line="15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i w:val="1"/>
          <w:iCs w:val="1"/>
          <w:color w:val="auto"/>
        </w:rPr>
        <w:t>Recent Developments</w:t>
      </w:r>
    </w:p>
    <w:p>
      <w:pPr>
        <w:spacing w:after="0" w:line="60"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July 25, 2023, Rezolve announced the introduction of two new offerings: (1) myBrain, Rezolve’s offering to individual users; and (2) Brain, Rezolve’s offering to businesses using AI and GPT technologies, with Brain offered in the following geographies:</w:t>
      </w:r>
    </w:p>
    <w:p>
      <w:pPr>
        <w:spacing w:after="0" w:line="19" w:lineRule="exact"/>
        <w:rPr>
          <w:sz w:val="20"/>
          <w:szCs w:val="20"/>
          <w:color w:val="auto"/>
        </w:rPr>
      </w:pPr>
    </w:p>
    <w:p>
      <w:pPr>
        <w:jc w:val="both"/>
        <w:ind w:left="10" w:right="200" w:hanging="10"/>
        <w:spacing w:after="0" w:line="236" w:lineRule="auto"/>
        <w:tabs>
          <w:tab w:leader="none" w:pos="143" w:val="left"/>
        </w:tabs>
        <w:numPr>
          <w:ilvl w:val="0"/>
          <w:numId w:val="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Latin America, (b) Europe, (c) Asia and (d) North America. As a result, Rezolve’s business model is transitioning from a transaction-based revenue model, whereby fees would be earned by Rezolve based upon the level of engagement using Rezolve’s offerings, towards a subscription-based model of the Rezolve platform in which subscribers to Rezolve’s Brain offering would be entitled to use Rezolve’s other offerings, including Geozone, audio triggers, watermarks, Instant Act and Instant Buy, inclusive of a set amount of anticipated transactions which would be reviewed with customers annually (or half yearly). Rezolve’s myBrain and Brain offerings are discussed in further detail in this Section captioned “—</w:t>
      </w:r>
      <w:r>
        <w:rPr>
          <w:rFonts w:ascii="Times New Roman" w:cs="Times New Roman" w:eastAsia="Times New Roman" w:hAnsi="Times New Roman"/>
          <w:sz w:val="10"/>
          <w:szCs w:val="10"/>
          <w:i w:val="1"/>
          <w:iCs w:val="1"/>
          <w:color w:val="auto"/>
        </w:rPr>
        <w:t>Business of Rezolve Limited</w:t>
      </w:r>
      <w:r>
        <w:rPr>
          <w:rFonts w:ascii="Times New Roman" w:cs="Times New Roman" w:eastAsia="Times New Roman" w:hAnsi="Times New Roman"/>
          <w:sz w:val="10"/>
          <w:szCs w:val="1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87630</wp:posOffset>
            </wp:positionV>
            <wp:extent cx="2872105" cy="14763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72105" cy="1476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color w:val="auto"/>
        </w:rPr>
        <w:t>Industry Overview and Trends</w:t>
      </w:r>
    </w:p>
    <w:p>
      <w:pPr>
        <w:spacing w:after="0" w:line="60" w:lineRule="exact"/>
        <w:rPr>
          <w:sz w:val="20"/>
          <w:szCs w:val="20"/>
          <w:color w:val="auto"/>
        </w:rPr>
      </w:pPr>
    </w:p>
    <w:p>
      <w:pPr>
        <w:ind w:left="10" w:right="80" w:firstLine="480"/>
        <w:spacing w:after="0" w:line="245" w:lineRule="auto"/>
        <w:rPr>
          <w:sz w:val="20"/>
          <w:szCs w:val="20"/>
          <w:color w:val="auto"/>
        </w:rPr>
      </w:pPr>
      <w:r>
        <w:rPr>
          <w:rFonts w:ascii="Times New Roman" w:cs="Times New Roman" w:eastAsia="Times New Roman" w:hAnsi="Times New Roman"/>
          <w:sz w:val="10"/>
          <w:szCs w:val="10"/>
          <w:color w:val="auto"/>
        </w:rPr>
        <w:t>The global proliferation of mobile devices has fundamentally altered the way in which consumers engage with brands and retailers. As of December 31, 2021, there were approximately 5.48 billion unique mobile phone users globally, representing approximately two-thirds of the entire worldwide population. Approximately 92% of these unique mobile users are estimated to have smart phones with internet connectivity. The number of unique mobile phone users with internet connectivity globally has tripled since December 2012.</w:t>
      </w:r>
    </w:p>
    <w:p>
      <w:pPr>
        <w:spacing w:after="0" w:line="105" w:lineRule="exact"/>
        <w:rPr>
          <w:sz w:val="20"/>
          <w:szCs w:val="20"/>
          <w:color w:val="auto"/>
        </w:rPr>
      </w:pPr>
    </w:p>
    <w:p>
      <w:pPr>
        <w:jc w:val="both"/>
        <w:ind w:left="10" w:right="280" w:firstLine="480"/>
        <w:spacing w:after="0" w:line="310" w:lineRule="auto"/>
        <w:rPr>
          <w:sz w:val="20"/>
          <w:szCs w:val="20"/>
          <w:color w:val="auto"/>
        </w:rPr>
      </w:pPr>
      <w:r>
        <w:rPr>
          <w:rFonts w:ascii="Times New Roman" w:cs="Times New Roman" w:eastAsia="Times New Roman" w:hAnsi="Times New Roman"/>
          <w:sz w:val="9"/>
          <w:szCs w:val="9"/>
          <w:color w:val="auto"/>
        </w:rPr>
        <w:t>This massive shift towards a global, mobile economy caused important paradigm shifts with regard to merchant strategy and consumer decision making. In conjunction with the trend of mobile proliferation, consumers tended to interact with merchants primarily through expensive third-party facilitators resulting in both limited consumer engagement and eroded profit margins for merchants. Regardless of the interaction, consumers prioritize seamless buying interactions and omnichannel purchasing experiences.</w:t>
      </w:r>
    </w:p>
    <w:p>
      <w:pPr>
        <w:spacing w:after="0" w:line="78"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0"/>
          <w:szCs w:val="1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70"/>
          </w:cols>
          <w:pgMar w:left="630" w:top="1155" w:right="70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0"/>
          <w:szCs w:val="10"/>
          <w:color w:val="auto"/>
        </w:rPr>
        <w:t>Merchants prefer direct interactions with consumers to build relationships and better understand consumer purchasing trends; historically, merchants have struggled with meeting consumer needs while managing costs and addressing technical challenges.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Consumers Are Increasingly Engaging Through Digital Channels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Globally, mobile commerce sales during the year ended December 31, 2021 were expected to exceed $3.5 trillion, representing 73% of all e-commerce sales. How consumers discover, learn about and ultimately purchase products has transformed and continues to evolve as technology improves. A consumer may discover a product on social media, learn more about the product through reviews and blogs, physically see the product at a nearby brick-and-mortar store, assess price comparisons of the product using a mobile phone, and ultimately purchase the product from a different merchant.</w:t>
      </w:r>
    </w:p>
    <w:p>
      <w:pPr>
        <w:spacing w:after="0" w:line="105"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Given heightened access to information and data concern for rising inflation, consumers have become increasingly focused and educated on both products and pricing. For example, according to a March 2023 report by INMAR Intelligence, 52% of shoppers find grocery purchase inspiration on social media, almost matching in-store display inspiration at 54%. Consumers have more choices than ever before with regard to what they buy and who they buy from, which has set an extremely high bar for consumer expectations and merchant standards. We believe consumers want an experience and product that allows them to express their own unique personalities, styles and interests. Good consumer experiences drive consumer loyalty and attract new consumers through word of mouth and online reviews. A disappointing consumer experience may result in the permanent loss of customers and irreparable damage to the merchant’s reputation on social media.</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While the growth in digital consumption has increasingly become mainstream for shopping, it has not completely replaced traditional offline purchasing. Consumers have adopted an “Online to Offline,” or O2O model which lends itself to mobile applications.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38% of U.S shoppers start their journey on a smartphone and finish their purchase offline, according to an April 2019 report by RetailMeNot.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Merchants have Lost Connectivity to the End Consumer</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We believe it is imperative for merchants to have a dynamic and comprehensive view of their customers, product, merchandising &amp; marketing strategy and associated data. The proliferation of intermediaries has resulted in a fragmented view of customer wants and needs. For example, according to a January 2022 report, 40% of brands say offering experiential retail would be a top priority for them in the next year, but 57% of these brands say coordinating it will be a top challenge, while 55% of retailers report concerns with respect to driving in-store traffic. To help boost sales, retailers look to sell through online marketplaces such as Amazon, which as of February 2021, represented about 40% of total US retail eCommerce sales. This limited connectivity to the end-consumer puts pressure on profit margins and allows proprietary data to spread to competing platforms. At the same time, the lost interaction deprives a merchant of critical data and direct relationships that help them market to and engage with their customers.</w:t>
      </w:r>
    </w:p>
    <w:p>
      <w:pPr>
        <w:spacing w:after="0" w:line="108"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Merchants simultaneously try to interact with consumers at a local level. According to a September 2021 report, 47% of global consumers are likely to buy from brands with a local presence; however, retailers have experienced headwinds while seeking to increase consumer retention and generate repeat traffic to their local stores. Currently, geolocation services are limited given the complicated nature of engaging with local consumers daily. Marketing to multitudes of consumers while providing a frictionless platform from outreach to engagement to eventual purchase can be highly costly and difficult to execute. Merchants therefore seek to actively engage with consumers through omnichannel experiences to maximize connectivity in a cost-efficient manner.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Consumers Expect a Seamless Interaction Between Offline and Online Channels</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Consumers expect to be able to seamlessly access a merchant’s online store from their mobile device, tablet and computer, and expect the same breadth of information from online channels as they would receive in a brick-and-mortar store. A merchant’s failure to deliver on any channel can frustrate consumers and lead them to shop elsewhere. The technical requirements to deliver seamless access are complex and ever evolving. As a result, according to a September 2021 report, approximately 53% of global brands are already investing in providing an omnichannel consumer experience, seeking to eliminate friction during the purchasing process and enhance sales. SMBs are also looking to adopt omnichannel strategies but face similar issues regarding complicated data integration and continuous investment. Improving marketing and consumer engagement is important for many brands irrespective of size.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Merchants Are Struggling to Differentiate</w:t>
      </w:r>
    </w:p>
    <w:p>
      <w:pPr>
        <w:spacing w:after="0" w:line="60" w:lineRule="exact"/>
        <w:rPr>
          <w:sz w:val="20"/>
          <w:szCs w:val="20"/>
          <w:color w:val="auto"/>
        </w:rPr>
      </w:pPr>
    </w:p>
    <w:p>
      <w:pPr>
        <w:ind w:right="220" w:firstLine="480"/>
        <w:spacing w:after="0" w:line="310" w:lineRule="auto"/>
        <w:rPr>
          <w:sz w:val="20"/>
          <w:szCs w:val="20"/>
          <w:color w:val="auto"/>
        </w:rPr>
      </w:pPr>
      <w:r>
        <w:rPr>
          <w:rFonts w:ascii="Times New Roman" w:cs="Times New Roman" w:eastAsia="Times New Roman" w:hAnsi="Times New Roman"/>
          <w:sz w:val="9"/>
          <w:szCs w:val="9"/>
          <w:color w:val="auto"/>
        </w:rPr>
        <w:t>In a world where consumers have more choices than ever, differentiating a merchant’s brand takes on increased importance. A merchant needs to stand out from the crowd. If a consumer searches a third-party marketplace or e- Commerce site and selects a merchant’s product from among thousands of search results, the consumer is more likely to remember the brand of the third-party site than the brand of the merchant. The average shopper is increasingly paying close attention to the values of consumer-goods brands.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82" w:name="page83"/>
    <w:bookmarkEnd w:id="82"/>
    <w:p>
      <w:pPr>
        <w:ind w:right="160"/>
        <w:spacing w:after="0" w:line="255" w:lineRule="auto"/>
        <w:rPr>
          <w:sz w:val="20"/>
          <w:szCs w:val="20"/>
          <w:color w:val="auto"/>
        </w:rPr>
      </w:pPr>
      <w:r>
        <w:rPr>
          <w:rFonts w:ascii="Times New Roman" w:cs="Times New Roman" w:eastAsia="Times New Roman" w:hAnsi="Times New Roman"/>
          <w:sz w:val="10"/>
          <w:szCs w:val="10"/>
          <w:color w:val="auto"/>
        </w:rPr>
        <w:t>82% of shoppers want a consumer brand’s values to align with their own, according to an April 2022 report, and 75% of shoppers reported parting ways with a brand over a conflict in values. Experiences that enable merchants to connect directly with consumers allow merchants to make a memorable impression. Globally, 60% of consumers say they will make repeat purchase at a retailer after a personalized shopping experience, according to a June 2021 report.</w:t>
      </w:r>
    </w:p>
    <w:p>
      <w:pPr>
        <w:spacing w:after="0" w:line="101"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A merchant’s brand and personality must shine through in every interaction to help build customer loyalty. Unfortunately, merchants have difficulty in getting consistent data due to fragmented interactions with consumers resulting in difficulties in creating personalized experiences.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Complicated Experiences Result in Lost Opportunities with Consumers</w:t>
      </w:r>
    </w:p>
    <w:p>
      <w:pPr>
        <w:spacing w:after="0" w:line="60" w:lineRule="exact"/>
        <w:rPr>
          <w:sz w:val="20"/>
          <w:szCs w:val="20"/>
          <w:color w:val="auto"/>
        </w:rPr>
      </w:pPr>
    </w:p>
    <w:p>
      <w:pPr>
        <w:ind w:right="80" w:firstLine="480"/>
        <w:spacing w:after="0" w:line="239" w:lineRule="auto"/>
        <w:rPr>
          <w:sz w:val="20"/>
          <w:szCs w:val="20"/>
          <w:color w:val="auto"/>
        </w:rPr>
      </w:pPr>
      <w:r>
        <w:rPr>
          <w:rFonts w:ascii="Times New Roman" w:cs="Times New Roman" w:eastAsia="Times New Roman" w:hAnsi="Times New Roman"/>
          <w:sz w:val="10"/>
          <w:szCs w:val="10"/>
          <w:color w:val="auto"/>
        </w:rPr>
        <w:t>Consumers expect every interaction to be quick, problem-free, intuitive and secure. Consumers will abandon a website that is not loaded quickly and are reluctant to return to a website that has trouble with performance. Consumers tend to hold merchants responsible for the entire retail experience, regardless of whether a merchant or a third party provides the platform. Consumers value their time spent on making purchases and seek to find methods to reduce that time – 76% of consumers say they shop on mobile devices because it “saves them time,” according to a July 2020 report. However, even mobile apps can be time consuming if the sale process is not simple. Merchants that are able to offer one-click engagement, are far less likely to lose the attention of the consumer in the purchasing decision. If a consumer tries to purchase a product from a brick-and-mortar store but in-store inventory is unavailable, a merchant should be able to search its dynamic inventory count and ship the product to the consumer’s home before the consumer looks elsewhere. 46% of global online shoppers confirmed inventory online before shopping offline according to a February 2019 report. In fact, retailers that implemented personalized experiences on-site or through marketing efforts resulted in a 25% sales lift, according to a June 2019 report.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Our Solution</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We provide a AI- and cloud -based advertising, engagement and commerce platform designed for merchants of all sizes. We expect merchants to be able to use our software to create sales events across all of their channels—web, tablet and mobile storefronts, social media storefronts, print and radio advertising and brick-and-mortar locations. Our technology enabled on a consumer’s phone react to those triggers and provide immediate opportunities for sales interactions in any of 95 languages.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platform provides the following key benefits to merchants:</w:t>
      </w:r>
    </w:p>
    <w:p>
      <w:pPr>
        <w:spacing w:after="0" w:line="56" w:lineRule="exact"/>
        <w:rPr>
          <w:sz w:val="20"/>
          <w:szCs w:val="20"/>
          <w:color w:val="auto"/>
        </w:rPr>
      </w:pPr>
    </w:p>
    <w:p>
      <w:pPr>
        <w:ind w:left="480" w:right="12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eCommerce-Specific AI Platform and Suite—Brain.</w:t>
      </w:r>
      <w:r>
        <w:rPr>
          <w:rFonts w:ascii="Times New Roman" w:cs="Times New Roman" w:eastAsia="Times New Roman" w:hAnsi="Times New Roman"/>
          <w:sz w:val="10"/>
          <w:szCs w:val="10"/>
          <w:color w:val="auto"/>
        </w:rPr>
        <w:t xml:space="preserve"> Rezolve’s Brain allows customers, either online or instore, to ask, via voice or text and in any of 95 languages,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w:t>
      </w:r>
    </w:p>
    <w:p>
      <w:pPr>
        <w:spacing w:after="0" w:line="37" w:lineRule="exact"/>
        <w:rPr>
          <w:sz w:val="20"/>
          <w:szCs w:val="20"/>
          <w:color w:val="auto"/>
        </w:rPr>
      </w:pPr>
    </w:p>
    <w:p>
      <w:pPr>
        <w:ind w:left="480" w:right="120"/>
        <w:spacing w:after="0" w:line="241"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Instant Checkout.</w:t>
      </w:r>
      <w:r>
        <w:rPr>
          <w:rFonts w:ascii="Times New Roman" w:cs="Times New Roman" w:eastAsia="Times New Roman" w:hAnsi="Times New Roman"/>
          <w:sz w:val="10"/>
          <w:szCs w:val="10"/>
          <w:color w:val="auto"/>
        </w:rPr>
        <w:t xml:space="preserve"> Rezolve’s Instant Checkout allows websites to convert passive browsers into actors or buyers with one click directly from the product detail pages on merchant websites. Our Instant Checkout offering includes Buy Now, our commerce solution, and Act Now, our engagement solution. This capability bypasses traditional web checkout portals, collapsing multiple clicks into one or two, allowing our merchants to enable prospective purchasers to immediately convert web and social media browsers without the need for software on consumers’ phones. For example, through Act Now, a consumer could be offered the opportunity to schedule an appointment to test drive a new car immediately upon seeing a broadcast advertisement of the car, or through Buy Now, be offered the opportunity to purchase tickets for a Broadway show that starts in 30 minutes while in close proximity to the theatre. Our solution enables merchants to exploit the moment of maximum attention at the time leading to transactions which otherwise may result in lost transactions.</w:t>
      </w:r>
    </w:p>
    <w:p>
      <w:pPr>
        <w:spacing w:after="0" w:line="45" w:lineRule="exact"/>
        <w:rPr>
          <w:sz w:val="20"/>
          <w:szCs w:val="20"/>
          <w:color w:val="auto"/>
        </w:rPr>
      </w:pPr>
    </w:p>
    <w:p>
      <w:pPr>
        <w:jc w:val="both"/>
        <w:ind w:left="480" w:right="8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Anti-counterfeiting Solution</w:t>
      </w:r>
      <w:r>
        <w:rPr>
          <w:rFonts w:ascii="Times New Roman" w:cs="Times New Roman" w:eastAsia="Times New Roman" w:hAnsi="Times New Roman"/>
          <w:sz w:val="10"/>
          <w:szCs w:val="10"/>
          <w:color w:val="auto"/>
        </w:rPr>
        <w:t>. Our watermarking solution is based on our proprietary machine-learning technology that hides encoded images, invisible to the naked eye, onto a merchant’s products. Those images can be viewed from a phone camera to verify the authenticity of the product. This solution can be applied to color-rich images, graphical images and text. The versatility of our solution is in its ability to watermark printed content on different surfaces such as leather, plastic, and wood. These watermarks further protect a merchants’ products by including encoded messages that enhance tracking and traceability.</w:t>
      </w:r>
    </w:p>
    <w:p>
      <w:pPr>
        <w:spacing w:after="0" w:line="42" w:lineRule="exact"/>
        <w:rPr>
          <w:sz w:val="20"/>
          <w:szCs w:val="20"/>
          <w:color w:val="auto"/>
        </w:rPr>
      </w:pPr>
    </w:p>
    <w:p>
      <w:pPr>
        <w:ind w:left="48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Omnichannel Interactions.</w:t>
      </w:r>
      <w:r>
        <w:rPr>
          <w:rFonts w:ascii="Times New Roman" w:cs="Times New Roman" w:eastAsia="Times New Roman" w:hAnsi="Times New Roman"/>
          <w:sz w:val="10"/>
          <w:szCs w:val="10"/>
          <w:color w:val="auto"/>
        </w:rPr>
        <w:t xml:space="preserve"> The Rezolve platform provides multiple opportunities for interaction. For example, triggers can include a location or GeoZone, which is a location-based marketing tool, an audio cue “watermarked” in broadcast or streaming media, a visual image cue in posters, print ads or product labels, proximity beacons, direct touch links or QR-codes. The resulting trigger can drive instant transactions on a consumer’s mobile device ranging from a product purchase, a reservation at a restaurant, an electronic ticketing for an event, or other promotional offers.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5" w:right="660" w:bottom="1440" w:gutter="0" w:footer="0" w:header="0"/>
        </w:sectPr>
      </w:pPr>
    </w:p>
    <w:bookmarkStart w:id="83" w:name="page84"/>
    <w:bookmarkEnd w:id="83"/>
    <w:p>
      <w:pPr>
        <w:ind w:right="2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Direct Brand Engagement</w:t>
      </w:r>
      <w:r>
        <w:rPr>
          <w:rFonts w:ascii="Times New Roman" w:cs="Times New Roman" w:eastAsia="Times New Roman" w:hAnsi="Times New Roman"/>
          <w:sz w:val="10"/>
          <w:szCs w:val="10"/>
          <w:color w:val="auto"/>
        </w:rPr>
        <w:t>. We deliver a comprehensive commerce and engagement platform that allows merchants to easily create direct engagements with consumers via their mobile phone. A merchant is able to manage user experience and encourage engagement with end-consumers based on personalized context. By incorporating Rezolve into a merchant’s application, a merchant can build brand awareness and loyalty within its customer base.</w:t>
      </w:r>
    </w:p>
    <w:p>
      <w:pPr>
        <w:spacing w:after="0" w:line="37"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Seamless Integration with Existing Applications.</w:t>
      </w:r>
      <w:r>
        <w:rPr>
          <w:rFonts w:ascii="Times New Roman" w:cs="Times New Roman" w:eastAsia="Times New Roman" w:hAnsi="Times New Roman"/>
          <w:sz w:val="10"/>
          <w:szCs w:val="10"/>
          <w:color w:val="auto"/>
        </w:rPr>
        <w:t xml:space="preserve"> We expect the Rezolve solution to be able to be integrated with a merchant’s application and expect it to require minimal time or training to implement and use. Once our solution is integrated, merchants can easily establish geographic triggers, called GeoZones, establish watermarks in an image or audio file, or activate another mobile trigger (such as a beacon) using our SaaS platform. Our consumer-friendly application </w:t>
      </w:r>
      <w:r>
        <w:rPr>
          <w:rFonts w:ascii="Times New Roman" w:cs="Times New Roman" w:eastAsia="Times New Roman" w:hAnsi="Times New Roman"/>
          <w:sz w:val="10"/>
          <w:szCs w:val="10"/>
          <w:i w:val="1"/>
          <w:iCs w:val="1"/>
          <w:color w:val="auto"/>
        </w:rPr>
        <w:t>Shop Beautiful</w:t>
      </w:r>
      <w:r>
        <w:rPr>
          <w:rFonts w:ascii="Times New Roman" w:cs="Times New Roman" w:eastAsia="Times New Roman" w:hAnsi="Times New Roman"/>
          <w:sz w:val="10"/>
          <w:szCs w:val="10"/>
          <w:color w:val="auto"/>
        </w:rPr>
        <w:t xml:space="preserve"> integrates seamlessly with brands helping generate immediate consumer engagement. Additionally, Rezolve’s interface is already available on a number of platforms such as Apple iOS and Google Android and is integrated with certain mobile applications available on those platforms, including WeChat. We expect that this will make it easy for both merchants and consumers to use the Rezolve platform. We expect merchants will be able to add Rezolve technology to their platforms and gain access to a self-service portal where they can manage their campaigns all on one dashboard, and consumers with access to existing and widely used mobile applications have the benefit of the Rezolve platform without additional installation.</w:t>
      </w:r>
    </w:p>
    <w:p>
      <w:pPr>
        <w:spacing w:after="0" w:line="4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Actionable Analytics and Insights</w:t>
      </w:r>
      <w:r>
        <w:rPr>
          <w:rFonts w:ascii="Times New Roman" w:cs="Times New Roman" w:eastAsia="Times New Roman" w:hAnsi="Times New Roman"/>
          <w:sz w:val="10"/>
          <w:szCs w:val="10"/>
          <w:color w:val="auto"/>
        </w:rPr>
        <w:t>. With our platform, we expect merchants will be able to receive direct insights into consumer behavior that are often not shared by third-party intermediaries. For example, when consumers use a third-party service for food delivery, the third- party delivery service has access to information on the customers’ preferences on where to eat, what time they usually order food and the average amount spent per order. These are insights that merchants can use to improve their consumers’ experiences and to enhance their marketing targets. However, the third-party delivery service does not share all of this information with its merchants. Our platform aims to fix this gap in information access by equipping merchants with insights to make more informed decisions to drive further engagement and brand affinity.</w:t>
      </w:r>
    </w:p>
    <w:p>
      <w:pPr>
        <w:spacing w:after="0" w:line="44"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 Frictionless Consumer Experience</w:t>
      </w:r>
      <w:r>
        <w:rPr>
          <w:rFonts w:ascii="Times New Roman" w:cs="Times New Roman" w:eastAsia="Times New Roman" w:hAnsi="Times New Roman"/>
          <w:sz w:val="10"/>
          <w:szCs w:val="10"/>
          <w:color w:val="auto"/>
        </w:rPr>
        <w:t>. We expect that our platform will provide consumers with an intuitive and immediate user experience. Consumers only need a mobile phone (for Rezolve Instant Checkout, SmartLinks and SmartCodes) or a device that has an application with our technology embedded to allow consumers to interact with a trigger such as location, audio, or a beacon to transact. The consumer can also be prompted with proximity-based notifications highlighting relevant advertisements or transactions. Consumers benefit from real time awareness and engagement with relevant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85090</wp:posOffset>
            </wp:positionV>
            <wp:extent cx="2609850" cy="15100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09850" cy="151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9"/>
          <w:szCs w:val="9"/>
          <w:color w:val="auto"/>
        </w:rPr>
        <w:t>We have agreements with distribution and consumer-facing networks, which we refer to as our Channels, to sign up merchants to the Rezolve platform. Our Channels also receive significant benefits from deploying our solutions to their merchant base.</w:t>
      </w:r>
    </w:p>
    <w:p>
      <w:pPr>
        <w:spacing w:after="0" w:line="12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0"/>
          <w:szCs w:val="1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256540</wp:posOffset>
            </wp:positionV>
            <wp:extent cx="6778625" cy="349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100"/>
          </w:cols>
          <w:pgMar w:left="1120" w:top="1093" w:right="680" w:bottom="1440" w:gutter="0" w:footer="0" w:header="0"/>
        </w:sectPr>
      </w:pPr>
    </w:p>
    <w:bookmarkStart w:id="84" w:name="page85"/>
    <w:bookmarkEnd w:id="84"/>
    <w:p>
      <w:pPr>
        <w:ind w:left="480"/>
        <w:spacing w:after="0"/>
        <w:rPr>
          <w:sz w:val="20"/>
          <w:szCs w:val="20"/>
          <w:color w:val="auto"/>
        </w:rPr>
      </w:pPr>
      <w:r>
        <w:rPr>
          <w:rFonts w:ascii="Times New Roman" w:cs="Times New Roman" w:eastAsia="Times New Roman" w:hAnsi="Times New Roman"/>
          <w:sz w:val="10"/>
          <w:szCs w:val="10"/>
          <w:color w:val="auto"/>
        </w:rPr>
        <w:t>Our platform provides the following key benefits to these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93345</wp:posOffset>
            </wp:positionV>
            <wp:extent cx="2881630" cy="17291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81630" cy="172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The Opportunity</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We believe we have a significant opportunity to transform the customer engagement journey for new merchants and our Channels with targeted instant marketing and software. Our mobile commerce and engagement platform enables retailers, brands, media, and others to deliver rich and engaging mobile experiences to consumers that, in turn, increases sales for our Channels through seamless transactions.</w:t>
      </w:r>
    </w:p>
    <w:p>
      <w:pPr>
        <w:spacing w:after="0" w:line="101" w:lineRule="exact"/>
        <w:rPr>
          <w:sz w:val="20"/>
          <w:szCs w:val="20"/>
          <w:color w:val="auto"/>
        </w:rPr>
      </w:pPr>
    </w:p>
    <w:p>
      <w:pPr>
        <w:ind w:right="240" w:firstLine="480"/>
        <w:spacing w:after="0" w:line="255" w:lineRule="auto"/>
        <w:rPr>
          <w:sz w:val="20"/>
          <w:szCs w:val="20"/>
          <w:color w:val="auto"/>
        </w:rPr>
      </w:pPr>
      <w:r>
        <w:rPr>
          <w:rFonts w:ascii="Times New Roman" w:cs="Times New Roman" w:eastAsia="Times New Roman" w:hAnsi="Times New Roman"/>
          <w:sz w:val="10"/>
          <w:szCs w:val="10"/>
          <w:color w:val="auto"/>
        </w:rPr>
        <w:t>Our enterprise SaaS commerce platform has a global reach including in our key geographies: India, the U.S. Latin America, and Europe. We believe that there are significant geographies and distribution channels to expand to as we establish new strategic alliances in new geographies.</w:t>
      </w:r>
    </w:p>
    <w:p>
      <w:pPr>
        <w:spacing w:after="0" w:line="101"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0"/>
          <w:szCs w:val="10"/>
          <w:i w:val="1"/>
          <w:iCs w:val="1"/>
          <w:color w:val="auto"/>
        </w:rPr>
        <w:t>Partner Agreements</w:t>
      </w:r>
      <w:r>
        <w:rPr>
          <w:rFonts w:ascii="Times New Roman" w:cs="Times New Roman" w:eastAsia="Times New Roman" w:hAnsi="Times New Roman"/>
          <w:sz w:val="10"/>
          <w:szCs w:val="10"/>
          <w:color w:val="auto"/>
        </w:rPr>
        <w:t>.”</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Following the completion of the Pre-Closing Demerger, we ceased operations in China and are currently focused on growing our footprint in other geographic markets, but at a future date, we will consider re-engaging with the Chinese market.</w:t>
      </w:r>
    </w:p>
    <w:p>
      <w:pPr>
        <w:spacing w:after="0" w:line="116"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10"/>
          <w:szCs w:val="10"/>
          <w:color w:val="auto"/>
        </w:rPr>
        <w:t>We initially entered the Chinese market in 2016 in order to trial the Rezolve platform on a large scale. This was done with support from China Union Pay (“</w:t>
      </w:r>
      <w:r>
        <w:rPr>
          <w:rFonts w:ascii="Times New Roman" w:cs="Times New Roman" w:eastAsia="Times New Roman" w:hAnsi="Times New Roman"/>
          <w:sz w:val="10"/>
          <w:szCs w:val="10"/>
          <w:b w:val="1"/>
          <w:bCs w:val="1"/>
          <w:i w:val="1"/>
          <w:iCs w:val="1"/>
          <w:color w:val="auto"/>
        </w:rPr>
        <w:t>CUP</w:t>
      </w:r>
      <w:r>
        <w:rPr>
          <w:rFonts w:ascii="Times New Roman" w:cs="Times New Roman" w:eastAsia="Times New Roman" w:hAnsi="Times New Roman"/>
          <w:sz w:val="10"/>
          <w:szCs w:val="10"/>
          <w:color w:val="auto"/>
        </w:rPr>
        <w:t>”) and Allinpay (“</w:t>
      </w:r>
      <w:r>
        <w:rPr>
          <w:rFonts w:ascii="Times New Roman" w:cs="Times New Roman" w:eastAsia="Times New Roman" w:hAnsi="Times New Roman"/>
          <w:sz w:val="10"/>
          <w:szCs w:val="10"/>
          <w:b w:val="1"/>
          <w:bCs w:val="1"/>
          <w:i w:val="1"/>
          <w:iCs w:val="1"/>
          <w:color w:val="auto"/>
        </w:rPr>
        <w:t>AP</w:t>
      </w:r>
      <w:r>
        <w:rPr>
          <w:rFonts w:ascii="Times New Roman" w:cs="Times New Roman" w:eastAsia="Times New Roman" w:hAnsi="Times New Roman"/>
          <w:sz w:val="10"/>
          <w:szCs w:val="10"/>
          <w:color w:val="auto"/>
        </w:rPr>
        <w:t>”) . Rezolve’s former subsidiary, Rezolve Information Technology (Shanghai) Limited (“</w:t>
      </w:r>
      <w:r>
        <w:rPr>
          <w:rFonts w:ascii="Times New Roman" w:cs="Times New Roman" w:eastAsia="Times New Roman" w:hAnsi="Times New Roman"/>
          <w:sz w:val="10"/>
          <w:szCs w:val="10"/>
          <w:b w:val="1"/>
          <w:bCs w:val="1"/>
          <w:i w:val="1"/>
          <w:iCs w:val="1"/>
          <w:color w:val="auto"/>
        </w:rPr>
        <w:t>Rezolve Shanghai</w:t>
      </w:r>
      <w:r>
        <w:rPr>
          <w:rFonts w:ascii="Times New Roman" w:cs="Times New Roman" w:eastAsia="Times New Roman" w:hAnsi="Times New Roman"/>
          <w:sz w:val="10"/>
          <w:szCs w:val="10"/>
          <w:color w:val="auto"/>
        </w:rPr>
        <w:t>”) is a Wholly owned Foreign Entity (“</w:t>
      </w:r>
      <w:r>
        <w:rPr>
          <w:rFonts w:ascii="Times New Roman" w:cs="Times New Roman" w:eastAsia="Times New Roman" w:hAnsi="Times New Roman"/>
          <w:sz w:val="10"/>
          <w:szCs w:val="10"/>
          <w:b w:val="1"/>
          <w:bCs w:val="1"/>
          <w:i w:val="1"/>
          <w:iCs w:val="1"/>
          <w:color w:val="auto"/>
        </w:rPr>
        <w:t>WoFE</w:t>
      </w:r>
      <w:r>
        <w:rPr>
          <w:rFonts w:ascii="Times New Roman" w:cs="Times New Roman" w:eastAsia="Times New Roman" w:hAnsi="Times New Roman"/>
          <w:sz w:val="10"/>
          <w:szCs w:val="10"/>
          <w:color w:val="auto"/>
        </w:rPr>
        <w:t>”), which limits its influence locally in China. A WoFE in China must generally contract with a local third-party company if it wants to do business with a state-owned enterprise (“</w:t>
      </w:r>
      <w:r>
        <w:rPr>
          <w:rFonts w:ascii="Times New Roman" w:cs="Times New Roman" w:eastAsia="Times New Roman" w:hAnsi="Times New Roman"/>
          <w:sz w:val="10"/>
          <w:szCs w:val="10"/>
          <w:b w:val="1"/>
          <w:bCs w:val="1"/>
          <w:i w:val="1"/>
          <w:iCs w:val="1"/>
          <w:color w:val="auto"/>
        </w:rPr>
        <w:t>SOE</w:t>
      </w:r>
      <w:r>
        <w:rPr>
          <w:rFonts w:ascii="Times New Roman" w:cs="Times New Roman" w:eastAsia="Times New Roman" w:hAnsi="Times New Roman"/>
          <w:sz w:val="10"/>
          <w:szCs w:val="10"/>
          <w:color w:val="auto"/>
        </w:rPr>
        <w:t>”), such as CUP. This requirement is part of the foreign investment restrictions and regulations in China that aim to protect local interests and limit foreign control over certain sectors of the economy.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0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9"/>
          <w:szCs w:val="9"/>
          <w:color w:val="auto"/>
        </w:rPr>
        <w:t>If in the future, a new Rezolve entity can be accredited to operate directly with CUP and AP, the board will consider re-entering the China market. However, the current focus is on rolling out our technologies with partners in other markets around the world.</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85" w:name="page86"/>
    <w:bookmarkEnd w:id="85"/>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We believe Rezolve’s Brain and our Instant Checkout (Act Now and Buy Now) offerings will operate in large global market opportunities. We believe Rezolve’s Brain can supplement existing retailer site search platforms and that AI enabled search platforms, like Rezolve’s Brain, will replace all existing retailer site search platforms. Act Now will operate in the Global Search Advertising market that is estimated to be $279 billion in 2023 according to the Statista Digital Market Outlook.</w:t>
      </w:r>
    </w:p>
    <w:p>
      <w:pPr>
        <w:spacing w:after="0" w:line="101"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As the global economy becomes more connected and transactions become increasingly digital, retail spend is expected to continue growing in the coming years. Buy Now participates in a $250 billion retail sales market (applying Rezolve’s 1.0% transaction fee to the $25 trillion in global retail sales in 2021). According to eMarketer’s 2021 Global Ecommerce Forecast, global retail sales are projected to grow at a 5% CAGR to $30 trillion by 2025.</w:t>
      </w:r>
    </w:p>
    <w:p>
      <w:pPr>
        <w:spacing w:after="0" w:line="101"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We believe that the market for our GeoZone offering can be measured as a proxy of global location based advertising, which is poised for rapid growth over the next few years as it is expected to become a widespread advertising practice. Global location based advertising spending was approximately $80.5 billion in 2022 and is expected to grow at a 13.3% CAGR to $219.4 billion in 2027 according to a Global Industry Analysts report.</w:t>
      </w:r>
    </w:p>
    <w:p>
      <w:pPr>
        <w:spacing w:after="0" w:line="101" w:lineRule="exact"/>
        <w:rPr>
          <w:sz w:val="20"/>
          <w:szCs w:val="20"/>
          <w:color w:val="auto"/>
        </w:rPr>
      </w:pPr>
    </w:p>
    <w:p>
      <w:pPr>
        <w:ind w:right="340" w:firstLine="480"/>
        <w:spacing w:after="0" w:line="310" w:lineRule="auto"/>
        <w:rPr>
          <w:sz w:val="20"/>
          <w:szCs w:val="20"/>
          <w:color w:val="auto"/>
        </w:rPr>
      </w:pPr>
      <w:r>
        <w:rPr>
          <w:rFonts w:ascii="Times New Roman" w:cs="Times New Roman" w:eastAsia="Times New Roman" w:hAnsi="Times New Roman"/>
          <w:sz w:val="9"/>
          <w:szCs w:val="9"/>
          <w:color w:val="auto"/>
        </w:rPr>
        <w:t>Location-based advertising allows organizations to target consumers at a granular, consumer level with online or offline messaging based on their physical location. Location -based marketing has become an important and high ROI method of customer engagement as smartphone user penetration rates increase globally. Using location data through smartphone geolocators, marketing teams are able to reach consumers based on qualifiers like proximity to a store, events happening in their region, and more.</w:t>
      </w:r>
    </w:p>
    <w:p>
      <w:pPr>
        <w:spacing w:after="0" w:line="78"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Location-based marketing has proven effective across customer lifecycles from discovery and purchase to engagement and retention. When used properly, location-based marketing allows marketers to focus on specific customer segments with targeted offers, while improving customer experience for a population that increasingly values instant gratification.</w:t>
      </w:r>
    </w:p>
    <w:p>
      <w:pPr>
        <w:spacing w:after="0" w:line="101" w:lineRule="exact"/>
        <w:rPr>
          <w:sz w:val="20"/>
          <w:szCs w:val="20"/>
          <w:color w:val="auto"/>
        </w:rPr>
      </w:pPr>
    </w:p>
    <w:p>
      <w:pPr>
        <w:jc w:val="both"/>
        <w:ind w:right="280" w:firstLine="480"/>
        <w:spacing w:after="0" w:line="310" w:lineRule="auto"/>
        <w:rPr>
          <w:sz w:val="20"/>
          <w:szCs w:val="20"/>
          <w:color w:val="auto"/>
        </w:rPr>
      </w:pPr>
      <w:r>
        <w:rPr>
          <w:rFonts w:ascii="Times New Roman" w:cs="Times New Roman" w:eastAsia="Times New Roman" w:hAnsi="Times New Roman"/>
          <w:sz w:val="9"/>
          <w:szCs w:val="9"/>
          <w:color w:val="auto"/>
        </w:rPr>
        <w:t>Search advertising, which is targeted marketing based on search terms, or keywords, entered on a search engine, allows advertisers to target consumers and tailor advertisements based on their search history and consumer profiles. Search advertising has expanded over the recent years as mobile search has started to outpace desktop searches in 2021 according to Statista’s Digital Market Outlook. Consumers continue to use search engines as a primary means of buying decisions and is a mainstay for most businesses.</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Key web search statistics: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•98% of consumers use the Internet to find a local business in 2022. (BrightLocal survey)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•76% of consumers “always” or “regularly” read online reviews for local businesses. (BrightLocal survey)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•29% of consumers search for local businesses at least every week. (BrightLocal survey)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Growth Strategy</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Key elements of our strategy include:</w:t>
      </w:r>
    </w:p>
    <w:p>
      <w:pPr>
        <w:spacing w:after="0" w:line="56"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Scaling Existing Channels.</w:t>
      </w:r>
      <w:r>
        <w:rPr>
          <w:rFonts w:ascii="Times New Roman" w:cs="Times New Roman" w:eastAsia="Times New Roman" w:hAnsi="Times New Roman"/>
          <w:sz w:val="10"/>
          <w:szCs w:val="10"/>
          <w:color w:val="auto"/>
        </w:rPr>
        <w:t xml:space="preserve"> We believe that we have a significant opportunity to work with our existing Channels to grow their customer base. We intend to continue to strategically invest in marketing and strategic relationships. Our existing Channels deliver an opportunity for growth in the near term within our existing geographies and current platform.</w:t>
      </w:r>
    </w:p>
    <w:p>
      <w:pPr>
        <w:spacing w:after="0" w:line="37" w:lineRule="exact"/>
        <w:rPr>
          <w:sz w:val="20"/>
          <w:szCs w:val="20"/>
          <w:color w:val="auto"/>
        </w:rPr>
      </w:pPr>
    </w:p>
    <w:p>
      <w:pPr>
        <w:ind w:left="480" w:right="16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Win New Channels</w:t>
      </w:r>
      <w:r>
        <w:rPr>
          <w:rFonts w:ascii="Times New Roman" w:cs="Times New Roman" w:eastAsia="Times New Roman" w:hAnsi="Times New Roman"/>
          <w:sz w:val="10"/>
          <w:szCs w:val="10"/>
          <w:color w:val="auto"/>
        </w:rPr>
        <w:t>. We see significant potential in opening up new distribution channels in other markets, such as Telcos and banks, who we believe will be able to replicate the success we are experiencing in our current markets. Opening new distribution channels will allow us to accelerate our growth.</w:t>
      </w:r>
    </w:p>
    <w:p>
      <w:pPr>
        <w:spacing w:after="0" w:line="37"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New Offering Features</w:t>
      </w:r>
      <w:r>
        <w:rPr>
          <w:rFonts w:ascii="Times New Roman" w:cs="Times New Roman" w:eastAsia="Times New Roman" w:hAnsi="Times New Roman"/>
          <w:sz w:val="10"/>
          <w:szCs w:val="10"/>
          <w:color w:val="auto"/>
        </w:rPr>
        <w:t>. We plan to add to and expand our platform with further functionality including live event notifications, dynamic coupons, more personalization and personal experiences as well as provided artificial intelligence layers to enable more convenient and segmented merchandizing.</w:t>
      </w:r>
    </w:p>
    <w:p>
      <w:pPr>
        <w:spacing w:after="0" w:line="37" w:lineRule="exact"/>
        <w:rPr>
          <w:sz w:val="20"/>
          <w:szCs w:val="20"/>
          <w:color w:val="auto"/>
        </w:rPr>
      </w:pPr>
    </w:p>
    <w:p>
      <w:pPr>
        <w:ind w:left="480" w:right="2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Upsell/Cross Sell</w:t>
      </w:r>
      <w:r>
        <w:rPr>
          <w:rFonts w:ascii="Times New Roman" w:cs="Times New Roman" w:eastAsia="Times New Roman" w:hAnsi="Times New Roman"/>
          <w:sz w:val="10"/>
          <w:szCs w:val="10"/>
          <w:color w:val="auto"/>
        </w:rPr>
        <w:t>. We expect to further penetrate our customer base. We intend to expand direct and indirect sales capabilities, drive dynamic customer segmentation capabilities, introduce analytics to improve customer insights and improve customer lifetime value. Combined with additional functionalities and offering capabilities, we expect to upsell and cross sell across our new merchants, increasing our revenues.</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Enter New Geographies</w:t>
      </w:r>
      <w:r>
        <w:rPr>
          <w:rFonts w:ascii="Times New Roman" w:cs="Times New Roman" w:eastAsia="Times New Roman" w:hAnsi="Times New Roman"/>
          <w:sz w:val="10"/>
          <w:szCs w:val="10"/>
          <w:color w:val="auto"/>
        </w:rPr>
        <w:t>. We intend to capitalize on our global growth momentum in India, the U.S., Latin America, East Asia, broader Europe, Australia, Canada and Brazil.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86" w:name="page87"/>
    <w:bookmarkEnd w:id="86"/>
    <w:p>
      <w:pPr>
        <w:ind w:left="480" w:right="8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Strategic Acquisitions</w:t>
      </w:r>
      <w:r>
        <w:rPr>
          <w:rFonts w:ascii="Times New Roman" w:cs="Times New Roman" w:eastAsia="Times New Roman" w:hAnsi="Times New Roman"/>
          <w:sz w:val="10"/>
          <w:szCs w:val="10"/>
          <w:color w:val="auto"/>
        </w:rPr>
        <w:t>. We intend to selectively pursue acquisitions that enhance our existing platform capabilities and are consistent with our overall growth strategy, although we currently have no agreements, commitments or understandings with respect to any such transaction. We may consider different-stage technology companies which can complement our global AI-enabled technology, customer and partner ecosystem, increase our customer base and market reach, enhance revenue, expand access to merchants and diversify our offerings and leverage synergies.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The Rezolve Platform</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cloud-based Rezolve AI platform integrates the features and functionalities that merchants need to seamlessly transact across different Channels. Capabilities include:</w:t>
      </w:r>
    </w:p>
    <w:p>
      <w:pPr>
        <w:spacing w:after="0" w:line="58" w:lineRule="exact"/>
        <w:rPr>
          <w:sz w:val="20"/>
          <w:szCs w:val="20"/>
          <w:color w:val="auto"/>
        </w:rPr>
      </w:pPr>
    </w:p>
    <w:p>
      <w:pPr>
        <w:ind w:left="480" w:right="20"/>
        <w:spacing w:after="0" w:line="27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9"/>
          <w:szCs w:val="9"/>
          <w:i w:val="1"/>
          <w:iCs w:val="1"/>
          <w:color w:val="auto"/>
        </w:rPr>
        <w:t>Ecommerce Chat and Search.</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9"/>
          <w:szCs w:val="9"/>
          <w:color w:val="auto"/>
        </w:rPr>
        <w:t>Rezolve’s Brain allows customers, either online or instore, to ask, via voice or text and in any language, any question of a merchant’s product catalogue and customer support knowledge base using conversational prompts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9"/>
          <w:szCs w:val="9"/>
          <w:color w:val="auto"/>
        </w:rPr>
        <w:t>immediately be recommended the most appropriate products and answers. They will also be able to see product comparisons, reviews, and pricing information all in one place. Our UI and frontend is fully responsive with a multi -tenant configuration that can be embedded and easily setup via the Rezolve Experience Portal (RXP) in merchant store sites with RESTful endpoints, and connection to most popular eCommerce platforms out of the box (e.g. Shopify ,WooCommerce, Magento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2208530</wp:posOffset>
            </wp:positionH>
            <wp:positionV relativeFrom="paragraph">
              <wp:posOffset>78105</wp:posOffset>
            </wp:positionV>
            <wp:extent cx="2776855" cy="10052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76855" cy="1005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0" w:right="12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Customer Loyalty Programs.</w:t>
      </w:r>
      <w:r>
        <w:rPr>
          <w:rFonts w:ascii="Times New Roman" w:cs="Times New Roman" w:eastAsia="Times New Roman" w:hAnsi="Times New Roman"/>
          <w:sz w:val="10"/>
          <w:szCs w:val="10"/>
          <w:color w:val="auto"/>
        </w:rPr>
        <w:t xml:space="preserve"> We expect to bring together merchants and consumers with the goal of empowering merchants to engage directly with their customers and not solely through third-party intermediaries. By enabling direct consumer engagement, merchants are able to build customer loyalty and can launch campaigns or targeted offers through the Rezolve platform with a higher level of engagement and relevancy.</w:t>
      </w:r>
    </w:p>
    <w:p>
      <w:pPr>
        <w:spacing w:after="0" w:line="37"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Direct Customer Insights</w:t>
      </w:r>
      <w:r>
        <w:rPr>
          <w:rFonts w:ascii="Times New Roman" w:cs="Times New Roman" w:eastAsia="Times New Roman" w:hAnsi="Times New Roman"/>
          <w:sz w:val="10"/>
          <w:szCs w:val="10"/>
          <w:color w:val="auto"/>
        </w:rPr>
        <w:t>. We expect our platform to provide merchants with direct access to their customers and their key information about shopping preferences, which they can use to drive further consumer engagement. For brands that typically sell their products through third-party intermediaries, these insights are useful for building brand affinity and loyalty.</w:t>
      </w:r>
    </w:p>
    <w:p>
      <w:pPr>
        <w:spacing w:after="0" w:line="37" w:lineRule="exact"/>
        <w:rPr>
          <w:sz w:val="20"/>
          <w:szCs w:val="20"/>
          <w:color w:val="auto"/>
        </w:rPr>
      </w:pPr>
    </w:p>
    <w:p>
      <w:pPr>
        <w:ind w:left="48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Mobile Vouchering</w:t>
      </w:r>
      <w:r>
        <w:rPr>
          <w:rFonts w:ascii="Times New Roman" w:cs="Times New Roman" w:eastAsia="Times New Roman" w:hAnsi="Times New Roman"/>
          <w:sz w:val="10"/>
          <w:szCs w:val="10"/>
          <w:color w:val="auto"/>
        </w:rPr>
        <w:t>. We expect to enable merchants to be more flexible in their offerings to consumers. With the Rezolve platform integrated into merchants’ apps, consumers are able to scan products and buy them through the app, eliminating the need to wait online in retail stores.</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Retailer Point-of-Sale / Back office.</w:t>
      </w:r>
      <w:r>
        <w:rPr>
          <w:rFonts w:ascii="Times New Roman" w:cs="Times New Roman" w:eastAsia="Times New Roman" w:hAnsi="Times New Roman"/>
          <w:sz w:val="10"/>
          <w:szCs w:val="10"/>
          <w:color w:val="auto"/>
        </w:rPr>
        <w:t xml:space="preserve"> We expect to provide merchants with a self-service portal, featuring an accessible dashboard to manage shoppable campaigns and to track consumers’ shopping trends.</w:t>
      </w:r>
    </w:p>
    <w:p>
      <w:pPr>
        <w:spacing w:after="0" w:line="58" w:lineRule="exact"/>
        <w:rPr>
          <w:sz w:val="20"/>
          <w:szCs w:val="20"/>
          <w:color w:val="auto"/>
        </w:rPr>
      </w:pPr>
    </w:p>
    <w:p>
      <w:pPr>
        <w:ind w:left="480" w:right="32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Mobile Payments.</w:t>
      </w:r>
      <w:r>
        <w:rPr>
          <w:rFonts w:ascii="Times New Roman" w:cs="Times New Roman" w:eastAsia="Times New Roman" w:hAnsi="Times New Roman"/>
          <w:sz w:val="10"/>
          <w:szCs w:val="10"/>
          <w:color w:val="auto"/>
        </w:rPr>
        <w:t xml:space="preserve"> We expect to enhance merchants’ platforms by making the checkout process frictionless. Consumers only need a mobile device to use the Rezolve platform to instantly buy products that are featured in advertisements or scan and buy products in retail stores.</w:t>
      </w:r>
    </w:p>
    <w:p>
      <w:pPr>
        <w:spacing w:after="0" w:line="37" w:lineRule="exact"/>
        <w:rPr>
          <w:sz w:val="20"/>
          <w:szCs w:val="20"/>
          <w:color w:val="auto"/>
        </w:rPr>
      </w:pPr>
    </w:p>
    <w:p>
      <w:pPr>
        <w:ind w:left="480" w:right="24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Ability to Pay Online or Offline.</w:t>
      </w:r>
      <w:r>
        <w:rPr>
          <w:rFonts w:ascii="Times New Roman" w:cs="Times New Roman" w:eastAsia="Times New Roman" w:hAnsi="Times New Roman"/>
          <w:sz w:val="10"/>
          <w:szCs w:val="10"/>
          <w:color w:val="auto"/>
        </w:rPr>
        <w:t xml:space="preserve"> We expect to offer instant salesware through one-click checkouts that enable seamless transactions through the app. Consumers are able to find offers nearby and browse through products both online and offline. For local offers, consumers can simply go into the brick-and-mortar stores or can order through an app.</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3" w:right="62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0"/>
          <w:szCs w:val="10"/>
          <w:b w:val="1"/>
          <w:bCs w:val="1"/>
          <w:i w:val="1"/>
          <w:iCs w:val="1"/>
          <w:color w:val="auto"/>
        </w:rPr>
        <w:t>Engagement Opportunities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expect our platform to integrate with and address the following engagement opportunities:</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Chat and Search</w:t>
      </w:r>
      <w:r>
        <w:rPr>
          <w:rFonts w:ascii="Times New Roman" w:cs="Times New Roman" w:eastAsia="Times New Roman" w:hAnsi="Times New Roman"/>
          <w:sz w:val="10"/>
          <w:szCs w:val="10"/>
          <w:color w:val="auto"/>
        </w:rPr>
        <w:t>. Merchants can interact naturally with customers via Rezolve Brain.</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GeoZones.</w:t>
      </w:r>
      <w:r>
        <w:rPr>
          <w:rFonts w:ascii="Times New Roman" w:cs="Times New Roman" w:eastAsia="Times New Roman" w:hAnsi="Times New Roman"/>
          <w:sz w:val="10"/>
          <w:szCs w:val="10"/>
          <w:color w:val="auto"/>
        </w:rPr>
        <w:t xml:space="preserve"> Merchants can interact with consumers based on proximity to certain locations.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Media with Audio.</w:t>
      </w:r>
      <w:r>
        <w:rPr>
          <w:rFonts w:ascii="Times New Roman" w:cs="Times New Roman" w:eastAsia="Times New Roman" w:hAnsi="Times New Roman"/>
          <w:sz w:val="10"/>
          <w:szCs w:val="10"/>
          <w:color w:val="auto"/>
        </w:rPr>
        <w:t xml:space="preserve"> Merchants can integrate watermarks in broadcast and streaming media.</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Visual Events.</w:t>
      </w:r>
      <w:r>
        <w:rPr>
          <w:rFonts w:ascii="Times New Roman" w:cs="Times New Roman" w:eastAsia="Times New Roman" w:hAnsi="Times New Roman"/>
          <w:sz w:val="10"/>
          <w:szCs w:val="10"/>
          <w:color w:val="auto"/>
        </w:rPr>
        <w:t xml:space="preserve"> Merchants can integrate watermarks in posters, advertising, product labels and merchandise.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Beacons</w:t>
      </w:r>
      <w:r>
        <w:rPr>
          <w:rFonts w:ascii="Times New Roman" w:cs="Times New Roman" w:eastAsia="Times New Roman" w:hAnsi="Times New Roman"/>
          <w:sz w:val="10"/>
          <w:szCs w:val="10"/>
          <w:color w:val="auto"/>
        </w:rPr>
        <w:t>. Merchants can establish near-proximity beacons which allow near-field proximity engagements (3 inches to 36 inches plus) in both indoor and outdoor locations.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SmartLinks.</w:t>
      </w:r>
      <w:r>
        <w:rPr>
          <w:rFonts w:ascii="Times New Roman" w:cs="Times New Roman" w:eastAsia="Times New Roman" w:hAnsi="Times New Roman"/>
          <w:sz w:val="10"/>
          <w:szCs w:val="10"/>
          <w:color w:val="auto"/>
        </w:rPr>
        <w:t xml:space="preserve"> Merchants can embed URL links into social media posts and email communications (amongst others) which trigger Instant Checkout and Instant Act engagements.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SmartCodes.</w:t>
      </w:r>
      <w:r>
        <w:rPr>
          <w:rFonts w:ascii="Times New Roman" w:cs="Times New Roman" w:eastAsia="Times New Roman" w:hAnsi="Times New Roman"/>
          <w:sz w:val="10"/>
          <w:szCs w:val="10"/>
          <w:color w:val="auto"/>
        </w:rPr>
        <w:t xml:space="preserve"> Merchants can establish QR codes integrated with their media with a richer engagement experience for the consumer.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Instant Checkout.</w:t>
      </w:r>
      <w:r>
        <w:rPr>
          <w:rFonts w:ascii="Times New Roman" w:cs="Times New Roman" w:eastAsia="Times New Roman" w:hAnsi="Times New Roman"/>
          <w:sz w:val="10"/>
          <w:szCs w:val="10"/>
          <w:color w:val="auto"/>
        </w:rPr>
        <w:t xml:space="preserve"> Merchants can embed Buy Now and Act Now buttons on their websites and advertisements for instant engagement and conversion.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Transaction Events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Using the Rezolve dashboard, we expect that merchants can link a trigger from one of the above Channel opportunities with the following types of events or actions as examples of use cases:</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Fast Checkout:</w:t>
      </w:r>
      <w:r>
        <w:rPr>
          <w:rFonts w:ascii="Times New Roman" w:cs="Times New Roman" w:eastAsia="Times New Roman" w:hAnsi="Times New Roman"/>
          <w:sz w:val="10"/>
          <w:szCs w:val="10"/>
          <w:color w:val="auto"/>
        </w:rPr>
        <w:t xml:space="preserve"> Consumers can scan products, bag and exit the store without waiting in line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Expanding Walls:</w:t>
      </w:r>
      <w:r>
        <w:rPr>
          <w:rFonts w:ascii="Times New Roman" w:cs="Times New Roman" w:eastAsia="Times New Roman" w:hAnsi="Times New Roman"/>
          <w:sz w:val="10"/>
          <w:szCs w:val="10"/>
          <w:color w:val="auto"/>
        </w:rPr>
        <w:t xml:space="preserve"> Consumers can view a broader selection of products than available in a store (e.g., furniture and clothing) that can be sold from a display wall</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Stay at Table or Reserve:</w:t>
      </w:r>
      <w:r>
        <w:rPr>
          <w:rFonts w:ascii="Times New Roman" w:cs="Times New Roman" w:eastAsia="Times New Roman" w:hAnsi="Times New Roman"/>
          <w:sz w:val="10"/>
          <w:szCs w:val="10"/>
          <w:color w:val="auto"/>
        </w:rPr>
        <w:t xml:space="preserve"> Consumers can scan advertisement or menu, order items, pay and either pick up at counter or have delivered to table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Buy and Fly:</w:t>
      </w:r>
      <w:r>
        <w:rPr>
          <w:rFonts w:ascii="Times New Roman" w:cs="Times New Roman" w:eastAsia="Times New Roman" w:hAnsi="Times New Roman"/>
          <w:sz w:val="10"/>
          <w:szCs w:val="10"/>
          <w:color w:val="auto"/>
        </w:rPr>
        <w:t xml:space="preserve"> Consumers can pick up items, scan, buy, bag, leave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e-Ticketing and Access Control:</w:t>
      </w:r>
      <w:r>
        <w:rPr>
          <w:rFonts w:ascii="Times New Roman" w:cs="Times New Roman" w:eastAsia="Times New Roman" w:hAnsi="Times New Roman"/>
          <w:sz w:val="10"/>
          <w:szCs w:val="10"/>
          <w:color w:val="auto"/>
        </w:rPr>
        <w:t xml:space="preserve"> Tickets are electronically delivered to their handset to enable secure and streamlined access control</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Pre-Order Queue-Busting:</w:t>
      </w:r>
      <w:r>
        <w:rPr>
          <w:rFonts w:ascii="Times New Roman" w:cs="Times New Roman" w:eastAsia="Times New Roman" w:hAnsi="Times New Roman"/>
          <w:sz w:val="10"/>
          <w:szCs w:val="10"/>
          <w:color w:val="auto"/>
        </w:rPr>
        <w:t xml:space="preserve"> Enable supporters to pre-order food, beverage and merchandise from their seat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Location sensitive:</w:t>
      </w:r>
      <w:r>
        <w:rPr>
          <w:rFonts w:ascii="Times New Roman" w:cs="Times New Roman" w:eastAsia="Times New Roman" w:hAnsi="Times New Roman"/>
          <w:sz w:val="10"/>
          <w:szCs w:val="10"/>
          <w:color w:val="auto"/>
        </w:rPr>
        <w:t xml:space="preserve"> Offers and promotions nearby, navigate to the location</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Instant engagement:</w:t>
      </w:r>
      <w:r>
        <w:rPr>
          <w:rFonts w:ascii="Times New Roman" w:cs="Times New Roman" w:eastAsia="Times New Roman" w:hAnsi="Times New Roman"/>
          <w:sz w:val="10"/>
          <w:szCs w:val="10"/>
          <w:color w:val="auto"/>
        </w:rPr>
        <w:t xml:space="preserve"> Buy or get more information directly from any form of advertising or directly from posters in shop windows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Technology</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Rezolve platform is a multi-tenant cloud-based system that is engineered for high scalability, reliability and performance.</w:t>
      </w:r>
    </w:p>
    <w:p>
      <w:pPr>
        <w:spacing w:after="0" w:line="118"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We host our platform using cloud-based servers. Maintaining the integrity and security of our technology infrastructure is critical to our business, and we plan to invest further in our data center and network infrastructure to meet our merchants’ needs and maintain their trust. The key attributes of our platform are as follows:</w:t>
      </w:r>
    </w:p>
    <w:p>
      <w:pPr>
        <w:spacing w:after="0" w:line="39" w:lineRule="exact"/>
        <w:rPr>
          <w:sz w:val="20"/>
          <w:szCs w:val="20"/>
          <w:color w:val="auto"/>
        </w:rPr>
      </w:pPr>
    </w:p>
    <w:p>
      <w:pPr>
        <w:ind w:left="480"/>
        <w:spacing w:after="0" w:line="241"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Artificial Intelligence.</w:t>
      </w:r>
      <w:r>
        <w:rPr>
          <w:rFonts w:ascii="Times New Roman" w:cs="Times New Roman" w:eastAsia="Times New Roman" w:hAnsi="Times New Roman"/>
          <w:sz w:val="10"/>
          <w:szCs w:val="10"/>
          <w:color w:val="auto"/>
        </w:rPr>
        <w:t xml:space="preserve"> Our Large Language Model (“</w:t>
      </w:r>
      <w:r>
        <w:rPr>
          <w:rFonts w:ascii="Times New Roman" w:cs="Times New Roman" w:eastAsia="Times New Roman" w:hAnsi="Times New Roman"/>
          <w:sz w:val="10"/>
          <w:szCs w:val="10"/>
          <w:b w:val="1"/>
          <w:bCs w:val="1"/>
          <w:i w:val="1"/>
          <w:iCs w:val="1"/>
          <w:color w:val="auto"/>
        </w:rPr>
        <w:t>LLM</w:t>
      </w:r>
      <w:r>
        <w:rPr>
          <w:rFonts w:ascii="Times New Roman" w:cs="Times New Roman" w:eastAsia="Times New Roman" w:hAnsi="Times New Roman"/>
          <w:sz w:val="10"/>
          <w:szCs w:val="10"/>
          <w:color w:val="auto"/>
        </w:rPr>
        <w:t>”) uses proprietary AI to interrogate presales, sales and post-sales content as well as transactional and customer data to build one of the world’s first dedicated eCommerce and Sales LLMs. This allows Rezolve’s Brain to offer smart product discovery, recommendations, bundled offers, personalized offers and more, based on a targeted set of 30-billion parameters, and to optimize resource allocation by focusing on the most relevant data for product recommendations. Rezolve’s Brain is able to recognize and handle the differences between product data from store to store, and then standardize the product specifications to guarantee high-quality data. By building a domain specific, leaner, cost-effective custom LLM, we believe Rezolve has achieved superior performance to existing language models while significantly reducing the financial burden associated with training and deploying language models. By creating our own language model specifically trained on eCommerce data and industry-specific terminology, we have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88" w:name="page89"/>
    <w:bookmarkEnd w:id="88"/>
    <w:p>
      <w:pPr>
        <w:ind w:right="140"/>
        <w:spacing w:after="0" w:line="310" w:lineRule="auto"/>
        <w:rPr>
          <w:sz w:val="20"/>
          <w:szCs w:val="20"/>
          <w:color w:val="auto"/>
        </w:rPr>
      </w:pPr>
      <w:r>
        <w:rPr>
          <w:rFonts w:ascii="Times New Roman" w:cs="Times New Roman" w:eastAsia="Times New Roman" w:hAnsi="Times New Roman"/>
          <w:sz w:val="9"/>
          <w:szCs w:val="9"/>
          <w:color w:val="auto"/>
        </w:rPr>
        <w:t>gained high control over the behavior and functionality of our conversational AI. We are constantly fine-tuning the model to provide accurate and relevant responses to customer inquiries, ensuring compliance with financial regulations and maintaining the desired tone and style. Furthermore, Rezolve’s AI-powered personalized recommendations enhance customer experiences by leveraging advanced algorithms to deliver tailored product suggestions based on individual preferences and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1865630</wp:posOffset>
            </wp:positionH>
            <wp:positionV relativeFrom="paragraph">
              <wp:posOffset>67945</wp:posOffset>
            </wp:positionV>
            <wp:extent cx="2400300" cy="14147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40030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Security.</w:t>
      </w:r>
      <w:r>
        <w:rPr>
          <w:rFonts w:ascii="Times New Roman" w:cs="Times New Roman" w:eastAsia="Times New Roman" w:hAnsi="Times New Roman"/>
          <w:sz w:val="10"/>
          <w:szCs w:val="10"/>
          <w:color w:val="auto"/>
        </w:rPr>
        <w:t xml:space="preserve"> Our proprietary AI-Platform keeps both merchant and customer confidential and PII data secure and is regulated by the strict GDPR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Encryption.</w:t>
      </w:r>
      <w:r>
        <w:rPr>
          <w:rFonts w:ascii="Times New Roman" w:cs="Times New Roman" w:eastAsia="Times New Roman" w:hAnsi="Times New Roman"/>
          <w:sz w:val="10"/>
          <w:szCs w:val="10"/>
          <w:color w:val="auto"/>
        </w:rPr>
        <w:t xml:space="preserve"> All data is encrypted at rest (AES-256) and in transit.</w:t>
      </w:r>
    </w:p>
    <w:p>
      <w:pPr>
        <w:spacing w:after="0" w:line="58"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Data usage.</w:t>
      </w:r>
      <w:r>
        <w:rPr>
          <w:rFonts w:ascii="Times New Roman" w:cs="Times New Roman" w:eastAsia="Times New Roman" w:hAnsi="Times New Roman"/>
          <w:sz w:val="10"/>
          <w:szCs w:val="10"/>
          <w:color w:val="auto"/>
        </w:rPr>
        <w:t xml:space="preserve"> All uploaded content such as support documentation, manuals, knowledge base and product catalogue is stored in isolated containers and processed by our ingestor and embedding services only. Customer data is never used for any reason other than servicing API Calls for search and query. Credit card processing on our platform is performed by a dedicated, highly scalable, geographically redundant, high security environment with specialized policies and procedures in place. The environment is designed to be highly isolated and secure and exceeds the requirements of PCI DSS. We have been certified as a PCI DSS Level 1 compliant service provider, which is the highest level of compliance available. We use firewalls, denial of service mitigation appliances, advanced encryption, intrusion detection systems, two-factor authentication and other technology to keep our merchants’ data secure.</w:t>
      </w:r>
    </w:p>
    <w:p>
      <w:pPr>
        <w:spacing w:after="0" w:line="44"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Anti-counterfeiting Solution</w:t>
      </w:r>
      <w:r>
        <w:rPr>
          <w:rFonts w:ascii="Times New Roman" w:cs="Times New Roman" w:eastAsia="Times New Roman" w:hAnsi="Times New Roman"/>
          <w:sz w:val="10"/>
          <w:szCs w:val="10"/>
          <w:color w:val="auto"/>
        </w:rPr>
        <w:t>. Rezolve’s watermarking solution is based on our proprietary machinelearning technology that hides encoded images, invisible to the naked eye, onto a merchant’s products. Those images can be viewed from a phone camera to verify the authenticity of the product. This solution can be applied to color rich images, graphical images and text. The versatility of Rezolve’s solution is in its ability to watermark printed content on different surfaces like leather, plastic and wood. These watermarks further protect a merchants’ products by including encoded messages that enhance tracking and traceability.</w:t>
      </w:r>
    </w:p>
    <w:p>
      <w:pPr>
        <w:spacing w:after="0" w:line="4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Scalability.</w:t>
      </w:r>
      <w:r>
        <w:rPr>
          <w:rFonts w:ascii="Times New Roman" w:cs="Times New Roman" w:eastAsia="Times New Roman" w:hAnsi="Times New Roman"/>
          <w:sz w:val="10"/>
          <w:szCs w:val="10"/>
          <w:color w:val="auto"/>
        </w:rPr>
        <w:t xml:space="preserve"> Our platform Core services are built on Open Telecom Platform technology Erlang which allows us to create highly distributed microservices to easily and quickly scale end user activity and transactions. Rezolve’s CORE gateway can spawn a massive number of processes with little overhead on demand which makes it highly scalable and reliable.</w:t>
      </w:r>
    </w:p>
    <w:p>
      <w:pPr>
        <w:spacing w:after="0" w:line="3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Resilience.</w:t>
      </w:r>
      <w:r>
        <w:rPr>
          <w:rFonts w:ascii="Times New Roman" w:cs="Times New Roman" w:eastAsia="Times New Roman" w:hAnsi="Times New Roman"/>
          <w:sz w:val="10"/>
          <w:szCs w:val="10"/>
          <w:color w:val="auto"/>
        </w:rPr>
        <w:t xml:space="preserve"> Our platform applications and system architectures are designed to support High Availability and Redundancy across all services and network layers. The use of CI/CD pipelines to automate build and deployment of services, Kubernetes cluster with high availability of nodes, Regions and Zones at the Cloud Provider level and clusters spanning multiple zones, cloud storage synchronized between regions, load balancing between regions creates a safety net of high resilience.</w:t>
      </w:r>
    </w:p>
    <w:p>
      <w:pPr>
        <w:spacing w:after="0" w:line="3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Embedded Connectivity.</w:t>
      </w:r>
      <w:r>
        <w:rPr>
          <w:rFonts w:ascii="Times New Roman" w:cs="Times New Roman" w:eastAsia="Times New Roman" w:hAnsi="Times New Roman"/>
          <w:sz w:val="10"/>
          <w:szCs w:val="10"/>
          <w:color w:val="auto"/>
        </w:rPr>
        <w:t xml:space="preserve"> Rezolve’s mobile SDK provides a quick and easy solution to embed and enable Rezolve platform functionality in any Android and iOS app. The accompanying SDK sample app and documents allow third-party developers to quickly leverage the power of our solution.</w:t>
      </w:r>
    </w:p>
    <w:p>
      <w:pPr>
        <w:spacing w:after="0" w:line="9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0"/>
          <w:szCs w:val="1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256540</wp:posOffset>
            </wp:positionV>
            <wp:extent cx="6778625" cy="349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080"/>
          </w:cols>
          <w:pgMar w:left="1120" w:top="1095" w:right="700" w:bottom="1440" w:gutter="0" w:footer="0" w:header="0"/>
        </w:sectPr>
      </w:pPr>
    </w:p>
    <w:bookmarkStart w:id="89" w:name="page90"/>
    <w:bookmarkEnd w:id="89"/>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Central Management.</w:t>
      </w:r>
      <w:r>
        <w:rPr>
          <w:rFonts w:ascii="Times New Roman" w:cs="Times New Roman" w:eastAsia="Times New Roman" w:hAnsi="Times New Roman"/>
          <w:sz w:val="10"/>
          <w:szCs w:val="10"/>
          <w:color w:val="auto"/>
        </w:rPr>
        <w:t xml:space="preserve"> Rezolve maintains a central management and configuration tool that allows it to quickly setup partners, merchants, payments, apps and index content from its merchants so it’s available via the SDK.</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Analytics &amp; Reporting.</w:t>
      </w:r>
      <w:r>
        <w:rPr>
          <w:rFonts w:ascii="Times New Roman" w:cs="Times New Roman" w:eastAsia="Times New Roman" w:hAnsi="Times New Roman"/>
          <w:sz w:val="10"/>
          <w:szCs w:val="10"/>
          <w:color w:val="auto"/>
        </w:rPr>
        <w:t xml:space="preserve"> Rezolve SDK and Backend Data Ingestor Service gathers metrics on usage, transactions, interactions and feeds it to the Analytics Engine to churn out smart Dashboards and Reports.</w:t>
      </w:r>
    </w:p>
    <w:p>
      <w:pPr>
        <w:spacing w:after="0" w:line="58" w:lineRule="exact"/>
        <w:rPr>
          <w:sz w:val="20"/>
          <w:szCs w:val="20"/>
          <w:color w:val="auto"/>
        </w:rPr>
      </w:pPr>
    </w:p>
    <w:p>
      <w:pPr>
        <w:ind w:left="48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Snap-on Integrations.</w:t>
      </w:r>
      <w:r>
        <w:rPr>
          <w:rFonts w:ascii="Times New Roman" w:cs="Times New Roman" w:eastAsia="Times New Roman" w:hAnsi="Times New Roman"/>
          <w:sz w:val="10"/>
          <w:szCs w:val="10"/>
          <w:color w:val="auto"/>
        </w:rPr>
        <w:t xml:space="preserve"> Rezolve’s Platform supports a snap-on integration design that allows integrations to any payment provider or gateway as well as eCommerce platforms with minimum effort. Rezolve already supports a large number of payment providers and ramping up support for e-commerce platforms via its unique plugin architecture and webhooks.</w:t>
      </w:r>
    </w:p>
    <w:p>
      <w:pPr>
        <w:spacing w:after="0" w:line="37" w:lineRule="exact"/>
        <w:rPr>
          <w:sz w:val="20"/>
          <w:szCs w:val="20"/>
          <w:color w:val="auto"/>
        </w:rPr>
      </w:pPr>
    </w:p>
    <w:p>
      <w:pPr>
        <w:ind w:left="480" w:right="24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Mass Onboarding.</w:t>
      </w:r>
      <w:r>
        <w:rPr>
          <w:rFonts w:ascii="Times New Roman" w:cs="Times New Roman" w:eastAsia="Times New Roman" w:hAnsi="Times New Roman"/>
          <w:sz w:val="10"/>
          <w:szCs w:val="10"/>
          <w:color w:val="auto"/>
        </w:rPr>
        <w:t xml:space="preserve"> Bulk Onboarding of Merchants is a new and unique offering of our platform that allows us to set up and configure more than 10,000 merchants. Admin portal provides an easy to operate tool for operations teams to quickly add a large merchant base in any market on demand.</w:t>
      </w:r>
    </w:p>
    <w:p>
      <w:pPr>
        <w:spacing w:after="0" w:line="37"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Smart Triggers.</w:t>
      </w:r>
      <w:r>
        <w:rPr>
          <w:rFonts w:ascii="Times New Roman" w:cs="Times New Roman" w:eastAsia="Times New Roman" w:hAnsi="Times New Roman"/>
          <w:sz w:val="10"/>
          <w:szCs w:val="10"/>
          <w:color w:val="auto"/>
        </w:rPr>
        <w:t xml:space="preserve"> Rezolve’s implementation of GeoZones, Beacons and Watermarking are important elements of its platform. The creation of these triggers via Rezolve’s Experience Platform when combined with its SDK delivers a powerful tool to Merchants to deliver non spamming targeted engagements.</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Developer Friendly.</w:t>
      </w:r>
      <w:r>
        <w:rPr>
          <w:rFonts w:ascii="Times New Roman" w:cs="Times New Roman" w:eastAsia="Times New Roman" w:hAnsi="Times New Roman"/>
          <w:sz w:val="10"/>
          <w:szCs w:val="10"/>
          <w:color w:val="auto"/>
        </w:rPr>
        <w:t xml:space="preserve"> Rezolve’s REST API provides another integration point for any partner or client not using native mobile apps. We can easily support progressive web applications, hybrid applications, web-based services and other applications.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Our Channels</w:t>
      </w:r>
    </w:p>
    <w:p>
      <w:pPr>
        <w:spacing w:after="0" w:line="60" w:lineRule="exact"/>
        <w:rPr>
          <w:sz w:val="20"/>
          <w:szCs w:val="20"/>
          <w:color w:val="auto"/>
        </w:rPr>
      </w:pPr>
    </w:p>
    <w:p>
      <w:pPr>
        <w:ind w:right="20" w:firstLine="480"/>
        <w:spacing w:after="0" w:line="273" w:lineRule="auto"/>
        <w:rPr>
          <w:sz w:val="20"/>
          <w:szCs w:val="20"/>
          <w:color w:val="auto"/>
        </w:rPr>
      </w:pPr>
      <w:r>
        <w:rPr>
          <w:rFonts w:ascii="Times New Roman" w:cs="Times New Roman" w:eastAsia="Times New Roman" w:hAnsi="Times New Roman"/>
          <w:sz w:val="9"/>
          <w:szCs w:val="9"/>
          <w:color w:val="auto"/>
        </w:rPr>
        <w:t>We have preliminarily established relationships with Channels such as Grupo Carso (Latin America), ACI Worldwide (U.S. and Europe), Concardis (Germany), CompuTop (Germany) and MobiKwik (India), among others, although these Channels are currently pre-revenue. Our Channels are either categorized as merchant acquirors or consumer acquirors or sometimes they represent both. Merchant acquirors typically have large merchant-based customers and upsell/cross sell Rezolve to those customers with Rezolve’s support. Merchant acquirors include (but are not limited to) payment gateways, banks, telecommunications companies, eCommerce or point-of-sale providers, and media entities (such as broadcasters, social media firms and publishers). The type of partnership entered into with these firms determines the level of revenue share, for example, referral, reseller or white label reseller. Larger merchants can have their own mobile app strategy, and, in these cases, our merchant acquiror Channels promote the use of Rezolve technology embedded into their apps directly (using Rezolve’s SDK and mobile application libraries). All merchants are encouraged to use our Rezolve Experience Platform to create engagements with their end-customers, whether it is labelled with the brand of the Channel or our brand.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Competition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market is transforming, competitive and highly fragmented, and we expect competition to increase in the future. We believe the principal competitive factors in our market are: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•proprietary actionable AI-engineered products and solutions focused on commerce;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•simplicity and ease of use;;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•integration of multiple Channels;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•breadth and depth of functionality;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•pace of innovation;</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•ability to scale;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•security and reliability;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•support for brand development;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•brand recognition and reputation.</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With respect to each of these factors, we believe that we provide a number of favorable offerings.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3" w:right="640" w:bottom="1440" w:gutter="0" w:footer="0" w:header="0"/>
        </w:sectPr>
      </w:pPr>
    </w:p>
    <w:bookmarkStart w:id="90" w:name="page91"/>
    <w:bookmarkEnd w:id="90"/>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We believe no individual competitor or AI or LLM company offers an integrated, cloud-based commerce platform with comparable functionality to our eCommerce-specific AI platform with its fully conversational discovery experience and connects the upper and lower funnel journeys for an end- to-end user experience that is seamless and frictionless. However, certain competitors such as Shopify or BigCommerce or individual merchants with access to large numbers of consumers, may elect to piece together technology from other companies, including AI-driven search and relevance platforms or digital assistants such as Cohere or Zoovu, that overlaps with certain functions and features that we provide.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Partner Agreements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Adobe</w:t>
      </w:r>
    </w:p>
    <w:p>
      <w:pPr>
        <w:spacing w:after="0" w:line="58" w:lineRule="exact"/>
        <w:rPr>
          <w:sz w:val="20"/>
          <w:szCs w:val="20"/>
          <w:color w:val="auto"/>
        </w:rPr>
      </w:pPr>
    </w:p>
    <w:p>
      <w:pPr>
        <w:jc w:val="both"/>
        <w:ind w:right="80" w:firstLine="480"/>
        <w:spacing w:after="0" w:line="247" w:lineRule="auto"/>
        <w:rPr>
          <w:sz w:val="20"/>
          <w:szCs w:val="20"/>
          <w:color w:val="auto"/>
        </w:rPr>
      </w:pPr>
      <w:r>
        <w:rPr>
          <w:rFonts w:ascii="Times New Roman" w:cs="Times New Roman" w:eastAsia="Times New Roman" w:hAnsi="Times New Roman"/>
          <w:sz w:val="10"/>
          <w:szCs w:val="10"/>
          <w:color w:val="auto"/>
        </w:rPr>
        <w:t>On March 19, 2024, Rezolve entered into an agreement with Adobe, Inc. (“</w:t>
      </w:r>
      <w:r>
        <w:rPr>
          <w:rFonts w:ascii="Times New Roman" w:cs="Times New Roman" w:eastAsia="Times New Roman" w:hAnsi="Times New Roman"/>
          <w:sz w:val="10"/>
          <w:szCs w:val="10"/>
          <w:b w:val="1"/>
          <w:bCs w:val="1"/>
          <w:i w:val="1"/>
          <w:iCs w:val="1"/>
          <w:color w:val="auto"/>
        </w:rPr>
        <w:t>Adobe</w:t>
      </w:r>
      <w:r>
        <w:rPr>
          <w:rFonts w:ascii="Times New Roman" w:cs="Times New Roman" w:eastAsia="Times New Roman" w:hAnsi="Times New Roman"/>
          <w:sz w:val="10"/>
          <w:szCs w:val="10"/>
          <w:color w:val="auto"/>
        </w:rPr>
        <w:t>”), pursuant to which, among other things, Rezolve granted Adobe a worldwide, non-exclusive, royalty free, license to copy, display, perform and transmit Rezolve’s marks and logos in exchange for Adobe granting Rezolze a limited, non-transferable, non-exclusive, license, to integrate its AI-driven customer interaction tools into Adobe’s Magento eCommerce platform. Under the agreement, revenue will be generated through subscription fees paid by merchants who adopt Rezolve technology. Adobe may terminate the agreement at any time and for any reason.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ACI Worldwide</w:t>
      </w:r>
    </w:p>
    <w:p>
      <w:pPr>
        <w:spacing w:after="0" w:line="58" w:lineRule="exact"/>
        <w:rPr>
          <w:sz w:val="20"/>
          <w:szCs w:val="20"/>
          <w:color w:val="auto"/>
        </w:rPr>
      </w:pPr>
    </w:p>
    <w:p>
      <w:pPr>
        <w:ind w:right="60" w:firstLine="480"/>
        <w:spacing w:after="0" w:line="243" w:lineRule="auto"/>
        <w:rPr>
          <w:sz w:val="20"/>
          <w:szCs w:val="20"/>
          <w:color w:val="auto"/>
        </w:rPr>
      </w:pPr>
      <w:r>
        <w:rPr>
          <w:rFonts w:ascii="Times New Roman" w:cs="Times New Roman" w:eastAsia="Times New Roman" w:hAnsi="Times New Roman"/>
          <w:sz w:val="10"/>
          <w:szCs w:val="10"/>
          <w:color w:val="auto"/>
        </w:rPr>
        <w:t xml:space="preserve">On March 31, 2022, Rezolve entered into an agreement with ACI Worldwide (EMEA) Limited (“ </w:t>
      </w:r>
      <w:r>
        <w:rPr>
          <w:rFonts w:ascii="Times New Roman" w:cs="Times New Roman" w:eastAsia="Times New Roman" w:hAnsi="Times New Roman"/>
          <w:sz w:val="10"/>
          <w:szCs w:val="10"/>
          <w:b w:val="1"/>
          <w:bCs w:val="1"/>
          <w:i w:val="1"/>
          <w:iCs w:val="1"/>
          <w:color w:val="auto"/>
        </w:rPr>
        <w:t>ACI</w:t>
      </w:r>
      <w:r>
        <w:rPr>
          <w:rFonts w:ascii="Times New Roman" w:cs="Times New Roman" w:eastAsia="Times New Roman" w:hAnsi="Times New Roman"/>
          <w:sz w:val="10"/>
          <w:szCs w:val="10"/>
          <w:color w:val="auto"/>
        </w:rPr>
        <w:t>”), pursuant to which, among other things, Rezolve granted ACI a non -sublicensable, non-transferable, non-exclusive license to use certain Rezolve technology in exchange for ACI agreeing to introduce and onboard merchants to the Rezolve platform as well as introduce Rezolve to banking partners to facilitate conversation around mutual collaboration and developing the market for Rezolve’s services in the US, EU, UK and Latin America. Under the agreement, ACI will receive 50% of all net revenues generated by merchants acquired or introduced by ACI. In addition, ACI agreed to pay a fee of $39,000 for the provision of a single instance of Rezolve RXP, branded for ACI. The agreement may be terminated by either party, without good cause, with 90 days written notice.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Haendlerbund</w:t>
      </w:r>
    </w:p>
    <w:p>
      <w:pPr>
        <w:spacing w:after="0" w:line="58"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10"/>
          <w:szCs w:val="10"/>
          <w:color w:val="auto"/>
        </w:rPr>
        <w:t>On November 20, 2023, Rezolve entered into an agreement with HB Marketplace GmbH (“</w:t>
      </w:r>
      <w:r>
        <w:rPr>
          <w:rFonts w:ascii="Times New Roman" w:cs="Times New Roman" w:eastAsia="Times New Roman" w:hAnsi="Times New Roman"/>
          <w:sz w:val="10"/>
          <w:szCs w:val="10"/>
          <w:b w:val="1"/>
          <w:bCs w:val="1"/>
          <w:i w:val="1"/>
          <w:iCs w:val="1"/>
          <w:color w:val="auto"/>
        </w:rPr>
        <w:t>Haendlerbund</w:t>
      </w:r>
      <w:r>
        <w:rPr>
          <w:rFonts w:ascii="Times New Roman" w:cs="Times New Roman" w:eastAsia="Times New Roman" w:hAnsi="Times New Roman"/>
          <w:sz w:val="10"/>
          <w:szCs w:val="10"/>
          <w:color w:val="auto"/>
        </w:rPr>
        <w:t>”), pursuant to which, among other things, Rezolve granted Haendlerbund a non- exclusive distribution and marketing license of the Brain in exchange for Handlerbund selling and marketing Brain on its digital marketplace to online retailers. Under the agreement, Handlerbund will receives 25% of the net sales actually received by Handlerbund from the sale of Brain. The agreement may be terminated without notice for good cause. Good cause exists if Handlerbund has received multiple justified complaints from the end customer related to use of the service (e.g., technical malfunctions) or Rezolve actively encourages end customers of Handlerbund’s to get services from Rezolve directly or if technical integration cannot be achieved or can only be achieved with disproportionate effort.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Epages</w:t>
      </w:r>
    </w:p>
    <w:p>
      <w:pPr>
        <w:spacing w:after="0" w:line="58" w:lineRule="exact"/>
        <w:rPr>
          <w:sz w:val="20"/>
          <w:szCs w:val="20"/>
          <w:color w:val="auto"/>
        </w:rPr>
      </w:pPr>
    </w:p>
    <w:p>
      <w:pPr>
        <w:ind w:right="120" w:firstLine="480"/>
        <w:spacing w:after="0" w:line="315" w:lineRule="auto"/>
        <w:rPr>
          <w:sz w:val="20"/>
          <w:szCs w:val="20"/>
          <w:color w:val="auto"/>
        </w:rPr>
      </w:pPr>
      <w:r>
        <w:rPr>
          <w:rFonts w:ascii="Times New Roman" w:cs="Times New Roman" w:eastAsia="Times New Roman" w:hAnsi="Times New Roman"/>
          <w:sz w:val="9"/>
          <w:szCs w:val="9"/>
          <w:color w:val="auto"/>
        </w:rPr>
        <w:t>On January 22, 2024, Rezolve entered into an agreement with Epages GMBH (“</w:t>
      </w:r>
      <w:r>
        <w:rPr>
          <w:rFonts w:ascii="Times New Roman" w:cs="Times New Roman" w:eastAsia="Times New Roman" w:hAnsi="Times New Roman"/>
          <w:sz w:val="9"/>
          <w:szCs w:val="9"/>
          <w:b w:val="1"/>
          <w:bCs w:val="1"/>
          <w:i w:val="1"/>
          <w:iCs w:val="1"/>
          <w:color w:val="auto"/>
        </w:rPr>
        <w:t>Epages</w:t>
      </w:r>
      <w:r>
        <w:rPr>
          <w:rFonts w:ascii="Times New Roman" w:cs="Times New Roman" w:eastAsia="Times New Roman" w:hAnsi="Times New Roman"/>
          <w:sz w:val="9"/>
          <w:szCs w:val="9"/>
          <w:color w:val="auto"/>
        </w:rPr>
        <w:t>”), pursuant to which, among other things, Epages agreed to introduce merchants to Rezolve’s services as well as introduce Rezolve to partners to facilitate conversations around mutual collaboration. Under the agreement, Epages will receive 25% of all net revenues generated by merchants acquired or introduced by Epages. The agreement is for a term of two years and may be terminated by either party by providing six months’ notice.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JTL</w:t>
      </w:r>
    </w:p>
    <w:p>
      <w:pPr>
        <w:spacing w:after="0" w:line="58" w:lineRule="exact"/>
        <w:rPr>
          <w:sz w:val="20"/>
          <w:szCs w:val="20"/>
          <w:color w:val="auto"/>
        </w:rPr>
      </w:pPr>
    </w:p>
    <w:p>
      <w:pPr>
        <w:jc w:val="both"/>
        <w:ind w:right="80" w:firstLine="480"/>
        <w:spacing w:after="0" w:line="247" w:lineRule="auto"/>
        <w:rPr>
          <w:sz w:val="20"/>
          <w:szCs w:val="20"/>
          <w:color w:val="auto"/>
        </w:rPr>
      </w:pPr>
      <w:r>
        <w:rPr>
          <w:rFonts w:ascii="Times New Roman" w:cs="Times New Roman" w:eastAsia="Times New Roman" w:hAnsi="Times New Roman"/>
          <w:sz w:val="10"/>
          <w:szCs w:val="10"/>
          <w:color w:val="auto"/>
        </w:rPr>
        <w:t>On March 19, 2024, Rezolve entered into an agreement with JTL Software GmbH (“</w:t>
      </w:r>
      <w:r>
        <w:rPr>
          <w:rFonts w:ascii="Times New Roman" w:cs="Times New Roman" w:eastAsia="Times New Roman" w:hAnsi="Times New Roman"/>
          <w:sz w:val="10"/>
          <w:szCs w:val="10"/>
          <w:b w:val="1"/>
          <w:bCs w:val="1"/>
          <w:i w:val="1"/>
          <w:iCs w:val="1"/>
          <w:color w:val="auto"/>
        </w:rPr>
        <w:t>JTL</w:t>
      </w:r>
      <w:r>
        <w:rPr>
          <w:rFonts w:ascii="Times New Roman" w:cs="Times New Roman" w:eastAsia="Times New Roman" w:hAnsi="Times New Roman"/>
          <w:sz w:val="10"/>
          <w:szCs w:val="10"/>
          <w:color w:val="auto"/>
        </w:rPr>
        <w:t>”), pursuant to which, among other things, JTL agreed to cooperate with Rezolve on co-marketing of Rezolve’s products and services. Any renumeration or commissions are to be agreed upon in a separate individual agreement. The agreement is for an initial term of 12 months. After the 12 months have passed, the contract runs for an indefinite period of time unless it is terminated by one of the parties. The contract may be terminated by either party with 2 months’ notice within the initial 12-month term and thereafter with three months’ notice.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0"/>
          <w:szCs w:val="10"/>
          <w:i w:val="1"/>
          <w:iCs w:val="1"/>
          <w:color w:val="auto"/>
        </w:rPr>
        <w:t>Oxid</w:t>
      </w:r>
    </w:p>
    <w:p>
      <w:pPr>
        <w:spacing w:after="0" w:line="58" w:lineRule="exact"/>
        <w:rPr>
          <w:sz w:val="20"/>
          <w:szCs w:val="20"/>
          <w:color w:val="auto"/>
        </w:rPr>
      </w:pPr>
    </w:p>
    <w:p>
      <w:pPr>
        <w:ind w:right="200" w:firstLine="480"/>
        <w:spacing w:after="0" w:line="247" w:lineRule="auto"/>
        <w:rPr>
          <w:sz w:val="20"/>
          <w:szCs w:val="20"/>
          <w:color w:val="auto"/>
        </w:rPr>
      </w:pPr>
      <w:r>
        <w:rPr>
          <w:rFonts w:ascii="Times New Roman" w:cs="Times New Roman" w:eastAsia="Times New Roman" w:hAnsi="Times New Roman"/>
          <w:sz w:val="10"/>
          <w:szCs w:val="10"/>
          <w:color w:val="auto"/>
        </w:rPr>
        <w:t>On March 22, 2024, Rezolve entered into an agreement with OXID eSales AG (“</w:t>
      </w:r>
      <w:r>
        <w:rPr>
          <w:rFonts w:ascii="Times New Roman" w:cs="Times New Roman" w:eastAsia="Times New Roman" w:hAnsi="Times New Roman"/>
          <w:sz w:val="10"/>
          <w:szCs w:val="10"/>
          <w:b w:val="1"/>
          <w:bCs w:val="1"/>
          <w:i w:val="1"/>
          <w:iCs w:val="1"/>
          <w:color w:val="auto"/>
        </w:rPr>
        <w:t>OXID</w:t>
      </w:r>
      <w:r>
        <w:rPr>
          <w:rFonts w:ascii="Times New Roman" w:cs="Times New Roman" w:eastAsia="Times New Roman" w:hAnsi="Times New Roman"/>
          <w:sz w:val="10"/>
          <w:szCs w:val="10"/>
          <w:color w:val="auto"/>
        </w:rPr>
        <w:t>”), pursuant to which, among other things, OXID agreed to co-market and sell Rezolve’s products and services in order to generate new customers for Rezolve and to integrate Rezolve’s products into OXID’s software. Under the agreement, OXID will receive a commission of 25% on all sales made by Rezolve with an OXID customer. The agreement is for an initial term of 24 months, after which the term shall be 12 months, unless terminated upon six months’ notice at the end of the initial term.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Chatwerk</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May 23, 2023, Rezolve entered into a non-binding offer with Chatwerk by Inbox Solutions GmbH (“</w:t>
      </w:r>
      <w:r>
        <w:rPr>
          <w:rFonts w:ascii="Times New Roman" w:cs="Times New Roman" w:eastAsia="Times New Roman" w:hAnsi="Times New Roman"/>
          <w:sz w:val="10"/>
          <w:szCs w:val="10"/>
          <w:b w:val="1"/>
          <w:bCs w:val="1"/>
          <w:i w:val="1"/>
          <w:iCs w:val="1"/>
          <w:color w:val="auto"/>
        </w:rPr>
        <w:t>Chatwerk</w:t>
      </w:r>
      <w:r>
        <w:rPr>
          <w:rFonts w:ascii="Times New Roman" w:cs="Times New Roman" w:eastAsia="Times New Roman" w:hAnsi="Times New Roman"/>
          <w:sz w:val="10"/>
          <w:szCs w:val="10"/>
          <w:color w:val="auto"/>
        </w:rPr>
        <w:t>”) to purchase Rezolve’s products. Under the agreement, Chatwerk will receive 20% on all Rezolve services-based revenues generated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Chatwerk.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Current Operations</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Current revenues generating part of our business relates to transaction fees based on sales of ticketing for La Liga football events in Spain. Rezolve has a contract with La liga to run ticketing for all Spanish La Liga clubs. This allows us to generate revenue from individual clubs. Rezolve provides the ability for individuals to purchase tickets online using its technology. Rezolve has contracts with clubs including Sporting Gijon, Club Deportivo Leganes, Club Deportivo Sociedad and others.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Intellectual Property</w:t>
      </w:r>
    </w:p>
    <w:p>
      <w:pPr>
        <w:spacing w:after="0" w:line="60"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Our intellectual property and proprietary rights are important to our business. In our efforts to safeguard them, we rely on a combination of copyright, trade secret, trademark, patent and other rights in jurisdictions in which we conduct our business. We also have confidentiality and/or license agreements with employees, contractors, merchants, distributors and other third parties that limit access to and use of our proprietary intellectual property. Though we rely, in part, upon these legal and contractual protections, we believe that factors such as the skills and ingenuity of our employees, as well as the functionality and frequent enhancements to our platform, make our intellectual property rights difficult to replicate.</w:t>
      </w:r>
    </w:p>
    <w:p>
      <w:pPr>
        <w:spacing w:after="0" w:line="105"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We have several US and international patents pending for our eCommerce-specific AI Platform and Language Model such as for its Hierarchical Data relations generator machine, which employs supervised learning models to analyze the product catalogue ingested to build a multidimensional relationship hierarchy that feeds the embedding process, and for its eCommerce Product categorization dictionary that analyzes the product title, images and description data to identify nested categories the product belongs to. Rezolve does this regardless of merchant specified categories which is only reinforced by Merchant provided categories to build a deep and wide category classification that aides the embedding process.</w:t>
      </w:r>
    </w:p>
    <w:p>
      <w:pPr>
        <w:spacing w:after="0" w:line="105"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We have been issued trademark registrations in Canada, Japan, Mexico, China, Europe, the U.S. and the UK including the term “Rezolve.” We have pending patent applications in the U.S., Canada, China, Europe, Japan, South Korea, Mexico, and Hong Kong. We are subject to certain risks related to our intellectual property. For more information, see “</w:t>
      </w:r>
      <w:r>
        <w:rPr>
          <w:rFonts w:ascii="Times New Roman" w:cs="Times New Roman" w:eastAsia="Times New Roman" w:hAnsi="Times New Roman"/>
          <w:sz w:val="10"/>
          <w:szCs w:val="10"/>
          <w:i w:val="1"/>
          <w:iCs w:val="1"/>
          <w:color w:val="auto"/>
        </w:rPr>
        <w:t>Risk Factors—Risks Related to our Business and Industry</w:t>
      </w:r>
      <w:r>
        <w:rPr>
          <w:rFonts w:ascii="Times New Roman" w:cs="Times New Roman" w:eastAsia="Times New Roman" w:hAnsi="Times New Roman"/>
          <w:sz w:val="10"/>
          <w:szCs w:val="10"/>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Employees</w:t>
      </w:r>
    </w:p>
    <w:p>
      <w:pPr>
        <w:spacing w:after="0" w:line="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As of December 31, 2023, we had 35 employees and 29 contractors. None of our employees is represented by a labor organization or is a party to a collective bargaining arrangement. We consider our relationship with our employees to be excellent.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Facilities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are headquartered in London, England, United Kingdom. We do not own any real property. All of our employees based in the United Kingdom work remotely.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Government Regulation</w:t>
      </w:r>
    </w:p>
    <w:p>
      <w:pPr>
        <w:spacing w:after="0" w:line="60" w:lineRule="exact"/>
        <w:rPr>
          <w:sz w:val="20"/>
          <w:szCs w:val="20"/>
          <w:color w:val="auto"/>
        </w:rPr>
      </w:pPr>
    </w:p>
    <w:p>
      <w:pPr>
        <w:ind w:right="420" w:firstLine="480"/>
        <w:spacing w:after="0" w:line="255" w:lineRule="auto"/>
        <w:rPr>
          <w:sz w:val="20"/>
          <w:szCs w:val="20"/>
          <w:color w:val="auto"/>
        </w:rPr>
      </w:pPr>
      <w:r>
        <w:rPr>
          <w:rFonts w:ascii="Times New Roman" w:cs="Times New Roman" w:eastAsia="Times New Roman" w:hAnsi="Times New Roman"/>
          <w:sz w:val="10"/>
          <w:szCs w:val="10"/>
          <w:color w:val="auto"/>
        </w:rPr>
        <w:t>We are subject to a number of foreign and domestic laws and regulations that affect companies conducting business online, many of which are still evolving and could be interpreted in ways that could harm our business. Concern about the use of SaaS platforms for illegal conduct, such as money laundering or to support terrorist activities, may in the future result in legislation or other governmental action that could require changes to our platform.</w:t>
      </w:r>
    </w:p>
    <w:p>
      <w:pPr>
        <w:spacing w:after="0" w:line="1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213" w:right="600" w:bottom="1440" w:gutter="0" w:footer="0" w:header="0"/>
        </w:sectPr>
      </w:pPr>
    </w:p>
    <w:bookmarkStart w:id="92" w:name="page93"/>
    <w:bookmarkEnd w:id="92"/>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We are subject to laws and regulations that govern or restrict our business and activities in certain countries and with certain persons. We are currently subject to a variety of laws and regulations in the U.S., Mexico, the UK, Europe, India and elsewhere related to payment processing, including those governing cross-border and domestic money transmission, gift cards and other prepaid access instruments, electronic funds transfers, foreign exchange, anti-money laundering, counter-terrorist financing, banking and import and export restrictions. Depending on how our merchant solutions evolve, we may be subject to additional laws.</w:t>
      </w:r>
    </w:p>
    <w:p>
      <w:pPr>
        <w:spacing w:after="0" w:line="105"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We are also subject to various laws, regulations, and obligations regarding privacy, data protection, and cybersecurity. Some jurisdictions require companies to notify individuals of data security breaches involving certain types of personal data and our agreements with certain merchants require us to notify them in the event of a security incident. We post on our website our privacy policy and terms of service, which describe our practices concerning the use, transmission and disclosure of merchant data and data relating to their customers. Any actual or perceived failure by us to comply with our posted privacy policy or laws, regulations, or obligations relating to privacy, data protection or cybersecurity could lead to investigations, inquiries, and other proceedings by governmental authorities, significant fines, penalties and other liabilities imposed by regulators, as well as claims, demands, and litigation by our merchants or their customers or other private actors, any of which could harm our business, financial condition, and results of operations. Laws, regulations, and other actual and asserted obligations relating to privacy, data protection and cybersecurity evolve rapidly and are subject to varying interpretations, and we may not be or may not have been compliant with such laws, regulations or obligations, and we may face allegations that our activities or practices are not or have not been, compliant with each such law, regulation or other obligation. Because our services are accessible worldwide, certain foreign jurisdictions have claimed and others may claim that we are required to comply with their laws, regulations, and obligations, including in jurisdictions where we have no local entity, employees or infrastructure. Working to comply with these varying international requirements could cause us to incur additional costs and change our business practices.</w:t>
      </w:r>
    </w:p>
    <w:p>
      <w:pPr>
        <w:spacing w:after="0" w:line="108" w:lineRule="exact"/>
        <w:rPr>
          <w:sz w:val="20"/>
          <w:szCs w:val="20"/>
          <w:color w:val="auto"/>
        </w:rPr>
      </w:pPr>
    </w:p>
    <w:p>
      <w:pPr>
        <w:ind w:right="60" w:firstLine="480"/>
        <w:spacing w:after="0" w:line="238" w:lineRule="auto"/>
        <w:rPr>
          <w:sz w:val="20"/>
          <w:szCs w:val="20"/>
          <w:color w:val="auto"/>
        </w:rPr>
      </w:pPr>
      <w:r>
        <w:rPr>
          <w:rFonts w:ascii="Times New Roman" w:cs="Times New Roman" w:eastAsia="Times New Roman" w:hAnsi="Times New Roman"/>
          <w:sz w:val="10"/>
          <w:szCs w:val="10"/>
          <w:color w:val="auto"/>
        </w:rPr>
        <w:t>Further, our reputation and brand may be negatively affected by the actions of merchants or their users that are deemed to be hostile, offensive, inappropriate or unlawful. We do not monitor or review the appropriateness of the content accessible through merchants’ shops in connection with our services, and we do not have control over the activities in which merchants’ customers engage. While we have adopted policies regarding illegal or offensive use of our platform, merchants or their customers could nonetheless engage in these activities. The safeguards we have in place may not be sufficient to avoid harm to our reputation and brand, especially if such hostile, offensive or inappropriate use was high profile, which could adversely affect our ability to expand our merchant subscription base and harm our business and financial results. It is possible that we could also be subject to liability. In many jurisdictions, laws relating to the liability of providers of online services for activities of their customers and other third parties are currently being tested by a number of claims, including actions based on defamation, invasion of privacy and other torts, unfair competition, copyright and trademark infringement, and other theories based on the nature of the relevant content. Any court ruling or other governmental regulation or action that imposes liability on providers of online services in connection with the activities of their customers or their customers’ users could harm our business. In such circumstances we may also be subject to liability under applicable law in a way which may not be fully mitigated by our terms of service. Any liability attributed to us could adversely affect our brand, reputation, our ability to expand our subscriber base and our financial results.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Legal Proceedings</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From time to time, we may become involved in legal or regulatory proceedings arising in the ordinary course of our business. We are not currently a party to any material litigation or regulatory proceeding and we are not aware of any pending or threatened litigation or regulatory proceeding against us that could have a material adverse effect on our business, operating results, financial condition or cash flows.</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MANAGEMENT AND COMPENSATION</w:t>
      </w:r>
    </w:p>
    <w:p>
      <w:pPr>
        <w:spacing w:after="0" w:line="97"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following sets forth the names, business addresses and functions of the Company’s directors and senior management as of January 10, 2025. The Company’s Amended and Restated Memorandum and Articles of Association provide that the Company Board of Directors (the “</w:t>
      </w:r>
      <w:r>
        <w:rPr>
          <w:rFonts w:ascii="Times New Roman" w:cs="Times New Roman" w:eastAsia="Times New Roman" w:hAnsi="Times New Roman"/>
          <w:sz w:val="10"/>
          <w:szCs w:val="10"/>
          <w:b w:val="1"/>
          <w:bCs w:val="1"/>
          <w:i w:val="1"/>
          <w:iCs w:val="1"/>
          <w:color w:val="auto"/>
        </w:rPr>
        <w:t>Company Board</w:t>
      </w:r>
      <w:r>
        <w:rPr>
          <w:rFonts w:ascii="Times New Roman" w:cs="Times New Roman" w:eastAsia="Times New Roman" w:hAnsi="Times New Roman"/>
          <w:sz w:val="10"/>
          <w:szCs w:val="10"/>
          <w:color w:val="auto"/>
        </w:rPr>
        <w:t>”) has three classes of directors with the directors of each class serving staggered three-year terms. Class I directors shall serve a term expiring at the Company’s 2025 annual meeting of shareholders, Class II directors shall serve a term expiring at the Company’s 2026 annual meeting of shareholders, and Class III directors shall serve a term expiring at the Company’s 2027 annual meeting of shareholders.</w:t>
      </w:r>
    </w:p>
    <w:p>
      <w:pPr>
        <w:spacing w:after="0" w:line="141" w:lineRule="exact"/>
        <w:rPr>
          <w:sz w:val="20"/>
          <w:szCs w:val="20"/>
          <w:color w:val="auto"/>
        </w:rPr>
      </w:pPr>
    </w:p>
    <w:tbl>
      <w:tblPr>
        <w:tblLayout w:type="fixed"/>
        <w:tblInd w:w="1060" w:type="dxa"/>
        <w:tblCellMar>
          <w:top w:w="0" w:type="dxa"/>
          <w:left w:w="0" w:type="dxa"/>
          <w:bottom w:w="0" w:type="dxa"/>
          <w:right w:w="0" w:type="dxa"/>
        </w:tblCellMar>
      </w:tblPr>
      <w:tr>
        <w:trPr>
          <w:trHeight w:val="97"/>
        </w:trPr>
        <w:tc>
          <w:tcPr>
            <w:tcW w:w="186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Name</w:t>
            </w:r>
          </w:p>
        </w:tc>
        <w:tc>
          <w:tcPr>
            <w:tcW w:w="1800" w:type="dxa"/>
            <w:vAlign w:val="bottom"/>
          </w:tcPr>
          <w:p>
            <w:pPr>
              <w:jc w:val="right"/>
              <w:ind w:right="452"/>
              <w:spacing w:after="0"/>
              <w:rPr>
                <w:sz w:val="20"/>
                <w:szCs w:val="20"/>
                <w:color w:val="auto"/>
              </w:rPr>
            </w:pPr>
            <w:r>
              <w:rPr>
                <w:rFonts w:ascii="Times New Roman" w:cs="Times New Roman" w:eastAsia="Times New Roman" w:hAnsi="Times New Roman"/>
                <w:sz w:val="8"/>
                <w:szCs w:val="8"/>
                <w:b w:val="1"/>
                <w:bCs w:val="1"/>
                <w:color w:val="auto"/>
              </w:rPr>
              <w:t>Age</w:t>
            </w:r>
          </w:p>
        </w:tc>
        <w:tc>
          <w:tcPr>
            <w:tcW w:w="4840" w:type="dxa"/>
            <w:vAlign w:val="bottom"/>
          </w:tcPr>
          <w:p>
            <w:pPr>
              <w:ind w:left="2460"/>
              <w:spacing w:after="0"/>
              <w:rPr>
                <w:sz w:val="20"/>
                <w:szCs w:val="20"/>
                <w:color w:val="auto"/>
              </w:rPr>
            </w:pPr>
            <w:r>
              <w:rPr>
                <w:rFonts w:ascii="Times New Roman" w:cs="Times New Roman" w:eastAsia="Times New Roman" w:hAnsi="Times New Roman"/>
                <w:sz w:val="8"/>
                <w:szCs w:val="8"/>
                <w:b w:val="1"/>
                <w:bCs w:val="1"/>
                <w:color w:val="auto"/>
              </w:rPr>
              <w:t>Position</w:t>
            </w:r>
          </w:p>
        </w:tc>
      </w:tr>
      <w:tr>
        <w:trPr>
          <w:trHeight w:val="121"/>
        </w:trPr>
        <w:tc>
          <w:tcPr>
            <w:tcW w:w="1860" w:type="dxa"/>
            <w:vAlign w:val="bottom"/>
          </w:tcPr>
          <w:p>
            <w:pPr>
              <w:spacing w:after="0"/>
              <w:rPr>
                <w:sz w:val="20"/>
                <w:szCs w:val="20"/>
                <w:color w:val="auto"/>
              </w:rPr>
            </w:pPr>
            <w:r>
              <w:rPr>
                <w:rFonts w:ascii="Times New Roman" w:cs="Times New Roman" w:eastAsia="Times New Roman" w:hAnsi="Times New Roman"/>
                <w:sz w:val="10"/>
                <w:szCs w:val="10"/>
                <w:b w:val="1"/>
                <w:bCs w:val="1"/>
                <w:i w:val="1"/>
                <w:iCs w:val="1"/>
                <w:color w:val="auto"/>
              </w:rPr>
              <w:t>Directors</w:t>
            </w:r>
          </w:p>
        </w:tc>
        <w:tc>
          <w:tcPr>
            <w:tcW w:w="1800" w:type="dxa"/>
            <w:vAlign w:val="bottom"/>
          </w:tcPr>
          <w:p>
            <w:pPr>
              <w:spacing w:after="0"/>
              <w:rPr>
                <w:sz w:val="10"/>
                <w:szCs w:val="10"/>
                <w:color w:val="auto"/>
              </w:rPr>
            </w:pPr>
          </w:p>
        </w:tc>
        <w:tc>
          <w:tcPr>
            <w:tcW w:w="4840" w:type="dxa"/>
            <w:vAlign w:val="bottom"/>
          </w:tcPr>
          <w:p>
            <w:pPr>
              <w:spacing w:after="0"/>
              <w:rPr>
                <w:sz w:val="10"/>
                <w:szCs w:val="10"/>
                <w:color w:val="auto"/>
              </w:rPr>
            </w:pPr>
          </w:p>
        </w:tc>
      </w:tr>
      <w:tr>
        <w:trPr>
          <w:trHeight w:val="113"/>
        </w:trPr>
        <w:tc>
          <w:tcPr>
            <w:tcW w:w="18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Daniel Wagner</w:t>
            </w:r>
          </w:p>
        </w:tc>
        <w:tc>
          <w:tcPr>
            <w:tcW w:w="1800" w:type="dxa"/>
            <w:vAlign w:val="bottom"/>
            <w:shd w:val="clear" w:color="auto" w:fill="CFF0FC"/>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61</w:t>
            </w:r>
          </w:p>
        </w:tc>
        <w:tc>
          <w:tcPr>
            <w:tcW w:w="4840" w:type="dxa"/>
            <w:vAlign w:val="bottom"/>
            <w:shd w:val="clear" w:color="auto" w:fill="CFF0FC"/>
          </w:tcPr>
          <w:p>
            <w:pPr>
              <w:ind w:left="520"/>
              <w:spacing w:after="0" w:line="113" w:lineRule="exact"/>
              <w:rPr>
                <w:sz w:val="20"/>
                <w:szCs w:val="20"/>
                <w:color w:val="auto"/>
              </w:rPr>
            </w:pPr>
            <w:r>
              <w:rPr>
                <w:rFonts w:ascii="Times New Roman" w:cs="Times New Roman" w:eastAsia="Times New Roman" w:hAnsi="Times New Roman"/>
                <w:sz w:val="10"/>
                <w:szCs w:val="10"/>
                <w:color w:val="auto"/>
              </w:rPr>
              <w:t>Class III Director</w:t>
            </w:r>
          </w:p>
        </w:tc>
      </w:tr>
      <w:tr>
        <w:trPr>
          <w:trHeight w:val="113"/>
        </w:trPr>
        <w:tc>
          <w:tcPr>
            <w:tcW w:w="18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John Wagner</w:t>
            </w:r>
          </w:p>
        </w:tc>
        <w:tc>
          <w:tcPr>
            <w:tcW w:w="1800" w:type="dxa"/>
            <w:vAlign w:val="bottom"/>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91</w:t>
            </w:r>
          </w:p>
        </w:tc>
        <w:tc>
          <w:tcPr>
            <w:tcW w:w="4840" w:type="dxa"/>
            <w:vAlign w:val="bottom"/>
          </w:tcPr>
          <w:p>
            <w:pPr>
              <w:ind w:left="520"/>
              <w:spacing w:after="0" w:line="113" w:lineRule="exact"/>
              <w:rPr>
                <w:sz w:val="20"/>
                <w:szCs w:val="20"/>
                <w:color w:val="auto"/>
              </w:rPr>
            </w:pPr>
            <w:r>
              <w:rPr>
                <w:rFonts w:ascii="Times New Roman" w:cs="Times New Roman" w:eastAsia="Times New Roman" w:hAnsi="Times New Roman"/>
                <w:sz w:val="10"/>
                <w:szCs w:val="10"/>
                <w:color w:val="auto"/>
              </w:rPr>
              <w:t>Class III Director</w:t>
            </w:r>
          </w:p>
        </w:tc>
      </w:tr>
      <w:tr>
        <w:trPr>
          <w:trHeight w:val="113"/>
        </w:trPr>
        <w:tc>
          <w:tcPr>
            <w:tcW w:w="18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1800" w:type="dxa"/>
            <w:vAlign w:val="bottom"/>
            <w:shd w:val="clear" w:color="auto" w:fill="CFF0FC"/>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62</w:t>
            </w:r>
          </w:p>
        </w:tc>
        <w:tc>
          <w:tcPr>
            <w:tcW w:w="4840" w:type="dxa"/>
            <w:vAlign w:val="bottom"/>
            <w:shd w:val="clear" w:color="auto" w:fill="CFF0FC"/>
          </w:tcPr>
          <w:p>
            <w:pPr>
              <w:ind w:left="520"/>
              <w:spacing w:after="0" w:line="113" w:lineRule="exact"/>
              <w:rPr>
                <w:sz w:val="20"/>
                <w:szCs w:val="20"/>
                <w:color w:val="auto"/>
              </w:rPr>
            </w:pPr>
            <w:r>
              <w:rPr>
                <w:rFonts w:ascii="Times New Roman" w:cs="Times New Roman" w:eastAsia="Times New Roman" w:hAnsi="Times New Roman"/>
                <w:sz w:val="10"/>
                <w:szCs w:val="10"/>
                <w:color w:val="auto"/>
              </w:rPr>
              <w:t>Class II Director</w:t>
            </w:r>
          </w:p>
        </w:tc>
      </w:tr>
      <w:tr>
        <w:trPr>
          <w:trHeight w:val="113"/>
        </w:trPr>
        <w:tc>
          <w:tcPr>
            <w:tcW w:w="18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Sir David Wright</w:t>
            </w:r>
          </w:p>
        </w:tc>
        <w:tc>
          <w:tcPr>
            <w:tcW w:w="1800" w:type="dxa"/>
            <w:vAlign w:val="bottom"/>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80</w:t>
            </w:r>
          </w:p>
        </w:tc>
        <w:tc>
          <w:tcPr>
            <w:tcW w:w="4840" w:type="dxa"/>
            <w:vAlign w:val="bottom"/>
          </w:tcPr>
          <w:p>
            <w:pPr>
              <w:ind w:left="520"/>
              <w:spacing w:after="0" w:line="113" w:lineRule="exact"/>
              <w:rPr>
                <w:sz w:val="20"/>
                <w:szCs w:val="20"/>
                <w:color w:val="auto"/>
              </w:rPr>
            </w:pPr>
            <w:r>
              <w:rPr>
                <w:rFonts w:ascii="Times New Roman" w:cs="Times New Roman" w:eastAsia="Times New Roman" w:hAnsi="Times New Roman"/>
                <w:sz w:val="10"/>
                <w:szCs w:val="10"/>
                <w:color w:val="auto"/>
              </w:rPr>
              <w:t>Class II Director</w:t>
            </w:r>
          </w:p>
        </w:tc>
      </w:tr>
      <w:tr>
        <w:trPr>
          <w:trHeight w:val="113"/>
        </w:trPr>
        <w:tc>
          <w:tcPr>
            <w:tcW w:w="18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Stephen Perry</w:t>
            </w:r>
          </w:p>
        </w:tc>
        <w:tc>
          <w:tcPr>
            <w:tcW w:w="1800" w:type="dxa"/>
            <w:vAlign w:val="bottom"/>
            <w:shd w:val="clear" w:color="auto" w:fill="CFF0FC"/>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64</w:t>
            </w:r>
          </w:p>
        </w:tc>
        <w:tc>
          <w:tcPr>
            <w:tcW w:w="4840" w:type="dxa"/>
            <w:vAlign w:val="bottom"/>
            <w:shd w:val="clear" w:color="auto" w:fill="CFF0FC"/>
          </w:tcPr>
          <w:p>
            <w:pPr>
              <w:ind w:left="520"/>
              <w:spacing w:after="0" w:line="113" w:lineRule="exact"/>
              <w:rPr>
                <w:sz w:val="20"/>
                <w:szCs w:val="20"/>
                <w:color w:val="auto"/>
              </w:rPr>
            </w:pPr>
            <w:r>
              <w:rPr>
                <w:rFonts w:ascii="Times New Roman" w:cs="Times New Roman" w:eastAsia="Times New Roman" w:hAnsi="Times New Roman"/>
                <w:sz w:val="10"/>
                <w:szCs w:val="10"/>
                <w:color w:val="auto"/>
              </w:rPr>
              <w:t>Class II Director</w:t>
            </w:r>
          </w:p>
        </w:tc>
      </w:tr>
      <w:tr>
        <w:trPr>
          <w:trHeight w:val="106"/>
        </w:trPr>
        <w:tc>
          <w:tcPr>
            <w:tcW w:w="186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Derek Smith</w:t>
            </w:r>
          </w:p>
        </w:tc>
        <w:tc>
          <w:tcPr>
            <w:tcW w:w="1800" w:type="dxa"/>
            <w:vAlign w:val="bottom"/>
          </w:tcPr>
          <w:p>
            <w:pPr>
              <w:jc w:val="right"/>
              <w:ind w:right="552"/>
              <w:spacing w:after="0" w:line="106" w:lineRule="exact"/>
              <w:rPr>
                <w:sz w:val="20"/>
                <w:szCs w:val="20"/>
                <w:color w:val="auto"/>
              </w:rPr>
            </w:pPr>
            <w:r>
              <w:rPr>
                <w:rFonts w:ascii="Times New Roman" w:cs="Times New Roman" w:eastAsia="Times New Roman" w:hAnsi="Times New Roman"/>
                <w:sz w:val="10"/>
                <w:szCs w:val="10"/>
                <w:color w:val="auto"/>
              </w:rPr>
              <w:t>78</w:t>
            </w:r>
          </w:p>
        </w:tc>
        <w:tc>
          <w:tcPr>
            <w:tcW w:w="4840" w:type="dxa"/>
            <w:vAlign w:val="bottom"/>
          </w:tcPr>
          <w:p>
            <w:pPr>
              <w:ind w:left="520"/>
              <w:spacing w:after="0" w:line="106" w:lineRule="exact"/>
              <w:rPr>
                <w:sz w:val="20"/>
                <w:szCs w:val="20"/>
                <w:color w:val="auto"/>
              </w:rPr>
            </w:pPr>
            <w:r>
              <w:rPr>
                <w:rFonts w:ascii="Times New Roman" w:cs="Times New Roman" w:eastAsia="Times New Roman" w:hAnsi="Times New Roman"/>
                <w:sz w:val="10"/>
                <w:szCs w:val="10"/>
                <w:color w:val="auto"/>
              </w:rPr>
              <w:t>Class II Director</w:t>
            </w:r>
          </w:p>
        </w:tc>
      </w:tr>
      <w:tr>
        <w:trPr>
          <w:trHeight w:val="125"/>
        </w:trPr>
        <w:tc>
          <w:tcPr>
            <w:tcW w:w="1860" w:type="dxa"/>
            <w:vAlign w:val="bottom"/>
          </w:tcPr>
          <w:p>
            <w:pPr>
              <w:spacing w:after="0"/>
              <w:rPr>
                <w:sz w:val="20"/>
                <w:szCs w:val="20"/>
                <w:color w:val="auto"/>
              </w:rPr>
            </w:pPr>
            <w:r>
              <w:rPr>
                <w:rFonts w:ascii="Times New Roman" w:cs="Times New Roman" w:eastAsia="Times New Roman" w:hAnsi="Times New Roman"/>
                <w:sz w:val="10"/>
                <w:szCs w:val="10"/>
                <w:color w:val="auto"/>
              </w:rPr>
              <w:t>Stephen Herbert</w:t>
            </w:r>
          </w:p>
        </w:tc>
        <w:tc>
          <w:tcPr>
            <w:tcW w:w="1800" w:type="dxa"/>
            <w:vAlign w:val="bottom"/>
          </w:tcPr>
          <w:p>
            <w:pPr>
              <w:jc w:val="right"/>
              <w:ind w:right="552"/>
              <w:spacing w:after="0"/>
              <w:rPr>
                <w:sz w:val="20"/>
                <w:szCs w:val="20"/>
                <w:color w:val="auto"/>
              </w:rPr>
            </w:pPr>
            <w:r>
              <w:rPr>
                <w:rFonts w:ascii="Times New Roman" w:cs="Times New Roman" w:eastAsia="Times New Roman" w:hAnsi="Times New Roman"/>
                <w:sz w:val="10"/>
                <w:szCs w:val="10"/>
                <w:color w:val="auto"/>
              </w:rPr>
              <w:t>62</w:t>
            </w:r>
          </w:p>
        </w:tc>
        <w:tc>
          <w:tcPr>
            <w:tcW w:w="484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Class I Director</w:t>
            </w:r>
          </w:p>
        </w:tc>
      </w:tr>
      <w:tr>
        <w:trPr>
          <w:trHeight w:val="219"/>
        </w:trPr>
        <w:tc>
          <w:tcPr>
            <w:tcW w:w="1860" w:type="dxa"/>
            <w:vAlign w:val="bottom"/>
          </w:tcPr>
          <w:p>
            <w:pPr>
              <w:spacing w:after="0"/>
              <w:rPr>
                <w:sz w:val="20"/>
                <w:szCs w:val="20"/>
                <w:color w:val="auto"/>
              </w:rPr>
            </w:pPr>
            <w:r>
              <w:rPr>
                <w:rFonts w:ascii="Times New Roman" w:cs="Times New Roman" w:eastAsia="Times New Roman" w:hAnsi="Times New Roman"/>
                <w:sz w:val="10"/>
                <w:szCs w:val="10"/>
                <w:b w:val="1"/>
                <w:bCs w:val="1"/>
                <w:i w:val="1"/>
                <w:iCs w:val="1"/>
                <w:color w:val="auto"/>
              </w:rPr>
              <w:t>Executive Officers</w:t>
            </w:r>
          </w:p>
        </w:tc>
        <w:tc>
          <w:tcPr>
            <w:tcW w:w="1800" w:type="dxa"/>
            <w:vAlign w:val="bottom"/>
          </w:tcPr>
          <w:p>
            <w:pPr>
              <w:spacing w:after="0"/>
              <w:rPr>
                <w:sz w:val="19"/>
                <w:szCs w:val="19"/>
                <w:color w:val="auto"/>
              </w:rPr>
            </w:pPr>
          </w:p>
        </w:tc>
        <w:tc>
          <w:tcPr>
            <w:tcW w:w="4840" w:type="dxa"/>
            <w:vAlign w:val="bottom"/>
          </w:tcPr>
          <w:p>
            <w:pPr>
              <w:spacing w:after="0"/>
              <w:rPr>
                <w:sz w:val="19"/>
                <w:szCs w:val="19"/>
                <w:color w:val="auto"/>
              </w:rPr>
            </w:pPr>
          </w:p>
        </w:tc>
      </w:tr>
      <w:tr>
        <w:trPr>
          <w:trHeight w:val="113"/>
        </w:trPr>
        <w:tc>
          <w:tcPr>
            <w:tcW w:w="18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Daniel Wagner</w:t>
            </w:r>
          </w:p>
        </w:tc>
        <w:tc>
          <w:tcPr>
            <w:tcW w:w="1800" w:type="dxa"/>
            <w:vAlign w:val="bottom"/>
            <w:shd w:val="clear" w:color="auto" w:fill="CFF0FC"/>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61</w:t>
            </w:r>
          </w:p>
        </w:tc>
        <w:tc>
          <w:tcPr>
            <w:tcW w:w="4840" w:type="dxa"/>
            <w:vAlign w:val="bottom"/>
            <w:shd w:val="clear" w:color="auto" w:fill="CFF0FC"/>
          </w:tcPr>
          <w:p>
            <w:pPr>
              <w:ind w:left="520"/>
              <w:spacing w:after="0" w:line="113" w:lineRule="exact"/>
              <w:rPr>
                <w:sz w:val="20"/>
                <w:szCs w:val="20"/>
                <w:color w:val="auto"/>
              </w:rPr>
            </w:pPr>
            <w:r>
              <w:rPr>
                <w:rFonts w:ascii="Times New Roman" w:cs="Times New Roman" w:eastAsia="Times New Roman" w:hAnsi="Times New Roman"/>
                <w:sz w:val="10"/>
                <w:szCs w:val="10"/>
                <w:color w:val="auto"/>
              </w:rPr>
              <w:t>Chief Executive Officer and Director</w:t>
            </w:r>
          </w:p>
        </w:tc>
      </w:tr>
      <w:tr>
        <w:trPr>
          <w:trHeight w:val="113"/>
        </w:trPr>
        <w:tc>
          <w:tcPr>
            <w:tcW w:w="18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1800" w:type="dxa"/>
            <w:vAlign w:val="bottom"/>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52</w:t>
            </w:r>
          </w:p>
        </w:tc>
        <w:tc>
          <w:tcPr>
            <w:tcW w:w="4840" w:type="dxa"/>
            <w:vAlign w:val="bottom"/>
          </w:tcPr>
          <w:p>
            <w:pPr>
              <w:ind w:left="520"/>
              <w:spacing w:after="0" w:line="113" w:lineRule="exact"/>
              <w:rPr>
                <w:sz w:val="20"/>
                <w:szCs w:val="20"/>
                <w:color w:val="auto"/>
              </w:rPr>
            </w:pPr>
            <w:r>
              <w:rPr>
                <w:rFonts w:ascii="Times New Roman" w:cs="Times New Roman" w:eastAsia="Times New Roman" w:hAnsi="Times New Roman"/>
                <w:sz w:val="10"/>
                <w:szCs w:val="10"/>
                <w:color w:val="auto"/>
              </w:rPr>
              <w:t>Chief Financial Officer</w:t>
            </w:r>
          </w:p>
        </w:tc>
      </w:tr>
      <w:tr>
        <w:trPr>
          <w:trHeight w:val="113"/>
        </w:trPr>
        <w:tc>
          <w:tcPr>
            <w:tcW w:w="18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1800" w:type="dxa"/>
            <w:vAlign w:val="bottom"/>
            <w:shd w:val="clear" w:color="auto" w:fill="CFF0FC"/>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62</w:t>
            </w:r>
          </w:p>
        </w:tc>
        <w:tc>
          <w:tcPr>
            <w:tcW w:w="4840" w:type="dxa"/>
            <w:vAlign w:val="bottom"/>
            <w:shd w:val="clear" w:color="auto" w:fill="CFF0FC"/>
          </w:tcPr>
          <w:p>
            <w:pPr>
              <w:ind w:left="520"/>
              <w:spacing w:after="0" w:line="113" w:lineRule="exact"/>
              <w:rPr>
                <w:sz w:val="20"/>
                <w:szCs w:val="20"/>
                <w:color w:val="auto"/>
              </w:rPr>
            </w:pPr>
            <w:r>
              <w:rPr>
                <w:rFonts w:ascii="Times New Roman" w:cs="Times New Roman" w:eastAsia="Times New Roman" w:hAnsi="Times New Roman"/>
                <w:sz w:val="10"/>
                <w:szCs w:val="10"/>
                <w:color w:val="auto"/>
              </w:rPr>
              <w:t>Chief Commercial Officer and General Manager (EMEA)</w:t>
            </w:r>
          </w:p>
        </w:tc>
      </w:tr>
      <w:tr>
        <w:trPr>
          <w:trHeight w:val="113"/>
        </w:trPr>
        <w:tc>
          <w:tcPr>
            <w:tcW w:w="18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Sauvik Banerjjee</w:t>
            </w:r>
          </w:p>
        </w:tc>
        <w:tc>
          <w:tcPr>
            <w:tcW w:w="1800" w:type="dxa"/>
            <w:vAlign w:val="bottom"/>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49</w:t>
            </w:r>
          </w:p>
        </w:tc>
        <w:tc>
          <w:tcPr>
            <w:tcW w:w="4840" w:type="dxa"/>
            <w:vAlign w:val="bottom"/>
          </w:tcPr>
          <w:p>
            <w:pPr>
              <w:ind w:left="520"/>
              <w:spacing w:after="0" w:line="113" w:lineRule="exact"/>
              <w:rPr>
                <w:sz w:val="20"/>
                <w:szCs w:val="20"/>
                <w:color w:val="auto"/>
              </w:rPr>
            </w:pPr>
            <w:r>
              <w:rPr>
                <w:rFonts w:ascii="Times New Roman" w:cs="Times New Roman" w:eastAsia="Times New Roman" w:hAnsi="Times New Roman"/>
                <w:sz w:val="10"/>
                <w:szCs w:val="10"/>
                <w:color w:val="auto"/>
              </w:rPr>
              <w:t>CEO Products, Technology, and Digital Services</w:t>
            </w:r>
          </w:p>
        </w:tc>
      </w:tr>
      <w:tr>
        <w:trPr>
          <w:trHeight w:val="113"/>
        </w:trPr>
        <w:tc>
          <w:tcPr>
            <w:tcW w:w="18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Salman Ahmad</w:t>
            </w:r>
          </w:p>
        </w:tc>
        <w:tc>
          <w:tcPr>
            <w:tcW w:w="1800" w:type="dxa"/>
            <w:vAlign w:val="bottom"/>
            <w:shd w:val="clear" w:color="auto" w:fill="CFF0FC"/>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51</w:t>
            </w:r>
          </w:p>
        </w:tc>
        <w:tc>
          <w:tcPr>
            <w:tcW w:w="4840" w:type="dxa"/>
            <w:vAlign w:val="bottom"/>
            <w:shd w:val="clear" w:color="auto" w:fill="CFF0FC"/>
          </w:tcPr>
          <w:p>
            <w:pPr>
              <w:ind w:left="520"/>
              <w:spacing w:after="0" w:line="113" w:lineRule="exact"/>
              <w:rPr>
                <w:sz w:val="20"/>
                <w:szCs w:val="20"/>
                <w:color w:val="auto"/>
              </w:rPr>
            </w:pPr>
            <w:r>
              <w:rPr>
                <w:rFonts w:ascii="Times New Roman" w:cs="Times New Roman" w:eastAsia="Times New Roman" w:hAnsi="Times New Roman"/>
                <w:sz w:val="10"/>
                <w:szCs w:val="10"/>
                <w:color w:val="auto"/>
              </w:rPr>
              <w:t>Chief Technology Officer</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Executive Director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Daniel Wagner</w:t>
      </w:r>
      <w:r>
        <w:rPr>
          <w:rFonts w:ascii="Times New Roman" w:cs="Times New Roman" w:eastAsia="Times New Roman" w:hAnsi="Times New Roman"/>
          <w:sz w:val="10"/>
          <w:szCs w:val="10"/>
          <w:color w:val="auto"/>
        </w:rPr>
        <w:t>.</w:t>
      </w:r>
    </w:p>
    <w:p>
      <w:pPr>
        <w:spacing w:after="0" w:line="60"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Mr. Wagner founded Rezolve and has served as Chief Executive Officer and as a director on the board of directors of Rezolve Limited since June 2016. Prior to joining Rezolve, Mr. Wagner founded M.A.I.D. in 1984, an online information service, and built the business into a leading player, when it was sold to Thomson Reuters for $500 million. He then developed Venda in 1998, a provider of on-demand enterprise eCommerce (which included Tesco, Laura Ashley, Neiman Marcus, Lands End, Under Armor and TJX Companies among its clients), which was sold in 2014 to NetSuite, a subsidiary of Oracle Corporation. Mr. Wagner has founded numerous other internet-commerce businesses including SmartLogik in 2000, BuyaPowa in 2010, Powa in 2009, and Attraqt in 2003. Rezolve believes Mr. Wagner is qualified to serve on the board because of his historical knowledge, operational expertise, leadership and the continuity that he brings to our board as our founder and Chief Executive Officer.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Non-Executive Directors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Stephen Perry.</w:t>
      </w:r>
    </w:p>
    <w:p>
      <w:pPr>
        <w:spacing w:after="0" w:line="60"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Dr. Perry served on the board of directors of Rezolve as a non -executive director from October 2016 to April 2019 and rejoined in January 2022. Dr. Perry also serves as a Senior Advisor for Fintech and Payments. Prior to joining Rezolve, he worked at Visa for 25 years, first, as Head of Strategy, then as Chief Financial Officer for three years, then as Chief Commercial Officer for 15 years and finally as Chief Digital Officer until December 2015. He also served as an advisor for B-Secur from 2016 to 2018, an advisory board member of Syntel from 2016 to 2017, a non-executive director of MYPINPAD from 2016 to 2018, an advisor for Splitit from 2016 to 2019, an advisor for Good Causes from 2017 to 2019, a strategic advisor for A2P from 2017 to 2019, a non-executive chairman for V9 Group from 2016 to 2020, a non- executive director for Bink from 2016 to 2021, an advisor for 1818 Venture Capital from 2019 to 2021. He also serves as the non-executive chair of Willo and myNexus. He holds a degree in Economics from Wolverhampton Polytechnic, a Masters in Economics from the University of London and a PhD from Keele University. He was awarded the honour of Order of Merit (Cavalieri) in Italy in 2005. Rezolve believes Dr. Perry is qualified to serve on the board because of his experience as a director of technology companies and his experience with investments in technology companies.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Dr. Derek Smith.</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Dr. Smith has served on the board of directors of Rezolve since January 2022. He has also served as chairman of Rhinegold Publishing Ltd from 2007 to 2019. He also served on the board of Opinion Research Corporation from 1997 to 2003. Dr Smith has a</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33" w:right="66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0"/>
          <w:szCs w:val="10"/>
          <w:color w:val="auto"/>
        </w:rPr>
        <w:t>BA in Economics from the University of Nottingham and a PhD in Economics from the University of Nottingham. Rezolve believes Dr. Smith is qualified to serve on the board because of his history of holding leadership roles in various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John Wagner.</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Mr. Wagner has served as a director on the board of directors of Rezolve since February 2016. Prior to joining Rezolve, he was a non -executive director of Powa Technologies from 2008 to 2016 and chairman of Folding Helmet Technology from 2012 to 2019. He was also chairman of Preventon, a provider of cybersecurity software. He studied law and economics at the London School of Economics and marketing at the Institute of Marketing. He is also an alumnus of the British and American programme in marketing management at Harvard Business School. Rezolve believes Mr. Wagner is qualified to serve on the board because he brings significant experience to the Rezolve board, having been the managing director or executive director of several businesses, including BMW (GB) Ltd, Volvo GB, Volkswagen/Audi, Grundig (GB) Ltd, and Hasselblad (US and UK).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Anthony Sharp.</w:t>
      </w:r>
    </w:p>
    <w:p>
      <w:pPr>
        <w:spacing w:after="0" w:line="60"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Mr. Sharp has served as a director on the board of directors of Rezolve since August 2016. Prior to joining Rezolve, he has been an early- stage investor, including in lastminute.com, GoAmerica, and Silicon.com. He has participated on 42 boards across the fintech, security, marine, media, leisure, manufacturing, hospitality and property sectors as a chairman, non-executive director and executive director. Rezolve believes Mr. Sharp is qualified to serve on the board because of his long history of serving on the boards of various companies.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Sir David Wright.</w:t>
      </w:r>
    </w:p>
    <w:p>
      <w:pPr>
        <w:spacing w:after="0" w:line="60" w:lineRule="exact"/>
        <w:rPr>
          <w:sz w:val="20"/>
          <w:szCs w:val="20"/>
          <w:color w:val="auto"/>
        </w:rPr>
      </w:pPr>
    </w:p>
    <w:p>
      <w:pPr>
        <w:jc w:val="both"/>
        <w:ind w:right="40" w:firstLine="480"/>
        <w:spacing w:after="0" w:line="245" w:lineRule="auto"/>
        <w:rPr>
          <w:sz w:val="20"/>
          <w:szCs w:val="20"/>
          <w:color w:val="auto"/>
        </w:rPr>
      </w:pPr>
      <w:r>
        <w:rPr>
          <w:rFonts w:ascii="Times New Roman" w:cs="Times New Roman" w:eastAsia="Times New Roman" w:hAnsi="Times New Roman"/>
          <w:sz w:val="10"/>
          <w:szCs w:val="10"/>
          <w:color w:val="auto"/>
        </w:rPr>
        <w:t>Sir Wright has served as a director on the board of directors of Rezolve since August 2019. Prior to joining Rezolve, he was Vice-Chairman of Barclays from 2003 to 2018, Private Secretary to HRH The Prince of Wales from 1988 to 1990 and the first CEO of British Trade International, subsequently UK Trade and Investment, from 1976 to 1980. He served as ambassador to South Korea from 1990 to 1994 and ambassador to Japan from 1996 to 1999. He also holds the honours of GCMG (Knight Grand Cross of the Order of St Michael and St George) and LVO (Lieutenant Royal Victorian Order Grand Cordon of the Rising Sun). Rezolve believes Sir David Wright is qualified to serve on the board because of his diverse diplomatic and financial experience.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Stephen Herbert.</w:t>
      </w:r>
    </w:p>
    <w:p>
      <w:pPr>
        <w:spacing w:after="0" w:line="60"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Mr. Herbert has served as a director on the board of directors of Rezolve since August 2024. Prior to joining Rezolve, he served as Chief Executive Officer and Chairman of Armada since its inception in November 2020. Mr. Herbert was affiliated with USAT in various positions from April 1996 to October 2019, most recently as CEO from November 2011 until he left the company. From 1986 to April 1996, Mr. Herbert was employed by Pepsi-Cola, the beverage division of PepsiCo, Inc., in various capacities, most recently as Manager of Market Strategy where he was responsible for directing development of market strategy for the vending channel, and subsequently, the supermarket channel for Pepsi-Cola in North America. Mr. Herbert graduated with a Bachelor of Science degree from Louisiana State University. Rezolve believes Mr. Herbert is qualified to serve on the board because of his executive leadership at USAT, including his significant knowledge of and experience with its financial technology and payments business, his experience building and scaling high growth fintech companies, and his public board experience with Armada.</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Executive Officers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Peter Vesco.</w:t>
      </w:r>
    </w:p>
    <w:p>
      <w:pPr>
        <w:spacing w:after="0" w:line="60" w:lineRule="exact"/>
        <w:rPr>
          <w:sz w:val="20"/>
          <w:szCs w:val="20"/>
          <w:color w:val="auto"/>
        </w:rPr>
      </w:pPr>
    </w:p>
    <w:p>
      <w:pPr>
        <w:ind w:right="200" w:firstLine="480"/>
        <w:spacing w:after="0" w:line="245" w:lineRule="auto"/>
        <w:rPr>
          <w:sz w:val="20"/>
          <w:szCs w:val="20"/>
          <w:color w:val="auto"/>
        </w:rPr>
      </w:pPr>
      <w:r>
        <w:rPr>
          <w:rFonts w:ascii="Times New Roman" w:cs="Times New Roman" w:eastAsia="Times New Roman" w:hAnsi="Times New Roman"/>
          <w:sz w:val="10"/>
          <w:szCs w:val="10"/>
          <w:color w:val="auto"/>
        </w:rPr>
        <w:t>Mr. Vesco has served as the Chief Commercial Officer and General Manager (EMEA) of Rezolve since March 2020. Prior to joining Rezolve, he has held executive roles in numerous companies, including as CEO of ClickandBuy and SVP of Deutsche Telekom Payments (between 2011 and 2016) and President Hypercom EMEA (between 2009 and 2016) . He also served on the Advisory Board of Mastercard Europe from 2012 to 2016. He holds a Masters degree in Philosophy and Theology from Goethe-Universität Frankfurt, a degree in Marketing and Product Management and a degree in business administration from the University of Huddersfield.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Richard Burchill.</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Mr. Burchill has served as the Chief Financial Officer of Rezolve since September 2021. Prior to serving as Chief Financial Officer of Rezolve, Mr. Burchill served as Group Finance Director with Rezolve. Prior to joining Rezolve, he was the Group Treasurer at Arcadia Group Ltd from 1999 to 2021. From 2014 to 2021, he served as a director of the main operating board of Arcadia</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0"/>
          <w:szCs w:val="10"/>
          <w:color w:val="auto"/>
        </w:rPr>
        <w:t>Group Ltd. He also served as director of card services at Arcadia Group Ltd from 2006 to 2021. He holds a degree in Accounting and Finance from Middlesex University and is a member of the Chartered Institute of Management Accountants.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Sauvik Banerjjee.</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Mr. Banerjjee has served as the CEO Products, Technology, and Digital Services of Rezolve since August 2022. Prior to serving as the Chief Executive Officer of Products, Technology, and Digital Services of Rezolve, Mr. Banerjee was the Chief Technology Officer and founding team member at Tata Digital and Tata Neu - The Super App. He was also the founding Chief Technology Officer of TataCli0. Prior to that, he held various management positions, including positions at SAP, Accenture and Infosys. He completed research on Natural Language Processing and Physical Robotics at the University of Sunderland and the University of Durham, and he holds a Master’s Degree in Economics and Financial Computing from the University of Calcutta.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Dr. Salman Ahmad.</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Dr. Ahmad has served as the Chief Technology Officer of Rezolve since October 2017. Prior to joining Rezolve, he was the CTO and co- founder of Kenja Corp, an enterprise workflow platform, from 2011 to 2017. Prior to that, he was Engineering Director at Picsel Technologies from 2006 to 2011. Salman earned a First Class Honours degree in computer science and a doctorate in 3D graphics and AI from Loughborough University.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Family Relationships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Except for Daniel Wagner, CEO and director, being the son of John Wagner, a non-executive director on the board of directors, there are no family relationships between any of the executive officers and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Foreign Private Issuer Exemption</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We are a “foreign private issuer,” as defined by the SEC. As a result, in accordance with Nasdaq rules, we will comply with home country governance requirements and certain exemptions thereunder rather than complying with Nasdaq corporate governance standards. While we expect to voluntarily follow most Nasdaq corporate governance rules, we may choose to take advantage of certain limited exemptions, such as: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•Exemption from filing quarterly reports on Form 10-Q containing unaudited financial and other specified information or current reports on Form 8-K upon the occurrence of specified significant events;</w:t>
      </w:r>
    </w:p>
    <w:p>
      <w:pPr>
        <w:spacing w:after="0" w:line="58" w:lineRule="exact"/>
        <w:rPr>
          <w:sz w:val="20"/>
          <w:szCs w:val="20"/>
          <w:color w:val="auto"/>
        </w:rPr>
      </w:pPr>
    </w:p>
    <w:p>
      <w:pPr>
        <w:ind w:left="480" w:right="960"/>
        <w:spacing w:after="0" w:line="360" w:lineRule="auto"/>
        <w:rPr>
          <w:sz w:val="20"/>
          <w:szCs w:val="20"/>
          <w:color w:val="auto"/>
        </w:rPr>
      </w:pPr>
      <w:r>
        <w:rPr>
          <w:rFonts w:ascii="Times New Roman" w:cs="Times New Roman" w:eastAsia="Times New Roman" w:hAnsi="Times New Roman"/>
          <w:sz w:val="10"/>
          <w:szCs w:val="10"/>
          <w:color w:val="auto"/>
        </w:rPr>
        <w:t>•Exemption from Section 16 under the Exchange Act, which requires insiders to file public reports of their securities ownership and trading activities and provides for liability for insiders who profit from trades in a short period of time; •Exemption from the Nasdaq rules applicable to domestic issuers requiring disclosure within four business days of any determination to grant a waiver of the code of business conduct and ethics to directors and officers; •Exemption from the requirement to obtain shareholder approval for certain issuances of securities, including shareholder approval of share option plans;</w:t>
      </w:r>
    </w:p>
    <w:p>
      <w:pPr>
        <w:ind w:left="480"/>
        <w:spacing w:after="0"/>
        <w:rPr>
          <w:sz w:val="20"/>
          <w:szCs w:val="20"/>
          <w:color w:val="auto"/>
        </w:rPr>
      </w:pPr>
      <w:r>
        <w:rPr>
          <w:rFonts w:ascii="Times New Roman" w:cs="Times New Roman" w:eastAsia="Times New Roman" w:hAnsi="Times New Roman"/>
          <w:sz w:val="10"/>
          <w:szCs w:val="10"/>
          <w:color w:val="auto"/>
        </w:rPr>
        <w:t>•Exemption from the requirement that our board have a compensation committee that is composed entirely of independent directors with a written charter addressing the committee’s purpose and responsibilities; and</w:t>
      </w:r>
    </w:p>
    <w:p>
      <w:pPr>
        <w:spacing w:after="0" w:line="58" w:lineRule="exact"/>
        <w:rPr>
          <w:sz w:val="20"/>
          <w:szCs w:val="20"/>
          <w:color w:val="auto"/>
        </w:rPr>
      </w:pPr>
    </w:p>
    <w:p>
      <w:pPr>
        <w:ind w:left="480" w:right="140"/>
        <w:spacing w:after="0" w:line="255" w:lineRule="auto"/>
        <w:rPr>
          <w:sz w:val="20"/>
          <w:szCs w:val="20"/>
          <w:color w:val="auto"/>
        </w:rPr>
      </w:pPr>
      <w:r>
        <w:rPr>
          <w:rFonts w:ascii="Times New Roman" w:cs="Times New Roman" w:eastAsia="Times New Roman" w:hAnsi="Times New Roman"/>
          <w:sz w:val="10"/>
          <w:szCs w:val="10"/>
          <w:color w:val="auto"/>
        </w:rPr>
        <w:t>•Exemption from the requirements that director nominees are selected, or recommended for selection by our board, either by (i) independent directors constituting a majority of our board’s independent directors in a vote in which only independent directors participate, or (ii) a committee comprised solely of independent directors, and that a formal written charter or board resolution, as applicable, addressing the nominations process is adopted.</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Furthermore, Nasdaq Rule 5615(a)(3) provides that a foreign private issuer, such as us,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We intend to comply with the Nasdaq corporate governance rules applicable to foreign private issuers, which means that we are permitted to follow certain corporate governance rules that conform to U.K. requirements in lieu of many of the Nasdaq corporate governance rules. Accordingly, our shareholders will not have the same protections afforded to shareholders of companies that are subject to all of the corporate governance requirements of Nasdaq. We may utilize these exemptions for as long as we continue to qualify as a foreign private issuer.</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5" w:right="66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0"/>
          <w:szCs w:val="10"/>
          <w:b w:val="1"/>
          <w:bCs w:val="1"/>
          <w:i w:val="1"/>
          <w:iCs w:val="1"/>
          <w:color w:val="auto"/>
        </w:rPr>
        <w:t>Controlled Company Exemption</w:t>
      </w:r>
    </w:p>
    <w:p>
      <w:pPr>
        <w:spacing w:after="0" w:line="6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Daniel Wagner, the Rezolve Founder and Chief Executive Officer controls 75% of the voting power of our outstanding capital stock. As a result, we are a “controlled company” within the meaning of the Nasdaq listing standards. Under these rules, a company of which more than 50% of the voting power is held by an individual, group or another company is a “controlled company” and may elect not to comply with certain corporate governance requirements, including:</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 the requirement that a majority of the board of directors consist of independent directors;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requirement that we have a compensation committee that is composed entirely of independent directors with a written charter addressing the committee’s purpose and responsibilities;</w:t>
      </w:r>
    </w:p>
    <w:p>
      <w:pPr>
        <w:spacing w:after="0" w:line="58" w:lineRule="exact"/>
        <w:rPr>
          <w:sz w:val="20"/>
          <w:szCs w:val="20"/>
          <w:color w:val="auto"/>
        </w:rPr>
      </w:pPr>
    </w:p>
    <w:p>
      <w:pPr>
        <w:ind w:left="480" w:right="1780"/>
        <w:spacing w:after="0" w:line="380" w:lineRule="auto"/>
        <w:rPr>
          <w:sz w:val="20"/>
          <w:szCs w:val="20"/>
          <w:color w:val="auto"/>
        </w:rPr>
      </w:pPr>
      <w:r>
        <w:rPr>
          <w:rFonts w:ascii="Times New Roman" w:cs="Times New Roman" w:eastAsia="Times New Roman" w:hAnsi="Times New Roman"/>
          <w:sz w:val="10"/>
          <w:szCs w:val="10"/>
          <w:color w:val="auto"/>
        </w:rPr>
        <w:t>•the requirement that we have a nominating and corporate governance committee that is composed entirely of independent directors with a written charter addressing the committee’s purpose and responsibilities; and •the requirement for an annual performance evaluation of the nominating and corporate governance and compensation committees.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the event that we cease to be a “controlled company” and our shares continue to be listed on the Nasdaq, we will be required to comply with these provisions within the applicable transition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Corporate Governance</w:t>
      </w:r>
    </w:p>
    <w:p>
      <w:pPr>
        <w:spacing w:after="0" w:line="60" w:lineRule="exact"/>
        <w:rPr>
          <w:sz w:val="20"/>
          <w:szCs w:val="20"/>
          <w:color w:val="auto"/>
        </w:rPr>
      </w:pPr>
    </w:p>
    <w:p>
      <w:pPr>
        <w:ind w:right="160" w:firstLine="480"/>
        <w:spacing w:after="0" w:line="245" w:lineRule="auto"/>
        <w:rPr>
          <w:sz w:val="20"/>
          <w:szCs w:val="20"/>
          <w:color w:val="auto"/>
        </w:rPr>
      </w:pPr>
      <w:r>
        <w:rPr>
          <w:rFonts w:ascii="Times New Roman" w:cs="Times New Roman" w:eastAsia="Times New Roman" w:hAnsi="Times New Roman"/>
          <w:sz w:val="10"/>
          <w:szCs w:val="10"/>
          <w:color w:val="auto"/>
        </w:rPr>
        <w:t>We are a “foreign private issuer,” under the securities laws of the U.S. and the rules of Nasdaq. Under the applicable securities laws of the U.S., “foreign private issuers” are subject to different disclosure requirements than U.S. domiciled issuers. Under Nasdaq’s rules, a “foreign private issuer” is subject to less stringent corporate governance and compliance requirements and subject to certain exceptions, Nasdaq permits a “foreign private issuer” to follow its home country’s practice in lieu of the listing requirementsof Nasdaq. Accordingly, our shareholders may not receive the same protections afforded to shareholders of companies that are subject to all of Nasdaq’s corporate governance requirements.</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addition, we are an “emerging growth company” as defined in the JOBS Act and have elected to comply with certain reduced public company reporting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Independence of Directors</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As a result of the Ordinary Shares and Public Warrants being listed on Nasdaq, we adhere to the rules of Nasdaq in determining whether a director is independent. Our board of directors has consulted, and will consult, with its counsel to ensure that our board of directors’ determinations are consistent with those rules and all relevant securities and other laws and regulations regarding the independence of directors. Nasdaq listing standards define an “independent director” as a person, other than an executive officer of a company or any other individual having a relationship which, in the opinion of the Rezolve Board, would interfere with the exercise of independent judgment in carrying out the responsibilities of a director. Our board of directors has determined that each of our directors, except for Daniel Wagner, John Wagner and Stephen Herbert, is independent.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Rezolve Board of Directors Composition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Our board of directors is comprised of eight directors (provided that Daniel Wagner has the right to appoint an additional director to the Board from time to time), five of whom qualify as independent directors as defined in the Nasdaq listing requirements.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Daniel Wagner serves as the Chairman of the board of directors and Anthony Sharp serves as deputy Chairman.</w:t>
      </w:r>
    </w:p>
    <w:p>
      <w:pPr>
        <w:spacing w:after="0" w:line="108" w:lineRule="exact"/>
        <w:rPr>
          <w:sz w:val="20"/>
          <w:szCs w:val="20"/>
          <w:color w:val="auto"/>
        </w:rPr>
      </w:pPr>
    </w:p>
    <w:p>
      <w:pPr>
        <w:ind w:right="200" w:firstLine="480"/>
        <w:spacing w:after="0" w:line="245" w:lineRule="auto"/>
        <w:rPr>
          <w:sz w:val="20"/>
          <w:szCs w:val="20"/>
          <w:color w:val="auto"/>
        </w:rPr>
      </w:pPr>
      <w:r>
        <w:rPr>
          <w:rFonts w:ascii="Times New Roman" w:cs="Times New Roman" w:eastAsia="Times New Roman" w:hAnsi="Times New Roman"/>
          <w:sz w:val="10"/>
          <w:szCs w:val="10"/>
          <w:color w:val="auto"/>
        </w:rPr>
        <w:t>Directors may be appointed and removed by an ordinary resolution of the shareholders. In addition, directors may be appointed either to fill a vacancy arising from the resignation of a former director or as an addition to the existing board by the affirmative vote of a simple majority of the directors present and voting at a board meeting. A director may be removed by a resolution passed by all of the other directors at a meeting of the directors, or by written notice from all of the other directors. Each of our directors holds office until he or she resigns or is vacated from office. There will be a three-year rotation pattern.</w:t>
      </w:r>
    </w:p>
    <w:p>
      <w:pPr>
        <w:spacing w:after="0" w:line="105"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Our board is divided into three classes serving staggered three year terms.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 Mr. Stephen Herbert is a Class I director and will serve until our annual meeting in 2025. Messrs. Anthony Sharp, Sir David Wright, Stephen Perry and Derek Smith, are Class II</w:t>
      </w:r>
    </w:p>
    <w:p>
      <w:pPr>
        <w:spacing w:after="0" w:line="1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0"/>
          <w:szCs w:val="10"/>
          <w:color w:val="auto"/>
        </w:rPr>
        <w:t>directors and will serve until our annual meeting in 2026. Messrs. Dan Wagner and John Wagner are Class III directors and will serve until our annual meeting in 2027.</w:t>
      </w:r>
    </w:p>
    <w:p>
      <w:pPr>
        <w:spacing w:after="0" w:line="118"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Our board of directors has determined that Anthony Sharp, Sir David Wright, Stephen Perry and Derek Smith would satisfy the general independence requirements under SEC and Nasdaq rules. Audit committee members must also satisfy the independence criteria set forth in Rule 10A-3 under the Exchange Act and the listing requirements of the Nasdaq.</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Role of Rezolve Board of Directors in Risk Oversight</w:t>
      </w:r>
    </w:p>
    <w:p>
      <w:pPr>
        <w:spacing w:after="0" w:line="60" w:lineRule="exact"/>
        <w:rPr>
          <w:sz w:val="20"/>
          <w:szCs w:val="20"/>
          <w:color w:val="auto"/>
        </w:rPr>
      </w:pPr>
    </w:p>
    <w:p>
      <w:pPr>
        <w:ind w:right="160" w:firstLine="480"/>
        <w:spacing w:after="0" w:line="277" w:lineRule="auto"/>
        <w:rPr>
          <w:sz w:val="20"/>
          <w:szCs w:val="20"/>
          <w:color w:val="auto"/>
        </w:rPr>
      </w:pPr>
      <w:r>
        <w:rPr>
          <w:rFonts w:ascii="Times New Roman" w:cs="Times New Roman" w:eastAsia="Times New Roman" w:hAnsi="Times New Roman"/>
          <w:sz w:val="9"/>
          <w:szCs w:val="9"/>
          <w:color w:val="auto"/>
        </w:rPr>
        <w:t>One of the key functions of our board of directors is informed oversight of our risk management process. Our board of directors does not have a standing risk management committee but our board of directors oversees risk management, and the various standing committees of the board of directors addresses risks inherent in their respective areas of oversight. In particular, the board of directors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 The audit committee also monitors compliance with legal and regulatory requirements. Our remuneration committee also assess and monitor whether our compensation plans, policies and programs comply with applicable legal and regulatory requirements.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Committees of the Rezolve Board of Directors</w:t>
      </w:r>
    </w:p>
    <w:p>
      <w:pPr>
        <w:spacing w:after="0" w:line="118" w:lineRule="exact"/>
        <w:rPr>
          <w:sz w:val="20"/>
          <w:szCs w:val="20"/>
          <w:color w:val="auto"/>
        </w:rPr>
      </w:pPr>
    </w:p>
    <w:p>
      <w:pPr>
        <w:ind w:right="80" w:firstLine="480"/>
        <w:spacing w:after="0" w:line="259" w:lineRule="auto"/>
        <w:rPr>
          <w:sz w:val="20"/>
          <w:szCs w:val="20"/>
          <w:color w:val="auto"/>
        </w:rPr>
      </w:pPr>
      <w:r>
        <w:rPr>
          <w:rFonts w:ascii="Times New Roman" w:cs="Times New Roman" w:eastAsia="Times New Roman" w:hAnsi="Times New Roman"/>
          <w:sz w:val="10"/>
          <w:szCs w:val="10"/>
          <w:color w:val="auto"/>
        </w:rPr>
        <w:t>Following the Closing, the board of directors established three standing committees: (i) an audit committee (the "</w:t>
      </w:r>
      <w:r>
        <w:rPr>
          <w:rFonts w:ascii="Times New Roman" w:cs="Times New Roman" w:eastAsia="Times New Roman" w:hAnsi="Times New Roman"/>
          <w:sz w:val="10"/>
          <w:szCs w:val="10"/>
          <w:b w:val="1"/>
          <w:bCs w:val="1"/>
          <w:i w:val="1"/>
          <w:iCs w:val="1"/>
          <w:color w:val="auto"/>
        </w:rPr>
        <w:t>Audit Committee</w:t>
      </w:r>
      <w:r>
        <w:rPr>
          <w:rFonts w:ascii="Times New Roman" w:cs="Times New Roman" w:eastAsia="Times New Roman" w:hAnsi="Times New Roman"/>
          <w:sz w:val="10"/>
          <w:szCs w:val="10"/>
          <w:color w:val="auto"/>
        </w:rPr>
        <w:t xml:space="preserve">"), (ii) a remuneration committee (the " </w:t>
      </w:r>
      <w:r>
        <w:rPr>
          <w:rFonts w:ascii="Times New Roman" w:cs="Times New Roman" w:eastAsia="Times New Roman" w:hAnsi="Times New Roman"/>
          <w:sz w:val="10"/>
          <w:szCs w:val="10"/>
          <w:b w:val="1"/>
          <w:bCs w:val="1"/>
          <w:i w:val="1"/>
          <w:iCs w:val="1"/>
          <w:color w:val="auto"/>
        </w:rPr>
        <w:t>Remuneration Committee</w:t>
      </w:r>
      <w:r>
        <w:rPr>
          <w:rFonts w:ascii="Times New Roman" w:cs="Times New Roman" w:eastAsia="Times New Roman" w:hAnsi="Times New Roman"/>
          <w:sz w:val="10"/>
          <w:szCs w:val="10"/>
          <w:color w:val="auto"/>
        </w:rPr>
        <w:t>"), and (iii) a nominating and corporate governance committee (the "</w:t>
      </w:r>
      <w:r>
        <w:rPr>
          <w:rFonts w:ascii="Times New Roman" w:cs="Times New Roman" w:eastAsia="Times New Roman" w:hAnsi="Times New Roman"/>
          <w:sz w:val="10"/>
          <w:szCs w:val="10"/>
          <w:b w:val="1"/>
          <w:bCs w:val="1"/>
          <w:i w:val="1"/>
          <w:iCs w:val="1"/>
          <w:color w:val="auto"/>
        </w:rPr>
        <w:t>Nominating and Corporate Governance Committee</w:t>
      </w:r>
      <w:r>
        <w:rPr>
          <w:rFonts w:ascii="Times New Roman" w:cs="Times New Roman" w:eastAsia="Times New Roman" w:hAnsi="Times New Roman"/>
          <w:sz w:val="10"/>
          <w:szCs w:val="10"/>
          <w:color w:val="auto"/>
        </w:rPr>
        <w:t>"). In addition, from time to time, special committees may be established under the direction of our board of directors when necessary to address specific issues.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Audit Committee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Audit Committee is responsible for, among other things:</w:t>
      </w:r>
    </w:p>
    <w:p>
      <w:pPr>
        <w:spacing w:after="0" w:line="58" w:lineRule="exact"/>
        <w:rPr>
          <w:sz w:val="20"/>
          <w:szCs w:val="20"/>
          <w:color w:val="auto"/>
        </w:rPr>
      </w:pPr>
    </w:p>
    <w:p>
      <w:pPr>
        <w:ind w:left="480" w:right="4320"/>
        <w:spacing w:after="0" w:line="360" w:lineRule="auto"/>
        <w:rPr>
          <w:sz w:val="20"/>
          <w:szCs w:val="20"/>
          <w:color w:val="auto"/>
        </w:rPr>
      </w:pPr>
      <w:r>
        <w:rPr>
          <w:rFonts w:ascii="Times New Roman" w:cs="Times New Roman" w:eastAsia="Times New Roman" w:hAnsi="Times New Roman"/>
          <w:sz w:val="10"/>
          <w:szCs w:val="10"/>
          <w:color w:val="auto"/>
        </w:rPr>
        <w:t>•meeting with our independent registered accounting firm regarding, among other issues, audits, and adequacy of our accounting and control systems; •monitoring the independence of the independent registered public accounting firm;</w:t>
      </w:r>
    </w:p>
    <w:p>
      <w:pPr>
        <w:ind w:left="480" w:right="3000"/>
        <w:spacing w:after="0" w:line="360" w:lineRule="auto"/>
        <w:rPr>
          <w:sz w:val="20"/>
          <w:szCs w:val="20"/>
          <w:color w:val="auto"/>
        </w:rPr>
      </w:pPr>
      <w:r>
        <w:rPr>
          <w:rFonts w:ascii="Times New Roman" w:cs="Times New Roman" w:eastAsia="Times New Roman" w:hAnsi="Times New Roman"/>
          <w:sz w:val="10"/>
          <w:szCs w:val="10"/>
          <w:color w:val="auto"/>
        </w:rPr>
        <w:t>•verifying the rotation of the lead (or coordinating) audit partner having primary responsibility for the audit and the audit partner responsible for reviewing the audit as required by law; •inquiring and discussing with management our compliance with applicable laws and regulations;</w:t>
      </w:r>
    </w:p>
    <w:p>
      <w:pPr>
        <w:ind w:left="480" w:right="2440"/>
        <w:spacing w:after="0" w:line="360" w:lineRule="auto"/>
        <w:rPr>
          <w:sz w:val="20"/>
          <w:szCs w:val="20"/>
          <w:color w:val="auto"/>
        </w:rPr>
      </w:pPr>
      <w:r>
        <w:rPr>
          <w:rFonts w:ascii="Times New Roman" w:cs="Times New Roman" w:eastAsia="Times New Roman" w:hAnsi="Times New Roman"/>
          <w:sz w:val="10"/>
          <w:szCs w:val="10"/>
          <w:color w:val="auto"/>
        </w:rPr>
        <w:t>•pre-approving all audit services and permitted non-audit services to be performed by our independent registered public accounting firm, including the fees and terms of the services to be performed; •appointing or replacing the independent registered public accounting firm;</w:t>
      </w:r>
    </w:p>
    <w:p>
      <w:pPr>
        <w:ind w:left="480" w:right="160"/>
        <w:spacing w:after="0" w:line="255" w:lineRule="auto"/>
        <w:rPr>
          <w:sz w:val="20"/>
          <w:szCs w:val="20"/>
          <w:color w:val="auto"/>
        </w:rPr>
      </w:pPr>
      <w:r>
        <w:rPr>
          <w:rFonts w:ascii="Times New Roman" w:cs="Times New Roman" w:eastAsia="Times New Roman" w:hAnsi="Times New Roman"/>
          <w:sz w:val="10"/>
          <w:szCs w:val="10"/>
          <w:color w:val="auto"/>
        </w:rPr>
        <w:t>•determining the compensation and oversight of the work of the independent registered public accounting firm (including resolution of disagreements between management and the independent registered public accounting firm regarding financial reporting) for the purpose of preparing or issuing an audit report or related work;</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•reviewing our policies on risk assessment and risk management;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•reviewing related person transactions.</w:t>
      </w:r>
    </w:p>
    <w:p>
      <w:pPr>
        <w:spacing w:after="0" w:line="11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Our Audit Committee consists of Anthony Sharp, Derek Smith and Sir David Wright, with Sir David Wright serving as the chair of the committee. Each of the directors who serves on the audit committee qualifies as an independent director according to the applicable rules and regulations of the SEC and Nasdaq with respect to audit committee membership. In addition, all of the audit committee members meet the requirements for financial literacy under applicable SEC and Nasdaq rules and at least one of the audit committee members will qualify as an “audit committee financial expert,” as such term is defined in Item 407(d) of Regulation S-K. Our board of directors has adopted written terms of reference for the Audit Committee, which are available on our website.</w:t>
      </w:r>
    </w:p>
    <w:p>
      <w:pPr>
        <w:spacing w:after="0" w:line="1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0"/>
          <w:szCs w:val="10"/>
          <w:b w:val="1"/>
          <w:bCs w:val="1"/>
          <w:i w:val="1"/>
          <w:iCs w:val="1"/>
          <w:color w:val="auto"/>
        </w:rPr>
        <w:t>Remuneration Committee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Remuneration Committee is responsible for, among other things:</w:t>
      </w:r>
    </w:p>
    <w:p>
      <w:pPr>
        <w:spacing w:after="0" w:line="58" w:lineRule="exact"/>
        <w:rPr>
          <w:sz w:val="20"/>
          <w:szCs w:val="20"/>
          <w:color w:val="auto"/>
        </w:rPr>
      </w:pPr>
    </w:p>
    <w:p>
      <w:pPr>
        <w:ind w:left="480"/>
        <w:spacing w:after="0" w:line="255" w:lineRule="auto"/>
        <w:rPr>
          <w:sz w:val="20"/>
          <w:szCs w:val="20"/>
          <w:color w:val="auto"/>
        </w:rPr>
      </w:pPr>
      <w:r>
        <w:rPr>
          <w:rFonts w:ascii="Times New Roman" w:cs="Times New Roman" w:eastAsia="Times New Roman" w:hAnsi="Times New Roman"/>
          <w:sz w:val="10"/>
          <w:szCs w:val="10"/>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•reviewing and approving the compensation of all of our other executive officers;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•reviewing our executive compensation policies and plans;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•implementing and administering our incentive compensation equity-based remuneration plans;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•assisting management in complying with any disclosure requirements;</w:t>
      </w:r>
    </w:p>
    <w:p>
      <w:pPr>
        <w:spacing w:after="0" w:line="58" w:lineRule="exact"/>
        <w:rPr>
          <w:sz w:val="20"/>
          <w:szCs w:val="20"/>
          <w:color w:val="auto"/>
        </w:rPr>
      </w:pPr>
    </w:p>
    <w:p>
      <w:pPr>
        <w:ind w:left="480" w:right="4420"/>
        <w:spacing w:after="0" w:line="370" w:lineRule="auto"/>
        <w:rPr>
          <w:sz w:val="20"/>
          <w:szCs w:val="20"/>
          <w:color w:val="auto"/>
        </w:rPr>
      </w:pPr>
      <w:r>
        <w:rPr>
          <w:rFonts w:ascii="Times New Roman" w:cs="Times New Roman" w:eastAsia="Times New Roman" w:hAnsi="Times New Roman"/>
          <w:sz w:val="10"/>
          <w:szCs w:val="10"/>
          <w:color w:val="auto"/>
        </w:rPr>
        <w:t>•approving all special perquisites, special cash payments and other special compensation and benefit arrangements for our officers and employees; •reviewing, evaluating and recommending changes, if appropriate, to the remuneration for directors.; and •retaining and overseeing any compensation consultants.</w:t>
      </w:r>
    </w:p>
    <w:p>
      <w:pPr>
        <w:spacing w:after="0" w:line="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Our Remuneration Committee consists of Anthony Sharp and Steve Perry, with Steve Perry serving as the chair of the committee. Our board of directors has adopted a written terms of reference for the Remuneration Committee, which is available on our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website.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Nominating and Corporate Governance Committee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Nominating and Corporate Governance Committee is responsible for, among other things: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individuals qualified to become members of our board of directors;</w:t>
      </w:r>
    </w:p>
    <w:p>
      <w:pPr>
        <w:spacing w:after="0" w:line="58" w:lineRule="exact"/>
        <w:rPr>
          <w:sz w:val="20"/>
          <w:szCs w:val="20"/>
          <w:color w:val="auto"/>
        </w:rPr>
      </w:pPr>
    </w:p>
    <w:p>
      <w:pPr>
        <w:ind w:left="480" w:right="4280"/>
        <w:spacing w:after="0" w:line="360" w:lineRule="auto"/>
        <w:rPr>
          <w:sz w:val="20"/>
          <w:szCs w:val="20"/>
          <w:color w:val="auto"/>
        </w:rPr>
      </w:pPr>
      <w:r>
        <w:rPr>
          <w:rFonts w:ascii="Times New Roman" w:cs="Times New Roman" w:eastAsia="Times New Roman" w:hAnsi="Times New Roman"/>
          <w:sz w:val="10"/>
          <w:szCs w:val="10"/>
          <w:color w:val="auto"/>
        </w:rPr>
        <w:t>•recommending to our board of directors the persons to be nominated for election as directors and to each of the committees of our board of directors; •reviewing and making recommendations to our board of directors with respect to our board leadership structure; •reviewing and making recommendations to our board of directors with respect to management succession planning; and</w:t>
      </w:r>
    </w:p>
    <w:p>
      <w:pPr>
        <w:ind w:left="480"/>
        <w:spacing w:after="0"/>
        <w:rPr>
          <w:sz w:val="20"/>
          <w:szCs w:val="20"/>
          <w:color w:val="auto"/>
        </w:rPr>
      </w:pPr>
      <w:r>
        <w:rPr>
          <w:rFonts w:ascii="Times New Roman" w:cs="Times New Roman" w:eastAsia="Times New Roman" w:hAnsi="Times New Roman"/>
          <w:sz w:val="10"/>
          <w:szCs w:val="10"/>
          <w:color w:val="auto"/>
        </w:rPr>
        <w:t>•developing and recommending to our board of directors corporate governance principles.</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Our Nominating and Corporate Governance Committee consists of Daniel Wagner, Sir David Wright and Derek Smith, with Derek Smith serving as the chair of the committee. Our board of directors has adopted a written terms of reference for the Nominating and Corporate Governance Committee, which is available on our website.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Code of Ethics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board of directors has adopted a Code of Ethics applicable to our directors, executive officers and team members that complies with the rules and regulations of the SEC and Nasdaq. The Code of Ethics is available on our website.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Limitation on Liability and Indemnification of Officers and Directors</w:t>
      </w:r>
    </w:p>
    <w:p>
      <w:pPr>
        <w:spacing w:after="0" w:line="60" w:lineRule="exact"/>
        <w:rPr>
          <w:sz w:val="20"/>
          <w:szCs w:val="20"/>
          <w:color w:val="auto"/>
        </w:rPr>
      </w:pPr>
    </w:p>
    <w:p>
      <w:pPr>
        <w:ind w:firstLine="480"/>
        <w:spacing w:after="0" w:line="270" w:lineRule="auto"/>
        <w:rPr>
          <w:sz w:val="20"/>
          <w:szCs w:val="20"/>
          <w:color w:val="auto"/>
        </w:rPr>
      </w:pPr>
      <w:r>
        <w:rPr>
          <w:rFonts w:ascii="Times New Roman" w:cs="Times New Roman" w:eastAsia="Times New Roman" w:hAnsi="Times New Roman"/>
          <w:sz w:val="9"/>
          <w:szCs w:val="9"/>
          <w:color w:val="auto"/>
        </w:rPr>
        <w:t>English law limits in certain respects the extent to which a company’s memorandum and articles of association may provide for indemnification of officers and directors. Accordingly a provision will be void if it provides an indemnity against (i) any liability of the director to pay a fine imposed in criminal proceedings, or a sum payable to a regulatory authority as a penalty for non-compliance with a regulatory requirement or (ii) liability incurred by the director in defending criminal proceedings in which he is convicted, in defending civil proceedings brought by the company in which judgement is given against him or in connection with an application for relief in which the court refuses to grant him relief. Our amended and restated memorandum and articles of association provides for indemnification of our officers and directors to the maximum extent permitted by law, including for any liability incurred in their capacities as such, except through their own actual fraud, willful default or willful neglect. In addition, we have entered into indemnification agreements with each of our executive officers and directors. The indemnification agreements provide the indemnitees with contractual rights to indemnification, and expense advancement and reimbursement, to the fullest extent permitted under English law, subject to certain exceptions contained in those agreements. We has also purchased a policy of directors’ and officers’ liability insurance effective upon completion of the Business Combination that insures our officers and directors against the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0"/>
          <w:szCs w:val="10"/>
          <w:color w:val="auto"/>
        </w:rPr>
        <w:t>cost of defense, settlement or payment of a judgment in some circumstances and insures us against our obligations to indemnify our officers and directors.</w:t>
      </w:r>
    </w:p>
    <w:p>
      <w:pPr>
        <w:spacing w:after="0" w:line="118"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These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Rezolve and its shareholders. Furthermore, a shareholder’s investment may be adversely affected to the extent we pay the costs of settlement and damage awards against its officers and directors pursuant to these indemnification provisions.</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believe that these provisions, the insurance and the indemnity agreements are necessary to attract and retain talented and experienced officers and directors.</w:t>
      </w:r>
    </w:p>
    <w:p>
      <w:pPr>
        <w:spacing w:after="0" w:line="116" w:lineRule="exact"/>
        <w:rPr>
          <w:sz w:val="20"/>
          <w:szCs w:val="20"/>
          <w:color w:val="auto"/>
        </w:rPr>
      </w:pPr>
    </w:p>
    <w:p>
      <w:pPr>
        <w:ind w:right="200" w:firstLine="480"/>
        <w:spacing w:after="0" w:line="259" w:lineRule="auto"/>
        <w:rPr>
          <w:sz w:val="20"/>
          <w:szCs w:val="20"/>
          <w:color w:val="auto"/>
        </w:rPr>
      </w:pPr>
      <w:r>
        <w:rPr>
          <w:rFonts w:ascii="Times New Roman" w:cs="Times New Roman" w:eastAsia="Times New Roman" w:hAnsi="Times New Roman"/>
          <w:sz w:val="10"/>
          <w:szCs w:val="10"/>
          <w:color w:val="auto"/>
        </w:rPr>
        <w:t>For further details on the indemnity provisions referred to in our articles of association, see the section entitled “</w:t>
      </w:r>
      <w:r>
        <w:rPr>
          <w:rFonts w:ascii="Times New Roman" w:cs="Times New Roman" w:eastAsia="Times New Roman" w:hAnsi="Times New Roman"/>
          <w:sz w:val="10"/>
          <w:szCs w:val="10"/>
          <w:i w:val="1"/>
          <w:iCs w:val="1"/>
          <w:color w:val="auto"/>
        </w:rPr>
        <w:t>Description of Ordinary Shares and Articles of Association</w:t>
      </w:r>
      <w:r>
        <w:rPr>
          <w:rFonts w:ascii="Times New Roman" w:cs="Times New Roman" w:eastAsia="Times New Roman" w:hAnsi="Times New Roman"/>
          <w:sz w:val="10"/>
          <w:szCs w:val="10"/>
          <w:color w:val="auto"/>
        </w:rPr>
        <w:t>” of this prospectus, and for a summary of the indemnification agreement, see the section entitled “</w:t>
      </w:r>
      <w:r>
        <w:rPr>
          <w:rFonts w:ascii="Times New Roman" w:cs="Times New Roman" w:eastAsia="Times New Roman" w:hAnsi="Times New Roman"/>
          <w:sz w:val="10"/>
          <w:szCs w:val="10"/>
          <w:i w:val="1"/>
          <w:iCs w:val="1"/>
          <w:color w:val="auto"/>
        </w:rPr>
        <w:t>Indemnification Agreements with Officers and Directors</w:t>
      </w:r>
      <w:r>
        <w:rPr>
          <w:rFonts w:ascii="Times New Roman" w:cs="Times New Roman" w:eastAsia="Times New Roman" w:hAnsi="Times New Roman"/>
          <w:sz w:val="10"/>
          <w:szCs w:val="10"/>
          <w:color w:val="auto"/>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Rezolve Executive Officer and Director Compensation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aggregate cash compensation paid by Rezolve and its subsidiaries to its executive officers and directors for the year ended December 31, 2022 was $2,213,626.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Executive Officer and Director Compensation Following Completion of the Proposed Transactions</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Rezolve’s policies with respect to the compensation of its executive officers will be administered by its board of directors in consultation with the remuneration committee. The compensation decisions regarding Rezolve’s executives will be based on the need to attract individuals with the skills necessary for the company to achieve its business plan, to reward those individuals fairly over time, and to retain those individuals who continue to perform at or above the company’s expectations. To that end, following completion of the Business Combination, Rezolve intends to establish an executive compensation program that is competitive with other similarly-situated companies in its industry. This is expected to include establishment of base salary, cash annual bonus and long-term equity compensation awards that are, in each case, consistent with market practices and designed to incentivize, motivate and retain key employees.</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0"/>
          <w:szCs w:val="1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40"/>
          </w:cols>
          <w:pgMar w:left="640" w:top="1095" w:right="72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0"/>
          <w:szCs w:val="10"/>
          <w:b w:val="1"/>
          <w:bCs w:val="1"/>
          <w:i w:val="1"/>
          <w:iCs w:val="1"/>
          <w:color w:val="auto"/>
        </w:rPr>
        <w:t>Service Agreement with Daniel Wagner</w:t>
      </w:r>
    </w:p>
    <w:p>
      <w:pPr>
        <w:spacing w:after="0" w:line="60" w:lineRule="exact"/>
        <w:rPr>
          <w:sz w:val="20"/>
          <w:szCs w:val="20"/>
          <w:color w:val="auto"/>
        </w:rPr>
      </w:pPr>
    </w:p>
    <w:p>
      <w:pPr>
        <w:jc w:val="both"/>
        <w:ind w:right="280" w:firstLine="480"/>
        <w:spacing w:after="0" w:line="255" w:lineRule="auto"/>
        <w:rPr>
          <w:sz w:val="20"/>
          <w:szCs w:val="20"/>
          <w:color w:val="auto"/>
        </w:rPr>
      </w:pPr>
      <w:r>
        <w:rPr>
          <w:rFonts w:ascii="Times New Roman" w:cs="Times New Roman" w:eastAsia="Times New Roman" w:hAnsi="Times New Roman"/>
          <w:sz w:val="10"/>
          <w:szCs w:val="10"/>
          <w:color w:val="auto"/>
        </w:rPr>
        <w:t>Daniel Wagner is currently engaged as Rezolve’s Chief Executive Officer under a service agreement entered into on April 1, 2016. He is entitled to a base salary of £600,000 per annum. In addition to his base salary, he is entitled to participate in a bonus scheme, which may be paid from time to time at the discretion of the remuneration committee.</w:t>
      </w:r>
    </w:p>
    <w:p>
      <w:pPr>
        <w:spacing w:after="0" w:line="101" w:lineRule="exact"/>
        <w:rPr>
          <w:sz w:val="20"/>
          <w:szCs w:val="20"/>
          <w:color w:val="auto"/>
        </w:rPr>
      </w:pPr>
    </w:p>
    <w:p>
      <w:pPr>
        <w:jc w:val="both"/>
        <w:ind w:right="260" w:firstLine="480"/>
        <w:spacing w:after="0" w:line="245" w:lineRule="auto"/>
        <w:rPr>
          <w:sz w:val="20"/>
          <w:szCs w:val="20"/>
          <w:color w:val="auto"/>
        </w:rPr>
      </w:pPr>
      <w:r>
        <w:rPr>
          <w:rFonts w:ascii="Times New Roman" w:cs="Times New Roman" w:eastAsia="Times New Roman" w:hAnsi="Times New Roman"/>
          <w:sz w:val="10"/>
          <w:szCs w:val="10"/>
          <w:color w:val="auto"/>
        </w:rPr>
        <w:t>The agreement may be terminated by either party on one year’s written notice or, immediately by us, in the event of default, which includes, but is not limited to circumstances in which, Mr. Wagner is disqualified from acting as a director, convicted of a criminal offence, declared bankrupt, found guilty of fraud or conducting gross misconduct. In the event of early termination not caused by an event of default, we may exercise our discretion to make a payment in lieu of notice to Mr. Wagner. The agreement includes certain restrictive covenants, and, upon termination, Mr. Wagner is restricted from becoming involved, directly or indirectly, with any business which is similar to or competitive with Rezolve, for a period of six months.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Service Agreement with Richard Burchill</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Richard Burchill entered into a service agreement on September 6, 2021 with a commencement date of September 13, 2021. He is entitled to an initial salary of £220,000 per annum. In addition, Richard has been granted 2,000,000 options over Ordinary Shares exercisable at nominal value per share (the number of shares to be adjusted as a result of the Company Reorganization) which are exercisable on listing of the Company or three years from the date of execution of the agreement, whichever is the earlier.</w:t>
      </w:r>
    </w:p>
    <w:p>
      <w:pPr>
        <w:spacing w:after="0" w:line="101"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During the first three months of the agreement, it could be terminated on one months’ notice. After the first three months, the agreement may be terminated by either party providing not less than three month’s written notice to the other party. The agreement can be terminated for cause by the Company with immediate effect for reasons including, but not limited to, if Mr. Burchill (i) is in breach of the Company’s corruption, bribery or related policies, (ii) is guilty of any gross misconduct affecting the business of Rezolve, (iii) commits any serious or repeated breach, (iv) is negligent and incompetent, (v) is declared bankrupt, (vi) is convicted of any criminal offence or any insider dealing offence, (vii) ceases to be eligible to work in England, (viii) is guilty of fraud or dishonesty, (ix) is guilty of a serious breach of any rules issued by the Company regarding its electronic communications systems, or (x) is unable by reason of incapacity to perform his duties for 26 weeks in a 52 week period. The agreement contains various restrictive covenants for a period of three or four months after termination, depending on the restriction in question.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Non-executive Director Letters of Appointment (John Wagner, Anthony Sharp, Sir David Wright, Derek Smith, Stephen Perry, and Stephen Herbert)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Terms of non-executive director appointment letters (John Wagner, Anthony Sharp, Sir David Wright, Derek Smith, and Stephen Perry)</w:t>
      </w:r>
    </w:p>
    <w:p>
      <w:pPr>
        <w:spacing w:after="0" w:line="60"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Rezolve has entered into letters of appointment with the above named non-executive directors which provides each director with cash compensation of £75,000 per annum for service on our board of directors. The appointment of Rezolve’s non-executive directors is for an initial period of three years and can be terminated thereafter by either Rezolve or the director upon three calendar months’ written notice.</w:t>
      </w:r>
    </w:p>
    <w:p>
      <w:pPr>
        <w:spacing w:after="0" w:line="101"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Under the non-executive director appointment letters, Rezolve may also terminate each appointment with immediate effect and without notice including when the non-executive director is disqualified from acting as a director; is not re-elected as a director when the director submits himself or herself for re-election; vacates their office under Rezolve’s articles; commits a material breach of his or her obligations under the letter of appointment and it is not remedied within 14 days of Rezolve specifying the breach and requiring its remedy; has been guilty of any fraud or dishonesty or acts in any manner which, in Rezolve’s opinion, brings or is likely to bring Rezolve into disrepute or is materially adverse to Rezolve’s interests.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Terms of non-executive director appointment letters (d Stephen Herbert)</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Rezolve has entered into letters of appointment with the above named non-executive director on the same terms as set out above with the exception of the term of appointment and compensation, which will be for a period of one year with no cash compensation.</w:t>
      </w:r>
    </w:p>
    <w:p>
      <w:pPr>
        <w:spacing w:after="0" w:line="1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101" w:name="page102"/>
    <w:bookmarkEnd w:id="101"/>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CERTAIN RELATIONSHIPS AND RELATED PARTY TRANSACTIONS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Relationship with Daniel Wagner</w:t>
      </w:r>
    </w:p>
    <w:p>
      <w:pPr>
        <w:spacing w:after="0" w:line="58" w:lineRule="exact"/>
        <w:rPr>
          <w:sz w:val="20"/>
          <w:szCs w:val="20"/>
          <w:color w:val="auto"/>
        </w:rPr>
      </w:pPr>
    </w:p>
    <w:p>
      <w:pPr>
        <w:ind w:right="20" w:firstLine="480"/>
        <w:spacing w:after="0" w:line="315" w:lineRule="auto"/>
        <w:rPr>
          <w:sz w:val="20"/>
          <w:szCs w:val="20"/>
          <w:color w:val="auto"/>
        </w:rPr>
      </w:pPr>
      <w:r>
        <w:rPr>
          <w:rFonts w:ascii="Times New Roman" w:cs="Times New Roman" w:eastAsia="Times New Roman" w:hAnsi="Times New Roman"/>
          <w:sz w:val="9"/>
          <w:szCs w:val="9"/>
          <w:color w:val="auto"/>
        </w:rPr>
        <w:t>We have debt outstanding to DBLP Sea Cow Limited (a company incorporated in the Seychelles) (“</w:t>
      </w:r>
      <w:r>
        <w:rPr>
          <w:rFonts w:ascii="Times New Roman" w:cs="Times New Roman" w:eastAsia="Times New Roman" w:hAnsi="Times New Roman"/>
          <w:sz w:val="9"/>
          <w:szCs w:val="9"/>
          <w:b w:val="1"/>
          <w:bCs w:val="1"/>
          <w:i w:val="1"/>
          <w:iCs w:val="1"/>
          <w:color w:val="auto"/>
        </w:rPr>
        <w:t>DBLP</w:t>
      </w:r>
      <w:r>
        <w:rPr>
          <w:rFonts w:ascii="Times New Roman" w:cs="Times New Roman" w:eastAsia="Times New Roman" w:hAnsi="Times New Roman"/>
          <w:sz w:val="9"/>
          <w:szCs w:val="9"/>
          <w:color w:val="auto"/>
        </w:rPr>
        <w:t>”), which is wholly legally owned by Daniel Wagner and beneficially owned by John Wagner, in the amounts of $175,000 and $477,077, an aggregate of $652,077. The loans provided by DBLP were to provide liquidity to Rezolve in 2020 and 2021. There are no formal loan documents in place and the loan is non-interest bearing and remains callable at any time. We expect the loan to be called and repaid in H2 2023.</w:t>
      </w:r>
    </w:p>
    <w:p>
      <w:pPr>
        <w:spacing w:after="0" w:line="75"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Rezolve and DBLP entered into a rolling annual consultancy agreement dated November 1, 2016. Pursuant to the terms of the agreement, DBLP is to be paid between $20,000 and $50,000 each month of the agreement. The agreement is not limited in time but has a rolling minimum 12 calendar month period and shall continue for as long as Rezolve requires services from DBLP.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Indemnification Agreements with Officers and Directors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Rezolve have entered into indemnification agreements with each of our directors and officers. The agreements provide the indemnitees with contractual rights to indemnification and expense advancement and reimbursement, to the fullest extent permitted under English law, subject to certain exceptions contained in those agreements. No indemnification, hold harmless or exoneration rights shall be available where the conduct of the indemnitee constitutes a breach of indemnitee’s fiduciary duties to the Company or its shareholders or is an act or omission not in good faith or which involves intentional misconduct or a knowing violation of the law.</w:t>
      </w:r>
    </w:p>
    <w:p>
      <w:pPr>
        <w:spacing w:after="0" w:line="105"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Rezolve has also purchased a policy of directors’ and officers’ liability insurance to be effective upon completion of the Business Combination that insures Rezolve’s officers and directors against the cost of defense, settlement or payment of a judgment in some circumstances and insures Rezolve against its obligations to indemnify its officers and directors. Rezolve shall not be obligated under the indemnification agreements to make any indemnification, advance expenses, hold harmless or exoneration payment in connection with any claim made against the indemnitee for which payment has actually been received by or on behalf of the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Policies and Procedures for Related Person Transactions</w:t>
      </w:r>
    </w:p>
    <w:p>
      <w:pPr>
        <w:spacing w:after="0" w:line="60" w:lineRule="exact"/>
        <w:rPr>
          <w:sz w:val="20"/>
          <w:szCs w:val="20"/>
          <w:color w:val="auto"/>
        </w:rPr>
      </w:pPr>
    </w:p>
    <w:p>
      <w:pPr>
        <w:ind w:right="80" w:firstLine="480"/>
        <w:spacing w:after="0" w:line="310" w:lineRule="auto"/>
        <w:rPr>
          <w:sz w:val="20"/>
          <w:szCs w:val="20"/>
          <w:color w:val="auto"/>
        </w:rPr>
      </w:pPr>
      <w:r>
        <w:rPr>
          <w:rFonts w:ascii="Times New Roman" w:cs="Times New Roman" w:eastAsia="Times New Roman" w:hAnsi="Times New Roman"/>
          <w:sz w:val="9"/>
          <w:szCs w:val="9"/>
          <w:color w:val="auto"/>
        </w:rPr>
        <w:t>The Rezolve board of directors has adopted a written related person transaction policy that sets forth the following policies and procedures for the review and approval or ratification of related person transactions. A “related person transaction” is a transaction, arrangement or relationship in which Rezolve or any of its subsidiaries was, is or will be a participant, the amount of which involved exceeds $120,000, and in which any related person had, has or will have a direct or indirect material interest. A “related person” means:</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person who is, or at any time during the applicable period was, one of Rezolve’s executive officers or directors;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person who is known by Rezolve to be the beneficial owner of more than 5% of Rezolve voting shares;</w:t>
      </w:r>
    </w:p>
    <w:p>
      <w:pPr>
        <w:spacing w:after="0" w:line="58" w:lineRule="exact"/>
        <w:rPr>
          <w:sz w:val="20"/>
          <w:szCs w:val="20"/>
          <w:color w:val="auto"/>
        </w:rPr>
      </w:pPr>
    </w:p>
    <w:p>
      <w:pPr>
        <w:ind w:left="480" w:right="40"/>
        <w:spacing w:after="0" w:line="255" w:lineRule="auto"/>
        <w:rPr>
          <w:sz w:val="20"/>
          <w:szCs w:val="20"/>
          <w:color w:val="auto"/>
        </w:rPr>
      </w:pPr>
      <w:r>
        <w:rPr>
          <w:rFonts w:ascii="Times New Roman" w:cs="Times New Roman" w:eastAsia="Times New Roman" w:hAnsi="Times New Roman"/>
          <w:sz w:val="10"/>
          <w:szCs w:val="10"/>
          <w:color w:val="auto"/>
        </w:rPr>
        <w:t>•any immediate family member of any of the foregoing persons, which means any child, stepchild, parent, stepparent, spouse, sibling, mother- in-law, father-in-law, son- in- law, daughter-in- law, brother in- law or sister-in -law of a director, executive officer or a beneficial owner of more than 5% of Rezolve’s voting shares, and any person (other than a tenant or employee) sharing the household of such director, executive officer or beneficial owner of more than 5% of Rezolve’s voting shares; and</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firm, corporation or other entity in which any of the foregoing persons is a partner or principal, or in a similar position, or in which such person has a 10% or greater beneficial ownership interest.</w:t>
      </w:r>
    </w:p>
    <w:p>
      <w:pPr>
        <w:spacing w:after="0" w:line="118"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Rezolve has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will have the responsibility to review related party transactions.</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102" w:name="page103"/>
    <w:bookmarkEnd w:id="102"/>
    <w:p>
      <w:pPr>
        <w:ind w:left="4310"/>
        <w:spacing w:after="0"/>
        <w:rPr>
          <w:sz w:val="20"/>
          <w:szCs w:val="20"/>
          <w:color w:val="auto"/>
        </w:rPr>
      </w:pPr>
      <w:r>
        <w:rPr>
          <w:rFonts w:ascii="Times New Roman" w:cs="Times New Roman" w:eastAsia="Times New Roman" w:hAnsi="Times New Roman"/>
          <w:sz w:val="10"/>
          <w:szCs w:val="10"/>
          <w:b w:val="1"/>
          <w:bCs w:val="1"/>
          <w:color w:val="auto"/>
        </w:rPr>
        <w:t>BENEFICIAL OWNERSHIP OF SECURITIES</w:t>
      </w:r>
    </w:p>
    <w:p>
      <w:pPr>
        <w:spacing w:after="0" w:line="97"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The following table sets forth information known to us regarding the beneficial ownership of our Ordinary Shares as of January 10, 2025:</w:t>
      </w:r>
    </w:p>
    <w:p>
      <w:pPr>
        <w:spacing w:after="0" w:line="5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•each person known by us to be the beneficial owner of more than 5% of ordinary shares;;</w:t>
      </w:r>
    </w:p>
    <w:p>
      <w:pPr>
        <w:spacing w:after="0" w:line="5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•each of our executive officers and directors; and</w:t>
      </w:r>
    </w:p>
    <w:p>
      <w:pPr>
        <w:spacing w:after="0" w:line="5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•all our executive officers and directors as a group.</w:t>
      </w:r>
    </w:p>
    <w:p>
      <w:pPr>
        <w:spacing w:after="0" w:line="118" w:lineRule="exact"/>
        <w:rPr>
          <w:sz w:val="20"/>
          <w:szCs w:val="20"/>
          <w:color w:val="auto"/>
        </w:rPr>
      </w:pPr>
    </w:p>
    <w:p>
      <w:pPr>
        <w:ind w:left="10" w:firstLine="480"/>
        <w:spacing w:after="0" w:line="239" w:lineRule="auto"/>
        <w:rPr>
          <w:sz w:val="20"/>
          <w:szCs w:val="20"/>
          <w:color w:val="auto"/>
        </w:rPr>
      </w:pPr>
      <w:r>
        <w:rPr>
          <w:rFonts w:ascii="Times New Roman" w:cs="Times New Roman" w:eastAsia="Times New Roman" w:hAnsi="Times New Roman"/>
          <w:sz w:val="10"/>
          <w:szCs w:val="10"/>
          <w:color w:val="auto"/>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Ordinary Shares shown as beneficially owned by such person, except as otherwise indicated in the table or footnotes below. The Company’s major shareholders do not have different voting rights from other holders of Ordinary Shares.</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The percentage of Ordinary Shares beneficially owned is computed on the basis of 208,295,754 Ordinary Shares outstanding as of January 10, 2025.</w:t>
      </w:r>
    </w:p>
    <w:p>
      <w:pPr>
        <w:spacing w:after="0" w:line="118" w:lineRule="exact"/>
        <w:rPr>
          <w:sz w:val="20"/>
          <w:szCs w:val="20"/>
          <w:color w:val="auto"/>
        </w:rPr>
      </w:pPr>
    </w:p>
    <w:p>
      <w:pPr>
        <w:ind w:left="10" w:right="360" w:firstLine="480"/>
        <w:spacing w:after="0" w:line="255" w:lineRule="auto"/>
        <w:rPr>
          <w:sz w:val="20"/>
          <w:szCs w:val="20"/>
          <w:color w:val="auto"/>
        </w:rPr>
      </w:pPr>
      <w:r>
        <w:rPr>
          <w:rFonts w:ascii="Times New Roman" w:cs="Times New Roman" w:eastAsia="Times New Roman" w:hAnsi="Times New Roman"/>
          <w:sz w:val="10"/>
          <w:szCs w:val="10"/>
          <w:color w:val="auto"/>
        </w:rPr>
        <w:t>Unless otherwise indicated, we believe that all persons named in the table below have sole voting and investment power with respect to all Ordinary Shares beneficially owned by them. To our knowledge, no Ordinary Shares beneficially owned by any executive officer, director or director nominee have been pledged as security.</w:t>
      </w:r>
    </w:p>
    <w:p>
      <w:pPr>
        <w:spacing w:after="0" w:line="189" w:lineRule="exact"/>
        <w:rPr>
          <w:sz w:val="20"/>
          <w:szCs w:val="20"/>
          <w:color w:val="auto"/>
        </w:rPr>
      </w:pPr>
    </w:p>
    <w:tbl>
      <w:tblPr>
        <w:tblLayout w:type="fixed"/>
        <w:tblInd w:w="50" w:type="dxa"/>
        <w:tblCellMar>
          <w:top w:w="0" w:type="dxa"/>
          <w:left w:w="0" w:type="dxa"/>
          <w:bottom w:w="0" w:type="dxa"/>
          <w:right w:w="0" w:type="dxa"/>
        </w:tblCellMar>
      </w:tblPr>
      <w:tr>
        <w:trPr>
          <w:trHeight w:val="149"/>
        </w:trPr>
        <w:tc>
          <w:tcPr>
            <w:tcW w:w="2660" w:type="dxa"/>
            <w:vAlign w:val="bottom"/>
          </w:tcPr>
          <w:p>
            <w:pPr>
              <w:spacing w:after="0"/>
              <w:rPr>
                <w:sz w:val="20"/>
                <w:szCs w:val="20"/>
                <w:color w:val="auto"/>
              </w:rPr>
            </w:pPr>
            <w:r>
              <w:rPr>
                <w:rFonts w:ascii="Times New Roman" w:cs="Times New Roman" w:eastAsia="Times New Roman" w:hAnsi="Times New Roman"/>
                <w:sz w:val="10"/>
                <w:szCs w:val="10"/>
                <w:b w:val="1"/>
                <w:bCs w:val="1"/>
                <w:i w:val="1"/>
                <w:iCs w:val="1"/>
                <w:color w:val="auto"/>
              </w:rPr>
              <w:t>Name of Beneficial Owners</w:t>
            </w:r>
            <w:r>
              <w:rPr>
                <w:rFonts w:ascii="Times New Roman" w:cs="Times New Roman" w:eastAsia="Times New Roman" w:hAnsi="Times New Roman"/>
                <w:sz w:val="13"/>
                <w:szCs w:val="13"/>
                <w:i w:val="1"/>
                <w:iCs w:val="1"/>
                <w:color w:val="auto"/>
                <w:vertAlign w:val="superscript"/>
              </w:rPr>
              <w:t>(1)</w:t>
            </w:r>
          </w:p>
        </w:tc>
        <w:tc>
          <w:tcPr>
            <w:tcW w:w="29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660" w:type="dxa"/>
            <w:vAlign w:val="bottom"/>
          </w:tcPr>
          <w:p>
            <w:pPr>
              <w:spacing w:after="0" w:line="99" w:lineRule="exact"/>
              <w:rPr>
                <w:sz w:val="20"/>
                <w:szCs w:val="20"/>
                <w:color w:val="auto"/>
              </w:rPr>
            </w:pPr>
            <w:r>
              <w:rPr>
                <w:rFonts w:ascii="Times New Roman" w:cs="Times New Roman" w:eastAsia="Times New Roman" w:hAnsi="Times New Roman"/>
                <w:sz w:val="10"/>
                <w:szCs w:val="10"/>
                <w:b w:val="1"/>
                <w:bCs w:val="1"/>
                <w:i w:val="1"/>
                <w:iCs w:val="1"/>
                <w:color w:val="auto"/>
              </w:rPr>
              <w:t>Directors and Executive Officers</w:t>
            </w:r>
          </w:p>
        </w:tc>
        <w:tc>
          <w:tcPr>
            <w:tcW w:w="2980" w:type="dxa"/>
            <w:vAlign w:val="bottom"/>
          </w:tcPr>
          <w:p>
            <w:pPr>
              <w:ind w:left="860"/>
              <w:spacing w:after="0" w:line="99" w:lineRule="exact"/>
              <w:rPr>
                <w:sz w:val="20"/>
                <w:szCs w:val="20"/>
                <w:color w:val="auto"/>
              </w:rPr>
            </w:pPr>
            <w:r>
              <w:rPr>
                <w:rFonts w:ascii="Times New Roman" w:cs="Times New Roman" w:eastAsia="Times New Roman" w:hAnsi="Times New Roman"/>
                <w:sz w:val="10"/>
                <w:szCs w:val="10"/>
                <w:b w:val="1"/>
                <w:bCs w:val="1"/>
                <w:i w:val="1"/>
                <w:iCs w:val="1"/>
                <w:color w:val="auto"/>
              </w:rPr>
              <w:t>Number of Shares</w:t>
            </w:r>
          </w:p>
        </w:tc>
        <w:tc>
          <w:tcPr>
            <w:tcW w:w="1680" w:type="dxa"/>
            <w:vAlign w:val="bottom"/>
          </w:tcPr>
          <w:p>
            <w:pPr>
              <w:ind w:left="1380"/>
              <w:spacing w:after="0" w:line="99" w:lineRule="exact"/>
              <w:rPr>
                <w:sz w:val="20"/>
                <w:szCs w:val="20"/>
                <w:color w:val="auto"/>
              </w:rPr>
            </w:pPr>
            <w:r>
              <w:rPr>
                <w:rFonts w:ascii="Times New Roman" w:cs="Times New Roman" w:eastAsia="Times New Roman" w:hAnsi="Times New Roman"/>
                <w:sz w:val="10"/>
                <w:szCs w:val="10"/>
                <w:b w:val="1"/>
                <w:bCs w:val="1"/>
                <w:i w:val="1"/>
                <w:iCs w:val="1"/>
                <w:color w:val="auto"/>
              </w:rPr>
              <w:t>%</w:t>
            </w:r>
          </w:p>
        </w:tc>
        <w:tc>
          <w:tcPr>
            <w:tcW w:w="0" w:type="dxa"/>
            <w:vAlign w:val="bottom"/>
          </w:tcPr>
          <w:p>
            <w:pPr>
              <w:spacing w:after="0"/>
              <w:rPr>
                <w:sz w:val="1"/>
                <w:szCs w:val="1"/>
                <w:color w:val="auto"/>
              </w:rPr>
            </w:pPr>
          </w:p>
        </w:tc>
      </w:tr>
      <w:tr>
        <w:trPr>
          <w:trHeight w:val="113"/>
        </w:trPr>
        <w:tc>
          <w:tcPr>
            <w:tcW w:w="26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Daniel Wagner</w:t>
            </w:r>
          </w:p>
        </w:tc>
        <w:tc>
          <w:tcPr>
            <w:tcW w:w="2980" w:type="dxa"/>
            <w:vAlign w:val="bottom"/>
          </w:tcPr>
          <w:p>
            <w:pPr>
              <w:ind w:left="860"/>
              <w:spacing w:after="0" w:line="113" w:lineRule="exact"/>
              <w:rPr>
                <w:sz w:val="20"/>
                <w:szCs w:val="20"/>
                <w:color w:val="auto"/>
              </w:rPr>
            </w:pPr>
            <w:r>
              <w:rPr>
                <w:rFonts w:ascii="Times New Roman" w:cs="Times New Roman" w:eastAsia="Times New Roman" w:hAnsi="Times New Roman"/>
                <w:sz w:val="10"/>
                <w:szCs w:val="10"/>
                <w:color w:val="auto"/>
              </w:rPr>
              <w:t>40,523,028</w:t>
            </w:r>
            <w:r>
              <w:rPr>
                <w:rFonts w:ascii="Times New Roman" w:cs="Times New Roman" w:eastAsia="Times New Roman" w:hAnsi="Times New Roman"/>
                <w:sz w:val="13"/>
                <w:szCs w:val="13"/>
                <w:i w:val="1"/>
                <w:iCs w:val="1"/>
                <w:color w:val="auto"/>
                <w:vertAlign w:val="superscript"/>
              </w:rPr>
              <w:t>(2)</w:t>
            </w:r>
          </w:p>
        </w:tc>
        <w:tc>
          <w:tcPr>
            <w:tcW w:w="1680" w:type="dxa"/>
            <w:vAlign w:val="bottom"/>
          </w:tcPr>
          <w:p>
            <w:pPr>
              <w:ind w:left="1380"/>
              <w:spacing w:after="0" w:line="113" w:lineRule="exact"/>
              <w:rPr>
                <w:sz w:val="20"/>
                <w:szCs w:val="20"/>
                <w:color w:val="auto"/>
              </w:rPr>
            </w:pPr>
            <w:r>
              <w:rPr>
                <w:rFonts w:ascii="Times New Roman" w:cs="Times New Roman" w:eastAsia="Times New Roman" w:hAnsi="Times New Roman"/>
                <w:sz w:val="10"/>
                <w:szCs w:val="10"/>
                <w:color w:val="auto"/>
                <w:w w:val="90"/>
              </w:rPr>
              <w:t>19.45%</w:t>
            </w:r>
          </w:p>
        </w:tc>
        <w:tc>
          <w:tcPr>
            <w:tcW w:w="0" w:type="dxa"/>
            <w:vAlign w:val="bottom"/>
          </w:tcPr>
          <w:p>
            <w:pPr>
              <w:spacing w:after="0"/>
              <w:rPr>
                <w:sz w:val="1"/>
                <w:szCs w:val="1"/>
                <w:color w:val="auto"/>
              </w:rPr>
            </w:pPr>
          </w:p>
        </w:tc>
      </w:tr>
      <w:tr>
        <w:trPr>
          <w:trHeight w:val="113"/>
        </w:trPr>
        <w:tc>
          <w:tcPr>
            <w:tcW w:w="26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John Wagner</w:t>
            </w:r>
          </w:p>
        </w:tc>
        <w:tc>
          <w:tcPr>
            <w:tcW w:w="2980" w:type="dxa"/>
            <w:vAlign w:val="bottom"/>
          </w:tcPr>
          <w:p>
            <w:pPr>
              <w:ind w:left="860"/>
              <w:spacing w:after="0" w:line="113" w:lineRule="exact"/>
              <w:rPr>
                <w:sz w:val="20"/>
                <w:szCs w:val="20"/>
                <w:color w:val="auto"/>
              </w:rPr>
            </w:pPr>
            <w:r>
              <w:rPr>
                <w:rFonts w:ascii="Times New Roman" w:cs="Times New Roman" w:eastAsia="Times New Roman" w:hAnsi="Times New Roman"/>
                <w:sz w:val="10"/>
                <w:szCs w:val="10"/>
                <w:color w:val="auto"/>
              </w:rPr>
              <w:t>36,640,512</w:t>
            </w:r>
            <w:r>
              <w:rPr>
                <w:rFonts w:ascii="Times New Roman" w:cs="Times New Roman" w:eastAsia="Times New Roman" w:hAnsi="Times New Roman"/>
                <w:sz w:val="13"/>
                <w:szCs w:val="13"/>
                <w:i w:val="1"/>
                <w:iCs w:val="1"/>
                <w:color w:val="auto"/>
                <w:vertAlign w:val="superscript"/>
              </w:rPr>
              <w:t>(3)</w:t>
            </w:r>
          </w:p>
        </w:tc>
        <w:tc>
          <w:tcPr>
            <w:tcW w:w="1680" w:type="dxa"/>
            <w:vAlign w:val="bottom"/>
          </w:tcPr>
          <w:p>
            <w:pPr>
              <w:ind w:left="1380"/>
              <w:spacing w:after="0" w:line="113" w:lineRule="exact"/>
              <w:rPr>
                <w:sz w:val="20"/>
                <w:szCs w:val="20"/>
                <w:color w:val="auto"/>
              </w:rPr>
            </w:pPr>
            <w:r>
              <w:rPr>
                <w:rFonts w:ascii="Times New Roman" w:cs="Times New Roman" w:eastAsia="Times New Roman" w:hAnsi="Times New Roman"/>
                <w:sz w:val="10"/>
                <w:szCs w:val="10"/>
                <w:color w:val="auto"/>
                <w:w w:val="90"/>
              </w:rPr>
              <w:t>17.59%</w:t>
            </w:r>
          </w:p>
        </w:tc>
        <w:tc>
          <w:tcPr>
            <w:tcW w:w="0" w:type="dxa"/>
            <w:vAlign w:val="bottom"/>
          </w:tcPr>
          <w:p>
            <w:pPr>
              <w:spacing w:after="0"/>
              <w:rPr>
                <w:sz w:val="1"/>
                <w:szCs w:val="1"/>
                <w:color w:val="auto"/>
              </w:rPr>
            </w:pPr>
          </w:p>
        </w:tc>
      </w:tr>
      <w:tr>
        <w:trPr>
          <w:trHeight w:val="128"/>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Anthony Sharp</w:t>
            </w:r>
          </w:p>
        </w:tc>
        <w:tc>
          <w:tcPr>
            <w:tcW w:w="2980" w:type="dxa"/>
            <w:vAlign w:val="bottom"/>
          </w:tcPr>
          <w:p>
            <w:pPr>
              <w:ind w:left="860"/>
              <w:spacing w:after="0" w:line="128" w:lineRule="exact"/>
              <w:rPr>
                <w:sz w:val="20"/>
                <w:szCs w:val="20"/>
                <w:color w:val="auto"/>
              </w:rPr>
            </w:pPr>
            <w:r>
              <w:rPr>
                <w:rFonts w:ascii="Times New Roman" w:cs="Times New Roman" w:eastAsia="Times New Roman" w:hAnsi="Times New Roman"/>
                <w:sz w:val="10"/>
                <w:szCs w:val="10"/>
                <w:color w:val="auto"/>
              </w:rPr>
              <w:t>1,921,793</w:t>
            </w:r>
            <w:r>
              <w:rPr>
                <w:rFonts w:ascii="Times New Roman" w:cs="Times New Roman" w:eastAsia="Times New Roman" w:hAnsi="Times New Roman"/>
                <w:sz w:val="13"/>
                <w:szCs w:val="13"/>
                <w:i w:val="1"/>
                <w:iCs w:val="1"/>
                <w:color w:val="auto"/>
                <w:vertAlign w:val="superscript"/>
              </w:rPr>
              <w:t>(4)</w:t>
            </w:r>
          </w:p>
        </w:tc>
        <w:tc>
          <w:tcPr>
            <w:tcW w:w="1680" w:type="dxa"/>
            <w:vAlign w:val="bottom"/>
          </w:tcPr>
          <w:p>
            <w:pPr>
              <w:ind w:left="138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7"/>
        </w:trPr>
        <w:tc>
          <w:tcPr>
            <w:tcW w:w="266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Sir David Wright</w:t>
            </w:r>
          </w:p>
        </w:tc>
        <w:tc>
          <w:tcPr>
            <w:tcW w:w="2980" w:type="dxa"/>
            <w:vAlign w:val="bottom"/>
          </w:tcPr>
          <w:p>
            <w:pPr>
              <w:ind w:left="860"/>
              <w:spacing w:after="0" w:line="97" w:lineRule="exact"/>
              <w:rPr>
                <w:sz w:val="20"/>
                <w:szCs w:val="20"/>
                <w:color w:val="auto"/>
              </w:rPr>
            </w:pPr>
            <w:r>
              <w:rPr>
                <w:rFonts w:ascii="Times New Roman" w:cs="Times New Roman" w:eastAsia="Times New Roman" w:hAnsi="Times New Roman"/>
                <w:sz w:val="10"/>
                <w:szCs w:val="10"/>
                <w:color w:val="auto"/>
              </w:rPr>
              <w:t>495,343</w:t>
            </w:r>
          </w:p>
        </w:tc>
        <w:tc>
          <w:tcPr>
            <w:tcW w:w="1680" w:type="dxa"/>
            <w:vAlign w:val="bottom"/>
          </w:tcPr>
          <w:p>
            <w:pPr>
              <w:ind w:left="1380"/>
              <w:spacing w:after="0" w:line="97"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26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Stephen Perry</w:t>
            </w:r>
          </w:p>
        </w:tc>
        <w:tc>
          <w:tcPr>
            <w:tcW w:w="2980" w:type="dxa"/>
            <w:vAlign w:val="bottom"/>
          </w:tcPr>
          <w:p>
            <w:pPr>
              <w:ind w:left="860"/>
              <w:spacing w:after="0" w:line="113" w:lineRule="exact"/>
              <w:rPr>
                <w:sz w:val="20"/>
                <w:szCs w:val="20"/>
                <w:color w:val="auto"/>
              </w:rPr>
            </w:pPr>
            <w:r>
              <w:rPr>
                <w:rFonts w:ascii="Times New Roman" w:cs="Times New Roman" w:eastAsia="Times New Roman" w:hAnsi="Times New Roman"/>
                <w:sz w:val="10"/>
                <w:szCs w:val="10"/>
                <w:color w:val="auto"/>
              </w:rPr>
              <w:t>744,461</w:t>
            </w:r>
            <w:r>
              <w:rPr>
                <w:rFonts w:ascii="Times New Roman" w:cs="Times New Roman" w:eastAsia="Times New Roman" w:hAnsi="Times New Roman"/>
                <w:sz w:val="13"/>
                <w:szCs w:val="13"/>
                <w:i w:val="1"/>
                <w:iCs w:val="1"/>
                <w:color w:val="auto"/>
                <w:vertAlign w:val="superscript"/>
              </w:rPr>
              <w:t>(5)</w:t>
            </w:r>
          </w:p>
        </w:tc>
        <w:tc>
          <w:tcPr>
            <w:tcW w:w="1680" w:type="dxa"/>
            <w:vAlign w:val="bottom"/>
          </w:tcPr>
          <w:p>
            <w:pPr>
              <w:ind w:left="138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8"/>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Derek Smith</w:t>
            </w:r>
          </w:p>
        </w:tc>
        <w:tc>
          <w:tcPr>
            <w:tcW w:w="2980" w:type="dxa"/>
            <w:vAlign w:val="bottom"/>
          </w:tcPr>
          <w:p>
            <w:pPr>
              <w:ind w:left="860"/>
              <w:spacing w:after="0" w:line="128" w:lineRule="exact"/>
              <w:rPr>
                <w:sz w:val="20"/>
                <w:szCs w:val="20"/>
                <w:color w:val="auto"/>
              </w:rPr>
            </w:pPr>
            <w:r>
              <w:rPr>
                <w:rFonts w:ascii="Times New Roman" w:cs="Times New Roman" w:eastAsia="Times New Roman" w:hAnsi="Times New Roman"/>
                <w:sz w:val="10"/>
                <w:szCs w:val="10"/>
                <w:color w:val="auto"/>
              </w:rPr>
              <w:t>33,334</w:t>
            </w:r>
            <w:r>
              <w:rPr>
                <w:rFonts w:ascii="Times New Roman" w:cs="Times New Roman" w:eastAsia="Times New Roman" w:hAnsi="Times New Roman"/>
                <w:sz w:val="13"/>
                <w:szCs w:val="13"/>
                <w:i w:val="1"/>
                <w:iCs w:val="1"/>
                <w:color w:val="auto"/>
                <w:vertAlign w:val="superscript"/>
              </w:rPr>
              <w:t>(6)</w:t>
            </w:r>
          </w:p>
        </w:tc>
        <w:tc>
          <w:tcPr>
            <w:tcW w:w="1680" w:type="dxa"/>
            <w:vAlign w:val="bottom"/>
          </w:tcPr>
          <w:p>
            <w:pPr>
              <w:ind w:left="138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7"/>
        </w:trPr>
        <w:tc>
          <w:tcPr>
            <w:tcW w:w="266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Stephen Herbert</w:t>
            </w:r>
          </w:p>
        </w:tc>
        <w:tc>
          <w:tcPr>
            <w:tcW w:w="2980" w:type="dxa"/>
            <w:vAlign w:val="bottom"/>
          </w:tcPr>
          <w:p>
            <w:pPr>
              <w:ind w:left="860"/>
              <w:spacing w:after="0" w:line="97" w:lineRule="exact"/>
              <w:rPr>
                <w:sz w:val="20"/>
                <w:szCs w:val="20"/>
                <w:color w:val="auto"/>
              </w:rPr>
            </w:pPr>
            <w:r>
              <w:rPr>
                <w:rFonts w:ascii="Times New Roman" w:cs="Times New Roman" w:eastAsia="Times New Roman" w:hAnsi="Times New Roman"/>
                <w:sz w:val="10"/>
                <w:szCs w:val="10"/>
                <w:color w:val="auto"/>
              </w:rPr>
              <w:t>298,436</w:t>
            </w:r>
          </w:p>
        </w:tc>
        <w:tc>
          <w:tcPr>
            <w:tcW w:w="1680" w:type="dxa"/>
            <w:vAlign w:val="bottom"/>
          </w:tcPr>
          <w:p>
            <w:pPr>
              <w:ind w:left="1380"/>
              <w:spacing w:after="0" w:line="97"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8"/>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Peter Vesco</w:t>
            </w:r>
          </w:p>
        </w:tc>
        <w:tc>
          <w:tcPr>
            <w:tcW w:w="2980" w:type="dxa"/>
            <w:vAlign w:val="bottom"/>
          </w:tcPr>
          <w:p>
            <w:pPr>
              <w:ind w:left="860"/>
              <w:spacing w:after="0" w:line="128" w:lineRule="exact"/>
              <w:rPr>
                <w:sz w:val="20"/>
                <w:szCs w:val="20"/>
                <w:color w:val="auto"/>
              </w:rPr>
            </w:pPr>
            <w:r>
              <w:rPr>
                <w:rFonts w:ascii="Times New Roman" w:cs="Times New Roman" w:eastAsia="Times New Roman" w:hAnsi="Times New Roman"/>
                <w:sz w:val="10"/>
                <w:szCs w:val="10"/>
                <w:color w:val="auto"/>
              </w:rPr>
              <w:t>1,153,633</w:t>
            </w:r>
            <w:r>
              <w:rPr>
                <w:rFonts w:ascii="Times New Roman" w:cs="Times New Roman" w:eastAsia="Times New Roman" w:hAnsi="Times New Roman"/>
                <w:sz w:val="13"/>
                <w:szCs w:val="13"/>
                <w:i w:val="1"/>
                <w:iCs w:val="1"/>
                <w:color w:val="auto"/>
                <w:vertAlign w:val="superscript"/>
              </w:rPr>
              <w:t>(7)</w:t>
            </w:r>
          </w:p>
        </w:tc>
        <w:tc>
          <w:tcPr>
            <w:tcW w:w="1680" w:type="dxa"/>
            <w:vAlign w:val="bottom"/>
          </w:tcPr>
          <w:p>
            <w:pPr>
              <w:ind w:left="138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26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2980" w:type="dxa"/>
            <w:vAlign w:val="bottom"/>
          </w:tcPr>
          <w:p>
            <w:pPr>
              <w:ind w:left="860"/>
              <w:spacing w:after="0" w:line="113" w:lineRule="exact"/>
              <w:rPr>
                <w:sz w:val="20"/>
                <w:szCs w:val="20"/>
                <w:color w:val="auto"/>
              </w:rPr>
            </w:pPr>
            <w:r>
              <w:rPr>
                <w:rFonts w:ascii="Times New Roman" w:cs="Times New Roman" w:eastAsia="Times New Roman" w:hAnsi="Times New Roman"/>
                <w:sz w:val="10"/>
                <w:szCs w:val="10"/>
                <w:color w:val="auto"/>
              </w:rPr>
              <w:t>300</w:t>
            </w:r>
          </w:p>
        </w:tc>
        <w:tc>
          <w:tcPr>
            <w:tcW w:w="1680" w:type="dxa"/>
            <w:vAlign w:val="bottom"/>
          </w:tcPr>
          <w:p>
            <w:pPr>
              <w:ind w:left="138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26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Sauvik Banerjee</w:t>
            </w:r>
          </w:p>
        </w:tc>
        <w:tc>
          <w:tcPr>
            <w:tcW w:w="2980" w:type="dxa"/>
            <w:vAlign w:val="bottom"/>
          </w:tcPr>
          <w:p>
            <w:pPr>
              <w:ind w:left="8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80" w:type="dxa"/>
            <w:vAlign w:val="bottom"/>
          </w:tcPr>
          <w:p>
            <w:pPr>
              <w:ind w:left="138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5"/>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All directors and executive officers as a group</w:t>
            </w:r>
          </w:p>
        </w:tc>
        <w:tc>
          <w:tcPr>
            <w:tcW w:w="2980" w:type="dxa"/>
            <w:vAlign w:val="bottom"/>
          </w:tcPr>
          <w:p>
            <w:pPr>
              <w:ind w:left="860"/>
              <w:spacing w:after="0"/>
              <w:rPr>
                <w:sz w:val="20"/>
                <w:szCs w:val="20"/>
                <w:color w:val="auto"/>
              </w:rPr>
            </w:pPr>
            <w:r>
              <w:rPr>
                <w:rFonts w:ascii="Times New Roman" w:cs="Times New Roman" w:eastAsia="Times New Roman" w:hAnsi="Times New Roman"/>
                <w:sz w:val="10"/>
                <w:szCs w:val="10"/>
                <w:color w:val="auto"/>
              </w:rPr>
              <w:t>45,986,317</w:t>
            </w:r>
          </w:p>
        </w:tc>
        <w:tc>
          <w:tcPr>
            <w:tcW w:w="1680" w:type="dxa"/>
            <w:vAlign w:val="bottom"/>
          </w:tcPr>
          <w:p>
            <w:pPr>
              <w:ind w:left="1380"/>
              <w:spacing w:after="0"/>
              <w:rPr>
                <w:sz w:val="20"/>
                <w:szCs w:val="20"/>
                <w:color w:val="auto"/>
              </w:rPr>
            </w:pPr>
            <w:r>
              <w:rPr>
                <w:rFonts w:ascii="Times New Roman" w:cs="Times New Roman" w:eastAsia="Times New Roman" w:hAnsi="Times New Roman"/>
                <w:sz w:val="10"/>
                <w:szCs w:val="10"/>
                <w:color w:val="auto"/>
                <w:w w:val="90"/>
              </w:rPr>
              <w:t>22.08%</w:t>
            </w:r>
          </w:p>
        </w:tc>
        <w:tc>
          <w:tcPr>
            <w:tcW w:w="0" w:type="dxa"/>
            <w:vAlign w:val="bottom"/>
          </w:tcPr>
          <w:p>
            <w:pPr>
              <w:spacing w:after="0"/>
              <w:rPr>
                <w:sz w:val="1"/>
                <w:szCs w:val="1"/>
                <w:color w:val="auto"/>
              </w:rPr>
            </w:pPr>
          </w:p>
        </w:tc>
      </w:tr>
      <w:tr>
        <w:trPr>
          <w:trHeight w:val="197"/>
        </w:trPr>
        <w:tc>
          <w:tcPr>
            <w:tcW w:w="2660" w:type="dxa"/>
            <w:vAlign w:val="bottom"/>
          </w:tcPr>
          <w:p>
            <w:pPr>
              <w:spacing w:after="0"/>
              <w:rPr>
                <w:sz w:val="20"/>
                <w:szCs w:val="20"/>
                <w:color w:val="auto"/>
              </w:rPr>
            </w:pPr>
            <w:r>
              <w:rPr>
                <w:rFonts w:ascii="Times New Roman" w:cs="Times New Roman" w:eastAsia="Times New Roman" w:hAnsi="Times New Roman"/>
                <w:sz w:val="10"/>
                <w:szCs w:val="10"/>
                <w:b w:val="1"/>
                <w:bCs w:val="1"/>
                <w:i w:val="1"/>
                <w:iCs w:val="1"/>
                <w:color w:val="auto"/>
              </w:rPr>
              <w:t>Five Percent Holders</w:t>
            </w:r>
          </w:p>
        </w:tc>
        <w:tc>
          <w:tcPr>
            <w:tcW w:w="2980" w:type="dxa"/>
            <w:vAlign w:val="bottom"/>
            <w:vMerge w:val="restart"/>
          </w:tcPr>
          <w:p>
            <w:pPr>
              <w:ind w:left="860"/>
              <w:spacing w:after="0"/>
              <w:rPr>
                <w:sz w:val="20"/>
                <w:szCs w:val="20"/>
                <w:color w:val="auto"/>
              </w:rPr>
            </w:pPr>
            <w:r>
              <w:rPr>
                <w:rFonts w:ascii="Times New Roman" w:cs="Times New Roman" w:eastAsia="Times New Roman" w:hAnsi="Times New Roman"/>
                <w:sz w:val="10"/>
                <w:szCs w:val="10"/>
                <w:color w:val="auto"/>
              </w:rPr>
              <w:t>35,824,523</w:t>
            </w:r>
            <w:r>
              <w:rPr>
                <w:rFonts w:ascii="Times New Roman" w:cs="Times New Roman" w:eastAsia="Times New Roman" w:hAnsi="Times New Roman"/>
                <w:sz w:val="13"/>
                <w:szCs w:val="13"/>
                <w:i w:val="1"/>
                <w:iCs w:val="1"/>
                <w:color w:val="auto"/>
                <w:vertAlign w:val="superscript"/>
              </w:rPr>
              <w:t>(9)</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26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DBLP Sea Cow Limited</w:t>
            </w:r>
            <w:r>
              <w:rPr>
                <w:rFonts w:ascii="Times New Roman" w:cs="Times New Roman" w:eastAsia="Times New Roman" w:hAnsi="Times New Roman"/>
                <w:sz w:val="13"/>
                <w:szCs w:val="13"/>
                <w:i w:val="1"/>
                <w:iCs w:val="1"/>
                <w:color w:val="auto"/>
                <w:vertAlign w:val="superscript"/>
              </w:rPr>
              <w:t>(8)</w:t>
            </w:r>
          </w:p>
        </w:tc>
        <w:tc>
          <w:tcPr>
            <w:tcW w:w="2980" w:type="dxa"/>
            <w:vAlign w:val="bottom"/>
            <w:vMerge w:val="continue"/>
          </w:tcPr>
          <w:p>
            <w:pPr>
              <w:spacing w:after="0"/>
              <w:rPr>
                <w:sz w:val="9"/>
                <w:szCs w:val="9"/>
                <w:color w:val="auto"/>
              </w:rPr>
            </w:pPr>
          </w:p>
        </w:tc>
        <w:tc>
          <w:tcPr>
            <w:tcW w:w="1680" w:type="dxa"/>
            <w:vAlign w:val="bottom"/>
          </w:tcPr>
          <w:p>
            <w:pPr>
              <w:ind w:left="1380"/>
              <w:spacing w:after="0" w:line="113" w:lineRule="exact"/>
              <w:rPr>
                <w:sz w:val="20"/>
                <w:szCs w:val="20"/>
                <w:color w:val="auto"/>
              </w:rPr>
            </w:pPr>
            <w:r>
              <w:rPr>
                <w:rFonts w:ascii="Times New Roman" w:cs="Times New Roman" w:eastAsia="Times New Roman" w:hAnsi="Times New Roman"/>
                <w:sz w:val="10"/>
                <w:szCs w:val="10"/>
                <w:color w:val="auto"/>
                <w:w w:val="90"/>
              </w:rPr>
              <w:t>17.20%</w:t>
            </w:r>
          </w:p>
        </w:tc>
        <w:tc>
          <w:tcPr>
            <w:tcW w:w="0" w:type="dxa"/>
            <w:vAlign w:val="bottom"/>
          </w:tcPr>
          <w:p>
            <w:pPr>
              <w:spacing w:after="0"/>
              <w:rPr>
                <w:sz w:val="1"/>
                <w:szCs w:val="1"/>
                <w:color w:val="auto"/>
              </w:rPr>
            </w:pPr>
          </w:p>
        </w:tc>
      </w:tr>
      <w:tr>
        <w:trPr>
          <w:trHeight w:val="113"/>
        </w:trPr>
        <w:tc>
          <w:tcPr>
            <w:tcW w:w="26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Igor Lychagov</w:t>
            </w:r>
          </w:p>
        </w:tc>
        <w:tc>
          <w:tcPr>
            <w:tcW w:w="2980" w:type="dxa"/>
            <w:vAlign w:val="bottom"/>
          </w:tcPr>
          <w:p>
            <w:pPr>
              <w:ind w:left="860"/>
              <w:spacing w:after="0" w:line="113" w:lineRule="exact"/>
              <w:rPr>
                <w:sz w:val="20"/>
                <w:szCs w:val="20"/>
                <w:color w:val="auto"/>
              </w:rPr>
            </w:pPr>
            <w:r>
              <w:rPr>
                <w:rFonts w:ascii="Times New Roman" w:cs="Times New Roman" w:eastAsia="Times New Roman" w:hAnsi="Times New Roman"/>
                <w:sz w:val="10"/>
                <w:szCs w:val="10"/>
                <w:color w:val="auto"/>
              </w:rPr>
              <w:t>35,965,051</w:t>
            </w:r>
            <w:r>
              <w:rPr>
                <w:rFonts w:ascii="Times New Roman" w:cs="Times New Roman" w:eastAsia="Times New Roman" w:hAnsi="Times New Roman"/>
                <w:sz w:val="13"/>
                <w:szCs w:val="13"/>
                <w:i w:val="1"/>
                <w:iCs w:val="1"/>
                <w:color w:val="auto"/>
                <w:vertAlign w:val="superscript"/>
              </w:rPr>
              <w:t>(10)</w:t>
            </w:r>
          </w:p>
        </w:tc>
        <w:tc>
          <w:tcPr>
            <w:tcW w:w="1680" w:type="dxa"/>
            <w:vAlign w:val="bottom"/>
          </w:tcPr>
          <w:p>
            <w:pPr>
              <w:ind w:left="1380"/>
              <w:spacing w:after="0" w:line="113" w:lineRule="exact"/>
              <w:rPr>
                <w:sz w:val="20"/>
                <w:szCs w:val="20"/>
                <w:color w:val="auto"/>
              </w:rPr>
            </w:pPr>
            <w:r>
              <w:rPr>
                <w:rFonts w:ascii="Times New Roman" w:cs="Times New Roman" w:eastAsia="Times New Roman" w:hAnsi="Times New Roman"/>
                <w:sz w:val="10"/>
                <w:szCs w:val="10"/>
                <w:color w:val="auto"/>
                <w:w w:val="90"/>
              </w:rPr>
              <w:t>17.27%</w:t>
            </w:r>
          </w:p>
        </w:tc>
        <w:tc>
          <w:tcPr>
            <w:tcW w:w="0" w:type="dxa"/>
            <w:vAlign w:val="bottom"/>
          </w:tcPr>
          <w:p>
            <w:pPr>
              <w:spacing w:after="0"/>
              <w:rPr>
                <w:sz w:val="1"/>
                <w:szCs w:val="1"/>
                <w:color w:val="auto"/>
              </w:rPr>
            </w:pPr>
          </w:p>
        </w:tc>
      </w:tr>
      <w:tr>
        <w:trPr>
          <w:trHeight w:val="114"/>
        </w:trPr>
        <w:tc>
          <w:tcPr>
            <w:tcW w:w="266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Brooks Newmark</w:t>
            </w:r>
          </w:p>
        </w:tc>
        <w:tc>
          <w:tcPr>
            <w:tcW w:w="2980" w:type="dxa"/>
            <w:vAlign w:val="bottom"/>
          </w:tcPr>
          <w:p>
            <w:pPr>
              <w:ind w:left="860"/>
              <w:spacing w:after="0" w:line="114" w:lineRule="exact"/>
              <w:rPr>
                <w:sz w:val="20"/>
                <w:szCs w:val="20"/>
                <w:color w:val="auto"/>
              </w:rPr>
            </w:pPr>
            <w:r>
              <w:rPr>
                <w:rFonts w:ascii="Times New Roman" w:cs="Times New Roman" w:eastAsia="Times New Roman" w:hAnsi="Times New Roman"/>
                <w:sz w:val="10"/>
                <w:szCs w:val="10"/>
                <w:color w:val="auto"/>
              </w:rPr>
              <w:t>24,370,676</w:t>
            </w:r>
            <w:r>
              <w:rPr>
                <w:rFonts w:ascii="Times New Roman" w:cs="Times New Roman" w:eastAsia="Times New Roman" w:hAnsi="Times New Roman"/>
                <w:sz w:val="13"/>
                <w:szCs w:val="13"/>
                <w:i w:val="1"/>
                <w:iCs w:val="1"/>
                <w:color w:val="auto"/>
                <w:vertAlign w:val="superscript"/>
              </w:rPr>
              <w:t>(11)</w:t>
            </w:r>
          </w:p>
        </w:tc>
        <w:tc>
          <w:tcPr>
            <w:tcW w:w="1680" w:type="dxa"/>
            <w:vAlign w:val="bottom"/>
          </w:tcPr>
          <w:p>
            <w:pPr>
              <w:ind w:left="1380"/>
              <w:spacing w:after="0" w:line="114" w:lineRule="exact"/>
              <w:rPr>
                <w:sz w:val="20"/>
                <w:szCs w:val="20"/>
                <w:color w:val="auto"/>
              </w:rPr>
            </w:pPr>
            <w:r>
              <w:rPr>
                <w:rFonts w:ascii="Times New Roman" w:cs="Times New Roman" w:eastAsia="Times New Roman" w:hAnsi="Times New Roman"/>
                <w:sz w:val="10"/>
                <w:szCs w:val="10"/>
                <w:color w:val="auto"/>
                <w:w w:val="90"/>
              </w:rPr>
              <w:t>11.70%</w:t>
            </w:r>
          </w:p>
        </w:tc>
        <w:tc>
          <w:tcPr>
            <w:tcW w:w="0" w:type="dxa"/>
            <w:vAlign w:val="bottom"/>
          </w:tcPr>
          <w:p>
            <w:pPr>
              <w:spacing w:after="0"/>
              <w:rPr>
                <w:sz w:val="1"/>
                <w:szCs w:val="1"/>
                <w:color w:val="auto"/>
              </w:rPr>
            </w:pPr>
          </w:p>
        </w:tc>
      </w:tr>
      <w:tr>
        <w:trPr>
          <w:trHeight w:val="113"/>
        </w:trPr>
        <w:tc>
          <w:tcPr>
            <w:tcW w:w="26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Brad Wickens</w:t>
            </w:r>
          </w:p>
        </w:tc>
        <w:tc>
          <w:tcPr>
            <w:tcW w:w="2980" w:type="dxa"/>
            <w:vAlign w:val="bottom"/>
          </w:tcPr>
          <w:p>
            <w:pPr>
              <w:ind w:left="860"/>
              <w:spacing w:after="0" w:line="113" w:lineRule="exact"/>
              <w:rPr>
                <w:sz w:val="20"/>
                <w:szCs w:val="20"/>
                <w:color w:val="auto"/>
              </w:rPr>
            </w:pPr>
            <w:r>
              <w:rPr>
                <w:rFonts w:ascii="Times New Roman" w:cs="Times New Roman" w:eastAsia="Times New Roman" w:hAnsi="Times New Roman"/>
                <w:sz w:val="10"/>
                <w:szCs w:val="10"/>
                <w:color w:val="auto"/>
              </w:rPr>
              <w:t>25,646,057</w:t>
            </w:r>
            <w:r>
              <w:rPr>
                <w:rFonts w:ascii="Times New Roman" w:cs="Times New Roman" w:eastAsia="Times New Roman" w:hAnsi="Times New Roman"/>
                <w:sz w:val="13"/>
                <w:szCs w:val="13"/>
                <w:color w:val="auto"/>
                <w:vertAlign w:val="superscript"/>
              </w:rPr>
              <w:t>(12)</w:t>
            </w:r>
          </w:p>
        </w:tc>
        <w:tc>
          <w:tcPr>
            <w:tcW w:w="1680" w:type="dxa"/>
            <w:vAlign w:val="bottom"/>
          </w:tcPr>
          <w:p>
            <w:pPr>
              <w:ind w:left="1380"/>
              <w:spacing w:after="0" w:line="113" w:lineRule="exact"/>
              <w:rPr>
                <w:sz w:val="20"/>
                <w:szCs w:val="20"/>
                <w:color w:val="auto"/>
              </w:rPr>
            </w:pPr>
            <w:r>
              <w:rPr>
                <w:rFonts w:ascii="Times New Roman" w:cs="Times New Roman" w:eastAsia="Times New Roman" w:hAnsi="Times New Roman"/>
                <w:sz w:val="10"/>
                <w:szCs w:val="10"/>
                <w:color w:val="auto"/>
                <w:w w:val="90"/>
              </w:rPr>
              <w:t>12.31%</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Aperion Investment Group Limited</w:t>
            </w:r>
          </w:p>
        </w:tc>
        <w:tc>
          <w:tcPr>
            <w:tcW w:w="2980" w:type="dxa"/>
            <w:vAlign w:val="bottom"/>
          </w:tcPr>
          <w:p>
            <w:pPr>
              <w:ind w:left="860"/>
              <w:spacing w:after="0"/>
              <w:rPr>
                <w:sz w:val="20"/>
                <w:szCs w:val="20"/>
                <w:color w:val="auto"/>
              </w:rPr>
            </w:pPr>
            <w:r>
              <w:rPr>
                <w:rFonts w:ascii="Times New Roman" w:cs="Times New Roman" w:eastAsia="Times New Roman" w:hAnsi="Times New Roman"/>
                <w:sz w:val="10"/>
                <w:szCs w:val="10"/>
                <w:color w:val="auto"/>
              </w:rPr>
              <w:t>24,852,159</w:t>
            </w:r>
            <w:r>
              <w:rPr>
                <w:rFonts w:ascii="Times New Roman" w:cs="Times New Roman" w:eastAsia="Times New Roman" w:hAnsi="Times New Roman"/>
                <w:sz w:val="13"/>
                <w:szCs w:val="13"/>
                <w:color w:val="auto"/>
                <w:vertAlign w:val="superscript"/>
              </w:rPr>
              <w:t>(13)</w:t>
            </w:r>
          </w:p>
        </w:tc>
        <w:tc>
          <w:tcPr>
            <w:tcW w:w="1680" w:type="dxa"/>
            <w:vAlign w:val="bottom"/>
          </w:tcPr>
          <w:p>
            <w:pPr>
              <w:ind w:left="1380"/>
              <w:spacing w:after="0"/>
              <w:rPr>
                <w:sz w:val="20"/>
                <w:szCs w:val="20"/>
                <w:color w:val="auto"/>
              </w:rPr>
            </w:pPr>
            <w:r>
              <w:rPr>
                <w:rFonts w:ascii="Times New Roman" w:cs="Times New Roman" w:eastAsia="Times New Roman" w:hAnsi="Times New Roman"/>
                <w:sz w:val="10"/>
                <w:szCs w:val="10"/>
                <w:color w:val="auto"/>
                <w:w w:val="90"/>
              </w:rPr>
              <w:t>11.93%</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 Less than one percent.</w:t>
      </w:r>
    </w:p>
    <w:p>
      <w:pPr>
        <w:spacing w:after="0" w:line="95" w:lineRule="exact"/>
        <w:rPr>
          <w:sz w:val="20"/>
          <w:szCs w:val="20"/>
          <w:color w:val="auto"/>
        </w:rPr>
      </w:pPr>
    </w:p>
    <w:p>
      <w:pPr>
        <w:ind w:left="5270" w:right="4500" w:hanging="5270"/>
        <w:spacing w:after="0" w:line="505" w:lineRule="auto"/>
        <w:tabs>
          <w:tab w:leader="none" w:pos="139" w:val="left"/>
        </w:tabs>
        <w:numPr>
          <w:ilvl w:val="0"/>
          <w:numId w:val="1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Unless otherwise indicated, the business address of each of the following owners is 3rd Floor, 80 New Bond Street, London, W1S 1SB, United Kingdom.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170180</wp:posOffset>
            </wp:positionV>
            <wp:extent cx="6778625" cy="349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30"/>
          </w:cols>
          <w:pgMar w:left="630" w:top="1033" w:right="640" w:bottom="1440" w:gutter="0" w:footer="0" w:header="0"/>
        </w:sectPr>
      </w:pPr>
    </w:p>
    <w:bookmarkStart w:id="103" w:name="page104"/>
    <w:bookmarkEnd w:id="103"/>
    <w:p>
      <w:pPr>
        <w:ind w:left="10" w:right="260" w:hanging="10"/>
        <w:spacing w:after="0" w:line="259" w:lineRule="auto"/>
        <w:tabs>
          <w:tab w:leader="none" w:pos="148"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(i) 4,698,505 shares directly held by Daniel Wagner and (ii) 35,824,523 shares directly held by DBLP Sea Cow Limited (“</w:t>
      </w:r>
      <w:r>
        <w:rPr>
          <w:rFonts w:ascii="Times New Roman" w:cs="Times New Roman" w:eastAsia="Times New Roman" w:hAnsi="Times New Roman"/>
          <w:sz w:val="10"/>
          <w:szCs w:val="10"/>
          <w:b w:val="1"/>
          <w:bCs w:val="1"/>
          <w:i w:val="1"/>
          <w:iCs w:val="1"/>
          <w:color w:val="auto"/>
        </w:rPr>
        <w:t>DBLP</w:t>
      </w:r>
      <w:r>
        <w:rPr>
          <w:rFonts w:ascii="Times New Roman" w:cs="Times New Roman" w:eastAsia="Times New Roman" w:hAnsi="Times New Roman"/>
          <w:sz w:val="10"/>
          <w:szCs w:val="10"/>
          <w:color w:val="auto"/>
        </w:rPr>
        <w:t>”). DBLP is wholly legally owned by Mr. Wagner and Mr. Wagner is a director of DBLP and therefore Mr. Wagner may be deemed to share voting and investment power over the shares held by DBLP.</w:t>
      </w:r>
    </w:p>
    <w:p>
      <w:pPr>
        <w:spacing w:after="0" w:line="76" w:lineRule="exact"/>
        <w:rPr>
          <w:rFonts w:ascii="Times New Roman" w:cs="Times New Roman" w:eastAsia="Times New Roman" w:hAnsi="Times New Roman"/>
          <w:sz w:val="10"/>
          <w:szCs w:val="10"/>
          <w:color w:val="auto"/>
        </w:rPr>
      </w:pPr>
    </w:p>
    <w:p>
      <w:pPr>
        <w:ind w:left="10" w:right="140" w:hanging="10"/>
        <w:spacing w:after="0" w:line="255" w:lineRule="auto"/>
        <w:tabs>
          <w:tab w:leader="none" w:pos="148"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(i) 815,989 shares directly held by John Wagner and (ii) 35,824,523 shares directly held by DBLP. DBLP is beneficially owned by Mr. John Wagner and Mr. John Wagner is a director of DBLP and therefore Mr. Wagner may be deemed to share voting and investment power over the shares held by DBLP.</w:t>
      </w:r>
    </w:p>
    <w:p>
      <w:pPr>
        <w:spacing w:after="0" w:line="78" w:lineRule="exact"/>
        <w:rPr>
          <w:rFonts w:ascii="Times New Roman" w:cs="Times New Roman" w:eastAsia="Times New Roman" w:hAnsi="Times New Roman"/>
          <w:sz w:val="10"/>
          <w:szCs w:val="10"/>
          <w:color w:val="auto"/>
        </w:rPr>
      </w:pPr>
    </w:p>
    <w:p>
      <w:pPr>
        <w:ind w:left="170" w:hanging="170"/>
        <w:spacing w:after="0"/>
        <w:tabs>
          <w:tab w:leader="none" w:pos="170"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(i) 1,879,352 Ordinary Shares; and (ii) 42,441 Ordinary Shares issued upon the conversion of the Advance Subscription made by Mr. Sharp. Excludes 15,850 Ordinary Shares underlying the Private Warrants held by Mr. Sharp.</w:t>
      </w:r>
    </w:p>
    <w:p>
      <w:pPr>
        <w:spacing w:after="0" w:line="95" w:lineRule="exact"/>
        <w:rPr>
          <w:rFonts w:ascii="Times New Roman" w:cs="Times New Roman" w:eastAsia="Times New Roman" w:hAnsi="Times New Roman"/>
          <w:sz w:val="10"/>
          <w:szCs w:val="10"/>
          <w:color w:val="auto"/>
        </w:rPr>
      </w:pPr>
    </w:p>
    <w:p>
      <w:pPr>
        <w:ind w:left="10" w:hanging="10"/>
        <w:spacing w:after="0" w:line="255" w:lineRule="auto"/>
        <w:tabs>
          <w:tab w:leader="none" w:pos="172"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(i) 564,935 Ordinary Shares; (ii) 110,000 Ordinary Shares issued upon the conversion of the Advance Subscription made by Mr. Perry; and (iii) 69,526 Ordinary Shares, issued upon conversion of the Convertible Note held by Mr. Perry. Excludes (i) 34,395 Ordinary Shares, which is the maximum amount of Ordinary Shares issuable upon conversion of the Promissory Note held by Mr. Perry, when converted at $2 per share; and (ii) 12,700 Ordinary Shares underlying the Private Warrants held by Mr. Perry.</w:t>
      </w:r>
    </w:p>
    <w:p>
      <w:pPr>
        <w:spacing w:after="0" w:line="78" w:lineRule="exact"/>
        <w:rPr>
          <w:rFonts w:ascii="Times New Roman" w:cs="Times New Roman" w:eastAsia="Times New Roman" w:hAnsi="Times New Roman"/>
          <w:sz w:val="10"/>
          <w:szCs w:val="10"/>
          <w:color w:val="auto"/>
        </w:rPr>
      </w:pPr>
    </w:p>
    <w:p>
      <w:pPr>
        <w:ind w:left="130" w:hanging="130"/>
        <w:spacing w:after="0"/>
        <w:tabs>
          <w:tab w:leader="none" w:pos="130"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33,334 Ordinary Shares issued upon the conversion of the Advance Subscription made by Mr. Smith.</w:t>
      </w:r>
    </w:p>
    <w:p>
      <w:pPr>
        <w:spacing w:after="0" w:line="95" w:lineRule="exact"/>
        <w:rPr>
          <w:rFonts w:ascii="Times New Roman" w:cs="Times New Roman" w:eastAsia="Times New Roman" w:hAnsi="Times New Roman"/>
          <w:sz w:val="10"/>
          <w:szCs w:val="10"/>
          <w:color w:val="auto"/>
        </w:rPr>
      </w:pPr>
    </w:p>
    <w:p>
      <w:pPr>
        <w:ind w:left="130" w:hanging="130"/>
        <w:spacing w:after="0"/>
        <w:tabs>
          <w:tab w:leader="none" w:pos="130"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(i) 1,142,384 Ordinary Shares and (ii) 11,249 Ordinary Shares issued upon the conversion of the Advance Subscription made by Mr. Vesco.</w:t>
      </w:r>
    </w:p>
    <w:p>
      <w:pPr>
        <w:spacing w:after="0" w:line="95" w:lineRule="exact"/>
        <w:rPr>
          <w:rFonts w:ascii="Times New Roman" w:cs="Times New Roman" w:eastAsia="Times New Roman" w:hAnsi="Times New Roman"/>
          <w:sz w:val="10"/>
          <w:szCs w:val="10"/>
          <w:color w:val="auto"/>
        </w:rPr>
      </w:pPr>
    </w:p>
    <w:p>
      <w:pPr>
        <w:ind w:left="130" w:hanging="130"/>
        <w:spacing w:after="0"/>
        <w:tabs>
          <w:tab w:leader="none" w:pos="130"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DBLP is wholly legally owned by Daniel Wagner and is wholly beneficially owned by John Wagner. Both Daniel Wagner and John Wagner are directors of DBLP.</w:t>
      </w:r>
    </w:p>
    <w:p>
      <w:pPr>
        <w:spacing w:after="0" w:line="95" w:lineRule="exact"/>
        <w:rPr>
          <w:rFonts w:ascii="Times New Roman" w:cs="Times New Roman" w:eastAsia="Times New Roman" w:hAnsi="Times New Roman"/>
          <w:sz w:val="10"/>
          <w:szCs w:val="10"/>
          <w:color w:val="auto"/>
        </w:rPr>
      </w:pPr>
    </w:p>
    <w:p>
      <w:pPr>
        <w:ind w:left="10" w:right="120" w:hanging="10"/>
        <w:spacing w:after="0" w:line="255" w:lineRule="auto"/>
        <w:tabs>
          <w:tab w:leader="none" w:pos="148"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(i) 31,674,523 Ordinary Shares; and (ii) 4,150,000 Ordinary Shares issued upon the conversion of the Advance Subscription made by DBLP. Excludes (i) 3,592,193 shares subject to a call option currently exercisable by Brad Wickens; (ii) 178,571 Ordinary Shares, which is the maximum amount of Ordinary Shares issuable upon conversion of the Promissory Note held by DBLP; and (iii) 250,000 Ordinary Shares underlying the Private Warrants.</w:t>
      </w:r>
    </w:p>
    <w:p>
      <w:pPr>
        <w:spacing w:after="0" w:line="78" w:lineRule="exact"/>
        <w:rPr>
          <w:rFonts w:ascii="Times New Roman" w:cs="Times New Roman" w:eastAsia="Times New Roman" w:hAnsi="Times New Roman"/>
          <w:sz w:val="10"/>
          <w:szCs w:val="10"/>
          <w:color w:val="auto"/>
        </w:rPr>
      </w:pPr>
    </w:p>
    <w:p>
      <w:pPr>
        <w:ind w:left="190" w:hanging="190"/>
        <w:spacing w:after="0"/>
        <w:tabs>
          <w:tab w:leader="none" w:pos="190"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(i) 34,771,000 Ordinary Shares; and (ii) 1,194,051 Ordinary Shares issued upon conversion of the Convertible Note held by Mr. Lychagov.</w:t>
      </w:r>
    </w:p>
    <w:p>
      <w:pPr>
        <w:spacing w:after="0" w:line="95" w:lineRule="exact"/>
        <w:rPr>
          <w:rFonts w:ascii="Times New Roman" w:cs="Times New Roman" w:eastAsia="Times New Roman" w:hAnsi="Times New Roman"/>
          <w:sz w:val="10"/>
          <w:szCs w:val="10"/>
          <w:color w:val="auto"/>
        </w:rPr>
      </w:pPr>
    </w:p>
    <w:p>
      <w:pPr>
        <w:ind w:left="190" w:hanging="190"/>
        <w:spacing w:after="0"/>
        <w:tabs>
          <w:tab w:leader="none" w:pos="190"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(i) 15,170,676 Ordinary Shares and (ii) 9,200,000 Ordinary Shares issued upon the conversion of the Advance Subscription made by Mr. Newmark.</w:t>
      </w:r>
    </w:p>
    <w:p>
      <w:pPr>
        <w:spacing w:after="0" w:line="110" w:lineRule="exact"/>
        <w:rPr>
          <w:rFonts w:ascii="Times New Roman" w:cs="Times New Roman" w:eastAsia="Times New Roman" w:hAnsi="Times New Roman"/>
          <w:sz w:val="10"/>
          <w:szCs w:val="10"/>
          <w:color w:val="auto"/>
        </w:rPr>
      </w:pPr>
    </w:p>
    <w:p>
      <w:pPr>
        <w:ind w:left="10" w:hanging="10"/>
        <w:spacing w:after="0" w:line="245" w:lineRule="auto"/>
        <w:tabs>
          <w:tab w:leader="none" w:pos="221"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(i) 9,638,692 Ordinary Shares, (ii) 1,240,865 Ordinary Shares currently held by Apeiron on Mr. Wickens' behalf, (iii) 3,592,194 Ordinary Shares currently held by DBLP but subject to a call option currently exercisable by Mr. Wickens, (iv) 333,333 Ordinary Shares issued upon the conversion of the Advance Subscription made by Mr. Wickens; and (v) 10,840,973 Ordinary Shares issued upon conversion of the Convertible Note held by Mr. Wickens. Excludes (i) 156,250 Ordinary Shares, which is the amount of Ordinary Shares issuable upon conversion of the Promissory Note held by Mr. Wickens when converted at $2 per share and (ii) 62,500 Ordinary Shares underlying the Private Warrants held by Mr. Wickens.</w:t>
      </w:r>
    </w:p>
    <w:p>
      <w:pPr>
        <w:spacing w:after="0" w:line="82" w:lineRule="exact"/>
        <w:rPr>
          <w:rFonts w:ascii="Times New Roman" w:cs="Times New Roman" w:eastAsia="Times New Roman" w:hAnsi="Times New Roman"/>
          <w:sz w:val="10"/>
          <w:szCs w:val="10"/>
          <w:color w:val="auto"/>
        </w:rPr>
      </w:pPr>
    </w:p>
    <w:p>
      <w:pPr>
        <w:ind w:left="10" w:right="360" w:hanging="10"/>
        <w:spacing w:after="0" w:line="310" w:lineRule="auto"/>
        <w:tabs>
          <w:tab w:leader="none" w:pos="197"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Includes (i) 10,712,645 Ordinary Shares, (ii) 333,333 Ordinary Shares issued upon conversion of the Advance Subscription made by Apeiron; and (iii) 13,806,181 Ordinary Shares issued upon conversion of the Convertible Note held by Apeiron. Excludes (i) 1,240,865 Ordinary Shares held by Apeiron on Brad Wickens' behalf; (ii) (ii) 182,886 Ordinary Shares issuable upon potential conversion of the Promissory Note held by Apeiron; and (iii) 62,500 Ordinary Shares underlying the Private Warrants held by Apeiron.</w:t>
      </w:r>
    </w:p>
    <w:p>
      <w:pPr>
        <w:spacing w:after="0" w:line="7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0"/>
          <w:szCs w:val="1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30"/>
          </w:cols>
          <w:pgMar w:left="630" w:top="1033" w:right="640" w:bottom="1440" w:gutter="0" w:footer="0" w:header="0"/>
        </w:sectPr>
      </w:pPr>
    </w:p>
    <w:bookmarkStart w:id="104" w:name="page105"/>
    <w:bookmarkEnd w:id="104"/>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SELLING HOLDERS</w:t>
      </w:r>
    </w:p>
    <w:p>
      <w:pPr>
        <w:spacing w:after="0" w:line="97" w:lineRule="exact"/>
        <w:rPr>
          <w:sz w:val="20"/>
          <w:szCs w:val="20"/>
          <w:color w:val="auto"/>
        </w:rPr>
      </w:pPr>
    </w:p>
    <w:p>
      <w:pPr>
        <w:ind w:right="340" w:firstLine="480"/>
        <w:spacing w:after="0" w:line="255" w:lineRule="auto"/>
        <w:rPr>
          <w:sz w:val="20"/>
          <w:szCs w:val="20"/>
          <w:color w:val="auto"/>
        </w:rPr>
      </w:pPr>
      <w:r>
        <w:rPr>
          <w:rFonts w:ascii="Times New Roman" w:cs="Times New Roman" w:eastAsia="Times New Roman" w:hAnsi="Times New Roman"/>
          <w:sz w:val="10"/>
          <w:szCs w:val="10"/>
          <w:color w:val="auto"/>
        </w:rPr>
        <w:t>This prospectus relates to the resale by certain of the Selling Holders of up to 58,444,822 Ordinary Shares, consisting of (i) up to 8,070,845 Ordinary Shares issued upon exercise of certain Convertible Notes by certain Selling Holders; (ii) up to 425,171 Ordinary Shares issuable upon conversion of certain Promissory Notes (iii) up to 1,413,946 Ordinary Shares issued upon conversion of the YA Notes; and (iv) up to 48,534,860 Ordinary Shares issuable pursuant to the Second A&amp;R YA Agreement.</w:t>
      </w:r>
    </w:p>
    <w:p>
      <w:pPr>
        <w:spacing w:after="0" w:line="101" w:lineRule="exact"/>
        <w:rPr>
          <w:sz w:val="20"/>
          <w:szCs w:val="20"/>
          <w:color w:val="auto"/>
        </w:rPr>
      </w:pPr>
    </w:p>
    <w:p>
      <w:pPr>
        <w:jc w:val="both"/>
        <w:ind w:right="180" w:firstLine="480"/>
        <w:spacing w:after="0" w:line="245" w:lineRule="auto"/>
        <w:rPr>
          <w:sz w:val="20"/>
          <w:szCs w:val="20"/>
          <w:color w:val="auto"/>
        </w:rPr>
      </w:pPr>
      <w:r>
        <w:rPr>
          <w:rFonts w:ascii="Times New Roman" w:cs="Times New Roman" w:eastAsia="Times New Roman" w:hAnsi="Times New Roman"/>
          <w:sz w:val="10"/>
          <w:szCs w:val="10"/>
          <w:color w:val="auto"/>
        </w:rPr>
        <w:t>Following the expiration of the applicable lock -up restrictions described herein, the sale of all of the securities registered for resale hereunder, or the perception that such sales may occur, may cause the market prices of our securities to decline significantly. Despite such a decline in price, Armada’s Sponsor and our holders may still experience a positive rate of return on the shares purchased by them due to the lower price per share at which its shares were purchased. See “</w:t>
      </w:r>
      <w:r>
        <w:rPr>
          <w:rFonts w:ascii="Times New Roman" w:cs="Times New Roman" w:eastAsia="Times New Roman" w:hAnsi="Times New Roman"/>
          <w:sz w:val="10"/>
          <w:szCs w:val="10"/>
          <w:i w:val="1"/>
          <w:iCs w:val="1"/>
          <w:color w:val="auto"/>
        </w:rPr>
        <w:t>Risk Factors—Risks Related to the Company</w:t>
      </w:r>
      <w:r>
        <w:rPr>
          <w:rFonts w:ascii="Times New Roman" w:cs="Times New Roman" w:eastAsia="Times New Roman" w:hAnsi="Times New Roman"/>
          <w:sz w:val="10"/>
          <w:szCs w:val="10"/>
          <w:color w:val="auto"/>
        </w:rPr>
        <w:t>” for more information.</w:t>
      </w:r>
    </w:p>
    <w:p>
      <w:pPr>
        <w:spacing w:after="0" w:line="105"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In February 2021, Armada issued 4,312,500 shares of common stock to its Sponsor for $25,000 in cash, at a purchase price of approximately $0.006 per share, in connection with its organization. On June 16, 2021, Armada’s Sponsor purchased an additional 700,000 shares of common stock at a purchase price of $0.006 per share, resulting in the Sponsor holding an aggregate of 5,012,500 Founder Shares. On June 16, 2021, Armada’s Sponsor transferred 50,000 Founder Shares to each of Messrs. Herbert and Lurio and 35,000 Founder Shares to each of Messrs. Khan, Decker and White. On July 23, 2021, Armada’s Sponsor purchased an additional 1,200,000 shares of common stock at a purchase price of $0.006 per share, resulting in the Sponsor holding an aggregate of 6,007,500 shares of common stock. Because Armada’s underwriters did not exercise their over- allotment option, Armada’s Sponsor forfeited 1,125,000 shares of common stock as of October 1, 2021. Additionally, upon consummation of Armada’s initial business combination, the Sponsor allocated membership interests representing Founder Shares to each anchor investor.</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Armada’s Sponsor purchased an aggregate of 459,500 private shares at a price of $10.00 per share for an aggregate purchase price of $4,595,000.</w:t>
      </w:r>
    </w:p>
    <w:p>
      <w:pPr>
        <w:spacing w:after="0" w:line="118"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Upon the consummation of the Business Combination, (i) each issued and outstanding share of common stock of Armada immediately prior to the Merger Effective Time was exchanged for one Ordinary Share; (ii) each issued and outstanding Armada Warrant immediately prior to the Merger Effective Time was exchanged for one Public Warrant; (iii) each issued and outstanding Armada Unit immediately prior to the Merger Effective Time was separated into its component parts (one share of Armada Common Stock and one-half of one Armada Warrant), with each share of Armada Common Stock to be exchanged for one Ordinary Share and each Armada Warrant to be exchanged for one Public Warrant. The Ordinary Shares, Public Warrants, the Ordinary Shares issuable upon exercise of the Private Warrants and the conversion of the Convertible Notes, the YA Note and the Promissory Notes are being registered by the registration statement of which this prospectus forms a part pursuant to the registration rights granted under certain of the Subscription Agreements and the Registration Rights Agreement.</w:t>
      </w:r>
    </w:p>
    <w:p>
      <w:pPr>
        <w:spacing w:after="0" w:line="11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Selling Holders may from time to time offer and sell any or all of the Ordinary Shares a set forth below pursuant to this prospectus. When we refer to the “Selling Holders” in this prospectus, we mean the persons listed in the table and in the footnotes in the table below (as such table may be amended from time to time by means of an amendment to the registration statement of which this prospectus is a part or by supplement to this prospectus), and any pledgees, donees, transferees, assignees, successors and others who later come to hold any of the Selling Holders’ interest in the Class A ordinary shares or warrants after the date of this prospectus such that registration rights shall apply to those securities.</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The following tables are prepared based on information provided to us by the Selling Holders. It sets forth the name and address of the Selling Holders, the aggregate number of Ordinary Shares that the Selling Holders may offer pursuant to this prospectus, and the beneficial ownership of the Selling Holders both before and after the offering. Except as otherwise indicated in the table below, no selling stockholder is a broker-dealer or an affiliate of a broker-dealer. We have based ownership prior to this offering as of January 10, 2025. In calculating percentages of Ordinary Shares owned by a particular Selling Holder, we treated as outstanding the number of Ordinary Shares issuable upon exercise of that particular Selling Holder’s Warrants and upon the conversion of that Selling Holder’s Convertible Notes, YA Note or Promissory Notes, if any, and did not assume the exercise of any other Selling Holder’s Warrants or the conversion of any other Selling Holder’s Convertible Notes, YA Note or Promissory Notes.</w:t>
      </w:r>
    </w:p>
    <w:p>
      <w:pPr>
        <w:spacing w:after="0" w:line="108"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We cannot advise you as to whether the Selling Holders will in fact sell any or all of such Ordinary Shares. In addition, the Selling Holders may sell, transfer or otherwise dispose of, at any time and from time to time, the Ordinary Shares in transactions exempt from the registration requirements of the Securities Act after the date of this prospectus. For purposes of this table, we have assumed that the Selling Holders will have sold all of the securities covered by this prospectus upon the completion of the offering.</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105" w:name="page106"/>
    <w:bookmarkEnd w:id="105"/>
    <w:p>
      <w:pPr>
        <w:ind w:left="480"/>
        <w:spacing w:after="0"/>
        <w:rPr>
          <w:sz w:val="20"/>
          <w:szCs w:val="20"/>
          <w:color w:val="auto"/>
        </w:rPr>
      </w:pPr>
      <w:r>
        <w:rPr>
          <w:rFonts w:ascii="Times New Roman" w:cs="Times New Roman" w:eastAsia="Times New Roman" w:hAnsi="Times New Roman"/>
          <w:sz w:val="10"/>
          <w:szCs w:val="10"/>
          <w:color w:val="auto"/>
        </w:rPr>
        <w:t>Unless otherwise indicated, the business address of each of the following owners is 3rd Floor, 80 New Bond Street, London, W1S 1SB, United Kingdom.</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4260" w:type="dxa"/>
            <w:vAlign w:val="bottom"/>
            <w:gridSpan w:val="2"/>
          </w:tcPr>
          <w:p>
            <w:pPr>
              <w:ind w:left="1660"/>
              <w:spacing w:after="0"/>
              <w:rPr>
                <w:sz w:val="20"/>
                <w:szCs w:val="20"/>
                <w:color w:val="auto"/>
              </w:rPr>
            </w:pPr>
            <w:r>
              <w:rPr>
                <w:rFonts w:ascii="Times New Roman" w:cs="Times New Roman" w:eastAsia="Times New Roman" w:hAnsi="Times New Roman"/>
                <w:sz w:val="10"/>
                <w:szCs w:val="10"/>
                <w:b w:val="1"/>
                <w:bCs w:val="1"/>
                <w:i w:val="1"/>
                <w:iCs w:val="1"/>
                <w:color w:val="auto"/>
              </w:rPr>
              <w:t>Ordinary Shares</w:t>
            </w:r>
            <w:r>
              <w:rPr>
                <w:rFonts w:ascii="Times New Roman" w:cs="Times New Roman" w:eastAsia="Times New Roman" w:hAnsi="Times New Roman"/>
                <w:sz w:val="13"/>
                <w:szCs w:val="13"/>
                <w:b w:val="1"/>
                <w:bCs w:val="1"/>
                <w:i w:val="1"/>
                <w:iCs w:val="1"/>
                <w:color w:val="auto"/>
                <w:vertAlign w:val="superscript"/>
              </w:rPr>
              <w:t>(1)</w:t>
            </w:r>
          </w:p>
        </w:tc>
        <w:tc>
          <w:tcPr>
            <w:tcW w:w="1760" w:type="dxa"/>
            <w:vAlign w:val="bottom"/>
          </w:tcPr>
          <w:p>
            <w:pPr>
              <w:spacing w:after="0"/>
              <w:rPr>
                <w:sz w:val="15"/>
                <w:szCs w:val="15"/>
                <w:color w:val="auto"/>
              </w:rPr>
            </w:pPr>
          </w:p>
        </w:tc>
      </w:tr>
      <w:tr>
        <w:trPr>
          <w:trHeight w:val="152"/>
        </w:trPr>
        <w:tc>
          <w:tcPr>
            <w:tcW w:w="2080" w:type="dxa"/>
            <w:vAlign w:val="bottom"/>
          </w:tcPr>
          <w:p>
            <w:pPr>
              <w:spacing w:after="0"/>
              <w:rPr>
                <w:sz w:val="20"/>
                <w:szCs w:val="20"/>
                <w:color w:val="auto"/>
              </w:rPr>
            </w:pPr>
            <w:r>
              <w:rPr>
                <w:rFonts w:ascii="Times New Roman" w:cs="Times New Roman" w:eastAsia="Times New Roman" w:hAnsi="Times New Roman"/>
                <w:sz w:val="10"/>
                <w:szCs w:val="10"/>
                <w:b w:val="1"/>
                <w:bCs w:val="1"/>
                <w:i w:val="1"/>
                <w:iCs w:val="1"/>
                <w:color w:val="auto"/>
              </w:rPr>
              <w:t>Name</w:t>
            </w:r>
          </w:p>
        </w:tc>
        <w:tc>
          <w:tcPr>
            <w:tcW w:w="2420" w:type="dxa"/>
            <w:vAlign w:val="bottom"/>
          </w:tcPr>
          <w:p>
            <w:pPr>
              <w:ind w:left="460"/>
              <w:spacing w:after="0"/>
              <w:rPr>
                <w:sz w:val="20"/>
                <w:szCs w:val="20"/>
                <w:color w:val="auto"/>
              </w:rPr>
            </w:pPr>
            <w:r>
              <w:rPr>
                <w:rFonts w:ascii="Times New Roman" w:cs="Times New Roman" w:eastAsia="Times New Roman" w:hAnsi="Times New Roman"/>
                <w:sz w:val="10"/>
                <w:szCs w:val="10"/>
                <w:b w:val="1"/>
                <w:bCs w:val="1"/>
                <w:i w:val="1"/>
                <w:iCs w:val="1"/>
                <w:color w:val="auto"/>
              </w:rPr>
              <w:t>Number Beneficially Owned Prior to Offering</w:t>
            </w:r>
          </w:p>
        </w:tc>
        <w:tc>
          <w:tcPr>
            <w:tcW w:w="1820" w:type="dxa"/>
            <w:vAlign w:val="bottom"/>
          </w:tcPr>
          <w:p>
            <w:pPr>
              <w:ind w:left="120"/>
              <w:spacing w:after="0"/>
              <w:rPr>
                <w:sz w:val="20"/>
                <w:szCs w:val="20"/>
                <w:color w:val="auto"/>
              </w:rPr>
            </w:pPr>
            <w:r>
              <w:rPr>
                <w:rFonts w:ascii="Times New Roman" w:cs="Times New Roman" w:eastAsia="Times New Roman" w:hAnsi="Times New Roman"/>
                <w:sz w:val="10"/>
                <w:szCs w:val="10"/>
                <w:b w:val="1"/>
                <w:bCs w:val="1"/>
                <w:i w:val="1"/>
                <w:iCs w:val="1"/>
                <w:color w:val="auto"/>
              </w:rPr>
              <w:t>Maximum Number Registered for Sale</w:t>
            </w:r>
          </w:p>
        </w:tc>
        <w:tc>
          <w:tcPr>
            <w:tcW w:w="2440" w:type="dxa"/>
            <w:vAlign w:val="bottom"/>
          </w:tcPr>
          <w:p>
            <w:pPr>
              <w:ind w:left="160"/>
              <w:spacing w:after="0"/>
              <w:rPr>
                <w:sz w:val="20"/>
                <w:szCs w:val="20"/>
                <w:color w:val="auto"/>
              </w:rPr>
            </w:pPr>
            <w:r>
              <w:rPr>
                <w:rFonts w:ascii="Times New Roman" w:cs="Times New Roman" w:eastAsia="Times New Roman" w:hAnsi="Times New Roman"/>
                <w:sz w:val="10"/>
                <w:szCs w:val="10"/>
                <w:b w:val="1"/>
                <w:bCs w:val="1"/>
                <w:i w:val="1"/>
                <w:iCs w:val="1"/>
                <w:color w:val="auto"/>
              </w:rPr>
              <w:t>Number Beneficially Owned After the Offered Shares</w:t>
            </w:r>
          </w:p>
        </w:tc>
        <w:tc>
          <w:tcPr>
            <w:tcW w:w="1760" w:type="dxa"/>
            <w:vAlign w:val="bottom"/>
          </w:tcPr>
          <w:p>
            <w:pPr>
              <w:ind w:left="140"/>
              <w:spacing w:after="0"/>
              <w:rPr>
                <w:sz w:val="20"/>
                <w:szCs w:val="20"/>
                <w:color w:val="auto"/>
              </w:rPr>
            </w:pPr>
            <w:r>
              <w:rPr>
                <w:rFonts w:ascii="Times New Roman" w:cs="Times New Roman" w:eastAsia="Times New Roman" w:hAnsi="Times New Roman"/>
                <w:sz w:val="10"/>
                <w:szCs w:val="10"/>
                <w:b w:val="1"/>
                <w:bCs w:val="1"/>
                <w:i w:val="1"/>
                <w:iCs w:val="1"/>
                <w:color w:val="auto"/>
                <w:w w:val="95"/>
              </w:rPr>
              <w:t>Percent Owned After the Offered Shares</w:t>
            </w:r>
          </w:p>
        </w:tc>
      </w:tr>
      <w:tr>
        <w:trPr>
          <w:trHeight w:val="178"/>
        </w:trPr>
        <w:tc>
          <w:tcPr>
            <w:tcW w:w="20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820" w:type="dxa"/>
            <w:vAlign w:val="bottom"/>
          </w:tcPr>
          <w:p>
            <w:pPr>
              <w:ind w:left="120"/>
              <w:spacing w:after="0"/>
              <w:rPr>
                <w:sz w:val="20"/>
                <w:szCs w:val="20"/>
                <w:color w:val="auto"/>
              </w:rPr>
            </w:pPr>
            <w:r>
              <w:rPr>
                <w:rFonts w:ascii="Times New Roman" w:cs="Times New Roman" w:eastAsia="Times New Roman" w:hAnsi="Times New Roman"/>
                <w:sz w:val="10"/>
                <w:szCs w:val="10"/>
                <w:b w:val="1"/>
                <w:bCs w:val="1"/>
                <w:i w:val="1"/>
                <w:iCs w:val="1"/>
                <w:color w:val="auto"/>
              </w:rPr>
              <w:t>Hereby</w:t>
            </w:r>
          </w:p>
        </w:tc>
        <w:tc>
          <w:tcPr>
            <w:tcW w:w="2440" w:type="dxa"/>
            <w:vAlign w:val="bottom"/>
          </w:tcPr>
          <w:p>
            <w:pPr>
              <w:ind w:left="160"/>
              <w:spacing w:after="0"/>
              <w:rPr>
                <w:sz w:val="20"/>
                <w:szCs w:val="20"/>
                <w:color w:val="auto"/>
              </w:rPr>
            </w:pPr>
            <w:r>
              <w:rPr>
                <w:rFonts w:ascii="Times New Roman" w:cs="Times New Roman" w:eastAsia="Times New Roman" w:hAnsi="Times New Roman"/>
                <w:sz w:val="10"/>
                <w:szCs w:val="10"/>
                <w:b w:val="1"/>
                <w:bCs w:val="1"/>
                <w:i w:val="1"/>
                <w:iCs w:val="1"/>
                <w:color w:val="auto"/>
              </w:rPr>
              <w:t>are Sold</w:t>
            </w:r>
            <w:r>
              <w:rPr>
                <w:rFonts w:ascii="Times New Roman" w:cs="Times New Roman" w:eastAsia="Times New Roman" w:hAnsi="Times New Roman"/>
                <w:sz w:val="13"/>
                <w:szCs w:val="13"/>
                <w:b w:val="1"/>
                <w:bCs w:val="1"/>
                <w:i w:val="1"/>
                <w:iCs w:val="1"/>
                <w:color w:val="auto"/>
                <w:vertAlign w:val="superscript"/>
              </w:rPr>
              <w:t>(2)</w:t>
            </w:r>
          </w:p>
        </w:tc>
        <w:tc>
          <w:tcPr>
            <w:tcW w:w="1760" w:type="dxa"/>
            <w:vAlign w:val="bottom"/>
          </w:tcPr>
          <w:p>
            <w:pPr>
              <w:ind w:left="140"/>
              <w:spacing w:after="0"/>
              <w:rPr>
                <w:sz w:val="20"/>
                <w:szCs w:val="20"/>
                <w:color w:val="auto"/>
              </w:rPr>
            </w:pPr>
            <w:r>
              <w:rPr>
                <w:rFonts w:ascii="Times New Roman" w:cs="Times New Roman" w:eastAsia="Times New Roman" w:hAnsi="Times New Roman"/>
                <w:sz w:val="10"/>
                <w:szCs w:val="10"/>
                <w:b w:val="1"/>
                <w:bCs w:val="1"/>
                <w:i w:val="1"/>
                <w:iCs w:val="1"/>
                <w:color w:val="auto"/>
              </w:rPr>
              <w:t>are Sold</w:t>
            </w:r>
          </w:p>
        </w:tc>
      </w:tr>
      <w:tr>
        <w:trPr>
          <w:trHeight w:val="197"/>
        </w:trPr>
        <w:tc>
          <w:tcPr>
            <w:tcW w:w="2080" w:type="dxa"/>
            <w:vAlign w:val="bottom"/>
          </w:tcPr>
          <w:p>
            <w:pPr>
              <w:spacing w:after="0"/>
              <w:rPr>
                <w:sz w:val="20"/>
                <w:szCs w:val="20"/>
                <w:color w:val="auto"/>
              </w:rPr>
            </w:pPr>
            <w:r>
              <w:rPr>
                <w:rFonts w:ascii="Times New Roman" w:cs="Times New Roman" w:eastAsia="Times New Roman" w:hAnsi="Times New Roman"/>
                <w:sz w:val="10"/>
                <w:szCs w:val="10"/>
                <w:color w:val="auto"/>
              </w:rPr>
              <w:t>Arthur Yao</w:t>
            </w:r>
            <w:r>
              <w:rPr>
                <w:rFonts w:ascii="Times New Roman" w:cs="Times New Roman" w:eastAsia="Times New Roman" w:hAnsi="Times New Roman"/>
                <w:sz w:val="13"/>
                <w:szCs w:val="13"/>
                <w:color w:val="auto"/>
                <w:vertAlign w:val="superscript"/>
              </w:rPr>
              <w:t>(3)</w:t>
            </w:r>
          </w:p>
        </w:tc>
        <w:tc>
          <w:tcPr>
            <w:tcW w:w="242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1,311,816</w:t>
            </w:r>
            <w:r>
              <w:rPr>
                <w:rFonts w:ascii="Times New Roman" w:cs="Times New Roman" w:eastAsia="Times New Roman" w:hAnsi="Times New Roman"/>
                <w:sz w:val="13"/>
                <w:szCs w:val="13"/>
                <w:color w:val="auto"/>
                <w:vertAlign w:val="superscript"/>
              </w:rPr>
              <w:t>(4)</w:t>
            </w:r>
          </w:p>
        </w:tc>
        <w:tc>
          <w:tcPr>
            <w:tcW w:w="18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37,387</w:t>
            </w:r>
          </w:p>
        </w:tc>
        <w:tc>
          <w:tcPr>
            <w:tcW w:w="24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1,274,429</w:t>
            </w:r>
          </w:p>
        </w:tc>
        <w:tc>
          <w:tcPr>
            <w:tcW w:w="17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2080" w:type="dxa"/>
            <w:vAlign w:val="bottom"/>
          </w:tcPr>
          <w:p>
            <w:pPr>
              <w:spacing w:after="0"/>
              <w:rPr>
                <w:sz w:val="20"/>
                <w:szCs w:val="20"/>
                <w:color w:val="auto"/>
              </w:rPr>
            </w:pPr>
            <w:r>
              <w:rPr>
                <w:rFonts w:ascii="Times New Roman" w:cs="Times New Roman" w:eastAsia="Times New Roman" w:hAnsi="Times New Roman"/>
                <w:sz w:val="10"/>
                <w:szCs w:val="10"/>
                <w:color w:val="auto"/>
              </w:rPr>
              <w:t>Bradley Wickens</w:t>
            </w:r>
          </w:p>
        </w:tc>
        <w:tc>
          <w:tcPr>
            <w:tcW w:w="2420" w:type="dxa"/>
            <w:vAlign w:val="bottom"/>
          </w:tcPr>
          <w:p>
            <w:pPr>
              <w:ind w:left="460"/>
              <w:spacing w:after="0" w:line="143" w:lineRule="exact"/>
              <w:rPr>
                <w:sz w:val="20"/>
                <w:szCs w:val="20"/>
                <w:color w:val="auto"/>
              </w:rPr>
            </w:pPr>
            <w:r>
              <w:rPr>
                <w:rFonts w:ascii="Times New Roman" w:cs="Times New Roman" w:eastAsia="Times New Roman" w:hAnsi="Times New Roman"/>
                <w:sz w:val="10"/>
                <w:szCs w:val="10"/>
                <w:color w:val="auto"/>
              </w:rPr>
              <w:t>25,864,807</w:t>
            </w:r>
            <w:r>
              <w:rPr>
                <w:rFonts w:ascii="Times New Roman" w:cs="Times New Roman" w:eastAsia="Times New Roman" w:hAnsi="Times New Roman"/>
                <w:sz w:val="13"/>
                <w:szCs w:val="13"/>
                <w:color w:val="auto"/>
                <w:vertAlign w:val="superscript"/>
              </w:rPr>
              <w:t>(5)</w:t>
            </w:r>
          </w:p>
        </w:tc>
        <w:tc>
          <w:tcPr>
            <w:tcW w:w="18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7,987,374</w:t>
            </w:r>
          </w:p>
        </w:tc>
        <w:tc>
          <w:tcPr>
            <w:tcW w:w="24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17,877,433</w:t>
            </w:r>
          </w:p>
        </w:tc>
        <w:tc>
          <w:tcPr>
            <w:tcW w:w="17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8.25%</w:t>
            </w:r>
          </w:p>
        </w:tc>
      </w:tr>
      <w:tr>
        <w:trPr>
          <w:trHeight w:val="128"/>
        </w:trPr>
        <w:tc>
          <w:tcPr>
            <w:tcW w:w="2080" w:type="dxa"/>
            <w:vAlign w:val="bottom"/>
          </w:tcPr>
          <w:p>
            <w:pPr>
              <w:spacing w:after="0"/>
              <w:rPr>
                <w:sz w:val="20"/>
                <w:szCs w:val="20"/>
                <w:color w:val="auto"/>
              </w:rPr>
            </w:pPr>
            <w:r>
              <w:rPr>
                <w:rFonts w:ascii="Times New Roman" w:cs="Times New Roman" w:eastAsia="Times New Roman" w:hAnsi="Times New Roman"/>
                <w:sz w:val="10"/>
                <w:szCs w:val="10"/>
                <w:color w:val="auto"/>
              </w:rPr>
              <w:t>Fujian Limatong XinXi Keji</w:t>
            </w:r>
          </w:p>
        </w:tc>
        <w:tc>
          <w:tcPr>
            <w:tcW w:w="2420" w:type="dxa"/>
            <w:vAlign w:val="bottom"/>
          </w:tcPr>
          <w:p>
            <w:pPr>
              <w:ind w:left="460"/>
              <w:spacing w:after="0" w:line="128" w:lineRule="exact"/>
              <w:rPr>
                <w:sz w:val="20"/>
                <w:szCs w:val="20"/>
                <w:color w:val="auto"/>
              </w:rPr>
            </w:pPr>
            <w:r>
              <w:rPr>
                <w:rFonts w:ascii="Times New Roman" w:cs="Times New Roman" w:eastAsia="Times New Roman" w:hAnsi="Times New Roman"/>
                <w:sz w:val="10"/>
                <w:szCs w:val="10"/>
                <w:color w:val="auto"/>
              </w:rPr>
              <w:t>325,411</w:t>
            </w:r>
            <w:r>
              <w:rPr>
                <w:rFonts w:ascii="Times New Roman" w:cs="Times New Roman" w:eastAsia="Times New Roman" w:hAnsi="Times New Roman"/>
                <w:sz w:val="13"/>
                <w:szCs w:val="13"/>
                <w:color w:val="auto"/>
                <w:vertAlign w:val="superscript"/>
              </w:rPr>
              <w:t>(6)</w:t>
            </w:r>
          </w:p>
        </w:tc>
        <w:tc>
          <w:tcPr>
            <w:tcW w:w="18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99,697</w:t>
            </w:r>
          </w:p>
        </w:tc>
        <w:tc>
          <w:tcPr>
            <w:tcW w:w="24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225,714</w:t>
            </w:r>
          </w:p>
        </w:tc>
        <w:tc>
          <w:tcPr>
            <w:tcW w:w="17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r>
      <w:tr>
        <w:trPr>
          <w:trHeight w:val="125"/>
        </w:trPr>
        <w:tc>
          <w:tcPr>
            <w:tcW w:w="2080" w:type="dxa"/>
            <w:vAlign w:val="bottom"/>
          </w:tcPr>
          <w:p>
            <w:pPr>
              <w:spacing w:after="0"/>
              <w:rPr>
                <w:sz w:val="20"/>
                <w:szCs w:val="20"/>
                <w:color w:val="auto"/>
              </w:rPr>
            </w:pPr>
            <w:r>
              <w:rPr>
                <w:rFonts w:ascii="Times New Roman" w:cs="Times New Roman" w:eastAsia="Times New Roman" w:hAnsi="Times New Roman"/>
                <w:sz w:val="10"/>
                <w:szCs w:val="10"/>
                <w:color w:val="auto"/>
              </w:rPr>
              <w:t>Youxian Gongsi</w:t>
            </w:r>
          </w:p>
        </w:tc>
        <w:tc>
          <w:tcPr>
            <w:tcW w:w="24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760" w:type="dxa"/>
            <w:vAlign w:val="bottom"/>
          </w:tcPr>
          <w:p>
            <w:pPr>
              <w:spacing w:after="0"/>
              <w:rPr>
                <w:sz w:val="10"/>
                <w:szCs w:val="10"/>
                <w:color w:val="auto"/>
              </w:rPr>
            </w:pPr>
          </w:p>
        </w:tc>
      </w:tr>
      <w:tr>
        <w:trPr>
          <w:trHeight w:val="145"/>
        </w:trPr>
        <w:tc>
          <w:tcPr>
            <w:tcW w:w="2080" w:type="dxa"/>
            <w:vAlign w:val="bottom"/>
          </w:tcPr>
          <w:p>
            <w:pPr>
              <w:spacing w:after="0"/>
              <w:rPr>
                <w:sz w:val="20"/>
                <w:szCs w:val="20"/>
                <w:color w:val="auto"/>
              </w:rPr>
            </w:pPr>
            <w:r>
              <w:rPr>
                <w:rFonts w:ascii="Times New Roman" w:cs="Times New Roman" w:eastAsia="Times New Roman" w:hAnsi="Times New Roman"/>
                <w:sz w:val="10"/>
                <w:szCs w:val="10"/>
                <w:color w:val="auto"/>
              </w:rPr>
              <w:t>Julien Nurse</w:t>
            </w:r>
          </w:p>
        </w:tc>
        <w:tc>
          <w:tcPr>
            <w:tcW w:w="2420" w:type="dxa"/>
            <w:vAlign w:val="bottom"/>
          </w:tcPr>
          <w:p>
            <w:pPr>
              <w:ind w:left="460"/>
              <w:spacing w:after="0" w:line="146" w:lineRule="exact"/>
              <w:rPr>
                <w:sz w:val="20"/>
                <w:szCs w:val="20"/>
                <w:color w:val="auto"/>
              </w:rPr>
            </w:pPr>
            <w:r>
              <w:rPr>
                <w:rFonts w:ascii="Times New Roman" w:cs="Times New Roman" w:eastAsia="Times New Roman" w:hAnsi="Times New Roman"/>
                <w:sz w:val="10"/>
                <w:szCs w:val="10"/>
                <w:color w:val="auto"/>
              </w:rPr>
              <w:t>59,102</w:t>
            </w:r>
            <w:r>
              <w:rPr>
                <w:rFonts w:ascii="Times New Roman" w:cs="Times New Roman" w:eastAsia="Times New Roman" w:hAnsi="Times New Roman"/>
                <w:sz w:val="13"/>
                <w:szCs w:val="13"/>
                <w:color w:val="auto"/>
                <w:vertAlign w:val="superscript"/>
              </w:rPr>
              <w:t>(7)</w:t>
            </w:r>
          </w:p>
        </w:tc>
        <w:tc>
          <w:tcPr>
            <w:tcW w:w="18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15,827</w:t>
            </w:r>
          </w:p>
        </w:tc>
        <w:tc>
          <w:tcPr>
            <w:tcW w:w="24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43,275</w:t>
            </w:r>
          </w:p>
        </w:tc>
        <w:tc>
          <w:tcPr>
            <w:tcW w:w="17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2080" w:type="dxa"/>
            <w:vAlign w:val="bottom"/>
          </w:tcPr>
          <w:p>
            <w:pPr>
              <w:spacing w:after="0"/>
              <w:rPr>
                <w:sz w:val="20"/>
                <w:szCs w:val="20"/>
                <w:color w:val="auto"/>
              </w:rPr>
            </w:pPr>
            <w:r>
              <w:rPr>
                <w:rFonts w:ascii="Times New Roman" w:cs="Times New Roman" w:eastAsia="Times New Roman" w:hAnsi="Times New Roman"/>
                <w:sz w:val="10"/>
                <w:szCs w:val="10"/>
                <w:color w:val="auto"/>
              </w:rPr>
              <w:t>Julius Meller Management Services LTD</w:t>
            </w:r>
          </w:p>
        </w:tc>
        <w:tc>
          <w:tcPr>
            <w:tcW w:w="2420" w:type="dxa"/>
            <w:vAlign w:val="bottom"/>
          </w:tcPr>
          <w:p>
            <w:pPr>
              <w:ind w:left="460"/>
              <w:spacing w:after="0" w:line="143" w:lineRule="exact"/>
              <w:rPr>
                <w:sz w:val="20"/>
                <w:szCs w:val="20"/>
                <w:color w:val="auto"/>
              </w:rPr>
            </w:pPr>
            <w:r>
              <w:rPr>
                <w:rFonts w:ascii="Times New Roman" w:cs="Times New Roman" w:eastAsia="Times New Roman" w:hAnsi="Times New Roman"/>
                <w:sz w:val="10"/>
                <w:szCs w:val="10"/>
                <w:color w:val="auto"/>
              </w:rPr>
              <w:t>27,812</w:t>
            </w:r>
            <w:r>
              <w:rPr>
                <w:rFonts w:ascii="Times New Roman" w:cs="Times New Roman" w:eastAsia="Times New Roman" w:hAnsi="Times New Roman"/>
                <w:sz w:val="13"/>
                <w:szCs w:val="13"/>
                <w:color w:val="auto"/>
                <w:vertAlign w:val="superscript"/>
              </w:rPr>
              <w:t>(8)</w:t>
            </w:r>
          </w:p>
        </w:tc>
        <w:tc>
          <w:tcPr>
            <w:tcW w:w="18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14,955</w:t>
            </w:r>
          </w:p>
        </w:tc>
        <w:tc>
          <w:tcPr>
            <w:tcW w:w="24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12,857</w:t>
            </w:r>
          </w:p>
        </w:tc>
        <w:tc>
          <w:tcPr>
            <w:tcW w:w="17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2080" w:type="dxa"/>
            <w:vAlign w:val="bottom"/>
          </w:tcPr>
          <w:p>
            <w:pPr>
              <w:spacing w:after="0"/>
              <w:rPr>
                <w:sz w:val="20"/>
                <w:szCs w:val="20"/>
                <w:color w:val="auto"/>
              </w:rPr>
            </w:pPr>
            <w:r>
              <w:rPr>
                <w:rFonts w:ascii="Times New Roman" w:cs="Times New Roman" w:eastAsia="Times New Roman" w:hAnsi="Times New Roman"/>
                <w:sz w:val="10"/>
                <w:szCs w:val="10"/>
                <w:color w:val="auto"/>
              </w:rPr>
              <w:t>Justin King</w:t>
            </w:r>
          </w:p>
        </w:tc>
        <w:tc>
          <w:tcPr>
            <w:tcW w:w="2420" w:type="dxa"/>
            <w:vAlign w:val="bottom"/>
          </w:tcPr>
          <w:p>
            <w:pPr>
              <w:ind w:left="460"/>
              <w:spacing w:after="0" w:line="143" w:lineRule="exact"/>
              <w:rPr>
                <w:sz w:val="20"/>
                <w:szCs w:val="20"/>
                <w:color w:val="auto"/>
              </w:rPr>
            </w:pPr>
            <w:r>
              <w:rPr>
                <w:rFonts w:ascii="Times New Roman" w:cs="Times New Roman" w:eastAsia="Times New Roman" w:hAnsi="Times New Roman"/>
                <w:sz w:val="10"/>
                <w:szCs w:val="10"/>
                <w:color w:val="auto"/>
              </w:rPr>
              <w:t>42,509</w:t>
            </w:r>
            <w:r>
              <w:rPr>
                <w:rFonts w:ascii="Times New Roman" w:cs="Times New Roman" w:eastAsia="Times New Roman" w:hAnsi="Times New Roman"/>
                <w:sz w:val="13"/>
                <w:szCs w:val="13"/>
                <w:color w:val="auto"/>
                <w:vertAlign w:val="superscript"/>
              </w:rPr>
              <w:t>(9)</w:t>
            </w:r>
          </w:p>
        </w:tc>
        <w:tc>
          <w:tcPr>
            <w:tcW w:w="18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18,992</w:t>
            </w:r>
          </w:p>
        </w:tc>
        <w:tc>
          <w:tcPr>
            <w:tcW w:w="24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23,517</w:t>
            </w:r>
          </w:p>
        </w:tc>
        <w:tc>
          <w:tcPr>
            <w:tcW w:w="17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2080" w:type="dxa"/>
            <w:vAlign w:val="bottom"/>
          </w:tcPr>
          <w:p>
            <w:pPr>
              <w:spacing w:after="0"/>
              <w:rPr>
                <w:sz w:val="20"/>
                <w:szCs w:val="20"/>
                <w:color w:val="auto"/>
              </w:rPr>
            </w:pPr>
            <w:r>
              <w:rPr>
                <w:rFonts w:ascii="Times New Roman" w:cs="Times New Roman" w:eastAsia="Times New Roman" w:hAnsi="Times New Roman"/>
                <w:sz w:val="10"/>
                <w:szCs w:val="10"/>
                <w:color w:val="auto"/>
              </w:rPr>
              <w:t>Karen Kalaris</w:t>
            </w:r>
          </w:p>
        </w:tc>
        <w:tc>
          <w:tcPr>
            <w:tcW w:w="2420" w:type="dxa"/>
            <w:vAlign w:val="bottom"/>
          </w:tcPr>
          <w:p>
            <w:pPr>
              <w:ind w:left="460"/>
              <w:spacing w:after="0" w:line="143" w:lineRule="exact"/>
              <w:rPr>
                <w:sz w:val="20"/>
                <w:szCs w:val="20"/>
                <w:color w:val="auto"/>
              </w:rPr>
            </w:pPr>
            <w:r>
              <w:rPr>
                <w:rFonts w:ascii="Times New Roman" w:cs="Times New Roman" w:eastAsia="Times New Roman" w:hAnsi="Times New Roman"/>
                <w:sz w:val="10"/>
                <w:szCs w:val="10"/>
                <w:color w:val="auto"/>
              </w:rPr>
              <w:t>111,632</w:t>
            </w:r>
            <w:r>
              <w:rPr>
                <w:rFonts w:ascii="Times New Roman" w:cs="Times New Roman" w:eastAsia="Times New Roman" w:hAnsi="Times New Roman"/>
                <w:sz w:val="13"/>
                <w:szCs w:val="13"/>
                <w:color w:val="auto"/>
                <w:vertAlign w:val="superscript"/>
              </w:rPr>
              <w:t>(10)</w:t>
            </w:r>
          </w:p>
        </w:tc>
        <w:tc>
          <w:tcPr>
            <w:tcW w:w="18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24,924</w:t>
            </w:r>
          </w:p>
        </w:tc>
        <w:tc>
          <w:tcPr>
            <w:tcW w:w="24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86,708</w:t>
            </w:r>
          </w:p>
        </w:tc>
        <w:tc>
          <w:tcPr>
            <w:tcW w:w="17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2080" w:type="dxa"/>
            <w:vAlign w:val="bottom"/>
          </w:tcPr>
          <w:p>
            <w:pPr>
              <w:spacing w:after="0" w:line="143" w:lineRule="exact"/>
              <w:rPr>
                <w:sz w:val="20"/>
                <w:szCs w:val="20"/>
                <w:color w:val="auto"/>
              </w:rPr>
            </w:pPr>
            <w:r>
              <w:rPr>
                <w:rFonts w:ascii="Times New Roman" w:cs="Times New Roman" w:eastAsia="Times New Roman" w:hAnsi="Times New Roman"/>
                <w:sz w:val="10"/>
                <w:szCs w:val="10"/>
                <w:color w:val="auto"/>
              </w:rPr>
              <w:t>Igor Lychagov</w:t>
            </w:r>
            <w:r>
              <w:rPr>
                <w:rFonts w:ascii="Times New Roman" w:cs="Times New Roman" w:eastAsia="Times New Roman" w:hAnsi="Times New Roman"/>
                <w:sz w:val="13"/>
                <w:szCs w:val="13"/>
                <w:color w:val="auto"/>
                <w:vertAlign w:val="superscript"/>
              </w:rPr>
              <w:t>(11)</w:t>
            </w:r>
          </w:p>
        </w:tc>
        <w:tc>
          <w:tcPr>
            <w:tcW w:w="2420" w:type="dxa"/>
            <w:vAlign w:val="bottom"/>
          </w:tcPr>
          <w:p>
            <w:pPr>
              <w:ind w:left="460"/>
              <w:spacing w:after="0" w:line="143" w:lineRule="exact"/>
              <w:rPr>
                <w:sz w:val="20"/>
                <w:szCs w:val="20"/>
                <w:color w:val="auto"/>
              </w:rPr>
            </w:pPr>
            <w:r>
              <w:rPr>
                <w:rFonts w:ascii="Times New Roman" w:cs="Times New Roman" w:eastAsia="Times New Roman" w:hAnsi="Times New Roman"/>
                <w:sz w:val="10"/>
                <w:szCs w:val="10"/>
                <w:color w:val="auto"/>
              </w:rPr>
              <w:t>35,965,051</w:t>
            </w:r>
            <w:r>
              <w:rPr>
                <w:rFonts w:ascii="Times New Roman" w:cs="Times New Roman" w:eastAsia="Times New Roman" w:hAnsi="Times New Roman"/>
                <w:sz w:val="13"/>
                <w:szCs w:val="13"/>
                <w:color w:val="auto"/>
                <w:vertAlign w:val="superscript"/>
              </w:rPr>
              <w:t>(12)</w:t>
            </w:r>
          </w:p>
        </w:tc>
        <w:tc>
          <w:tcPr>
            <w:tcW w:w="18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51,194</w:t>
            </w:r>
          </w:p>
        </w:tc>
        <w:tc>
          <w:tcPr>
            <w:tcW w:w="24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35,913,857</w:t>
            </w:r>
          </w:p>
        </w:tc>
        <w:tc>
          <w:tcPr>
            <w:tcW w:w="17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16.57%</w:t>
            </w:r>
          </w:p>
        </w:tc>
      </w:tr>
      <w:tr>
        <w:trPr>
          <w:trHeight w:val="128"/>
        </w:trPr>
        <w:tc>
          <w:tcPr>
            <w:tcW w:w="2080" w:type="dxa"/>
            <w:vAlign w:val="bottom"/>
          </w:tcPr>
          <w:p>
            <w:pPr>
              <w:spacing w:after="0" w:line="128" w:lineRule="exact"/>
              <w:rPr>
                <w:sz w:val="20"/>
                <w:szCs w:val="20"/>
                <w:color w:val="auto"/>
              </w:rPr>
            </w:pPr>
            <w:r>
              <w:rPr>
                <w:rFonts w:ascii="Times New Roman" w:cs="Times New Roman" w:eastAsia="Times New Roman" w:hAnsi="Times New Roman"/>
                <w:sz w:val="10"/>
                <w:szCs w:val="10"/>
                <w:color w:val="auto"/>
              </w:rPr>
              <w:t>Stephen Perry</w:t>
            </w:r>
            <w:r>
              <w:rPr>
                <w:rFonts w:ascii="Times New Roman" w:cs="Times New Roman" w:eastAsia="Times New Roman" w:hAnsi="Times New Roman"/>
                <w:sz w:val="13"/>
                <w:szCs w:val="13"/>
                <w:color w:val="auto"/>
                <w:vertAlign w:val="superscript"/>
              </w:rPr>
              <w:t>(13)</w:t>
            </w:r>
          </w:p>
        </w:tc>
        <w:tc>
          <w:tcPr>
            <w:tcW w:w="2420" w:type="dxa"/>
            <w:vAlign w:val="bottom"/>
          </w:tcPr>
          <w:p>
            <w:pPr>
              <w:ind w:left="460"/>
              <w:spacing w:after="0" w:line="128" w:lineRule="exact"/>
              <w:rPr>
                <w:sz w:val="20"/>
                <w:szCs w:val="20"/>
                <w:color w:val="auto"/>
              </w:rPr>
            </w:pPr>
            <w:r>
              <w:rPr>
                <w:rFonts w:ascii="Times New Roman" w:cs="Times New Roman" w:eastAsia="Times New Roman" w:hAnsi="Times New Roman"/>
                <w:sz w:val="10"/>
                <w:szCs w:val="10"/>
                <w:color w:val="auto"/>
              </w:rPr>
              <w:t>791,556</w:t>
            </w:r>
            <w:r>
              <w:rPr>
                <w:rFonts w:ascii="Times New Roman" w:cs="Times New Roman" w:eastAsia="Times New Roman" w:hAnsi="Times New Roman"/>
                <w:sz w:val="13"/>
                <w:szCs w:val="13"/>
                <w:color w:val="auto"/>
                <w:vertAlign w:val="superscript"/>
              </w:rPr>
              <w:t>(14)</w:t>
            </w:r>
          </w:p>
        </w:tc>
        <w:tc>
          <w:tcPr>
            <w:tcW w:w="18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75,833</w:t>
            </w:r>
          </w:p>
        </w:tc>
        <w:tc>
          <w:tcPr>
            <w:tcW w:w="24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715,723</w:t>
            </w:r>
          </w:p>
        </w:tc>
        <w:tc>
          <w:tcPr>
            <w:tcW w:w="17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2080" w:type="dxa"/>
            <w:vAlign w:val="bottom"/>
          </w:tcPr>
          <w:p>
            <w:pPr>
              <w:spacing w:after="0"/>
              <w:rPr>
                <w:sz w:val="20"/>
                <w:szCs w:val="20"/>
                <w:color w:val="auto"/>
              </w:rPr>
            </w:pPr>
            <w:r>
              <w:rPr>
                <w:rFonts w:ascii="Times New Roman" w:cs="Times New Roman" w:eastAsia="Times New Roman" w:hAnsi="Times New Roman"/>
                <w:sz w:val="10"/>
                <w:szCs w:val="10"/>
                <w:color w:val="auto"/>
              </w:rPr>
              <w:t>Susan Briggs</w:t>
            </w:r>
          </w:p>
        </w:tc>
        <w:tc>
          <w:tcPr>
            <w:tcW w:w="2420" w:type="dxa"/>
            <w:vAlign w:val="bottom"/>
          </w:tcPr>
          <w:p>
            <w:pPr>
              <w:ind w:left="460"/>
              <w:spacing w:after="0" w:line="143" w:lineRule="exact"/>
              <w:rPr>
                <w:sz w:val="20"/>
                <w:szCs w:val="20"/>
                <w:color w:val="auto"/>
              </w:rPr>
            </w:pPr>
            <w:r>
              <w:rPr>
                <w:rFonts w:ascii="Times New Roman" w:cs="Times New Roman" w:eastAsia="Times New Roman" w:hAnsi="Times New Roman"/>
                <w:sz w:val="10"/>
                <w:szCs w:val="10"/>
                <w:color w:val="auto"/>
              </w:rPr>
              <w:t>128,530</w:t>
            </w:r>
            <w:r>
              <w:rPr>
                <w:rFonts w:ascii="Times New Roman" w:cs="Times New Roman" w:eastAsia="Times New Roman" w:hAnsi="Times New Roman"/>
                <w:sz w:val="13"/>
                <w:szCs w:val="13"/>
                <w:color w:val="auto"/>
                <w:vertAlign w:val="superscript"/>
              </w:rPr>
              <w:t>(15)</w:t>
            </w:r>
          </w:p>
        </w:tc>
        <w:tc>
          <w:tcPr>
            <w:tcW w:w="18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93,375</w:t>
            </w:r>
          </w:p>
        </w:tc>
        <w:tc>
          <w:tcPr>
            <w:tcW w:w="24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35,155</w:t>
            </w:r>
          </w:p>
        </w:tc>
        <w:tc>
          <w:tcPr>
            <w:tcW w:w="17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2080" w:type="dxa"/>
            <w:vAlign w:val="bottom"/>
          </w:tcPr>
          <w:p>
            <w:pPr>
              <w:spacing w:after="0"/>
              <w:rPr>
                <w:sz w:val="20"/>
                <w:szCs w:val="20"/>
                <w:color w:val="auto"/>
              </w:rPr>
            </w:pPr>
            <w:r>
              <w:rPr>
                <w:rFonts w:ascii="Times New Roman" w:cs="Times New Roman" w:eastAsia="Times New Roman" w:hAnsi="Times New Roman"/>
                <w:sz w:val="10"/>
                <w:szCs w:val="10"/>
                <w:color w:val="auto"/>
              </w:rPr>
              <w:t>Tanist Group Limited</w:t>
            </w:r>
          </w:p>
        </w:tc>
        <w:tc>
          <w:tcPr>
            <w:tcW w:w="2420" w:type="dxa"/>
            <w:vAlign w:val="bottom"/>
          </w:tcPr>
          <w:p>
            <w:pPr>
              <w:ind w:left="460"/>
              <w:spacing w:after="0" w:line="143" w:lineRule="exact"/>
              <w:rPr>
                <w:sz w:val="20"/>
                <w:szCs w:val="20"/>
                <w:color w:val="auto"/>
              </w:rPr>
            </w:pPr>
            <w:r>
              <w:rPr>
                <w:rFonts w:ascii="Times New Roman" w:cs="Times New Roman" w:eastAsia="Times New Roman" w:hAnsi="Times New Roman"/>
                <w:sz w:val="10"/>
                <w:szCs w:val="10"/>
                <w:color w:val="auto"/>
              </w:rPr>
              <w:t>1,049,512</w:t>
            </w:r>
            <w:r>
              <w:rPr>
                <w:rFonts w:ascii="Times New Roman" w:cs="Times New Roman" w:eastAsia="Times New Roman" w:hAnsi="Times New Roman"/>
                <w:sz w:val="13"/>
                <w:szCs w:val="13"/>
                <w:color w:val="auto"/>
                <w:vertAlign w:val="superscript"/>
              </w:rPr>
              <w:t>(16)</w:t>
            </w:r>
          </w:p>
        </w:tc>
        <w:tc>
          <w:tcPr>
            <w:tcW w:w="18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51,534</w:t>
            </w:r>
          </w:p>
        </w:tc>
        <w:tc>
          <w:tcPr>
            <w:tcW w:w="24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997,978</w:t>
            </w:r>
          </w:p>
        </w:tc>
        <w:tc>
          <w:tcPr>
            <w:tcW w:w="17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2080" w:type="dxa"/>
            <w:vAlign w:val="bottom"/>
          </w:tcPr>
          <w:p>
            <w:pPr>
              <w:spacing w:after="0"/>
              <w:rPr>
                <w:sz w:val="20"/>
                <w:szCs w:val="20"/>
                <w:color w:val="auto"/>
              </w:rPr>
            </w:pPr>
            <w:r>
              <w:rPr>
                <w:rFonts w:ascii="Times New Roman" w:cs="Times New Roman" w:eastAsia="Times New Roman" w:hAnsi="Times New Roman"/>
                <w:sz w:val="10"/>
                <w:szCs w:val="10"/>
                <w:color w:val="auto"/>
              </w:rPr>
              <w:t>Trustees of Risol Limited Pension</w:t>
            </w:r>
          </w:p>
        </w:tc>
        <w:tc>
          <w:tcPr>
            <w:tcW w:w="2420" w:type="dxa"/>
            <w:vAlign w:val="bottom"/>
          </w:tcPr>
          <w:p>
            <w:pPr>
              <w:ind w:left="460"/>
              <w:spacing w:after="0" w:line="143" w:lineRule="exact"/>
              <w:rPr>
                <w:sz w:val="20"/>
                <w:szCs w:val="20"/>
                <w:color w:val="auto"/>
              </w:rPr>
            </w:pPr>
            <w:r>
              <w:rPr>
                <w:rFonts w:ascii="Times New Roman" w:cs="Times New Roman" w:eastAsia="Times New Roman" w:hAnsi="Times New Roman"/>
                <w:sz w:val="10"/>
                <w:szCs w:val="10"/>
                <w:color w:val="auto"/>
              </w:rPr>
              <w:t>486,987</w:t>
            </w:r>
            <w:r>
              <w:rPr>
                <w:rFonts w:ascii="Times New Roman" w:cs="Times New Roman" w:eastAsia="Times New Roman" w:hAnsi="Times New Roman"/>
                <w:sz w:val="13"/>
                <w:szCs w:val="13"/>
                <w:color w:val="auto"/>
                <w:vertAlign w:val="superscript"/>
              </w:rPr>
              <w:t>(17)</w:t>
            </w:r>
          </w:p>
        </w:tc>
        <w:tc>
          <w:tcPr>
            <w:tcW w:w="18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24,924</w:t>
            </w:r>
          </w:p>
        </w:tc>
        <w:tc>
          <w:tcPr>
            <w:tcW w:w="24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462,063</w:t>
            </w:r>
          </w:p>
        </w:tc>
        <w:tc>
          <w:tcPr>
            <w:tcW w:w="17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r>
      <w:tr>
        <w:trPr>
          <w:trHeight w:val="191"/>
        </w:trPr>
        <w:tc>
          <w:tcPr>
            <w:tcW w:w="2080" w:type="dxa"/>
            <w:vAlign w:val="bottom"/>
          </w:tcPr>
          <w:p>
            <w:pPr>
              <w:spacing w:after="0"/>
              <w:rPr>
                <w:sz w:val="20"/>
                <w:szCs w:val="20"/>
                <w:color w:val="auto"/>
              </w:rPr>
            </w:pPr>
            <w:r>
              <w:rPr>
                <w:rFonts w:ascii="Times New Roman" w:cs="Times New Roman" w:eastAsia="Times New Roman" w:hAnsi="Times New Roman"/>
                <w:sz w:val="10"/>
                <w:szCs w:val="10"/>
                <w:color w:val="auto"/>
              </w:rPr>
              <w:t>YA II PN, Ltd.</w:t>
            </w:r>
            <w:r>
              <w:rPr>
                <w:rFonts w:ascii="Times New Roman" w:cs="Times New Roman" w:eastAsia="Times New Roman" w:hAnsi="Times New Roman"/>
                <w:sz w:val="13"/>
                <w:szCs w:val="13"/>
                <w:color w:val="auto"/>
                <w:vertAlign w:val="superscript"/>
              </w:rPr>
              <w:t>(18)</w:t>
            </w:r>
          </w:p>
        </w:tc>
        <w:tc>
          <w:tcPr>
            <w:tcW w:w="242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49,948,806</w:t>
            </w:r>
            <w:r>
              <w:rPr>
                <w:rFonts w:ascii="Times New Roman" w:cs="Times New Roman" w:eastAsia="Times New Roman" w:hAnsi="Times New Roman"/>
                <w:sz w:val="13"/>
                <w:szCs w:val="13"/>
                <w:color w:val="auto"/>
                <w:vertAlign w:val="superscript"/>
              </w:rPr>
              <w:t>(19)</w:t>
            </w:r>
          </w:p>
        </w:tc>
        <w:tc>
          <w:tcPr>
            <w:tcW w:w="18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49,948,806</w:t>
            </w:r>
          </w:p>
        </w:tc>
        <w:tc>
          <w:tcPr>
            <w:tcW w:w="244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76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wp:posOffset>
            </wp:positionV>
            <wp:extent cx="1805305" cy="50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805305" cy="508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 Less than 1%.</w:t>
      </w:r>
    </w:p>
    <w:p>
      <w:pPr>
        <w:spacing w:after="0" w:line="5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0"/>
          <w:szCs w:val="10"/>
          <w:color w:val="auto"/>
        </w:rPr>
        <w:t>(1)The percentage of Ordinary Shares to be beneficially owned after completion of this offering is calculated on the basis of 216,790,901 Ordinary Shares outstanding, which includes the issuance of all Ordinary Shares issuable upon conversion of the Promissory Note, the exercise of all currently outstanding Warrants, the sale of all securities offered hereby by that particular Selling Holder and does not assume the exercise, conversion or sale, as applicable, by any other Selling Holder.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(2)Assumes the sale of all Ordinary Shares being offered pursuant to this prospectus.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(3)Mr. Yao is the Chief Executive Officer of Rezolve’s China office. The principal business address for Mr. Yao is No. 2 Zhuang, 268 Hao, Qinggong Lu, Fengxianqu, Shanghai, China.</w:t>
      </w:r>
    </w:p>
    <w:p>
      <w:pPr>
        <w:spacing w:after="0" w:line="5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0"/>
          <w:szCs w:val="10"/>
          <w:color w:val="auto"/>
        </w:rPr>
        <w:t>(4)Consists of (i) 1,192,335 Ordinary Shares; (ii) 50,780 Ordinary Shares issuable upon conversion of the Promissory Note held by Mr. Yao, when converted at $2 per share; (iii) 49,951 Ordinary Shares issued upon the conversion of the Advance Subscription made by Mr. Yao; and (iv) 18,750 Ordinary Shares underlying the Private Warrants held by Mr. Yao. For the avoidance of doubt, 13,393 of the 50,780 Ordinary Shares underlying the Promissory Note held by Mr. Wickens were registered on the Prior Form F-1 and 37,387 Ordinary Shares underlying such Promissory Note are being registered for resale hereby.</w:t>
      </w:r>
    </w:p>
    <w:p>
      <w:pPr>
        <w:spacing w:after="0" w:line="45"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0"/>
          <w:szCs w:val="10"/>
          <w:color w:val="auto"/>
        </w:rPr>
        <w:t>(5)Consists of (i) 9,638,692 Ordinary Shares; (ii) 1,240,865 Ordinary Shares currently held by Apeiron on Mr. Wickens' behalf; (iii) 3,592,194 Ordinary Shares currently held by DBLP but subject to a call option currently exercisable by Mr. Wickens; (iv) 156,250 Ordinary Shares issuable upon conversion of the Promissory Note held by Mr. Wickens, when converted at $2 per share; (iv) 333,333 Ordinary Shares issued upon the conversion of the Advance Subscription made by Mr. Wickens, (v) 62,500 Ordinary Shares underlying the Private Warrants held by Mr. Wickens; and (vi) 10,840,973 Ordinary Shares issued upon conversion of the Convertible Note held by Mr. Wickens. For the avoidance of doubt, 44,643 of the 156,250 Ordinary Shares underlying the Promissory Note held by Mr. Wickens and 2,965,206 of the 10,840,973 Ordinary Shares issued upon conversion of the Convertible Note held by Mr. Wickens were registered on the Prior Form F-1, and 111,607 Ordinary Shares underlying such Promissory Note and 7,875,767 Ordinary Shares issued upon exercise of such Convertible Note are being registered for resale hereby.</w:t>
      </w:r>
    </w:p>
    <w:p>
      <w:pPr>
        <w:spacing w:after="0" w:line="5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9"/>
          <w:szCs w:val="9"/>
          <w:color w:val="auto"/>
        </w:rPr>
        <w:t>(6)Consists of (i) 135,411 Ordinary Shares issuable upon conversion of the Promissory Note held by FMS China when converted at $2 per share; (ii) 50,000 Ordinary Shares underlying the Private Warrants held by FMS China; and (iii) 140,000 Ordinary Shares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106" w:name="page107"/>
    <w:bookmarkEnd w:id="106"/>
    <w:p>
      <w:pPr>
        <w:ind w:right="380"/>
        <w:spacing w:after="0" w:line="259" w:lineRule="auto"/>
        <w:rPr>
          <w:sz w:val="20"/>
          <w:szCs w:val="20"/>
          <w:color w:val="auto"/>
        </w:rPr>
      </w:pPr>
      <w:r>
        <w:rPr>
          <w:rFonts w:ascii="Times New Roman" w:cs="Times New Roman" w:eastAsia="Times New Roman" w:hAnsi="Times New Roman"/>
          <w:sz w:val="10"/>
          <w:szCs w:val="10"/>
          <w:color w:val="auto"/>
        </w:rPr>
        <w:t>issued upon the conversion of the Advance Subscription made by Fujian Global Services Co., Ltd. (collectively, with FMS China “</w:t>
      </w:r>
      <w:r>
        <w:rPr>
          <w:rFonts w:ascii="Times New Roman" w:cs="Times New Roman" w:eastAsia="Times New Roman" w:hAnsi="Times New Roman"/>
          <w:sz w:val="10"/>
          <w:szCs w:val="10"/>
          <w:b w:val="1"/>
          <w:bCs w:val="1"/>
          <w:i w:val="1"/>
          <w:iCs w:val="1"/>
          <w:color w:val="auto"/>
        </w:rPr>
        <w:t>Fujian Limatong XinXi Keji Youxian Gongsi</w:t>
      </w:r>
      <w:r>
        <w:rPr>
          <w:rFonts w:ascii="Times New Roman" w:cs="Times New Roman" w:eastAsia="Times New Roman" w:hAnsi="Times New Roman"/>
          <w:sz w:val="10"/>
          <w:szCs w:val="10"/>
          <w:color w:val="auto"/>
        </w:rPr>
        <w:t>”). For the avoidance of doubt, 35,715 of the 135,411 Ordinary Shares underlying the Promissory Note held by FMS China were registered on the Prior Form F-1 and 99,697 Ordinary Shares underlying such Promissory Note are being registered for resale hereby.</w:t>
      </w:r>
    </w:p>
    <w:p>
      <w:pPr>
        <w:spacing w:after="0" w:line="3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0"/>
          <w:szCs w:val="10"/>
          <w:color w:val="auto"/>
        </w:rPr>
        <w:t>(7)Consists of (i) 21,497 Ordinary Shares issuable upon conversion of the Promissory Note held by Mr. Nurse, when converted at $2 per share; (ii) 29,667 Ordinary Shares issued upon the conversion of the Advance Subscription made by Mr. Nurse; and (iii) 7,938 Ordinary Shares underlying the Private Warrants held by Julian Nurse. For the avoidance of doubt, 5,670 of the 21,497 Ordinary Shares underlying the Promissory Note held by Mr. Nurse were registered on the Prior Form F-1 and 15,827 Ordinary Shares underlying such Promissory Note are being registered for resale hereby.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(8)Consists of (i) 20,312 Ordinary Shares issuable upon conversion of the Promissory Note held by Mr. Meller, when converted at $2 per share; and (ii) 7,500 Ordinary Shares underlying the Private Warrants held by Mr. Meller. For the avoidance of doubt, 5,357 of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20,312 Ordinary Shares underlying the Promissory Note held by Mr. Meller were registered on the Prior Form F-1 and 14,955 Ordinary Shares underlying such Promissory Note and are being registered for resale hereby.</w:t>
      </w:r>
    </w:p>
    <w:p>
      <w:pPr>
        <w:spacing w:after="0" w:line="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0"/>
          <w:szCs w:val="10"/>
          <w:color w:val="auto"/>
        </w:rPr>
        <w:t>(9)Consists of (i) 7,188 Ordinary Shares; (ii) 25,796 Ordinary Shares issuable upon conversion of the Promissory Note held by Mr. King, when converted at $ 2 per share; and (iii) 9,525 Ordinary Shares underlying the Private Warrants held by Mr. King. For the avoidance of doubt, 6,804 of the 25,796 Ordinary Shares underlying the Promissory Note held by Mr. King were registered on the Prior Form F-1 and 18,992 underlying such Promissory Note are being registered for resale hereby.</w:t>
      </w:r>
    </w:p>
    <w:p>
      <w:pPr>
        <w:spacing w:after="0" w:line="4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0"/>
          <w:szCs w:val="10"/>
          <w:color w:val="auto"/>
        </w:rPr>
        <w:t>(10)Consists of (i) 65,279 Ordinary Shares; (ii) 33,853 Ordinary Shares issuable upon the conversion of the Promissory Note held by Ms. Kalaris, when converted at $2 per share; and (iii) 12,500 Ordinary Shares underlying the Private Warrants held by Ms. Kalaris. For the avoidance of doubt, 8,929 of the 33,853 Ordinary Shares underlying the Promissory Note held by Ms. Kalaris were registered on the Prior Form F-1 and 24,924 Ordinary Shares underlying such Promissory Note are being registered for resale hereby.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(11)These securities are held directly by Mr. Lychagov, with no agreements or understandings with any other parties regarding the distribution of the securities. Mr. Lychagov resigned as a director of Rezolve on May 19, 2023, having served in such position since August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2019. Mr. Lychagov’s business address is c/o LakeShore International Management AG, Obergrundstrasse 44, 6003 Luzern, Switzerland.</w:t>
      </w:r>
    </w:p>
    <w:p>
      <w:pPr>
        <w:spacing w:after="0" w:line="4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0"/>
          <w:szCs w:val="10"/>
          <w:color w:val="auto"/>
        </w:rPr>
        <w:t>(12)Consists of (i) 34,771,000 Ordinary Shares; and (ii) 1,194,051 Ordinary Shares issued upon conversion of the Convertible Note held by Mr. Lychagov. For the avoidance of doubt, 1,142,857 of the 1,194,051 Ordinary Shares issued upon conversion of the Convertible Note held by Mr.Lychagov were registered on the Prior Form F-1 and 51,194 Ordinary Shares issued upon conversion of such Convertible Note are being registered for resale hereby.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(13)Mr. Perry is a director of Rezolve.</w:t>
      </w:r>
    </w:p>
    <w:p>
      <w:pPr>
        <w:spacing w:after="0" w:line="58"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0"/>
          <w:szCs w:val="10"/>
          <w:color w:val="auto"/>
        </w:rPr>
        <w:t>(14) Consists of (i) 564,935 Ordinary Shares; (ii) 34,395 Ordinary Shares issuable upon conversion of the Promissory Note held by Mr. Perry, when converted at $ 2 per share; (iii) 110,000 Ordinary Shares issued upon the conversion of the Advance Subscription made by Mr. Perry; (iv) 12,700 Ordinary Shares underlying the Private Warrants held by Mr. Perry; (v) 69,526 Ordinary Shares, issued upon conversion of the Convertible Note held by Mr. Perry. For the avoidance of doubt, 9,070 of the 34,395 Ordinary Shares underlying the Promissory Note held by Mr.Perry and 19,017 of the 69,526 Ordinary Shares issued upon conversion of the Convertible Note held by Mr. Perry were registered on the Prior Form F-1, and 25,324 Ordinary Shares underlying such Promissory Note and 50,509 Ordinary Shares issued upon conversion of such Convertible Note are being registered for resale hereby.</w:t>
      </w:r>
    </w:p>
    <w:p>
      <w:pPr>
        <w:spacing w:after="0" w:line="4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0"/>
          <w:szCs w:val="10"/>
          <w:color w:val="auto"/>
        </w:rPr>
        <w:t>(15)Consists of 128,530 Ordinary Shares issued upon conversion of the Convertible Note held by Ms. Briggs. For the avoidance of doubt, 35,155 of the 128,530 Ordinary Shares issued upon conversion of the Convertible Note held by Ms. Briggs were registered for resale on the Prior Form F-1 and 93,375 of the Ordinary Shares issued upon conversion of the Convertible Note are being registered for resale hereby.</w:t>
      </w:r>
    </w:p>
    <w:p>
      <w:pPr>
        <w:spacing w:after="0" w:line="41"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0"/>
          <w:szCs w:val="10"/>
          <w:color w:val="auto"/>
        </w:rPr>
        <w:t>(16)Consists of (i) 790,455 Ordinary Shares; (ii) 69,391 Ordinary Shares issuable upon the conversion of the Promissory Note held by Tanist Group Limited, when converted at $2 per share; (iii) 166,666 Ordinary Shares issued upon the conversion of the Advance Subscription made by Tanist Group Limited; and (iv) 25,000 Ordinary Shares underlying the Private Warrants held by Tanist Group Limited. For the avoidance of doubt, 17,857 of the 69,391 Ordinary Shares underlying the Promissory Note held by Tanist Group Limited were registered for resale on the Prior Form F-1 and 51,534 of the Ordinary Shares underlying such Promissory Note are being registered for resale hereby.</w:t>
      </w:r>
    </w:p>
    <w:p>
      <w:pPr>
        <w:spacing w:after="0" w:line="4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0"/>
          <w:szCs w:val="10"/>
          <w:color w:val="auto"/>
        </w:rPr>
        <w:t>(17)Consists of (i) 440,634 Ordinary Shares, (ii) 33,853 Ordinary Shares issuable upon the conversion of the Promissory Note held by Trustees of Risol Limited Pension, when converted at $2 per share; and (iii) 12,500 Ordinary Shares underlying the Private Warrants held by Trustees of Risol Limited Pension. For the avoidance of doubt, 8,929 of the 33,853 Ordinary Shares underlying</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3" w:right="62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0"/>
          <w:szCs w:val="10"/>
          <w:color w:val="auto"/>
        </w:rPr>
        <w:t>the Promissory Note held by Trustees of Risol Limited Pension were registered for resale on the Prior Form F-1 and 24,924 of the Ordinary Shares underlying such Promissory Note are being registered for resale hereby.</w:t>
      </w:r>
    </w:p>
    <w:p>
      <w:pPr>
        <w:spacing w:after="0" w:line="5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0"/>
          <w:szCs w:val="10"/>
          <w:color w:val="auto"/>
        </w:rPr>
        <w:t>(18)YA II PN, Ltd. ("</w:t>
      </w:r>
      <w:r>
        <w:rPr>
          <w:rFonts w:ascii="Times New Roman" w:cs="Times New Roman" w:eastAsia="Times New Roman" w:hAnsi="Times New Roman"/>
          <w:sz w:val="10"/>
          <w:szCs w:val="10"/>
          <w:b w:val="1"/>
          <w:bCs w:val="1"/>
          <w:i w:val="1"/>
          <w:iCs w:val="1"/>
          <w:color w:val="auto"/>
        </w:rPr>
        <w:t>Yorkville</w:t>
      </w:r>
      <w:r>
        <w:rPr>
          <w:rFonts w:ascii="Times New Roman" w:cs="Times New Roman" w:eastAsia="Times New Roman" w:hAnsi="Times New Roman"/>
          <w:sz w:val="10"/>
          <w:szCs w:val="10"/>
          <w:color w:val="auto"/>
        </w:rPr>
        <w:t xml:space="preserve">") is managed by Yorkville Advisors Global, LP (“ </w:t>
      </w:r>
      <w:r>
        <w:rPr>
          <w:rFonts w:ascii="Times New Roman" w:cs="Times New Roman" w:eastAsia="Times New Roman" w:hAnsi="Times New Roman"/>
          <w:sz w:val="10"/>
          <w:szCs w:val="10"/>
          <w:b w:val="1"/>
          <w:bCs w:val="1"/>
          <w:i w:val="1"/>
          <w:iCs w:val="1"/>
          <w:color w:val="auto"/>
        </w:rPr>
        <w:t>Yorkville LP</w:t>
      </w:r>
      <w:r>
        <w:rPr>
          <w:rFonts w:ascii="Times New Roman" w:cs="Times New Roman" w:eastAsia="Times New Roman" w:hAnsi="Times New Roman"/>
          <w:sz w:val="10"/>
          <w:szCs w:val="10"/>
          <w:color w:val="auto"/>
        </w:rPr>
        <w:t>”). Yorkville Advisors Global II, LLC (“</w:t>
      </w:r>
      <w:r>
        <w:rPr>
          <w:rFonts w:ascii="Times New Roman" w:cs="Times New Roman" w:eastAsia="Times New Roman" w:hAnsi="Times New Roman"/>
          <w:sz w:val="10"/>
          <w:szCs w:val="10"/>
          <w:b w:val="1"/>
          <w:bCs w:val="1"/>
          <w:i w:val="1"/>
          <w:iCs w:val="1"/>
          <w:color w:val="auto"/>
        </w:rPr>
        <w:t>Yorkville LLC</w:t>
      </w:r>
      <w:r>
        <w:rPr>
          <w:rFonts w:ascii="Times New Roman" w:cs="Times New Roman" w:eastAsia="Times New Roman" w:hAnsi="Times New Roman"/>
          <w:sz w:val="10"/>
          <w:szCs w:val="10"/>
          <w:color w:val="auto"/>
        </w:rPr>
        <w:t>”) is the General Partner of Yorkville LP. All investment decisions for YA II PN, Ltd. are made by Yorkville LLC’s President and Managing Member, Mr. Mark Angelo. The business address of YA is 1012 Springfield Avenue, Mountainside, NJ 07092.</w:t>
      </w:r>
    </w:p>
    <w:p>
      <w:pPr>
        <w:spacing w:after="0" w:line="39" w:lineRule="exact"/>
        <w:rPr>
          <w:sz w:val="20"/>
          <w:szCs w:val="20"/>
          <w:color w:val="auto"/>
        </w:rPr>
      </w:pPr>
    </w:p>
    <w:p>
      <w:pPr>
        <w:ind w:right="20"/>
        <w:spacing w:after="0" w:line="310" w:lineRule="auto"/>
        <w:rPr>
          <w:sz w:val="20"/>
          <w:szCs w:val="20"/>
          <w:color w:val="auto"/>
        </w:rPr>
      </w:pPr>
      <w:r>
        <w:rPr>
          <w:rFonts w:ascii="Times New Roman" w:cs="Times New Roman" w:eastAsia="Times New Roman" w:hAnsi="Times New Roman"/>
          <w:sz w:val="9"/>
          <w:szCs w:val="9"/>
          <w:color w:val="auto"/>
        </w:rPr>
        <w:t>(19)Consists of (i) 1,413,946 Ordinary Shares issued as repayment of certain of the YA Notes and (ii) 48,534,860 Ordinary Shares issuable pursuant to the Second A&amp;R YA Agreement. For the avoidance of doubt, the Company shall not be permitted to issue shares Ordinary Shares to Yorkville pursuant to the Second A&amp;R YA Agreement to the extent that after such issuance Yorkville (together with any affiliates) would beneficially own in excess of 4.99% of the number of outstanding Ordinary Shares in the Company.</w:t>
      </w:r>
    </w:p>
    <w:p>
      <w:pPr>
        <w:spacing w:after="0" w:line="200" w:lineRule="exact"/>
        <w:rPr>
          <w:sz w:val="20"/>
          <w:szCs w:val="20"/>
          <w:color w:val="auto"/>
        </w:rPr>
      </w:pPr>
    </w:p>
    <w:p>
      <w:pPr>
        <w:spacing w:after="0" w:line="2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0"/>
          <w:szCs w:val="1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360"/>
          </w:cols>
          <w:pgMar w:left="640" w:top="1095" w:right="900"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0"/>
          <w:szCs w:val="10"/>
          <w:b w:val="1"/>
          <w:bCs w:val="1"/>
          <w:color w:val="auto"/>
        </w:rPr>
        <w:t>DESCRIPTION OF ORDINARY SHARES, ARTICLES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ASSOCIATION AND CERTAIN LEGAL CONSIDERATIONS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Introduction</w:t>
      </w:r>
    </w:p>
    <w:p>
      <w:pPr>
        <w:spacing w:after="0" w:line="58" w:lineRule="exact"/>
        <w:rPr>
          <w:sz w:val="20"/>
          <w:szCs w:val="20"/>
          <w:color w:val="auto"/>
        </w:rPr>
      </w:pPr>
    </w:p>
    <w:p>
      <w:pPr>
        <w:ind w:firstLine="480"/>
        <w:spacing w:after="0" w:line="247" w:lineRule="auto"/>
        <w:rPr>
          <w:sz w:val="20"/>
          <w:szCs w:val="20"/>
          <w:color w:val="auto"/>
        </w:rPr>
      </w:pPr>
      <w:r>
        <w:rPr>
          <w:rFonts w:ascii="Times New Roman" w:cs="Times New Roman" w:eastAsia="Times New Roman" w:hAnsi="Times New Roman"/>
          <w:sz w:val="10"/>
          <w:szCs w:val="10"/>
          <w:color w:val="auto"/>
        </w:rPr>
        <w:t>Set forth below is (i) a summary of certain information concerning Rezolve’s share capital, (ii) a description of certain provisions of Rezolve’s articles of association (the “</w:t>
      </w:r>
      <w:r>
        <w:rPr>
          <w:rFonts w:ascii="Times New Roman" w:cs="Times New Roman" w:eastAsia="Times New Roman" w:hAnsi="Times New Roman"/>
          <w:sz w:val="10"/>
          <w:szCs w:val="10"/>
          <w:b w:val="1"/>
          <w:bCs w:val="1"/>
          <w:i w:val="1"/>
          <w:iCs w:val="1"/>
          <w:color w:val="auto"/>
        </w:rPr>
        <w:t>Articles</w:t>
      </w:r>
      <w:r>
        <w:rPr>
          <w:rFonts w:ascii="Times New Roman" w:cs="Times New Roman" w:eastAsia="Times New Roman" w:hAnsi="Times New Roman"/>
          <w:sz w:val="10"/>
          <w:szCs w:val="10"/>
          <w:color w:val="auto"/>
        </w:rPr>
        <w:t xml:space="preserve">”), and (iii) a summary of relevant provisions of the UK Companies Act 2006 (as amended) (the “ </w:t>
      </w:r>
      <w:r>
        <w:rPr>
          <w:rFonts w:ascii="Times New Roman" w:cs="Times New Roman" w:eastAsia="Times New Roman" w:hAnsi="Times New Roman"/>
          <w:sz w:val="10"/>
          <w:szCs w:val="10"/>
          <w:b w:val="1"/>
          <w:bCs w:val="1"/>
          <w:i w:val="1"/>
          <w:iCs w:val="1"/>
          <w:color w:val="auto"/>
        </w:rPr>
        <w:t>UK Companies Act</w:t>
      </w:r>
      <w:r>
        <w:rPr>
          <w:rFonts w:ascii="Times New Roman" w:cs="Times New Roman" w:eastAsia="Times New Roman" w:hAnsi="Times New Roman"/>
          <w:sz w:val="10"/>
          <w:szCs w:val="10"/>
          <w:color w:val="auto"/>
        </w:rPr>
        <w: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prospectus forms a part.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General Description of Ordinary Shares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Ordinary Shares comprise a single class of ordinary shares with a nominal value of £0.0001 each.</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information is a summary of Ordinary Shares: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•Ordinary Shares carry the right to receive dividends and distributions paid by Rezolve, if any.</w:t>
      </w:r>
    </w:p>
    <w:p>
      <w:pPr>
        <w:spacing w:after="0" w:line="58" w:lineRule="exact"/>
        <w:rPr>
          <w:sz w:val="20"/>
          <w:szCs w:val="20"/>
          <w:color w:val="auto"/>
        </w:rPr>
      </w:pPr>
    </w:p>
    <w:p>
      <w:pPr>
        <w:ind w:left="480" w:right="240"/>
        <w:spacing w:after="0" w:line="310" w:lineRule="auto"/>
        <w:rPr>
          <w:sz w:val="20"/>
          <w:szCs w:val="20"/>
          <w:color w:val="auto"/>
        </w:rPr>
      </w:pPr>
      <w:r>
        <w:rPr>
          <w:rFonts w:ascii="Times New Roman" w:cs="Times New Roman" w:eastAsia="Times New Roman" w:hAnsi="Times New Roman"/>
          <w:sz w:val="9"/>
          <w:szCs w:val="9"/>
          <w:color w:val="auto"/>
        </w:rPr>
        <w:t>•The holders of Ordinary Shares have the right to receive notice of, and to attend and vote at, all Rezolve’s general meetings provided that the aggregate number of votes attaching to all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•Subject to the UK Companies Act, any equity securities issued by Rezolve for cash must first be offered to Rezolve shareholders in proportion to their existing holdings of Ordinary Shares.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UK Companies Act allows for the disapplication of pre-emption rights, which may be waived by a special resolution of not less than three quarters of Rezolve shareholders, either generally or specifically, for a maximum period not exceeding five years.</w:t>
      </w:r>
    </w:p>
    <w:p>
      <w:pPr>
        <w:spacing w:after="0" w:line="69" w:lineRule="exact"/>
        <w:rPr>
          <w:sz w:val="20"/>
          <w:szCs w:val="20"/>
          <w:color w:val="auto"/>
        </w:rPr>
      </w:pPr>
    </w:p>
    <w:p>
      <w:pPr>
        <w:ind w:left="480" w:right="20"/>
        <w:spacing w:after="0" w:line="255" w:lineRule="auto"/>
        <w:rPr>
          <w:sz w:val="20"/>
          <w:szCs w:val="20"/>
          <w:color w:val="auto"/>
        </w:rPr>
      </w:pPr>
      <w:r>
        <w:rPr>
          <w:rFonts w:ascii="Times New Roman" w:cs="Times New Roman" w:eastAsia="Times New Roman" w:hAnsi="Times New Roman"/>
          <w:sz w:val="10"/>
          <w:szCs w:val="10"/>
          <w:color w:val="auto"/>
        </w:rPr>
        <w:t>•Ordinary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spacing w:after="0" w:line="101" w:lineRule="exact"/>
        <w:rPr>
          <w:sz w:val="20"/>
          <w:szCs w:val="20"/>
          <w:color w:val="auto"/>
        </w:rPr>
      </w:pPr>
    </w:p>
    <w:p>
      <w:pPr>
        <w:ind w:right="300" w:firstLine="480"/>
        <w:spacing w:after="0" w:line="255" w:lineRule="auto"/>
        <w:rPr>
          <w:sz w:val="20"/>
          <w:szCs w:val="20"/>
          <w:color w:val="auto"/>
        </w:rPr>
      </w:pPr>
      <w:r>
        <w:rPr>
          <w:rFonts w:ascii="Times New Roman" w:cs="Times New Roman" w:eastAsia="Times New Roman" w:hAnsi="Times New Roman"/>
          <w:sz w:val="10"/>
          <w:szCs w:val="10"/>
          <w:color w:val="auto"/>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spacing w:after="0" w:line="99" w:lineRule="exact"/>
        <w:rPr>
          <w:sz w:val="20"/>
          <w:szCs w:val="20"/>
          <w:color w:val="auto"/>
        </w:rPr>
      </w:pPr>
    </w:p>
    <w:p>
      <w:pPr>
        <w:jc w:val="both"/>
        <w:ind w:right="20" w:firstLine="480"/>
        <w:spacing w:after="0" w:line="247" w:lineRule="auto"/>
        <w:rPr>
          <w:sz w:val="20"/>
          <w:szCs w:val="20"/>
          <w:color w:val="auto"/>
        </w:rPr>
      </w:pPr>
      <w:r>
        <w:rPr>
          <w:rFonts w:ascii="Times New Roman" w:cs="Times New Roman" w:eastAsia="Times New Roman" w:hAnsi="Times New Roman"/>
          <w:sz w:val="10"/>
          <w:szCs w:val="10"/>
          <w:color w:val="auto"/>
        </w:rPr>
        <w:t>Rezolve may convert Ordinary Shares into deferred shares of £ 0.0001 each (or other nominal value) in the capital of Rezolve (the “</w:t>
      </w:r>
      <w:r>
        <w:rPr>
          <w:rFonts w:ascii="Times New Roman" w:cs="Times New Roman" w:eastAsia="Times New Roman" w:hAnsi="Times New Roman"/>
          <w:sz w:val="10"/>
          <w:szCs w:val="10"/>
          <w:b w:val="1"/>
          <w:bCs w:val="1"/>
          <w:i w:val="1"/>
          <w:iCs w:val="1"/>
          <w:color w:val="auto"/>
        </w:rPr>
        <w:t>Deferred Shares</w:t>
      </w:r>
      <w:r>
        <w:rPr>
          <w:rFonts w:ascii="Times New Roman" w:cs="Times New Roman" w:eastAsia="Times New Roman" w:hAnsi="Times New Roman"/>
          <w:sz w:val="10"/>
          <w:szCs w:val="10"/>
          <w:color w:val="auto"/>
        </w:rPr>
        <w:t>”) in certain limited circumstances or issue Deferred Shares. The Deferred Shares have no rights to vote and do not entitle their holder to receive any 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spacing w:after="0" w:line="104" w:lineRule="exact"/>
        <w:rPr>
          <w:sz w:val="20"/>
          <w:szCs w:val="20"/>
          <w:color w:val="auto"/>
        </w:rPr>
      </w:pPr>
    </w:p>
    <w:p>
      <w:pPr>
        <w:jc w:val="both"/>
        <w:ind w:right="140" w:firstLine="480"/>
        <w:spacing w:after="0" w:line="245" w:lineRule="auto"/>
        <w:rPr>
          <w:sz w:val="20"/>
          <w:szCs w:val="20"/>
          <w:color w:val="auto"/>
        </w:rPr>
      </w:pPr>
      <w:r>
        <w:rPr>
          <w:rFonts w:ascii="Times New Roman" w:cs="Times New Roman" w:eastAsia="Times New Roman" w:hAnsi="Times New Roman"/>
          <w:sz w:val="10"/>
          <w:szCs w:val="10"/>
          <w:color w:val="auto"/>
        </w:rPr>
        <w:t>If at any time an employee or consultant (other than the Rezolve Founder) ceases to be an employee or consultant of or to Rezolve or any subsidiary (such that he or she is neither an employee or consultant of or to Rezolve or any subsidiary), then unless the board of directors of Rezolve resolves otherwise with the written consent of the Rezolve Founder, all the Ordinary Shares held by such holder and/or his permitted transferees shall automatically convert into Deferred Shares (on the basis of one Deferred Share for each Rezolve Share held) on the date of such cessation (rounded down to the nearest whole share).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Share Register</w:t>
      </w:r>
    </w:p>
    <w:p>
      <w:pPr>
        <w:spacing w:after="0" w:line="60"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 limited, or no, information regarding the ultimate beneficial owners of Rezolve’s Ordinary Shares. Rezolve’s share register is maintained by its registrar, Computershare Inc.</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09" w:name="page110"/>
    <w:bookmarkEnd w:id="109"/>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any of its shareholders or any other affected person may apply to the court for rectification of the share register if:</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name of any person, without sufficient cause, is wrongly entered in or omitted from Rezolve’s register of shareholders; or</w:t>
      </w:r>
    </w:p>
    <w:p>
      <w:pPr>
        <w:spacing w:after="0" w:line="58" w:lineRule="exact"/>
        <w:rPr>
          <w:sz w:val="20"/>
          <w:szCs w:val="20"/>
          <w:color w:val="auto"/>
        </w:rPr>
      </w:pPr>
    </w:p>
    <w:p>
      <w:pPr>
        <w:ind w:left="480" w:right="220"/>
        <w:spacing w:after="0" w:line="255" w:lineRule="auto"/>
        <w:rPr>
          <w:sz w:val="20"/>
          <w:szCs w:val="20"/>
          <w:color w:val="auto"/>
        </w:rPr>
      </w:pPr>
      <w:r>
        <w:rPr>
          <w:rFonts w:ascii="Times New Roman" w:cs="Times New Roman" w:eastAsia="Times New Roman" w:hAnsi="Times New Roman"/>
          <w:sz w:val="10"/>
          <w:szCs w:val="10"/>
          <w:color w:val="auto"/>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Public Warrants</w:t>
      </w:r>
    </w:p>
    <w:p>
      <w:pPr>
        <w:spacing w:after="0" w:line="60"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Each whole Public Warrant entitles the holder to purchase one Ordinary Share at a price of $11.50 per share subject to adjustment as discussed below. The Public Warrants will become exercisable 30 days after the Closing Date and terminating at 5:00pm New York City time on the earlier to occur of (i) five years from the consummation of the Business Combination, (ii) the date on which the warrants are redeemed, and (iii) the liquidation of Rezolve, provided in each case that Rezolve has an effective registration statement under the Securities Act covering the Ordinary Shares issuable upon exercise of the warrants and a current prospectus relating to them is available and such shares are registered, qualified or exempt from registration under the securities, or blue sky laws of the state of residence of the holder.</w:t>
      </w:r>
    </w:p>
    <w:p>
      <w:pPr>
        <w:spacing w:after="0" w:line="108"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9"/>
          <w:szCs w:val="9"/>
          <w:color w:val="auto"/>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an Ordinary Share upon exercise of a warrant unless the Ordinary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92"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We have agreed that as soon as practicable after the closing of the Business Combination, we will use our best efforts to file with the SEC a registration statement for the registration, under the Securities Act, of the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which will then apply to the Public Warrants.</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 xml:space="preserve">Redemption of Public Warrants when the price per Ordinary Share equals or exceeds $18.00. </w:t>
      </w:r>
      <w:r>
        <w:rPr>
          <w:rFonts w:ascii="Times New Roman" w:cs="Times New Roman" w:eastAsia="Times New Roman" w:hAnsi="Times New Roman"/>
          <w:sz w:val="10"/>
          <w:szCs w:val="10"/>
          <w:color w:val="auto"/>
        </w:rPr>
        <w:t>Once the warrants become exercisable, we may redeem the outstanding warrants (subject to any restrictions under the UK Companies Act):</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whole and not in part;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•at a price of $0.01 per warrant;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a minimum of 30 days’ prior written notice of redemption; and</w:t>
      </w:r>
    </w:p>
    <w:p>
      <w:pPr>
        <w:spacing w:after="0" w:line="58" w:lineRule="exact"/>
        <w:rPr>
          <w:sz w:val="20"/>
          <w:szCs w:val="20"/>
          <w:color w:val="auto"/>
        </w:rPr>
      </w:pPr>
    </w:p>
    <w:p>
      <w:pPr>
        <w:ind w:left="480" w:right="120"/>
        <w:spacing w:after="0" w:line="255" w:lineRule="auto"/>
        <w:rPr>
          <w:sz w:val="20"/>
          <w:szCs w:val="20"/>
          <w:color w:val="auto"/>
        </w:rPr>
      </w:pPr>
      <w:r>
        <w:rPr>
          <w:rFonts w:ascii="Times New Roman" w:cs="Times New Roman" w:eastAsia="Times New Roman" w:hAnsi="Times New Roman"/>
          <w:sz w:val="10"/>
          <w:szCs w:val="10"/>
          <w:color w:val="auto"/>
        </w:rPr>
        <w:t>•if, and only if, the closing price of the Ordinary Shares equals or exceeds $18.00 per share (as adjusted for share sub-divisions, share capitalizations, reorganizations, recapitalizations and the like) for any 20 trading days within a 30-trading day period ending three business days before we send the notice of redemption to the warrant holders.</w:t>
      </w:r>
    </w:p>
    <w:p>
      <w:pPr>
        <w:spacing w:after="0" w:line="101"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If and when the warrants become redeemable the redemption right may be exercised even if it is not possible to register or qualify the underlying securities for sale under all applicable state securities laws. The last of the redemption criterion discussed above has been included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110" w:name="page111"/>
    <w:bookmarkEnd w:id="110"/>
    <w:p>
      <w:pPr>
        <w:jc w:val="both"/>
        <w:ind w:right="120" w:firstLine="480"/>
        <w:spacing w:after="0" w:line="245" w:lineRule="auto"/>
        <w:rPr>
          <w:sz w:val="20"/>
          <w:szCs w:val="20"/>
          <w:color w:val="auto"/>
        </w:rPr>
      </w:pPr>
      <w:r>
        <w:rPr>
          <w:rFonts w:ascii="Times New Roman" w:cs="Times New Roman" w:eastAsia="Times New Roman" w:hAnsi="Times New Roman"/>
          <w:sz w:val="10"/>
          <w:szCs w:val="10"/>
          <w:color w:val="auto"/>
        </w:rPr>
        <w:t>No fractional Ordinary Shares will be issued upon exercise. If, upon exercise, a holder would be entitled to receive a fractional interest in a share, we will round down to the nearest whole number of Ordinary Shares to be issued to the holder. If, at the time of redemption, the warrants are exercisable for a security other than the Ordinary Shares pursuant to the applicable Warrant Agreement, the warrants may be exercised for such security. At such time as the warrants become exercisable for a security other than the Ordinary Shares, Rezolve (or surviving company) will use its commercially reasonable efforts to register under the Securities Act the security issuable upon the exercise of the warrants.</w:t>
      </w:r>
    </w:p>
    <w:p>
      <w:pPr>
        <w:spacing w:after="0" w:line="103" w:lineRule="exact"/>
        <w:rPr>
          <w:sz w:val="20"/>
          <w:szCs w:val="20"/>
          <w:color w:val="auto"/>
        </w:rPr>
      </w:pPr>
    </w:p>
    <w:p>
      <w:pPr>
        <w:ind w:right="220" w:firstLine="480"/>
        <w:spacing w:after="0" w:line="259" w:lineRule="auto"/>
        <w:rPr>
          <w:sz w:val="20"/>
          <w:szCs w:val="20"/>
          <w:color w:val="auto"/>
        </w:rPr>
      </w:pPr>
      <w:r>
        <w:rPr>
          <w:rFonts w:ascii="Times New Roman" w:cs="Times New Roman" w:eastAsia="Times New Roman" w:hAnsi="Times New Roman"/>
          <w:sz w:val="10"/>
          <w:szCs w:val="10"/>
          <w:i w:val="1"/>
          <w:iCs w:val="1"/>
          <w:color w:val="auto"/>
        </w:rPr>
        <w:t>Holder Election to Limit Exercise</w:t>
      </w:r>
      <w:r>
        <w:rPr>
          <w:rFonts w:ascii="Times New Roman" w:cs="Times New Roman" w:eastAsia="Times New Roman" w:hAnsi="Times New Roman"/>
          <w:sz w:val="10"/>
          <w:szCs w:val="10"/>
          <w:color w:val="auto"/>
        </w:rPr>
        <w:t>. A holder of a warrant may notify us in writing in the event it elects to be subject to a requirement that such holder will not have the right to exercise such warrant, to the extent that after giving effect to such exercise, such</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person (together with such person’s affiliates), to the warrant agent’s actual knowledge, would beneficially own in excess of 9.8% (as specified by the holder) of the Ordinary Shares outstanding immediately after giving effect to such exercise.</w:t>
      </w:r>
    </w:p>
    <w:p>
      <w:pPr>
        <w:spacing w:after="0" w:line="97"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i w:val="1"/>
          <w:iCs w:val="1"/>
          <w:color w:val="auto"/>
        </w:rPr>
        <w:t>Anti -Dilution Adjustments</w:t>
      </w:r>
      <w:r>
        <w:rPr>
          <w:rFonts w:ascii="Times New Roman" w:cs="Times New Roman" w:eastAsia="Times New Roman" w:hAnsi="Times New Roman"/>
          <w:sz w:val="10"/>
          <w:szCs w:val="10"/>
          <w:color w:val="auto"/>
        </w:rPr>
        <w:t>. If the number of outstanding Ordinary Shares is increased by a stock dividend payable in Ordinary Shares, or by a split up of common stock or other similar event, then, on the effective date of such share capitalization, sub-division</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or similar event, the number of Ordinary Shares issuable on exercise of each warrant will be increased in proportion to such increase in the outstanding shares of common stock. A rights offering made to all or substantially all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ten (10) trading day period ending on the trading day prior to the first date on which the Ordinary Shares trade on the applicable exchange or in the applicable market, regular way, without the right to receive such rights.</w:t>
      </w:r>
    </w:p>
    <w:p>
      <w:pPr>
        <w:spacing w:after="0" w:line="108"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If the number of outstanding Ordinary Shares is decreased by a consolidation, combination, reverse stock split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outstanding Ordinary Shares.</w:t>
      </w:r>
    </w:p>
    <w:p>
      <w:pPr>
        <w:spacing w:after="0" w:line="101"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spacing w:after="0" w:line="78"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In case of any reclassification or reorganization of the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spacing w:after="0" w:line="110" w:lineRule="exact"/>
        <w:rPr>
          <w:sz w:val="20"/>
          <w:szCs w:val="20"/>
          <w:color w:val="auto"/>
        </w:rPr>
      </w:pPr>
    </w:p>
    <w:p>
      <w:pPr>
        <w:ind w:right="60" w:firstLine="480"/>
        <w:spacing w:after="0" w:line="285" w:lineRule="auto"/>
        <w:rPr>
          <w:sz w:val="20"/>
          <w:szCs w:val="20"/>
          <w:color w:val="auto"/>
        </w:rPr>
      </w:pPr>
      <w:r>
        <w:rPr>
          <w:rFonts w:ascii="Times New Roman" w:cs="Times New Roman" w:eastAsia="Times New Roman" w:hAnsi="Times New Roman"/>
          <w:sz w:val="9"/>
          <w:szCs w:val="9"/>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spacing w:after="0" w:line="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0"/>
          <w:szCs w:val="10"/>
          <w:b w:val="1"/>
          <w:bCs w:val="1"/>
          <w:color w:val="auto"/>
        </w:rPr>
        <w:t>Articles of Association of Rezolve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information is a summary of the material terms of the Ordinary Shares as specified in the Articles. The following summary does not purport to be complete and is qualified in its entirety by reference to the Articles.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Share rights</w:t>
      </w:r>
    </w:p>
    <w:p>
      <w:pPr>
        <w:spacing w:after="0" w:line="60"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Subject to the UK Companies Act, any share may be issued which is to be redeemed or is to be liable to be redeemed at the option of Rezolve or the holder, on such terms, conditions and in such manner as Rezolve’s board of directors may determine.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Voting rights and quorum</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Subject as provided below and to any rights or restrictions attached to any shares from time to time, every member who is present in person or by a duly appointed proxy at a general meeting shall on a poll have one vote for each share of which he or she is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holder.</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aggregate number of votes attaching to all the shares held by Daniel Wagner as the “Rezolve Founder” or in which he is interested shall be equal to the higher of:</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(i)75% of the votes attaching to all shares in the capital of the Company;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(ii)the total number of votes that would otherwise have been conferred on Daniel Wagner.</w:t>
      </w:r>
    </w:p>
    <w:p>
      <w:pPr>
        <w:spacing w:after="0" w:line="118"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Restrictions on Voting</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spacing w:after="0" w:line="101"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Variation of Rights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rights attached to any class of shares may be varied in accordance with the provisions of the UK Companies Act and with either the written consent of the holders of not less than three- 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spacing w:after="0" w:line="110"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0"/>
          <w:szCs w:val="10"/>
          <w:b w:val="1"/>
          <w:bCs w:val="1"/>
          <w:i w:val="1"/>
          <w:iCs w:val="1"/>
          <w:color w:val="auto"/>
        </w:rPr>
        <w:t>Share transfers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Ordinary Shares are in registered form. Any Ordinary Shares may be held in uncertificated form.</w:t>
      </w:r>
    </w:p>
    <w:p>
      <w:pPr>
        <w:spacing w:after="0" w:line="118"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 of a partly paid share provided that any refusal does not prevent open and proper dealings of any class of shares which are 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transferor of an ordinary share is deemed to remain the holder until the transferee’s name is entered in the share register.</w:t>
      </w:r>
    </w:p>
    <w:p>
      <w:pPr>
        <w:spacing w:after="0" w:line="118"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Dividends</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dividends on shares are to be paid according to the amounts paid up on their nominal value, or otherwise in accordance with the terms concerning entitlement to dividends on which shares were issued.</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unclaimed dividends may be made use of by Rezolve’s board of directors for Rezolve’s benefit until claimed.</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dividend unclaimed for a period of 10 years from the date when it was declared or became due for payment shall revert to Rezolve.</w:t>
      </w:r>
    </w:p>
    <w:p>
      <w:pPr>
        <w:spacing w:after="0" w:line="118"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Rezolve’s board of directors may, by way of ordinary resolution (being a resolution passed by a simple majority of votes of Rezolve shareholders in person or by proxy), from time to time offer any holders of a particular class of shares the right to elect to receive further fully paid shares of that class by way of scrip dividend instead of cash in respect of any dividend.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Shareholder meetings</w:t>
      </w:r>
    </w:p>
    <w:p>
      <w:pPr>
        <w:spacing w:after="0" w:line="60"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spacing w:after="0" w:line="105"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113" w:name="page114"/>
    <w:bookmarkEnd w:id="113"/>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voting rights of each member at a general meeting are as set out under the heading “Voting Rights and Quorum”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Alteration of share capital</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may agree with any member terms and conditions upon which all or any part of the Ordinary Shares held by such member from time to time shall be automatically converted into deferred shares.</w:t>
      </w:r>
    </w:p>
    <w:p>
      <w:pPr>
        <w:spacing w:after="0" w:line="118"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Change of Control</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There is no specific provision in the articles of association that would have the effect of delaying, deferring or preventing a change of control. Our board will be divided into three classes serving staggered three -year terms with the first class being eligible for re-election at the annual general meeting of the Rezolve held in 2025, the second class being eligible for re-election at the annual general meeting of the Rezolve held in 2026 and the third class being eligible for re-election at the annual general meeting of the Rezolve held in 2027. The Board may remove any directors appointed by Armada from 12 months after Closing.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Distributions on Winding Up</w:t>
      </w:r>
    </w:p>
    <w:p>
      <w:pPr>
        <w:spacing w:after="0" w:line="60"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Directors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Number of Directors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Unless and until otherwise determined by an ordinary resolution of shareholders, Rezolve may not have less than three directors and there shall be no maximum number of persons permitted to sit on the board of directors.</w:t>
      </w:r>
    </w:p>
    <w:p>
      <w:pPr>
        <w:spacing w:after="0" w:line="118" w:lineRule="exact"/>
        <w:rPr>
          <w:sz w:val="20"/>
          <w:szCs w:val="20"/>
          <w:color w:val="auto"/>
        </w:rPr>
      </w:pPr>
    </w:p>
    <w:p>
      <w:pPr>
        <w:jc w:val="both"/>
        <w:ind w:right="40" w:firstLine="480"/>
        <w:spacing w:after="0" w:line="245" w:lineRule="auto"/>
        <w:rPr>
          <w:sz w:val="20"/>
          <w:szCs w:val="20"/>
          <w:color w:val="auto"/>
        </w:rPr>
      </w:pPr>
      <w:r>
        <w:rPr>
          <w:rFonts w:ascii="Times New Roman" w:cs="Times New Roman" w:eastAsia="Times New Roman" w:hAnsi="Times New Roman"/>
          <w:sz w:val="10"/>
          <w:szCs w:val="10"/>
          <w:color w:val="auto"/>
        </w:rPr>
        <w:t>Rezolve’s board is divided into three classes serving staggered three -year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Any directors appointed by Armada may be removed by Rezolve’s board of directors after the initial 12 months following the Closing Date.</w:t>
      </w:r>
    </w:p>
    <w:p>
      <w:pPr>
        <w:spacing w:after="0" w:line="1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0"/>
          <w:szCs w:val="10"/>
          <w:b w:val="1"/>
          <w:bCs w:val="1"/>
          <w:i w:val="1"/>
          <w:iCs w:val="1"/>
          <w:color w:val="auto"/>
        </w:rPr>
        <w:t>Appointment of Directors</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Subject to the provisions of the articles of association Rezolve may, by ordinary resolution of the shareholders, elect any person who is willing to act to be a director, either to fill a casual vacancy or as an 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w:t>
      </w:r>
    </w:p>
    <w:p>
      <w:pPr>
        <w:spacing w:after="0" w:line="105"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w:t>
      </w:r>
    </w:p>
    <w:p>
      <w:pPr>
        <w:spacing w:after="0" w:line="101"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At the end of the period of 12 months after his appointment or from when the Sponsor group ceases to beneficially own any Ordinary Shares, if earlier, the Board may remove any of the two directors nominated by the Sponsor group and the independent director mutually determined by the nomination committee of the Board and the Sponsor group</w:t>
      </w:r>
      <w:r>
        <w:rPr>
          <w:rFonts w:ascii="Times New Roman" w:cs="Times New Roman" w:eastAsia="Times New Roman" w:hAnsi="Times New Roman"/>
          <w:sz w:val="10"/>
          <w:szCs w:val="10"/>
          <w:i w:val="1"/>
          <w:iCs w:val="1"/>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Retirement of Directors</w:t>
      </w:r>
    </w:p>
    <w:p>
      <w:pPr>
        <w:spacing w:after="0" w:line="60" w:lineRule="exact"/>
        <w:rPr>
          <w:sz w:val="20"/>
          <w:szCs w:val="20"/>
          <w:color w:val="auto"/>
        </w:rPr>
      </w:pPr>
    </w:p>
    <w:p>
      <w:pPr>
        <w:jc w:val="both"/>
        <w:ind w:right="320" w:firstLine="480"/>
        <w:spacing w:after="0" w:line="245" w:lineRule="auto"/>
        <w:rPr>
          <w:sz w:val="20"/>
          <w:szCs w:val="20"/>
          <w:color w:val="auto"/>
        </w:rPr>
      </w:pPr>
      <w:r>
        <w:rPr>
          <w:rFonts w:ascii="Times New Roman" w:cs="Times New Roman" w:eastAsia="Times New Roman" w:hAnsi="Times New Roman"/>
          <w:sz w:val="10"/>
          <w:szCs w:val="10"/>
          <w:color w:val="auto"/>
        </w:rPr>
        <w:t>Each retiring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Directors’ Interests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Subject to the requirements of the UK Companies Act, a director who is any way, whether directly or indirectly, interested in a proposed or existing transaction or arrangement with Rezolve shall declare the nature of his interest at a meeting of the directors.</w:t>
      </w:r>
    </w:p>
    <w:p>
      <w:pPr>
        <w:spacing w:after="0" w:line="129"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 their voting or would have been agreed to without their voting. Such authorization is subject to any limitations imposed by the directors and is liable to be varied or revoked at any time.</w:t>
      </w:r>
    </w:p>
    <w:p>
      <w:pPr>
        <w:spacing w:after="0" w:line="11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director shall be entitled to vote (and be counted in the quorum) in respect of any resolution concerning any of the following matters: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contract, transaction or arrangement in which the director is interested by virtue of an interest in shares, debentures or other securities of Rezolve or any of its subsidiary undertakings;</w:t>
      </w:r>
    </w:p>
    <w:p>
      <w:pPr>
        <w:spacing w:after="0" w:line="58" w:lineRule="exact"/>
        <w:rPr>
          <w:sz w:val="20"/>
          <w:szCs w:val="20"/>
          <w:color w:val="auto"/>
        </w:rPr>
      </w:pPr>
    </w:p>
    <w:p>
      <w:pPr>
        <w:ind w:left="480" w:right="20"/>
        <w:spacing w:after="0" w:line="255" w:lineRule="auto"/>
        <w:rPr>
          <w:sz w:val="20"/>
          <w:szCs w:val="20"/>
          <w:color w:val="auto"/>
        </w:rPr>
      </w:pPr>
      <w:r>
        <w:rPr>
          <w:rFonts w:ascii="Times New Roman" w:cs="Times New Roman" w:eastAsia="Times New Roman" w:hAnsi="Times New Roman"/>
          <w:sz w:val="10"/>
          <w:szCs w:val="10"/>
          <w:color w:val="auto"/>
        </w:rPr>
        <w:t>•the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•indemnification by Rezolve in relation to the performance of the director’s duties on behalf of the Company or any of its subsidiary undertakings;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115" w:name="page116"/>
    <w:bookmarkEnd w:id="115"/>
    <w:p>
      <w:pPr>
        <w:ind w:left="480" w:right="40"/>
        <w:spacing w:after="0" w:line="255" w:lineRule="auto"/>
        <w:rPr>
          <w:sz w:val="20"/>
          <w:szCs w:val="20"/>
          <w:color w:val="auto"/>
        </w:rPr>
      </w:pPr>
      <w:r>
        <w:rPr>
          <w:rFonts w:ascii="Times New Roman" w:cs="Times New Roman" w:eastAsia="Times New Roman" w:hAnsi="Times New Roman"/>
          <w:sz w:val="10"/>
          <w:szCs w:val="10"/>
          <w:color w:val="auto"/>
        </w:rPr>
        <w:t>•any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transaction or arrangement concerning another company in which the director does not hold, directly or indirectly, an interest representing one per cent or more of any class of the equity share capital of such company;</w:t>
      </w:r>
    </w:p>
    <w:p>
      <w:pPr>
        <w:spacing w:after="0" w:line="58" w:lineRule="exact"/>
        <w:rPr>
          <w:sz w:val="20"/>
          <w:szCs w:val="20"/>
          <w:color w:val="auto"/>
        </w:rPr>
      </w:pPr>
    </w:p>
    <w:p>
      <w:pPr>
        <w:ind w:left="480" w:right="420"/>
        <w:spacing w:after="0" w:line="380" w:lineRule="auto"/>
        <w:rPr>
          <w:sz w:val="20"/>
          <w:szCs w:val="20"/>
          <w:color w:val="auto"/>
        </w:rPr>
      </w:pPr>
      <w:r>
        <w:rPr>
          <w:rFonts w:ascii="Times New Roman" w:cs="Times New Roman" w:eastAsia="Times New Roman" w:hAnsi="Times New Roman"/>
          <w:sz w:val="10"/>
          <w:szCs w:val="10"/>
          <w:color w:val="auto"/>
        </w:rPr>
        <w:t>•any arrangement for the benefit of employees of Rezolve or of any of its subsidiary undertakings which does not accord to the director any privilege or benefit not generally accorded to the employees to whom the contract or arrangement relates; and •the purchase or maintenance of insurance either for or for the benefit of any director or for persons who include directors.</w:t>
      </w:r>
    </w:p>
    <w:p>
      <w:pPr>
        <w:spacing w:after="0" w:line="4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 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Subject to the UK Companies Act, the Company may, by ordinary resolution, suspend the above provisions to any extent or ratify any transaction or arrangement not duly authorized by reason of a contravention of these provisions.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Directors’ Fees and Remuneration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Special remuneration may be granted to any director who performs any special or extra services to, or at the request of, Rezolve, to be paid by way of lump sum, salary, commission, participation in profits or otherwise as the Rezolve board of directors may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decide.</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Each director may be paid all proper and reasonable expenses incurred in the discharge of the director’s duties, including attending and returning from meetings of the directors or committees of the directors or general meetings of Rezolve.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Borrowing Powers</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Indemnity</w:t>
      </w:r>
    </w:p>
    <w:p>
      <w:pPr>
        <w:spacing w:after="0" w:line="60" w:lineRule="exact"/>
        <w:rPr>
          <w:sz w:val="20"/>
          <w:szCs w:val="20"/>
          <w:color w:val="auto"/>
        </w:rPr>
      </w:pPr>
    </w:p>
    <w:p>
      <w:pPr>
        <w:ind w:right="280" w:firstLine="480"/>
        <w:spacing w:after="0" w:line="245" w:lineRule="auto"/>
        <w:rPr>
          <w:sz w:val="20"/>
          <w:szCs w:val="20"/>
          <w:color w:val="auto"/>
        </w:rPr>
      </w:pPr>
      <w:r>
        <w:rPr>
          <w:rFonts w:ascii="Times New Roman" w:cs="Times New Roman" w:eastAsia="Times New Roman" w:hAnsi="Times New Roman"/>
          <w:sz w:val="10"/>
          <w:szCs w:val="10"/>
          <w:color w:val="auto"/>
        </w:rPr>
        <w:t>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Other English Law Considerations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Mandatory Purchases and Acquisitions</w:t>
      </w:r>
    </w:p>
    <w:p>
      <w:pPr>
        <w:spacing w:after="0" w:line="60" w:lineRule="exact"/>
        <w:rPr>
          <w:sz w:val="20"/>
          <w:szCs w:val="20"/>
          <w:color w:val="auto"/>
        </w:rPr>
      </w:pPr>
    </w:p>
    <w:p>
      <w:pPr>
        <w:ind w:right="140" w:firstLine="480"/>
        <w:spacing w:after="0" w:line="310" w:lineRule="auto"/>
        <w:rPr>
          <w:sz w:val="20"/>
          <w:szCs w:val="20"/>
          <w:color w:val="auto"/>
        </w:rPr>
      </w:pPr>
      <w:r>
        <w:rPr>
          <w:rFonts w:ascii="Times New Roman" w:cs="Times New Roman" w:eastAsia="Times New Roman" w:hAnsi="Times New Roman"/>
          <w:sz w:val="9"/>
          <w:szCs w:val="9"/>
          <w:color w:val="auto"/>
        </w:rPr>
        <w:t>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w:t>
      </w:r>
    </w:p>
    <w:p>
      <w:pPr>
        <w:spacing w:after="0" w:line="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0"/>
          <w:szCs w:val="10"/>
          <w:color w:val="auto"/>
        </w:rPr>
        <w:t>acquire, those shares on the same terms as the general offer. The offeror would do so by sending a notice to the outstanding minority shareholders telling them that it will compulsorily acquire their shares.</w:t>
      </w:r>
    </w:p>
    <w:p>
      <w:pPr>
        <w:spacing w:after="0" w:line="118"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Such notice must be sent within three months of the last day on which the offer can be accepted in the prescribed manner. The squeeze -out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Sell Out</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 bought out that is not less than three months after the end of the acceptance period. If a shareholder exercises his, her or its rights to be bought out, the offeror is required to acquire those shares on the terms of this offer or on such other terms as may be agreed.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Disclosure of Interest in Shares</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Under the Articles, if a person defaults in supplying Rezolve with the required particulars in relation to the shares in question, or default shares, within the prescribed period of 14 days from the date of the service of notice, the directors may by notice direct that:</w:t>
      </w:r>
    </w:p>
    <w:p>
      <w:pPr>
        <w:spacing w:after="0" w:line="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respect of the default shares, the relevant shareholder shall not be entitled to vote (either in person or by proxy) at any general meeting or to exercise any other right conferred by a shareholding in relation to general meetings; and</w:t>
      </w:r>
    </w:p>
    <w:p>
      <w:pPr>
        <w:spacing w:after="0" w:line="58" w:lineRule="exact"/>
        <w:rPr>
          <w:sz w:val="20"/>
          <w:szCs w:val="20"/>
          <w:color w:val="auto"/>
        </w:rPr>
      </w:pPr>
    </w:p>
    <w:p>
      <w:pPr>
        <w:jc w:val="both"/>
        <w:ind w:left="480" w:right="220"/>
        <w:spacing w:after="0" w:line="245" w:lineRule="auto"/>
        <w:rPr>
          <w:sz w:val="20"/>
          <w:szCs w:val="20"/>
          <w:color w:val="auto"/>
        </w:rPr>
      </w:pPr>
      <w:r>
        <w:rPr>
          <w:rFonts w:ascii="Times New Roman" w:cs="Times New Roman" w:eastAsia="Times New Roman" w:hAnsi="Times New Roman"/>
          <w:sz w:val="10"/>
          <w:szCs w:val="10"/>
          <w:color w:val="auto"/>
        </w:rPr>
        <w:t>•where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Purchase of Own Shares</w:t>
      </w:r>
    </w:p>
    <w:p>
      <w:pPr>
        <w:spacing w:after="0" w:line="60" w:lineRule="exact"/>
        <w:rPr>
          <w:sz w:val="20"/>
          <w:szCs w:val="20"/>
          <w:color w:val="auto"/>
        </w:rPr>
      </w:pPr>
    </w:p>
    <w:p>
      <w:pPr>
        <w:ind w:right="200" w:firstLine="480"/>
        <w:spacing w:after="0" w:line="241" w:lineRule="auto"/>
        <w:rPr>
          <w:sz w:val="20"/>
          <w:szCs w:val="20"/>
          <w:color w:val="auto"/>
        </w:rPr>
      </w:pPr>
      <w:r>
        <w:rPr>
          <w:rFonts w:ascii="Times New Roman" w:cs="Times New Roman" w:eastAsia="Times New Roman" w:hAnsi="Times New Roman"/>
          <w:sz w:val="10"/>
          <w:szCs w:val="10"/>
          <w:color w:val="auto"/>
        </w:rPr>
        <w:t>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•specify the maximum number of shares authorized to be acquired;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•determine the maximum and minimum prices that may be paid for the shares;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•specify a date, not being later than five years after the passing of the resolution, on which the authority to purchase is to expire.</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117" w:name="page118"/>
    <w:bookmarkEnd w:id="117"/>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Rezolve may purchase its own fully paid shares in an “off-market” purchase otherwise than on a recognized investment exchange pursuant to a purchase contract authorized by resolution of shareholders before the 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Distributions and Dividends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It is not sufficient that Rezolve, once re- registered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w:t>
      </w:r>
    </w:p>
    <w:p>
      <w:pPr>
        <w:spacing w:after="0" w:line="41" w:lineRule="exact"/>
        <w:rPr>
          <w:sz w:val="20"/>
          <w:szCs w:val="20"/>
          <w:color w:val="auto"/>
        </w:rPr>
      </w:pPr>
    </w:p>
    <w:p>
      <w:pPr>
        <w:ind w:left="480" w:right="2120"/>
        <w:spacing w:after="0" w:line="380" w:lineRule="auto"/>
        <w:rPr>
          <w:sz w:val="20"/>
          <w:szCs w:val="20"/>
          <w:color w:val="auto"/>
        </w:rPr>
      </w:pPr>
      <w:r>
        <w:rPr>
          <w:rFonts w:ascii="Times New Roman" w:cs="Times New Roman" w:eastAsia="Times New Roman" w:hAnsi="Times New Roman"/>
          <w:sz w:val="10"/>
          <w:szCs w:val="10"/>
          <w:color w:val="auto"/>
        </w:rPr>
        <w:t>•if, at the time that the distribution is made, the amount of its net assets (that is, the total excess of assets over liabilities) is not less than the total of its called-up share capital and undistributable reserves; and •if, and to the extent that, the distribution itself, at the time that it is made, does not reduce the amount of the net assets to less than that total.</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Anti-Money Laundering</w:t>
      </w:r>
    </w:p>
    <w:p>
      <w:pPr>
        <w:spacing w:after="0" w:line="60"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Enforceability of Civil Liabilities</w:t>
      </w:r>
    </w:p>
    <w:p>
      <w:pPr>
        <w:spacing w:after="0" w:line="60"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w:t>
      </w:r>
    </w:p>
    <w:p>
      <w:pPr>
        <w:spacing w:after="0" w:line="105"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w:t>
      </w:r>
    </w:p>
    <w:p>
      <w:pPr>
        <w:spacing w:after="0" w:line="10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Data Protection - United Kingdom</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has certain duties under the General Data Protection Regulation (as implemented in the UK) and the Data Protection Act 2018 (“</w:t>
      </w:r>
      <w:r>
        <w:rPr>
          <w:rFonts w:ascii="Times New Roman" w:cs="Times New Roman" w:eastAsia="Times New Roman" w:hAnsi="Times New Roman"/>
          <w:sz w:val="10"/>
          <w:szCs w:val="10"/>
          <w:b w:val="1"/>
          <w:bCs w:val="1"/>
          <w:i w:val="1"/>
          <w:iCs w:val="1"/>
          <w:color w:val="auto"/>
        </w:rPr>
        <w:t>UK GDPR</w:t>
      </w:r>
      <w:r>
        <w:rPr>
          <w:rFonts w:ascii="Times New Roman" w:cs="Times New Roman" w:eastAsia="Times New Roman" w:hAnsi="Times New Roman"/>
          <w:sz w:val="10"/>
          <w:szCs w:val="10"/>
          <w:color w:val="auto"/>
        </w:rPr>
        <w:t>”) based on internationally accepted principles of data privacy.</w:t>
      </w:r>
    </w:p>
    <w:p>
      <w:pPr>
        <w:spacing w:after="0" w:line="1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0"/>
          <w:szCs w:val="10"/>
          <w:b w:val="1"/>
          <w:bCs w:val="1"/>
          <w:i w:val="1"/>
          <w:iCs w:val="1"/>
          <w:color w:val="auto"/>
        </w:rPr>
        <w:t>Privacy Notice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Introduction</w:t>
      </w:r>
    </w:p>
    <w:p>
      <w:pPr>
        <w:spacing w:after="0" w:line="58" w:lineRule="exact"/>
        <w:rPr>
          <w:sz w:val="20"/>
          <w:szCs w:val="20"/>
          <w:color w:val="auto"/>
        </w:rPr>
      </w:pPr>
    </w:p>
    <w:p>
      <w:pPr>
        <w:ind w:right="260" w:firstLine="480"/>
        <w:spacing w:after="0" w:line="259" w:lineRule="auto"/>
        <w:rPr>
          <w:sz w:val="20"/>
          <w:szCs w:val="20"/>
          <w:color w:val="auto"/>
        </w:rPr>
      </w:pPr>
      <w:r>
        <w:rPr>
          <w:rFonts w:ascii="Times New Roman" w:cs="Times New Roman" w:eastAsia="Times New Roman" w:hAnsi="Times New Roman"/>
          <w:sz w:val="10"/>
          <w:szCs w:val="10"/>
          <w:color w:val="auto"/>
        </w:rPr>
        <w:t>All shareholders in Rezolve will provide the Company with certain information which constitutes personal data within the meaning of the UK GDPR (“</w:t>
      </w:r>
      <w:r>
        <w:rPr>
          <w:rFonts w:ascii="Times New Roman" w:cs="Times New Roman" w:eastAsia="Times New Roman" w:hAnsi="Times New Roman"/>
          <w:sz w:val="10"/>
          <w:szCs w:val="10"/>
          <w:b w:val="1"/>
          <w:bCs w:val="1"/>
          <w:i w:val="1"/>
          <w:iCs w:val="1"/>
          <w:color w:val="auto"/>
        </w:rPr>
        <w:t>personal data</w:t>
      </w:r>
      <w:r>
        <w:rPr>
          <w:rFonts w:ascii="Times New Roman" w:cs="Times New Roman" w:eastAsia="Times New Roman" w:hAnsi="Times New Roman"/>
          <w:sz w:val="10"/>
          <w:szCs w:val="10"/>
          <w:color w:val="auto"/>
        </w:rPr>
        <w:t>”). In the following discussion, the “Company” refers to Rezolve and its affiliates and/or delegates, except where the context requires otherwise.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Investor Data</w:t>
      </w:r>
    </w:p>
    <w:p>
      <w:pPr>
        <w:spacing w:after="0" w:line="60"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Rezolve will collect, use, disclose, retain and secure personal data to the extent reasonably required only and within the parameters that could be reasonably expected during the normal course of business. Rezolve will only 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05"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 its use of this personal data, Rezolve will be characterized as a “data controller” for the purposes of the UK GDPR, while its affiliates and service providers who may receive this personal data from Rezolve in the conduct of its activities may either act as our “data processors” for the purposes of the UK GDPR or may process personal information for their own lawful purposes in connection with services provided to Rezolve. Rezolve will ensure it has appropriate contractual agreements in place with any processors to ensure the protection of any shared personal data.</w:t>
      </w:r>
    </w:p>
    <w:p>
      <w:pPr>
        <w:spacing w:after="0" w:line="105" w:lineRule="exact"/>
        <w:rPr>
          <w:sz w:val="20"/>
          <w:szCs w:val="20"/>
          <w:color w:val="auto"/>
        </w:rPr>
      </w:pPr>
    </w:p>
    <w:p>
      <w:pPr>
        <w:ind w:right="320" w:firstLine="480"/>
        <w:spacing w:after="0" w:line="245" w:lineRule="auto"/>
        <w:rPr>
          <w:sz w:val="20"/>
          <w:szCs w:val="20"/>
          <w:color w:val="auto"/>
        </w:rPr>
      </w:pPr>
      <w:r>
        <w:rPr>
          <w:rFonts w:ascii="Times New Roman" w:cs="Times New Roman" w:eastAsia="Times New Roman" w:hAnsi="Times New Roman"/>
          <w:sz w:val="10"/>
          <w:szCs w:val="10"/>
          <w:color w:val="auto"/>
        </w:rPr>
        <w:t>Rezolve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Who this Affects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How Rezolve May Use a Member’s Personal Data</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as the data controller, may collect, store and use personal data for lawful purposes, including, in particular: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•where this is necessary for the performance of its rights and obligations under any purchase agreements;</w:t>
      </w:r>
    </w:p>
    <w:p>
      <w:pPr>
        <w:spacing w:after="0" w:line="58" w:lineRule="exact"/>
        <w:rPr>
          <w:sz w:val="20"/>
          <w:szCs w:val="20"/>
          <w:color w:val="auto"/>
        </w:rPr>
      </w:pPr>
    </w:p>
    <w:p>
      <w:pPr>
        <w:ind w:left="480" w:right="2380"/>
        <w:spacing w:after="0" w:line="380" w:lineRule="auto"/>
        <w:rPr>
          <w:sz w:val="20"/>
          <w:szCs w:val="20"/>
          <w:color w:val="auto"/>
        </w:rPr>
      </w:pPr>
      <w:r>
        <w:rPr>
          <w:rFonts w:ascii="Times New Roman" w:cs="Times New Roman" w:eastAsia="Times New Roman" w:hAnsi="Times New Roman"/>
          <w:sz w:val="10"/>
          <w:szCs w:val="10"/>
          <w:color w:val="auto"/>
        </w:rPr>
        <w:t>•where this is necessary for compliance with a legal and regulatory obligation to which the company is subject (such as compliance with anti-money laundering and FATCA/CRS requirements); and/or •where this is necessary for the purposes of our legitimate interests and such interests are not overridden by your interests, fundamental rights or freedoms.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Should Rezolve wish to use personal data for other specific purposes (including, if applicable, any purpose that requires your consent), it will contact you.</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Why Rezolve May Share Your Personal Data</w:t>
      </w:r>
    </w:p>
    <w:p>
      <w:pPr>
        <w:spacing w:after="0" w:line="60" w:lineRule="exact"/>
        <w:rPr>
          <w:sz w:val="20"/>
          <w:szCs w:val="20"/>
          <w:color w:val="auto"/>
        </w:rPr>
      </w:pPr>
    </w:p>
    <w:p>
      <w:pPr>
        <w:ind w:right="300" w:firstLine="480"/>
        <w:spacing w:after="0" w:line="255" w:lineRule="auto"/>
        <w:rPr>
          <w:sz w:val="20"/>
          <w:szCs w:val="20"/>
          <w:color w:val="auto"/>
        </w:rPr>
      </w:pPr>
      <w:r>
        <w:rPr>
          <w:rFonts w:ascii="Times New Roman" w:cs="Times New Roman" w:eastAsia="Times New Roman" w:hAnsi="Times New Roman"/>
          <w:sz w:val="10"/>
          <w:szCs w:val="10"/>
          <w:color w:val="auto"/>
        </w:rPr>
        <w:t>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w:t>
      </w:r>
    </w:p>
    <w:p>
      <w:pPr>
        <w:spacing w:after="0" w:line="101"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w:t>
      </w:r>
    </w:p>
    <w:p>
      <w:pPr>
        <w:spacing w:after="0" w:line="1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213" w:right="600" w:bottom="1440" w:gutter="0" w:footer="0" w:header="0"/>
        </w:sectPr>
      </w:pPr>
    </w:p>
    <w:bookmarkStart w:id="119" w:name="page120"/>
    <w:bookmarkEnd w:id="119"/>
    <w:p>
      <w:pPr>
        <w:ind w:left="480"/>
        <w:spacing w:after="0"/>
        <w:rPr>
          <w:sz w:val="20"/>
          <w:szCs w:val="20"/>
          <w:color w:val="auto"/>
        </w:rPr>
      </w:pPr>
      <w:r>
        <w:rPr>
          <w:rFonts w:ascii="Times New Roman" w:cs="Times New Roman" w:eastAsia="Times New Roman" w:hAnsi="Times New Roman"/>
          <w:sz w:val="10"/>
          <w:szCs w:val="10"/>
          <w:color w:val="auto"/>
        </w:rPr>
        <w:t>Rezolve may share your personal data with our affiliates for any of the purposes described in this privacy notice.</w:t>
      </w:r>
    </w:p>
    <w:p>
      <w:pPr>
        <w:spacing w:after="0" w:line="118"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International Data Transfers</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Where any personal data is transferred internationally, Rezolve will take reasonable steps to ensure that a safe transfer mechanism is in place to protect the personal data in question, such as Standard Contractual Clauses approved by the European Commission or the UK government.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The Data Protection Measures Rezolve Takes</w:t>
      </w:r>
    </w:p>
    <w:p>
      <w:pPr>
        <w:spacing w:after="0" w:line="60"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Retention</w:t>
      </w:r>
    </w:p>
    <w:p>
      <w:pPr>
        <w:spacing w:after="0" w:line="60" w:lineRule="exact"/>
        <w:rPr>
          <w:sz w:val="20"/>
          <w:szCs w:val="20"/>
          <w:color w:val="auto"/>
        </w:rPr>
      </w:pPr>
    </w:p>
    <w:p>
      <w:pPr>
        <w:ind w:firstLine="480"/>
        <w:spacing w:after="0" w:line="310" w:lineRule="auto"/>
        <w:rPr>
          <w:sz w:val="20"/>
          <w:szCs w:val="20"/>
          <w:color w:val="auto"/>
        </w:rPr>
      </w:pPr>
      <w:r>
        <w:rPr>
          <w:rFonts w:ascii="Times New Roman" w:cs="Times New Roman" w:eastAsia="Times New Roman" w:hAnsi="Times New Roman"/>
          <w:sz w:val="9"/>
          <w:szCs w:val="9"/>
          <w:color w:val="auto"/>
        </w:rPr>
        <w:t>We take measures to delete your personal data or keep it in a form that does not permit identifying you when this personal data is no longer necessary for the purposes for which we process it, unless we are required by law to keep this personal data for a longer period. When we process personal data for our own purposes, we determine the retention period taking into account various criteria, such as the nature and length of our relationship with you, and mandatory retention periods provided by law and the statute of limitations.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120" w:name="page121"/>
    <w:bookmarkEnd w:id="120"/>
    <w:p>
      <w:pPr>
        <w:jc w:val="center"/>
        <w:ind w:right="-139"/>
        <w:spacing w:after="0"/>
        <w:rPr>
          <w:sz w:val="20"/>
          <w:szCs w:val="20"/>
          <w:color w:val="auto"/>
        </w:rPr>
      </w:pPr>
      <w:r>
        <w:rPr>
          <w:rFonts w:ascii="Times New Roman" w:cs="Times New Roman" w:eastAsia="Times New Roman" w:hAnsi="Times New Roman"/>
          <w:sz w:val="10"/>
          <w:szCs w:val="10"/>
          <w:b w:val="1"/>
          <w:bCs w:val="1"/>
          <w:color w:val="auto"/>
        </w:rPr>
        <w:t>MATERIAL TAX CONSIDERATIONS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Material United Kingdom Tax Considerations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following statements are based on current UK law as applied in England and HMRC published practice (which may not be binding on HMRC) as at the date of this document, both of which are subject to change, possibly with retrospective effect.</w:t>
      </w:r>
    </w:p>
    <w:p>
      <w:pPr>
        <w:spacing w:after="0" w:line="129"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These statements are intended only as a general guide and are not a complete analysis of all potential UK tax consequences relating to the holding or disposing of Ordinary Shares or Warrants. They do not purport to provide any analysis of the UK tax consequences of the Business Combination.</w:t>
      </w:r>
    </w:p>
    <w:p>
      <w:pPr>
        <w:spacing w:after="0" w:line="101"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The statements apply only to persons who hold Ordinary Shares or Warrants as an investment and who are the absolute beneficial owners of the Ordinary Shares or Warrants. The statements do not apply to special categories of holders such as dealers in securities, insurance companies, collective investment schemes, charities, exempt pension funds or holders who have, or are deemed to have, acquired their Ordinary Shares or Warrants by virtue of an office or employment.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statements are not directed at and do not apply to persons who are resident, or in the case of individuals, domiciled for tax purposes in the UK.</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IF YOU ARE IN ANY DOUBT AS TO YOUR TAX POSITION, YOU SHOULD CONSULT YOUR PROFESSIONAL TAX ADVISER.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Taxation of Rezolve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is subject to UK corporation tax on its taxable profits and gains, as it is tax resident in the UK. The Business Combination will not give rise to any taxable profits or gains for Rezolve.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Taxation of Disposals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Holders who are not resident in the UK will not generally be subject to UK taxation of capital gains on the disposal or deemed disposal of Ordinary Shares or Warrants unless they are carrying on a trade, profession or vocation in the UK through a branch or agency there (or, in the case of a company, they are carrying on a trade in the UK through a permanent establishment there) in connection with which the Ordinary Shares or Warrants are used, held or acquired. Non-UK tax resident holders may be subject to non-UK taxation on any gain under local law.</w:t>
      </w:r>
    </w:p>
    <w:p>
      <w:pPr>
        <w:spacing w:after="0" w:line="105"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An individual holder who has been resident for tax purposes in the UK but who ceases to be so or becomes treated as resident outside the UK for the purposes of a double tax treaty for a period of five years or less and who disposes of all or part of his or her Ordinary Shares or Warrants during that period may be liable to capital gains tax on his or her return to the UK, subject to any available exemptions or reliefs.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Taxation of Dividends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is not required to withhold UK tax when paying a dividend.</w:t>
      </w:r>
    </w:p>
    <w:p>
      <w:pPr>
        <w:spacing w:after="0" w:line="118" w:lineRule="exact"/>
        <w:rPr>
          <w:sz w:val="20"/>
          <w:szCs w:val="20"/>
          <w:color w:val="auto"/>
        </w:rPr>
      </w:pPr>
    </w:p>
    <w:p>
      <w:pPr>
        <w:jc w:val="both"/>
        <w:ind w:right="120" w:firstLine="480"/>
        <w:spacing w:after="0" w:line="245" w:lineRule="auto"/>
        <w:rPr>
          <w:sz w:val="20"/>
          <w:szCs w:val="20"/>
          <w:color w:val="auto"/>
        </w:rPr>
      </w:pPr>
      <w:r>
        <w:rPr>
          <w:rFonts w:ascii="Times New Roman" w:cs="Times New Roman" w:eastAsia="Times New Roman" w:hAnsi="Times New Roman"/>
          <w:sz w:val="10"/>
          <w:szCs w:val="10"/>
          <w:color w:val="auto"/>
        </w:rPr>
        <w:t>Rezolve shareholders resident outside the UK will generally not be subject to UK taxation on dividend income unless they are carrying on a trade, profession or vocation through a branch or agency in the UK (or, in the case of a corporate holder, they are carrying on a trade in the UK through a permanent establishment there) and the dividends are either a receipt of that trade, profession or vocation (or, in the case of a corporate holder, Ordinary Shares are used by, or held by or for, that UK permanent establishment). Rezolve shareholders resident outside the UK should consult their own tax adviser concerning their tax position on dividends received from Rezolve.</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0"/>
          <w:szCs w:val="1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480"/>
          </w:cols>
          <w:pgMar w:left="640" w:top="1033" w:right="78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0"/>
          <w:szCs w:val="10"/>
          <w:b w:val="1"/>
          <w:bCs w:val="1"/>
          <w:i w:val="1"/>
          <w:iCs w:val="1"/>
          <w:color w:val="auto"/>
        </w:rPr>
        <w:t>Stamp Duty and Stamp Duty Reserve Tax (“SDRT”)</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 UK stamp duty or UK SDRT should arise on the issue of Ordinary Shares.</w:t>
      </w:r>
    </w:p>
    <w:p>
      <w:pPr>
        <w:spacing w:after="0" w:line="116" w:lineRule="exact"/>
        <w:rPr>
          <w:sz w:val="20"/>
          <w:szCs w:val="20"/>
          <w:color w:val="auto"/>
        </w:rPr>
      </w:pPr>
    </w:p>
    <w:p>
      <w:pPr>
        <w:ind w:right="20" w:firstLine="480"/>
        <w:spacing w:after="0" w:line="243" w:lineRule="auto"/>
        <w:rPr>
          <w:sz w:val="20"/>
          <w:szCs w:val="20"/>
          <w:color w:val="auto"/>
        </w:rPr>
      </w:pPr>
      <w:r>
        <w:rPr>
          <w:rFonts w:ascii="Times New Roman" w:cs="Times New Roman" w:eastAsia="Times New Roman" w:hAnsi="Times New Roman"/>
          <w:sz w:val="10"/>
          <w:szCs w:val="10"/>
          <w:color w:val="auto"/>
        </w:rPr>
        <w:t>An agreement to transfer Ordinary Shares or Warrants other than to a depository trust company (“</w:t>
      </w:r>
      <w:r>
        <w:rPr>
          <w:rFonts w:ascii="Times New Roman" w:cs="Times New Roman" w:eastAsia="Times New Roman" w:hAnsi="Times New Roman"/>
          <w:sz w:val="10"/>
          <w:szCs w:val="10"/>
          <w:b w:val="1"/>
          <w:bCs w:val="1"/>
          <w:i w:val="1"/>
          <w:iCs w:val="1"/>
          <w:color w:val="auto"/>
        </w:rPr>
        <w:t>DTC</w:t>
      </w:r>
      <w:r>
        <w:rPr>
          <w:rFonts w:ascii="Times New Roman" w:cs="Times New Roman" w:eastAsia="Times New Roman" w:hAnsi="Times New Roman"/>
          <w:sz w:val="10"/>
          <w:szCs w:val="10"/>
          <w:color w:val="auto"/>
        </w:rPr>
        <w:t>”) will normally give rise to a charge to UK SDRT at the rate of 0.5% of the amount or value of the consideration payable for the transfer, subject to the application of certain exclusions and reliefs. SDRT is, in general, payable by the purchaser. Instruments transferring Ordinary Shares or Warrants will generally be subject to UK stamp duty at the rate of 0.5% of the consideration given for the transfer (rounded up to the next £5), subject to the application of certain exclusions and reliefs. The purchaser normally pays the stamp duty. Any SDRT should be cancelled and any SDRT that has been paid should be repaid where an instrument of transfer has been executed in respect of the transfer of securities within six years of the incident giving rise to the SDRT and stamp duty has been paid on that instrument of transfer.</w:t>
      </w:r>
    </w:p>
    <w:p>
      <w:pPr>
        <w:spacing w:after="0" w:line="106"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transfer of existing Ordinary Shares or Warrants to a DTC will normally give rise to a charge to UK stamp duty or SDRT at the higher rate of 1.5% of the amount or value of the consideration payable for the transfer (subject to certain exceptions). Although the DTC should be liable for any UK stamp duty or SDRT, this will be payable by the existing holder in practice. However, no stamp duty or SDRT should, in practice, be required to be paid in respect of transfers or agreements to transfer Ordinary Shares or Warrants within the facilities of the DTC, provided the transfer from a holder of Ordinary Shares or Warrants to a DTC occurs within four months of the listing.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Material U.S. Federal Tax Considerations</w:t>
      </w:r>
    </w:p>
    <w:p>
      <w:pPr>
        <w:spacing w:after="0" w:line="60" w:lineRule="exact"/>
        <w:rPr>
          <w:sz w:val="20"/>
          <w:szCs w:val="20"/>
          <w:color w:val="auto"/>
        </w:rPr>
      </w:pPr>
    </w:p>
    <w:p>
      <w:pPr>
        <w:ind w:right="300" w:firstLine="480"/>
        <w:spacing w:after="0" w:line="245" w:lineRule="auto"/>
        <w:rPr>
          <w:sz w:val="20"/>
          <w:szCs w:val="20"/>
          <w:color w:val="auto"/>
        </w:rPr>
      </w:pPr>
      <w:r>
        <w:rPr>
          <w:rFonts w:ascii="Times New Roman" w:cs="Times New Roman" w:eastAsia="Times New Roman" w:hAnsi="Times New Roman"/>
          <w:sz w:val="10"/>
          <w:szCs w:val="10"/>
          <w:color w:val="auto"/>
        </w:rPr>
        <w:t>This section describes the material U.S. federal income tax considerations of the ownership and disposition of Ordinary Shares and Warrants. This discussion applies only to Ordinary Shares and Warrants held as capital assets for U.S. federal income tax purposes (generally, property held for investment) and does not discuss all aspects of U.S. federal income taxation that might be relevant to holders in light of their particular circumstances or status, including alternative minimum tax and Medicare contribution tax consequences, or holders who are subject to special rules, including:</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•brokers, dealers and other investors that do not own their Ordinary Shares or Warrants as capital assets;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•traders in securities that elect to use a mark-to-market method of accounting for their securities holdings;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•tax-exempt organizations, qualified retirement plans, individual retirement accounts or other tax deferred accounts;</w:t>
      </w:r>
    </w:p>
    <w:p>
      <w:pPr>
        <w:spacing w:after="0" w:line="58" w:lineRule="exact"/>
        <w:rPr>
          <w:sz w:val="20"/>
          <w:szCs w:val="20"/>
          <w:color w:val="auto"/>
        </w:rPr>
      </w:pPr>
    </w:p>
    <w:p>
      <w:pPr>
        <w:ind w:left="480" w:right="4800"/>
        <w:spacing w:after="0" w:line="360" w:lineRule="auto"/>
        <w:rPr>
          <w:sz w:val="20"/>
          <w:szCs w:val="20"/>
          <w:color w:val="auto"/>
        </w:rPr>
      </w:pPr>
      <w:r>
        <w:rPr>
          <w:rFonts w:ascii="Times New Roman" w:cs="Times New Roman" w:eastAsia="Times New Roman" w:hAnsi="Times New Roman"/>
          <w:sz w:val="10"/>
          <w:szCs w:val="10"/>
          <w:color w:val="auto"/>
        </w:rPr>
        <w:t>•banks or other financial institutions, underwriters, insurance companies, real estate investment trusts or regulated investment companies; •U.S. expatriates or former long-term residents of the United States;</w:t>
      </w:r>
    </w:p>
    <w:p>
      <w:pPr>
        <w:ind w:left="480" w:right="4400"/>
        <w:spacing w:after="0" w:line="400" w:lineRule="auto"/>
        <w:rPr>
          <w:sz w:val="20"/>
          <w:szCs w:val="20"/>
          <w:color w:val="auto"/>
        </w:rPr>
      </w:pPr>
      <w:r>
        <w:rPr>
          <w:rFonts w:ascii="Times New Roman" w:cs="Times New Roman" w:eastAsia="Times New Roman" w:hAnsi="Times New Roman"/>
          <w:sz w:val="9"/>
          <w:szCs w:val="9"/>
          <w:color w:val="auto"/>
        </w:rPr>
        <w:t>•persons that own (directly, indirectly, or by attribution) 5% or more (by vote or value) of the Armada Common Stock or Ordinary Shares; •partnerships or other pass-through entities for U.S. federal income tax purposes, or beneficial owners of partnerships or other pass-through entities;</w:t>
      </w:r>
    </w:p>
    <w:p>
      <w:pPr>
        <w:ind w:left="480"/>
        <w:spacing w:after="0"/>
        <w:rPr>
          <w:sz w:val="20"/>
          <w:szCs w:val="20"/>
          <w:color w:val="auto"/>
        </w:rPr>
      </w:pPr>
      <w:r>
        <w:rPr>
          <w:rFonts w:ascii="Times New Roman" w:cs="Times New Roman" w:eastAsia="Times New Roman" w:hAnsi="Times New Roman"/>
          <w:sz w:val="10"/>
          <w:szCs w:val="10"/>
          <w:color w:val="auto"/>
        </w:rPr>
        <w:t>•persons holding Ordinary Shares or Warrants as part of a straddle, hedging or conversion transaction, constructive sale, or other arrangement involving more than one position;</w:t>
      </w:r>
    </w:p>
    <w:p>
      <w:pPr>
        <w:spacing w:after="0" w:line="58" w:lineRule="exact"/>
        <w:rPr>
          <w:sz w:val="20"/>
          <w:szCs w:val="20"/>
          <w:color w:val="auto"/>
        </w:rPr>
      </w:pPr>
    </w:p>
    <w:p>
      <w:pPr>
        <w:ind w:left="480" w:right="2320"/>
        <w:spacing w:after="0" w:line="360" w:lineRule="auto"/>
        <w:rPr>
          <w:sz w:val="20"/>
          <w:szCs w:val="20"/>
          <w:color w:val="auto"/>
        </w:rPr>
      </w:pPr>
      <w:r>
        <w:rPr>
          <w:rFonts w:ascii="Times New Roman" w:cs="Times New Roman" w:eastAsia="Times New Roman" w:hAnsi="Times New Roman"/>
          <w:sz w:val="10"/>
          <w:szCs w:val="10"/>
          <w:color w:val="auto"/>
        </w:rPr>
        <w:t>•persons required to accelerate the recognition of any item of gross income with respect to Ordinary Shares or Warrants as a result of such income being recognized on an applicable financial statement; •persons whose functional currency is not the U.S. dollar;</w:t>
      </w:r>
    </w:p>
    <w:p>
      <w:pPr>
        <w:ind w:left="480"/>
        <w:spacing w:after="0"/>
        <w:rPr>
          <w:sz w:val="20"/>
          <w:szCs w:val="20"/>
          <w:color w:val="auto"/>
        </w:rPr>
      </w:pPr>
      <w:r>
        <w:rPr>
          <w:rFonts w:ascii="Times New Roman" w:cs="Times New Roman" w:eastAsia="Times New Roman" w:hAnsi="Times New Roman"/>
          <w:sz w:val="10"/>
          <w:szCs w:val="10"/>
          <w:color w:val="auto"/>
        </w:rPr>
        <w:t>•persons that received Ordinary Shares or Warrants as compensation for services; or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•controlled foreign corporations or passive foreign investment companies.</w:t>
      </w:r>
    </w:p>
    <w:p>
      <w:pPr>
        <w:spacing w:after="0" w:line="116" w:lineRule="exact"/>
        <w:rPr>
          <w:sz w:val="20"/>
          <w:szCs w:val="20"/>
          <w:color w:val="auto"/>
        </w:rPr>
      </w:pPr>
    </w:p>
    <w:p>
      <w:pPr>
        <w:ind w:right="20" w:firstLine="480"/>
        <w:spacing w:after="0" w:line="243" w:lineRule="auto"/>
        <w:rPr>
          <w:sz w:val="20"/>
          <w:szCs w:val="20"/>
          <w:color w:val="auto"/>
        </w:rPr>
      </w:pPr>
      <w:r>
        <w:rPr>
          <w:rFonts w:ascii="Times New Roman" w:cs="Times New Roman" w:eastAsia="Times New Roman" w:hAnsi="Times New Roman"/>
          <w:sz w:val="10"/>
          <w:szCs w:val="10"/>
          <w:color w:val="auto"/>
        </w:rPr>
        <w:t>This discussion is based on the Code, its legislative history, existing and proposed Treasury regulations promulgated under the Code (the “</w:t>
      </w:r>
      <w:r>
        <w:rPr>
          <w:rFonts w:ascii="Times New Roman" w:cs="Times New Roman" w:eastAsia="Times New Roman" w:hAnsi="Times New Roman"/>
          <w:sz w:val="10"/>
          <w:szCs w:val="10"/>
          <w:b w:val="1"/>
          <w:bCs w:val="1"/>
          <w:i w:val="1"/>
          <w:iCs w:val="1"/>
          <w:color w:val="auto"/>
        </w:rPr>
        <w:t>Treasury Regulations</w:t>
      </w:r>
      <w:r>
        <w:rPr>
          <w:rFonts w:ascii="Times New Roman" w:cs="Times New Roman" w:eastAsia="Times New Roman" w:hAnsi="Times New Roman"/>
          <w:sz w:val="10"/>
          <w:szCs w:val="10"/>
          <w:color w:val="auto"/>
        </w:rPr>
        <w:t>”), published rulings by the IRS and court decisions, all as of the date hereof. These laws are subject to change, possibly on a retroactive basis. This discussion is necessarily general and does not address all aspects of U.S. federal income taxation, including the effect of the U.S. federal alternative minimum tax, or U.S. federal estate and gift tax, or any state, local or non-U.S. tax laws to a holder of Ordinary Shares or Warrants. We have not and do not intend to seek any rulings from the IRS regarding the Business Combination. Additionally, we have not sought, and will not seek, an opinion of counsel, and the completion of the Business Combination is not conditioned on the receipt of an IRS ruling or opinion of counsel. There is no assurance that the</w:t>
      </w: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0"/>
          <w:szCs w:val="10"/>
          <w:color w:val="auto"/>
        </w:rPr>
        <w:t>IRS will not take positions concerning the tax consequences of the Business Combination that are different from those discussed below, or that any such different positions would not be sustained by a court.</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Except as specifically provided, the discussion below applies only to U.S. holders. For purposes of this discussion, a U.S. holder means a beneficial owner of Ordinary Shares or Warrants that is, for U.S. federal income tax purposes: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 individual who is a citizen or resident of the United States;</w:t>
      </w:r>
    </w:p>
    <w:p>
      <w:pPr>
        <w:spacing w:after="0" w:line="58" w:lineRule="exact"/>
        <w:rPr>
          <w:sz w:val="20"/>
          <w:szCs w:val="20"/>
          <w:color w:val="auto"/>
        </w:rPr>
      </w:pPr>
    </w:p>
    <w:p>
      <w:pPr>
        <w:ind w:left="480" w:right="2360"/>
        <w:spacing w:after="0" w:line="360" w:lineRule="auto"/>
        <w:rPr>
          <w:sz w:val="20"/>
          <w:szCs w:val="20"/>
          <w:color w:val="auto"/>
        </w:rPr>
      </w:pPr>
      <w:r>
        <w:rPr>
          <w:rFonts w:ascii="Times New Roman" w:cs="Times New Roman" w:eastAsia="Times New Roman" w:hAnsi="Times New Roman"/>
          <w:sz w:val="10"/>
          <w:szCs w:val="10"/>
          <w:color w:val="auto"/>
        </w:rPr>
        <w:t>•a corporation (or other entity taxable as a corporation for U.S. federal income tax purposes) created or organized in or under the laws of the United States, any state thereof or the District of Columbia; •an estate whose income is subject to U.S. federal income tax regardless of its source; or</w:t>
      </w:r>
    </w:p>
    <w:p>
      <w:pPr>
        <w:ind w:left="480" w:right="340"/>
        <w:spacing w:after="0" w:line="255" w:lineRule="auto"/>
        <w:rPr>
          <w:sz w:val="20"/>
          <w:szCs w:val="20"/>
          <w:color w:val="auto"/>
        </w:rPr>
      </w:pPr>
      <w:r>
        <w:rPr>
          <w:rFonts w:ascii="Times New Roman" w:cs="Times New Roman" w:eastAsia="Times New Roman" w:hAnsi="Times New Roman"/>
          <w:sz w:val="10"/>
          <w:szCs w:val="10"/>
          <w:color w:val="auto"/>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Holders who are not U.S. holders should consult with their own tax advisors regarding the U.S. federal income tax consequences of holding Rezolve Securities.</w:t>
      </w:r>
    </w:p>
    <w:p>
      <w:pPr>
        <w:spacing w:after="0" w:line="118"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0"/>
          <w:szCs w:val="10"/>
          <w:color w:val="auto"/>
        </w:rPr>
        <w:t>ALL HOLDERS OF ORDINARY SHARES AND WARRANTS SHOULD CONSULT WITH THEIR OWN TAX ADVISORS REGARDING THE TAX CONSEQUENCES TO THEM OF THE OWNERSHIP AND DISPOSITION OF ORDINARY SHARES AND WARRANTS, INCLUDING THE EFFECTS OF U.S. FEDERAL, STATE, AND LOCAL AND NON-U.S. TAX LAWS.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Distributions on Ordinary Shares</w:t>
      </w:r>
    </w:p>
    <w:p>
      <w:pPr>
        <w:spacing w:after="0" w:line="58" w:lineRule="exact"/>
        <w:rPr>
          <w:sz w:val="20"/>
          <w:szCs w:val="20"/>
          <w:color w:val="auto"/>
        </w:rPr>
      </w:pPr>
    </w:p>
    <w:p>
      <w:pPr>
        <w:ind w:right="120" w:firstLine="480"/>
        <w:spacing w:after="0" w:line="278" w:lineRule="auto"/>
        <w:rPr>
          <w:sz w:val="20"/>
          <w:szCs w:val="20"/>
          <w:color w:val="auto"/>
        </w:rPr>
      </w:pPr>
      <w:r>
        <w:rPr>
          <w:rFonts w:ascii="Times New Roman" w:cs="Times New Roman" w:eastAsia="Times New Roman" w:hAnsi="Times New Roman"/>
          <w:sz w:val="9"/>
          <w:szCs w:val="9"/>
          <w:color w:val="auto"/>
        </w:rPr>
        <w:t>Subject to the discussion under the section entitled “</w:t>
      </w:r>
      <w:r>
        <w:rPr>
          <w:rFonts w:ascii="Times New Roman" w:cs="Times New Roman" w:eastAsia="Times New Roman" w:hAnsi="Times New Roman"/>
          <w:sz w:val="9"/>
          <w:szCs w:val="9"/>
          <w:i w:val="1"/>
          <w:iCs w:val="1"/>
          <w:color w:val="auto"/>
        </w:rPr>
        <w:t>Material Tax Considerations — Material U.S. Federal Income Tax Considerations — Passive Foreign Investment Company Rules</w:t>
      </w:r>
      <w:r>
        <w:rPr>
          <w:rFonts w:ascii="Times New Roman" w:cs="Times New Roman" w:eastAsia="Times New Roman" w:hAnsi="Times New Roman"/>
          <w:sz w:val="9"/>
          <w:szCs w:val="9"/>
          <w:color w:val="auto"/>
        </w:rPr>
        <w:t>,” the gross amount of any distribution on Ordinary Shares that is made out of Rezolve’s current or accumulated 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allowed to corporations in respect of dividends received from other U.S. corporations. To the extent that the amount of the distribution exceeds Rezolve’s current and accumulated earnings and profits (as determined under U.S. federal income tax principles), such excess amount will be treated first as a non-taxable return of capital to the extent of the U.S. holder’s tax basis in its Ordinary Shares, and thereafter as capital gain recognized on a sale or exchange.</w:t>
      </w:r>
    </w:p>
    <w:p>
      <w:pPr>
        <w:spacing w:after="0" w:line="91" w:lineRule="exact"/>
        <w:rPr>
          <w:sz w:val="20"/>
          <w:szCs w:val="20"/>
          <w:color w:val="auto"/>
        </w:rPr>
      </w:pPr>
    </w:p>
    <w:p>
      <w:pPr>
        <w:ind w:firstLine="480"/>
        <w:spacing w:after="0" w:line="237" w:lineRule="auto"/>
        <w:rPr>
          <w:sz w:val="20"/>
          <w:szCs w:val="20"/>
          <w:color w:val="auto"/>
        </w:rPr>
      </w:pPr>
      <w:r>
        <w:rPr>
          <w:rFonts w:ascii="Times New Roman" w:cs="Times New Roman" w:eastAsia="Times New Roman" w:hAnsi="Times New Roman"/>
          <w:sz w:val="10"/>
          <w:szCs w:val="10"/>
          <w:color w:val="auto"/>
        </w:rPr>
        <w:t>Subject to the discussion under the section entitled “</w:t>
      </w:r>
      <w:r>
        <w:rPr>
          <w:rFonts w:ascii="Times New Roman" w:cs="Times New Roman" w:eastAsia="Times New Roman" w:hAnsi="Times New Roman"/>
          <w:sz w:val="10"/>
          <w:szCs w:val="10"/>
          <w:i w:val="1"/>
          <w:iCs w:val="1"/>
          <w:color w:val="auto"/>
        </w:rPr>
        <w:t>Material Tax Considerations — Material U.S. Federal Income Tax Considerations — Passive Foreign Investment Company Rules</w:t>
      </w:r>
      <w:r>
        <w:rPr>
          <w:rFonts w:ascii="Times New Roman" w:cs="Times New Roman" w:eastAsia="Times New Roman" w:hAnsi="Times New Roman"/>
          <w:sz w:val="10"/>
          <w:szCs w:val="10"/>
          <w:color w:val="auto"/>
        </w:rPr>
        <w:t>,” dividends received by non-corporate U.S. holders (including individuals) from a “qualified foreign corporation” may be eligible for reduced rates of taxation, provided that certain holding period requirements and other conditions are satisfied. For these purposes, a non-U.S. corporation will be treated as a qualified foreign corporation if it is eligible for the benefits of a comprehensive income tax treaty with the United States that meets certain requirements. There is currently an income tax treaty between the United States and the United Kingdom. Notwithstanding, there can be no assurances that Rezolve will be eligible for benefits of an applicable comprehensive income tax treaty with the United States. A non-U.S. corporation is also treated as a qualified foreign corporation with respect to dividends it pays on shares that are readily tradable on an established securities market in the United States. U.S. Treasury guidance indicates that shares listed on Nasdaq (which Ordinary Shares are expected to be) will be considered readily tradable on an established securities market in the United States. There can be no assurance that Ordinary Shares will be considered readily tradable on an established securities market in future years. Non-corporate U.S. holders that do not meet a minimum holding period requirement during which they are not protected from the risk of loss or that elect to treat the dividend income as “investment income” pursuant to Section 163(d)(4) of the Code (dealing with the deduction for investment interest expense) will not be eligible for the reduced rates of taxation regardless of Rezolve’s status as a qualified foreign corporation. In addition, the rate reduction will not apply to dividends if the recipient of a dividend is obligated to make related payments with respect to the positions in substantially similar or related property. This disallowance applies even if the minimum holding period has been met. Rezolve will not constitute a qualified foreign corporation for purposes of these rules if it is a passive foreign investment company for the taxable year in which it pays a dividend or for the preceding taxable year. See the section entitled “</w:t>
      </w:r>
      <w:r>
        <w:rPr>
          <w:rFonts w:ascii="Times New Roman" w:cs="Times New Roman" w:eastAsia="Times New Roman" w:hAnsi="Times New Roman"/>
          <w:sz w:val="10"/>
          <w:szCs w:val="10"/>
          <w:i w:val="1"/>
          <w:iCs w:val="1"/>
          <w:color w:val="auto"/>
        </w:rPr>
        <w:t>Material Tax Considerations — Material U.S. Federal Income</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i w:val="1"/>
          <w:iCs w:val="1"/>
          <w:color w:val="auto"/>
        </w:rPr>
        <w:t>Tax Considerations — Passive Foreign Investment Company Rules.</w:t>
      </w:r>
      <w:r>
        <w:rPr>
          <w:rFonts w:ascii="Times New Roman" w:cs="Times New Roman" w:eastAsia="Times New Roman" w:hAnsi="Times New Roman"/>
          <w:sz w:val="10"/>
          <w:szCs w:val="10"/>
          <w:color w:val="auto"/>
        </w:rPr>
        <w:t>”</w:t>
      </w:r>
    </w:p>
    <w:p>
      <w:pPr>
        <w:spacing w:after="0" w:line="11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Subject to certain conditions and limitations, withholding taxes, if any, on dividends paid by Rezolve may be treated as foreign taxes eligible for credit against a U.S. holder’s U.S. federal income tax liability under the U.S. foreign tax credit rules. For purposes of calculating the U.S. foreign tax credit, dividends paid on Ordinary Shares will generally be treated as income from sources outside the</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9"/>
          <w:szCs w:val="9"/>
          <w:color w:val="auto"/>
        </w:rPr>
        <w:t>United States and will generally constitute passive category income. The rules governing the U.S. foreign tax credit are complex. U.S. holders should consult their own tax advisors regarding the availability of the U.S. foreign tax credit under particular circumstances.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Sale, Exchange, Redemption or Other Taxable Disposition of Ordinary Shares and Warrants</w:t>
      </w:r>
    </w:p>
    <w:p>
      <w:pPr>
        <w:spacing w:after="0" w:line="58"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Subject to the discussion under the section entitled “</w:t>
      </w:r>
      <w:r>
        <w:rPr>
          <w:rFonts w:ascii="Times New Roman" w:cs="Times New Roman" w:eastAsia="Times New Roman" w:hAnsi="Times New Roman"/>
          <w:sz w:val="10"/>
          <w:szCs w:val="10"/>
          <w:i w:val="1"/>
          <w:iCs w:val="1"/>
          <w:color w:val="auto"/>
        </w:rPr>
        <w:t>Material Tax Considerations — Material U.S. Federal Income Tax Considerations — Passive Foreign Investment Company Rules</w:t>
      </w:r>
      <w:r>
        <w:rPr>
          <w:rFonts w:ascii="Times New Roman" w:cs="Times New Roman" w:eastAsia="Times New Roman" w:hAnsi="Times New Roman"/>
          <w:sz w:val="10"/>
          <w:szCs w:val="10"/>
          <w:color w:val="auto"/>
        </w:rPr>
        <w:t xml:space="preserve"> ,” a U.S. holder generally will recognize gain or loss on any sale, exchange, redemption or other taxable disposition of Ordinary Shares or Warrants in an amount equal to the difference between (i) the amount realized on the disposition and (ii) such U.S. holder’s adjusted tax basis in such shares and/or warrants. Any gain or loss recognized by a U.S. holder on a taxable disposition of Ordinary Shares or Warrants generally will be capital gain or loss and will be long-term capital gain or loss if the holder’s holding period in such shares and/or warrants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Ordinary Shares or Warrants generally will be treated as U.S. source gain or loss.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Exercise or Lapse of a Warrant</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A U.S. holder generally will not recognize gain or loss upon the acquisition of a Ordinary Share on the exercise of a Warrant for cash. A U.S. holder’s tax basis in a Ordinary Shares received upon exercise of the Warrant generally should be an amount equal to the sum of the U.S. holder’s tax basis in the Warrant exchanged therefor and the exercise price. The U.S. holder’s holding period for a Ordinary Share received upon exercise of the Warrant will begin on the date following the date of exercise (or possibly the date of exercise) of the Warrant and will not include the period during which the U.S. holder held the Warrant. If a Warrant is allowed to lapse unexercised, a U.S. holder generally will recognize a capital loss equal to such holder’s tax basis in the Warrant.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Possible Constructive Distributions</w:t>
      </w:r>
    </w:p>
    <w:p>
      <w:pPr>
        <w:spacing w:after="0" w:line="58"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terms of each Warrant provide for an adjustment to the number of Ordinary Shares for which the Warrant may be exercised or to the exercise price of the Warrant in certain events, as discussed in the section entitled “</w:t>
      </w:r>
      <w:r>
        <w:rPr>
          <w:rFonts w:ascii="Times New Roman" w:cs="Times New Roman" w:eastAsia="Times New Roman" w:hAnsi="Times New Roman"/>
          <w:sz w:val="10"/>
          <w:szCs w:val="10"/>
          <w:i w:val="1"/>
          <w:iCs w:val="1"/>
          <w:color w:val="auto"/>
        </w:rPr>
        <w:t>Description of Rezolve Securities</w:t>
      </w:r>
      <w:r>
        <w:rPr>
          <w:rFonts w:ascii="Times New Roman" w:cs="Times New Roman" w:eastAsia="Times New Roman" w:hAnsi="Times New Roman"/>
          <w:sz w:val="10"/>
          <w:szCs w:val="10"/>
          <w:color w:val="auto"/>
        </w:rPr>
        <w:t>.” An adjustment which has the effect of preventing dilution generally is not taxable. A U.S. holder of a Warrant would, however, be treated as receiving a constructive distribution from Rezolve if, for example, the adjustment increases the holder’s proportionate interest in Rezolve’s assets or earnings and profits (e.g., through an increase in the number of Ordinary Shares that would be obtained upon exercise of such warrant) as a result of a distribution of cash to the holders of the Ordinary Shares which is taxable to the U.S. holders of such shares as described under the section entitled “</w:t>
      </w:r>
      <w:r>
        <w:rPr>
          <w:rFonts w:ascii="Times New Roman" w:cs="Times New Roman" w:eastAsia="Times New Roman" w:hAnsi="Times New Roman"/>
          <w:sz w:val="10"/>
          <w:szCs w:val="10"/>
          <w:i w:val="1"/>
          <w:iCs w:val="1"/>
          <w:color w:val="auto"/>
        </w:rPr>
        <w:t>Material Tax Considerations — Material U.S. Federal Income Tax Considerations — Distributions on Ordinary Shares.</w:t>
      </w:r>
      <w:r>
        <w:rPr>
          <w:rFonts w:ascii="Times New Roman" w:cs="Times New Roman" w:eastAsia="Times New Roman" w:hAnsi="Times New Roman"/>
          <w:sz w:val="10"/>
          <w:szCs w:val="10"/>
          <w:color w:val="auto"/>
        </w:rPr>
        <w:t>” Such constructive distribution would be subject to tax as described under that section in the same manner as if the U.S. holder of such warrant received a cash distribution from Rezolve equal to the fair market value of such increased interest. The rules regarding constructive distributions are complex. U.S. holders should consult their own tax advisors regarding the application of the rules to them in light of their own circumstances.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Passive Foreign Investment Company Rules</w:t>
      </w:r>
    </w:p>
    <w:p>
      <w:pPr>
        <w:spacing w:after="0" w:line="58"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i w:val="1"/>
          <w:iCs w:val="1"/>
          <w:color w:val="auto"/>
        </w:rPr>
        <w:t xml:space="preserve">Generally. </w:t>
      </w:r>
      <w:r>
        <w:rPr>
          <w:rFonts w:ascii="Times New Roman" w:cs="Times New Roman" w:eastAsia="Times New Roman" w:hAnsi="Times New Roman"/>
          <w:sz w:val="10"/>
          <w:szCs w:val="10"/>
          <w:color w:val="auto"/>
        </w:rPr>
        <w:t>The treatment of U.S. holders of the Ordinary Shares could be materially different from that described above if Rezolve is treated as a passive foreign investment company, or PFIC, for U.S. federal income tax purposes. A PFIC is any foreign</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corporation with respect to which either: (i) 75% or more of the gross income for a taxable year constitutes passive income for purposes of the PFIC rules, or (ii) 50% or more of such foreign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The determination of whether a foreign corporation is a PFIC is based upon the composition of such foreign corporation’s income and assets (including, among others, its proportionate share of the income and assets of any other corporation in which it owns, directly or indirectly, 25% (by value) of the stock), and the nature of such foreign corporation’s activities. A separate determination must be made after the close of each taxable year as to whether a foreign corporation was a PFIC for that year. Once a foreign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spacing w:after="0" w:line="108"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Based on the projected composition of Rezolve’s income and assets, including goodwill, Rezolve does not currently expect to be classified as a PFIC for its taxable year that includes the date of the Business Combination. The tests for determining PFIC status are applied annually after the close of the taxable year, and it is difficult to predict accurately future income and assets relevant to this determination. The fair market value of the assets of Rezolve is expected to depend, in part, upon (a) the market value of the Ordinary Shares, and (b) the composition of the assets and income of Rezolve. Further, because Rezolve may value its goodwill based on the</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124" w:name="page125"/>
    <w:bookmarkEnd w:id="124"/>
    <w:p>
      <w:pPr>
        <w:ind w:right="140"/>
        <w:spacing w:after="0" w:line="245" w:lineRule="auto"/>
        <w:rPr>
          <w:sz w:val="20"/>
          <w:szCs w:val="20"/>
          <w:color w:val="auto"/>
        </w:rPr>
      </w:pPr>
      <w:r>
        <w:rPr>
          <w:rFonts w:ascii="Times New Roman" w:cs="Times New Roman" w:eastAsia="Times New Roman" w:hAnsi="Times New Roman"/>
          <w:sz w:val="10"/>
          <w:szCs w:val="10"/>
          <w:color w:val="auto"/>
        </w:rPr>
        <w:t>market value of the Ordinary Shares, a decrease in the market value of the Ordinary Shares and/or an increase in cash or other passive assets (including as a result of the Business Combination) would increase the relative percentage of its passive assets. Moreover, any interest income that Rezolve earns on its cash deposits would generally be treated as passive income and increase the risk that Rezolve would be treated as a PFIC. The application of the PFIC rules is subject to uncertainty in several respects and, therefore, no assurances can be provided that Rezolve will not be a PFIC for the taxable year that includes the date of the Business Combination or in a future year.</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If Rezolve is or becomes a PFIC during any year in which a U.S. holder holds Ordinary Shares, there are three separate taxation regimes that could apply to such U.S. holder under the PFIC rules, which are the (i) excess distribution regime (which is the default regime), (ii) mark-to-market regime and (iii) QEF regime. A U.S. holder who holds (actually or constructively) stock in a foreign corporation during any year in which such corporation qualifies as a PFIC is subject to U.S. federal income taxation under one of these three regimes. The effect of the PFIC rules on a U.S. holder will depend upon which of these regimes applies to such U.S. holder. However, dividends paid by a PFIC are generally not eligible for the lower rates of taxation applicable to qualified dividend income (“QDI”) under any of the foregoing regimes.</w:t>
      </w:r>
    </w:p>
    <w:p>
      <w:pPr>
        <w:spacing w:after="0" w:line="106" w:lineRule="exact"/>
        <w:rPr>
          <w:sz w:val="20"/>
          <w:szCs w:val="20"/>
          <w:color w:val="auto"/>
        </w:rPr>
      </w:pPr>
    </w:p>
    <w:p>
      <w:pPr>
        <w:jc w:val="both"/>
        <w:ind w:right="180" w:firstLine="480"/>
        <w:spacing w:after="0" w:line="247" w:lineRule="auto"/>
        <w:rPr>
          <w:sz w:val="20"/>
          <w:szCs w:val="20"/>
          <w:color w:val="auto"/>
        </w:rPr>
      </w:pPr>
      <w:r>
        <w:rPr>
          <w:rFonts w:ascii="Times New Roman" w:cs="Times New Roman" w:eastAsia="Times New Roman" w:hAnsi="Times New Roman"/>
          <w:sz w:val="10"/>
          <w:szCs w:val="10"/>
          <w:i w:val="1"/>
          <w:iCs w:val="1"/>
          <w:color w:val="auto"/>
        </w:rPr>
        <w:t xml:space="preserve">Excess Distribution Regime. </w:t>
      </w:r>
      <w:r>
        <w:rPr>
          <w:rFonts w:ascii="Times New Roman" w:cs="Times New Roman" w:eastAsia="Times New Roman" w:hAnsi="Times New Roman"/>
          <w:sz w:val="10"/>
          <w:szCs w:val="10"/>
          <w:color w:val="auto"/>
        </w:rPr>
        <w:t>If a U.S. holder does not make a mark-to-market election, as described below, the U.S. holder will be subject to the default “excess distribution regime” under the PFIC rules with respect to (i) any gain realized on a sale or other</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disposition (including a pledge) of Ordinary Shares, and (ii) any “excess distribution” received on Ordinary Shares (generally, any distributions in excess of 125% of the average of the annual distributions on Ordinary Shares during the preceding three years or the U.S. holder’s holding period, whichever is shorter). Generally, under this excess distribution regime:</w:t>
      </w:r>
    </w:p>
    <w:p>
      <w:pPr>
        <w:spacing w:after="0" w:line="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gain or excess distribution will be allocated ratably over the period during which the U.S. holder held Ordinary Shares;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amount allocated to the current taxable year, will be treated as ordinary income;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amount allocated to prior taxable years will be subject to the highest tax rate in effect for that taxable year and the interest charge generally applicable to underpayments of tax will be imposed on the resulting tax attributable to each such year.</w:t>
      </w:r>
    </w:p>
    <w:p>
      <w:pPr>
        <w:spacing w:after="0" w:line="118"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The tax liability for amounts allocated to years prior to the year of disposition or excess distribution will be payable generally without regard to offsets from deductions, losses and expenses. In addition, gains (but not losses) realized on the sale of Ordinary Shares cannot be treated as capital gains, even if you hold the shares as capital assets. Further, no portion of any distribution will be treated as QDI.</w:t>
      </w:r>
    </w:p>
    <w:p>
      <w:pPr>
        <w:spacing w:after="0" w:line="99" w:lineRule="exact"/>
        <w:rPr>
          <w:sz w:val="20"/>
          <w:szCs w:val="20"/>
          <w:color w:val="auto"/>
        </w:rPr>
      </w:pPr>
    </w:p>
    <w:p>
      <w:pPr>
        <w:ind w:firstLine="480"/>
        <w:spacing w:after="0" w:line="237" w:lineRule="auto"/>
        <w:rPr>
          <w:sz w:val="20"/>
          <w:szCs w:val="20"/>
          <w:color w:val="auto"/>
        </w:rPr>
      </w:pPr>
      <w:r>
        <w:rPr>
          <w:rFonts w:ascii="Times New Roman" w:cs="Times New Roman" w:eastAsia="Times New Roman" w:hAnsi="Times New Roman"/>
          <w:sz w:val="10"/>
          <w:szCs w:val="10"/>
          <w:i w:val="1"/>
          <w:iCs w:val="1"/>
          <w:color w:val="auto"/>
        </w:rPr>
        <w:t xml:space="preserve">Mark-to-Market Regime. </w:t>
      </w:r>
      <w:r>
        <w:rPr>
          <w:rFonts w:ascii="Times New Roman" w:cs="Times New Roman" w:eastAsia="Times New Roman" w:hAnsi="Times New Roman"/>
          <w:sz w:val="10"/>
          <w:szCs w:val="10"/>
          <w:color w:val="auto"/>
        </w:rPr>
        <w:t>Alternatively, a U.S. holder may make an election to mark marketable shares in a PFIC to market on an annual basis. PFIC shares generally are marketable if: (i) they are “regularly traded” on a national securities exchange that is</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registered with the Securities and Exchange Commission or on the national market system established under Section 11A of the Securities Exchange Act of 1934; or (ii) they are “regularly traded” on any exchange or market that the Treasury Department determines to have rules sufficient to ensure that the market price accurately represents the fair market value of the stock. It is expected that Ordinary Shares, which are expected to be listed on Nasdaq, will qualify as marketable shares for the PFIC rules purposes, but there can be no assurance that Ordinary Shares will be “regularly traded” for purposes of these rules. Pursuant to such an election, a U.S. holder would include in each year as ordinary income the excess, if any, of the fair market value of such stock over its adjusted basis at the end of the taxable year. A U.S. holder may treat as ordinary loss any excess of the adjusted basis of the stock over its fair market value at the end of the year, but only to the extent of the net amount previously included in income as a result of the election in prior years. A U.S. holder’s adjusted tax basis in the PFIC shares will be increased to reflect any amounts included in income, and decreased to reflect any amounts deducted, as a result of a mark-to-market election. Any gain recognized on a disposition of Ordinary Shares will be treated as ordinary income and any loss will be treated as ordinary loss (but only to the extent of the net amount of income previously included as a result of a mark-to-market election). A mark-to-market election only applies for the taxable year in which the election was made, and for each subsequent taxable year, unless the PFIC shares ceased to be marketable or the IRS consents to the revocation of the election. U.S. holders should also be aware that the Code and the Treasury Regulations do not allow a mark-to-market election with respect to stock of lower-tier PFICs that is non- marketable. There is also no provision in the Code, Treasury Regulations or other published authority that specifically provides that a mark-to-market election with respect to the stock of a publicly-traded holding company (such as Rezolve) effectively exempts stock of any lower-tier PFICs from the negative tax consequences arising from the general PFIC rules. U.S. holders should consult their own tax advisors to determine whether the mark-to-market tax election is available to them and the consequences resulting from such election. In addition, U.S. holders of Warrants will not be able to make a mark-to-market election with respect to their Warrants.</w:t>
      </w:r>
    </w:p>
    <w:p>
      <w:pPr>
        <w:spacing w:after="0" w:line="108" w:lineRule="exact"/>
        <w:rPr>
          <w:sz w:val="20"/>
          <w:szCs w:val="20"/>
          <w:color w:val="auto"/>
        </w:rPr>
      </w:pPr>
    </w:p>
    <w:p>
      <w:pPr>
        <w:ind w:right="180" w:firstLine="480"/>
        <w:spacing w:after="0" w:line="259" w:lineRule="auto"/>
        <w:rPr>
          <w:sz w:val="20"/>
          <w:szCs w:val="20"/>
          <w:color w:val="auto"/>
        </w:rPr>
      </w:pPr>
      <w:r>
        <w:rPr>
          <w:rFonts w:ascii="Times New Roman" w:cs="Times New Roman" w:eastAsia="Times New Roman" w:hAnsi="Times New Roman"/>
          <w:sz w:val="10"/>
          <w:szCs w:val="10"/>
          <w:i w:val="1"/>
          <w:iCs w:val="1"/>
          <w:color w:val="auto"/>
        </w:rPr>
        <w:t xml:space="preserve">QEF Regime. </w:t>
      </w:r>
      <w:r>
        <w:rPr>
          <w:rFonts w:ascii="Times New Roman" w:cs="Times New Roman" w:eastAsia="Times New Roman" w:hAnsi="Times New Roman"/>
          <w:sz w:val="10"/>
          <w:szCs w:val="10"/>
          <w:color w:val="auto"/>
        </w:rPr>
        <w:t>Alternatively, a U.S. holder of a PFIC may avoid the adverse PFIC tax consequences described above in respect of stock of the PFIC (but not warrants) by making and maintaining a timely and valid qualified electing fund (“QEF”) election (if</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eligible to do so) to include in income its pro rata share of the PFIC’s net capital gains (as long-term capital gain) and other earnings</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25" w:name="page126"/>
    <w:bookmarkEnd w:id="125"/>
    <w:p>
      <w:pPr>
        <w:spacing w:after="0" w:line="245" w:lineRule="auto"/>
        <w:rPr>
          <w:sz w:val="20"/>
          <w:szCs w:val="20"/>
          <w:color w:val="auto"/>
        </w:rPr>
      </w:pPr>
      <w:r>
        <w:rPr>
          <w:rFonts w:ascii="Times New Roman" w:cs="Times New Roman" w:eastAsia="Times New Roman" w:hAnsi="Times New Roman"/>
          <w:sz w:val="10"/>
          <w:szCs w:val="10"/>
          <w:color w:val="auto"/>
        </w:rPr>
        <w:t>and profits (as ordinary income), on a current basis, in each case whether or not distributed, in the first taxable year of the U.S. Holder in which or with which the PFIC’s taxable year ends and each subsequent taxable year. In order to comply with the requirements of a QEF election, a U.S. Holder must receive a PFIC Annual Information Statement from the PFIC. Rezolve does not presently intend to provide a PFIC Annual Information Statement in order for U.S. Holders to make or maintain a QEF election. However, as described above, Rezolve does not currently expect to be classified as a PFIC for the taxable year that includes the Business Combination.</w:t>
      </w:r>
    </w:p>
    <w:p>
      <w:pPr>
        <w:spacing w:after="0" w:line="103" w:lineRule="exact"/>
        <w:rPr>
          <w:sz w:val="20"/>
          <w:szCs w:val="20"/>
          <w:color w:val="auto"/>
        </w:rPr>
      </w:pPr>
    </w:p>
    <w:p>
      <w:pPr>
        <w:ind w:right="300" w:firstLine="480"/>
        <w:spacing w:after="0" w:line="259" w:lineRule="auto"/>
        <w:rPr>
          <w:sz w:val="20"/>
          <w:szCs w:val="20"/>
          <w:color w:val="auto"/>
        </w:rPr>
      </w:pPr>
      <w:r>
        <w:rPr>
          <w:rFonts w:ascii="Times New Roman" w:cs="Times New Roman" w:eastAsia="Times New Roman" w:hAnsi="Times New Roman"/>
          <w:sz w:val="10"/>
          <w:szCs w:val="10"/>
          <w:i w:val="1"/>
          <w:iCs w:val="1"/>
          <w:color w:val="auto"/>
        </w:rPr>
        <w:t xml:space="preserve">PFIC Reporting Requirements. </w:t>
      </w:r>
      <w:r>
        <w:rPr>
          <w:rFonts w:ascii="Times New Roman" w:cs="Times New Roman" w:eastAsia="Times New Roman" w:hAnsi="Times New Roman"/>
          <w:sz w:val="10"/>
          <w:szCs w:val="10"/>
          <w:color w:val="auto"/>
        </w:rPr>
        <w:t>A U.S. holder of Ordinary Shares will be required to file an annual report on IRS Form 8621 containing such information with respect to its interest in a PFIC as the IRS may require. Failure to file IRS Form 8621 for each</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applicable taxable year may result in substantial penalties and result in the U.S. holder’s taxable years being open to audit by the IRS until such Forms are properly filed.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Additional Reporting Requirements</w:t>
      </w:r>
    </w:p>
    <w:p>
      <w:pPr>
        <w:spacing w:after="0" w:line="6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Certain U.S. holders holding specified foreign financial assets with an aggregate value in excess of the applicable dollar thresholds are required to report information to the IRS relating to Ordinary Shares, subject to certain exceptions (including an exception for Ordinary Shares held in accounts maintained by U.S. financial institutions), by attaching a complete IRS Form 8938 to their tax return, for each year in which they hold Ordinary Shares. Substantial penalties apply to any failure to file IRS Form 8938, unless the failure is shown to be due to reasonable cause and not willful neglect. Also, in the event a U.S. holder does not file IRS Form 8938 or fails to report a specified foreign financial asset that is required to be reported, the statute of limitations on the assessment and collection of U.S. federal income taxes of such U.S. holder for the related taxable year may not close before the date which is three years after the date on which the required information is filed. U.S. holders should consult their tax advisors regarding the effect, if any, of these rules on the ownership and disposition of Ordinary Shares.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Information Reporting and Backup Withholding</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Information reporting requirements may apply to dividends received by U.S. holders of Ordinary Shares, and the proceeds received on the disposition of Ordinary Shares effected within the United States (and, in certain cases, outside the United States), in each case other than U.S. holders that are exempt recipients (such as corporations). Backup withholding (currently at a rate of 24%) may apply to such amounts if the U.S. holder fails to provide an accurate taxpayer identification number (generally on an IRS Form W-9 provided to the paying agent of the U.S. holder’s broker) or is otherwise subject to backup withholding. Any redemptions treated as dividend payments with respect to Ordinary Shares and proceeds from the sale, exchange, redemption or other disposition of Ordinary Shares may be subject to information reporting to the IRS and possible U.S. backup withholding. U.S. holders should consult their own tax advisors regarding the application of the U.S. information reporting and backup withholding rules.</w:t>
      </w:r>
    </w:p>
    <w:p>
      <w:pPr>
        <w:spacing w:after="0" w:line="108"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Information returns may be filed with the IRS in connection with, and non-U.S. holders may be subject to backup withholding on amounts received in respect of their Ordinary Shares, unless the non-U.S. holder furnishes to the applicable withholding agent the required certification as to its non-U.S. status, such as by providing a valid IRS Form W-8BEN, IRS Form W-8BEN-E or IRS Form W-8ECI, as applicable, or the non-U.S. holder otherwise establishes an exemption. Dividends paid with respect to Ordinary Shares and proceeds from the sale of other disposition of Ordinary Shares received in the United States by a non-U.S. holder through certain U.S.-related financial intermediaries may be subject to information reporting and backup withholding unless such non-U.S. holder provides proof of an applicable exemption or complies with certain certification procedures described above, and otherwise complies with the applicable requirements of the backup withholding rules.</w:t>
      </w:r>
    </w:p>
    <w:p>
      <w:pPr>
        <w:spacing w:after="0" w:line="108"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Backup withholding is not an additional tax. Amounts withheld as backup withholding may be credited against the holder’s U.S. federal income tax liability, and a holder may obtain a refund of any excess amounts withheld under the backup withholding rules by timely filing the appropriate claim for a refund with the IRS and furnishing any required information.</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0"/>
          <w:szCs w:val="10"/>
          <w:b w:val="1"/>
          <w:bCs w:val="1"/>
          <w:color w:val="auto"/>
        </w:rPr>
        <w:t>PLAN OF DISTRIBUTION</w:t>
      </w:r>
    </w:p>
    <w:p>
      <w:pPr>
        <w:spacing w:after="0" w:line="97" w:lineRule="exact"/>
        <w:rPr>
          <w:sz w:val="20"/>
          <w:szCs w:val="20"/>
          <w:color w:val="auto"/>
        </w:rPr>
      </w:pPr>
    </w:p>
    <w:p>
      <w:pPr>
        <w:ind w:right="100" w:firstLine="504"/>
        <w:spacing w:after="0" w:line="245" w:lineRule="auto"/>
        <w:rPr>
          <w:sz w:val="20"/>
          <w:szCs w:val="20"/>
          <w:color w:val="auto"/>
        </w:rPr>
      </w:pPr>
      <w:r>
        <w:rPr>
          <w:rFonts w:ascii="Times New Roman" w:cs="Times New Roman" w:eastAsia="Times New Roman" w:hAnsi="Times New Roman"/>
          <w:sz w:val="10"/>
          <w:szCs w:val="10"/>
          <w:color w:val="auto"/>
        </w:rPr>
        <w:t>We are registering the resale, from time to time, by the Selling Holders or their permitted transferees of up to 58,444,822 Ordinary Shares, consisting of (i) up to 8,070,845 Ordinary Shares issued upon exercise of certain Convertible Notes by certain Selling Holders; (ii) up to 425,171 Ordinary Shares issuable upon conversion of certain Promissory Notes (iii) up to 1,413,946 Ordinary Shares issued upon conversion of the YA Notes; and (iv) up to 48,534,860 Ordinary Shares issuable pursuant to the Second A&amp;R YA Agreement.</w:t>
      </w:r>
    </w:p>
    <w:p>
      <w:pPr>
        <w:spacing w:after="0" w:line="105"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Selling Holders may offer and sell, from time to time, their respective Ordinary Shares covered by this prospectus.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Holders may offer and sell their securities by one or more of, or a combination of, the following methods:</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Nasdaq, in the over-the-counter market or on any other national securities exchange on which our securities are listed or traded;</w:t>
      </w:r>
    </w:p>
    <w:p>
      <w:pPr>
        <w:spacing w:after="0" w:line="58" w:lineRule="exact"/>
        <w:rPr>
          <w:sz w:val="20"/>
          <w:szCs w:val="20"/>
          <w:color w:val="auto"/>
        </w:rPr>
      </w:pPr>
    </w:p>
    <w:p>
      <w:pPr>
        <w:ind w:left="480"/>
        <w:spacing w:after="0" w:line="255" w:lineRule="auto"/>
        <w:rPr>
          <w:sz w:val="20"/>
          <w:szCs w:val="20"/>
          <w:color w:val="auto"/>
        </w:rPr>
      </w:pPr>
      <w:r>
        <w:rPr>
          <w:rFonts w:ascii="Times New Roman" w:cs="Times New Roman" w:eastAsia="Times New Roman" w:hAnsi="Times New Roman"/>
          <w:sz w:val="10"/>
          <w:szCs w:val="10"/>
          <w:color w:val="auto"/>
        </w:rPr>
        <w:t>•through trading plans entered into by a Selling Holder pursuant to Rule 10b5-l under the Exchange Act that are in place at the time of an offering pursuant to this prospectus or any applicable prospectus supplement hereto that provide for periodic sales of their securities on the basis of parameters described in such trading plans;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•directly to purchasers, including through a specific bidding, auction or other process, or in in privately negotiated transactions;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one or more underwritten offerings;</w:t>
      </w:r>
    </w:p>
    <w:p>
      <w:pPr>
        <w:spacing w:after="0" w:line="58" w:lineRule="exact"/>
        <w:rPr>
          <w:sz w:val="20"/>
          <w:szCs w:val="20"/>
          <w:color w:val="auto"/>
        </w:rPr>
      </w:pPr>
    </w:p>
    <w:p>
      <w:pPr>
        <w:ind w:left="480" w:right="3060"/>
        <w:spacing w:after="0" w:line="360" w:lineRule="auto"/>
        <w:rPr>
          <w:sz w:val="20"/>
          <w:szCs w:val="20"/>
          <w:color w:val="auto"/>
        </w:rPr>
      </w:pPr>
      <w:r>
        <w:rPr>
          <w:rFonts w:ascii="Times New Roman" w:cs="Times New Roman" w:eastAsia="Times New Roman" w:hAnsi="Times New Roman"/>
          <w:sz w:val="10"/>
          <w:szCs w:val="10"/>
          <w:color w:val="auto"/>
        </w:rPr>
        <w:t>•in block trades in which a broker-dealer will attempt to sell the offered securities as agent but may purchase and resell a portion of the block as principal to facilitate the transaction; •through purchases by a broker-dealer as principal and resale by the broker-dealer for its account pursuant to this prospectus; •in ordinary brokerage transactions and transactions in which the broker solicits purchasers;</w:t>
      </w:r>
    </w:p>
    <w:p>
      <w:pPr>
        <w:ind w:left="480" w:right="3380"/>
        <w:spacing w:after="0" w:line="360" w:lineRule="auto"/>
        <w:rPr>
          <w:sz w:val="20"/>
          <w:szCs w:val="20"/>
          <w:color w:val="auto"/>
        </w:rPr>
      </w:pPr>
      <w:r>
        <w:rPr>
          <w:rFonts w:ascii="Times New Roman" w:cs="Times New Roman" w:eastAsia="Times New Roman" w:hAnsi="Times New Roman"/>
          <w:sz w:val="10"/>
          <w:szCs w:val="10"/>
          <w:color w:val="auto"/>
        </w:rPr>
        <w:t>•through the writing or settlement of options (including put or call options) or other hedging transactions, whether the options are listed on an options exchange or otherwise; •in short sales entered into after the effective date of the registration statement of which this prospectus is a part;</w:t>
      </w:r>
    </w:p>
    <w:p>
      <w:pPr>
        <w:ind w:left="480"/>
        <w:spacing w:after="0"/>
        <w:rPr>
          <w:sz w:val="20"/>
          <w:szCs w:val="20"/>
          <w:color w:val="auto"/>
        </w:rPr>
      </w:pPr>
      <w:r>
        <w:rPr>
          <w:rFonts w:ascii="Times New Roman" w:cs="Times New Roman" w:eastAsia="Times New Roman" w:hAnsi="Times New Roman"/>
          <w:sz w:val="10"/>
          <w:szCs w:val="10"/>
          <w:color w:val="auto"/>
        </w:rPr>
        <w:t>•through agreements with broker-dealers to sell a specified number of the securities at a stipulated price per share or warrant;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•by pledge to secured debts and other obligations;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•to or through underwriters or agents;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“at the market” or through market makers or into an existing market for the securities; or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other method permitted pursuant to applicable law.</w:t>
      </w:r>
    </w:p>
    <w:p>
      <w:pPr>
        <w:spacing w:after="0" w:line="118"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The Selling Holders may sell the securities at prices then prevailing, related to the then prevailing market price or at negotiated prices. The offering price of the securities from time to time will be determined by the Selling Holders and, at the time of the determination, may be higher or lower than the market price of our securities on Nasdaq or any other exchange or market.</w:t>
      </w:r>
    </w:p>
    <w:p>
      <w:pPr>
        <w:spacing w:after="0" w:line="101" w:lineRule="exact"/>
        <w:rPr>
          <w:sz w:val="20"/>
          <w:szCs w:val="20"/>
          <w:color w:val="auto"/>
        </w:rPr>
      </w:pPr>
    </w:p>
    <w:p>
      <w:pPr>
        <w:jc w:val="both"/>
        <w:ind w:right="120" w:firstLine="480"/>
        <w:spacing w:after="0" w:line="245" w:lineRule="auto"/>
        <w:rPr>
          <w:sz w:val="20"/>
          <w:szCs w:val="20"/>
          <w:color w:val="auto"/>
        </w:rPr>
      </w:pPr>
      <w:r>
        <w:rPr>
          <w:rFonts w:ascii="Times New Roman" w:cs="Times New Roman" w:eastAsia="Times New Roman" w:hAnsi="Times New Roman"/>
          <w:sz w:val="10"/>
          <w:szCs w:val="10"/>
          <w:color w:val="auto"/>
        </w:rPr>
        <w:t>If a donee, pledgee, transferee, or other successor-in-interest intends to sell our securities in connection with a foreclosure or otherwise, we will, to the extent required, promptly file a prospectus supplement or, if necessary, a post-effective amendment to the registration statement that includes this prospectus, to name specifically such person as a Selling Holder. The Selling Holders also may transfer our securities in other circumstances, in which case the transferees, pledgees or other successors in interest will be the selling beneficial owners for purposes of this prospectus.</w:t>
      </w:r>
    </w:p>
    <w:p>
      <w:pPr>
        <w:spacing w:after="0" w:line="105"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Selling Holders may also sell our securities short and deliver the securities to close out their short positions or loan or pledge the securities to broker -dealers that in turn may sell the securities. The shares may be sold directly or through broker-dealers acting as principal or agent or pursuant to a distribution by one or more underwriters on a firm commitment or best -efforts basis. The Selling Holders may also enter into hedging transactions with broker-dealers. In connection with such transactions, broker-dealers of other financial institutions may engage in short sales of our securities in the course of hedging the positions they assume with the Selling Holders. The Selling Holders may also enter into options or other transactions with broker-dealers or other financial institutions, which require the delivery to such broker-dealer or other financial institution of securities offered by this prospectus,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33" w:right="660" w:bottom="1440" w:gutter="0" w:footer="0" w:header="0"/>
        </w:sectPr>
      </w:pPr>
    </w:p>
    <w:bookmarkStart w:id="127" w:name="page128"/>
    <w:bookmarkEnd w:id="127"/>
    <w:p>
      <w:pPr>
        <w:ind w:right="80"/>
        <w:spacing w:after="0" w:line="277" w:lineRule="auto"/>
        <w:rPr>
          <w:sz w:val="20"/>
          <w:szCs w:val="20"/>
          <w:color w:val="auto"/>
        </w:rPr>
      </w:pPr>
      <w:r>
        <w:rPr>
          <w:rFonts w:ascii="Times New Roman" w:cs="Times New Roman" w:eastAsia="Times New Roman" w:hAnsi="Times New Roman"/>
          <w:sz w:val="9"/>
          <w:szCs w:val="9"/>
          <w:color w:val="auto"/>
        </w:rPr>
        <w:t>which securities such broker-dealer or other financial institution may resell pursuant to this prospectus (as supplemented or amended to reflect such transaction). In connection with an underwritten offering, underwriters or agents may receive compensation in the form of discounts, concessions or commissions from the Selling 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Holders and any underwriters, dealers or agents participating in a distribution of the securities may be deemed to be “underwriters” within the meaning of the Securities Act, and any profit on the sale of the securities by the Selling Holders and any commissions received by broker-dealers may be deemed to be underwriting commissions under the Securities Act.</w:t>
      </w:r>
    </w:p>
    <w:p>
      <w:pPr>
        <w:spacing w:after="0" w:line="92"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The Selling Holders party to the Investor Rights Agreement have agreed, and the other Selling Holders may agree, to indemnify an underwriter, broker-dealer or agent against certain liabilities related to the sale of the securities, including liabilities under the Securities Act.</w:t>
      </w:r>
    </w:p>
    <w:p>
      <w:pPr>
        <w:spacing w:after="0" w:line="101"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01"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Selling Holders are subject to the applicable provisions of the Exchange Act and the rules and regulations under the Exchange Act, including Regulation M. This regulation may limit the timing of purchases and sales of any of the securities offered in this prospectus by the Selling Holders. The anti manipulation rules under the Exchange Act may apply to sales of the securities in the market and to the activities of the Selling 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108"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At the time a particular offer of securities is made, if required, a prospectus supplement or, if necessary, a post-effective amendment to the registration statement that includes this prospectus,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To the extent required, this prospectus may be amended and/or supplemented from time to time to describe a specific plan of distribution. Instead of selling the securities under this prospectus, the Selling Holders may sell the securities in compliance with the provisions of Rule 144 under the Securities Act, if available, or pursuant to other available exemptions from the registration requirements of the Securities Act.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Lock-Up Agreements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Certain of our shareholders are subject to the transfer restrictions in the Investor Rights Agreement, which is incorporated by reference herein as Exhibit 4.7 to the registration statement of which this prospectus is a part, and the Lock-In Agreement, the form of which isincorporated by reference herein as Exhibits 4.8 to the registration statement of which this prospectus is a part.</w:t>
      </w:r>
    </w:p>
    <w:p>
      <w:pPr>
        <w:spacing w:after="0" w:line="10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0"/>
          <w:szCs w:val="1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80"/>
          </w:cols>
          <w:pgMar w:left="640" w:top="1155" w:right="580"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27"/>
        </w:trPr>
        <w:tc>
          <w:tcPr>
            <w:tcW w:w="2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0" w:type="dxa"/>
            <w:vAlign w:val="bottom"/>
          </w:tcPr>
          <w:p>
            <w:pPr>
              <w:jc w:val="center"/>
              <w:ind w:left="1231"/>
              <w:spacing w:after="0"/>
              <w:rPr>
                <w:sz w:val="20"/>
                <w:szCs w:val="20"/>
                <w:color w:val="auto"/>
              </w:rPr>
            </w:pPr>
            <w:r>
              <w:rPr>
                <w:rFonts w:ascii="Times New Roman" w:cs="Times New Roman" w:eastAsia="Times New Roman" w:hAnsi="Times New Roman"/>
                <w:sz w:val="10"/>
                <w:szCs w:val="10"/>
                <w:b w:val="1"/>
                <w:bCs w:val="1"/>
                <w:color w:val="auto"/>
                <w:w w:val="97"/>
              </w:rPr>
              <w:t>EXPENSES RELATED TO THIS OFFERING</w:t>
            </w: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10"/>
        </w:trPr>
        <w:tc>
          <w:tcPr>
            <w:tcW w:w="6860" w:type="dxa"/>
            <w:vAlign w:val="bottom"/>
            <w:gridSpan w:val="3"/>
          </w:tcPr>
          <w:p>
            <w:pPr>
              <w:ind w:left="480"/>
              <w:spacing w:after="0"/>
              <w:rPr>
                <w:sz w:val="20"/>
                <w:szCs w:val="20"/>
                <w:color w:val="auto"/>
              </w:rPr>
            </w:pPr>
            <w:r>
              <w:rPr>
                <w:rFonts w:ascii="Times New Roman" w:cs="Times New Roman" w:eastAsia="Times New Roman" w:hAnsi="Times New Roman"/>
                <w:sz w:val="10"/>
                <w:szCs w:val="10"/>
                <w:color w:val="auto"/>
              </w:rPr>
              <w:t>The following table sets forth the fees and expenses payable by us in connection with the sale and distribution of the securities being registered hereby.</w:t>
            </w: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2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rPr>
              <w:t>Expenses</w:t>
            </w:r>
          </w:p>
        </w:tc>
        <w:tc>
          <w:tcPr>
            <w:tcW w:w="4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jc w:val="right"/>
              <w:ind w:right="413"/>
              <w:spacing w:after="0"/>
              <w:rPr>
                <w:sz w:val="20"/>
                <w:szCs w:val="20"/>
                <w:color w:val="auto"/>
              </w:rPr>
            </w:pPr>
            <w:r>
              <w:rPr>
                <w:rFonts w:ascii="Times New Roman" w:cs="Times New Roman" w:eastAsia="Times New Roman" w:hAnsi="Times New Roman"/>
                <w:sz w:val="8"/>
                <w:szCs w:val="8"/>
                <w:b w:val="1"/>
                <w:bCs w:val="1"/>
                <w:color w:val="auto"/>
              </w:rPr>
              <w:t>Amount</w:t>
            </w:r>
          </w:p>
        </w:tc>
      </w:tr>
      <w:tr>
        <w:trPr>
          <w:trHeight w:val="108"/>
        </w:trPr>
        <w:tc>
          <w:tcPr>
            <w:tcW w:w="2120" w:type="dxa"/>
            <w:vAlign w:val="bottom"/>
          </w:tcPr>
          <w:p>
            <w:pPr>
              <w:spacing w:after="0"/>
              <w:rPr>
                <w:sz w:val="9"/>
                <w:szCs w:val="9"/>
                <w:color w:val="auto"/>
              </w:rPr>
            </w:pPr>
          </w:p>
        </w:tc>
        <w:tc>
          <w:tcPr>
            <w:tcW w:w="4740" w:type="dxa"/>
            <w:vAlign w:val="bottom"/>
            <w:gridSpan w:val="2"/>
            <w:shd w:val="clear" w:color="auto" w:fill="CFF0FC"/>
          </w:tcPr>
          <w:p>
            <w:pPr>
              <w:spacing w:after="0" w:line="108" w:lineRule="exact"/>
              <w:rPr>
                <w:sz w:val="20"/>
                <w:szCs w:val="20"/>
                <w:color w:val="auto"/>
              </w:rPr>
            </w:pPr>
            <w:r>
              <w:rPr>
                <w:rFonts w:ascii="Times New Roman" w:cs="Times New Roman" w:eastAsia="Times New Roman" w:hAnsi="Times New Roman"/>
                <w:sz w:val="10"/>
                <w:szCs w:val="10"/>
                <w:color w:val="auto"/>
              </w:rPr>
              <w:t>SEC registration fee</w:t>
            </w:r>
          </w:p>
        </w:tc>
        <w:tc>
          <w:tcPr>
            <w:tcW w:w="720" w:type="dxa"/>
            <w:vAlign w:val="bottom"/>
            <w:shd w:val="clear" w:color="auto" w:fill="CFF0FC"/>
          </w:tcPr>
          <w:p>
            <w:pPr>
              <w:jc w:val="right"/>
              <w:ind w:right="111"/>
              <w:spacing w:after="0" w:line="108"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33"/>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6"/>
        </w:trPr>
        <w:tc>
          <w:tcPr>
            <w:tcW w:w="2120" w:type="dxa"/>
            <w:vAlign w:val="bottom"/>
          </w:tcPr>
          <w:p>
            <w:pPr>
              <w:spacing w:after="0"/>
              <w:rPr>
                <w:sz w:val="9"/>
                <w:szCs w:val="9"/>
                <w:color w:val="auto"/>
              </w:rPr>
            </w:pPr>
          </w:p>
        </w:tc>
        <w:tc>
          <w:tcPr>
            <w:tcW w:w="474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Legal fees and expenses Accounting fees and expenses</w:t>
            </w:r>
          </w:p>
        </w:tc>
        <w:tc>
          <w:tcPr>
            <w:tcW w:w="72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19"/>
        </w:trPr>
        <w:tc>
          <w:tcPr>
            <w:tcW w:w="2120" w:type="dxa"/>
            <w:vAlign w:val="bottom"/>
          </w:tcPr>
          <w:p>
            <w:pPr>
              <w:spacing w:after="0"/>
              <w:rPr>
                <w:sz w:val="10"/>
                <w:szCs w:val="10"/>
                <w:color w:val="auto"/>
              </w:rPr>
            </w:pPr>
          </w:p>
        </w:tc>
        <w:tc>
          <w:tcPr>
            <w:tcW w:w="47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Transfer agent fees and expenses Miscellaneous expenses</w:t>
            </w:r>
          </w:p>
        </w:tc>
        <w:tc>
          <w:tcPr>
            <w:tcW w:w="720" w:type="dxa"/>
            <w:vAlign w:val="bottom"/>
          </w:tcPr>
          <w:p>
            <w:pPr>
              <w:spacing w:after="0"/>
              <w:rPr>
                <w:sz w:val="10"/>
                <w:szCs w:val="1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w:t>
            </w:r>
          </w:p>
        </w:tc>
      </w:tr>
      <w:tr>
        <w:trPr>
          <w:trHeight w:val="113"/>
        </w:trPr>
        <w:tc>
          <w:tcPr>
            <w:tcW w:w="2120" w:type="dxa"/>
            <w:vAlign w:val="bottom"/>
          </w:tcPr>
          <w:p>
            <w:pPr>
              <w:spacing w:after="0"/>
              <w:rPr>
                <w:sz w:val="9"/>
                <w:szCs w:val="9"/>
                <w:color w:val="auto"/>
              </w:rPr>
            </w:pPr>
          </w:p>
        </w:tc>
        <w:tc>
          <w:tcPr>
            <w:tcW w:w="474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Total</w:t>
            </w:r>
          </w:p>
        </w:tc>
        <w:tc>
          <w:tcPr>
            <w:tcW w:w="72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261"/>
        </w:trPr>
        <w:tc>
          <w:tcPr>
            <w:tcW w:w="68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 These fees are calculated based on the securities offered and the number of issuances and accordingly cannot be defined at this time.</w:t>
            </w:r>
          </w:p>
        </w:tc>
        <w:tc>
          <w:tcPr>
            <w:tcW w:w="7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10"/>
        </w:trPr>
        <w:tc>
          <w:tcPr>
            <w:tcW w:w="2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0" w:type="dxa"/>
            <w:vAlign w:val="bottom"/>
          </w:tcPr>
          <w:p>
            <w:pPr>
              <w:jc w:val="center"/>
              <w:ind w:left="1251"/>
              <w:spacing w:after="0"/>
              <w:rPr>
                <w:sz w:val="20"/>
                <w:szCs w:val="20"/>
                <w:color w:val="auto"/>
              </w:rPr>
            </w:pPr>
            <w:r>
              <w:rPr>
                <w:rFonts w:ascii="Times New Roman" w:cs="Times New Roman" w:eastAsia="Times New Roman" w:hAnsi="Times New Roman"/>
                <w:sz w:val="10"/>
                <w:szCs w:val="10"/>
                <w:b w:val="1"/>
                <w:bCs w:val="1"/>
                <w:color w:val="auto"/>
                <w:w w:val="98"/>
              </w:rPr>
              <w:t>LEGAL MATTERS</w:t>
            </w: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spacing w:after="0" w:line="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DLA Piper LLP, New York, New York, and Taylor Wessing LLP, have passed upon the validity of the securities of Rezolve AI Limited offered by this prospectus and certain other legal matters related to this prospectus.</w:t>
      </w:r>
    </w:p>
    <w:p>
      <w:pPr>
        <w:spacing w:after="0" w:line="9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0"/>
          <w:szCs w:val="10"/>
          <w:b w:val="1"/>
          <w:bCs w:val="1"/>
          <w:color w:val="auto"/>
        </w:rPr>
        <w:t>EXPERTS</w:t>
      </w:r>
    </w:p>
    <w:p>
      <w:pPr>
        <w:spacing w:after="0" w:line="97"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 financial statements of Armada as of September 30, 2023 and 2022 and for each of the two years in the period ended September 30, 2023, included in this registration statement have been audited by Marcum LLP, independent registered public accounting firm, as set forth in their report thereon (which contains an explanatory paragraph relating to substantial doubt about the ability of Armada to continue as a going concern as described in Note 1 to the financial statements), and are included in reliance on such report given upon the authority of such firm as experts in accounting and auditing.</w:t>
      </w:r>
    </w:p>
    <w:p>
      <w:pPr>
        <w:spacing w:after="0" w:line="105"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The audited financial statements of Rezolve included in this prospectus and elsewhere in the registration statement have been audited by Grassi &amp; Co., CPAs, P.C., an independent registered public accounting firm, as set forth in their report thereon, and are included in reliance on such report given upon the authority of such firm as experts in accounting and auditing.</w:t>
      </w:r>
    </w:p>
    <w:p>
      <w:pPr>
        <w:spacing w:after="0" w:line="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ENFORCEABILITY OF CIVIL LIABILITY</w:t>
      </w:r>
    </w:p>
    <w:p>
      <w:pPr>
        <w:spacing w:after="0" w:line="97"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Rezolve is a company incorporated under the laws of England and Wales. A substantial portion of Rezolve’s assets and most of its directors and executive officers are located and reside, respectively, outside the United States. Because of the location of Rezolve’s assets and board members,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w:t>
      </w:r>
    </w:p>
    <w:p>
      <w:pPr>
        <w:spacing w:after="0" w:line="105"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w:t>
      </w:r>
    </w:p>
    <w:p>
      <w:pPr>
        <w:spacing w:after="0" w:line="101"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Rezolve has appointed Cogency Global Inc. as its agent to receive service of process in any action against it in any state or federal court in the State of New York arising out of the transaction described in this proxy statement/prospectus or any issuance of Ordinary Shares in connection with this transaction.</w:t>
      </w:r>
    </w:p>
    <w:p>
      <w:pPr>
        <w:spacing w:after="0" w:line="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WHERE YOU CAN FIND MORE INFORMATION</w:t>
      </w:r>
    </w:p>
    <w:p>
      <w:pPr>
        <w:spacing w:after="0" w:line="97"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We have filed a registration statement on Form F-1, including exhibits, under the Securities Act of 1933, as amended, with respect to the Ordinary Shares and Warrants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01" w:lineRule="exact"/>
        <w:rPr>
          <w:sz w:val="20"/>
          <w:szCs w:val="20"/>
          <w:color w:val="auto"/>
        </w:rPr>
      </w:pPr>
    </w:p>
    <w:p>
      <w:pPr>
        <w:ind w:right="400" w:firstLine="480"/>
        <w:spacing w:after="0" w:line="245" w:lineRule="auto"/>
        <w:rPr>
          <w:sz w:val="20"/>
          <w:szCs w:val="20"/>
          <w:color w:val="auto"/>
        </w:rPr>
      </w:pPr>
      <w:r>
        <w:rPr>
          <w:rFonts w:ascii="Times New Roman" w:cs="Times New Roman" w:eastAsia="Times New Roman" w:hAnsi="Times New Roman"/>
          <w:sz w:val="10"/>
          <w:szCs w:val="10"/>
          <w:color w:val="auto"/>
        </w:rPr>
        <w:t>In addition, we file annual, quarterly and current reports, proxy statements and other information with the SEC. Our SEC filings are available to the public on a website maintained by the SEC located at www.sec.gov. We also maintain a website at https://www.rezolve.com.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1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31" w:right="600"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0"/>
          <w:szCs w:val="10"/>
          <w:b w:val="1"/>
          <w:bCs w:val="1"/>
          <w:color w:val="auto"/>
        </w:rPr>
        <w:t>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INDEX TO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 interim condensed carve-out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For the six months ended June 30, 2024 and 2023</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560" w:type="dxa"/>
            <w:vAlign w:val="bottom"/>
            <w:gridSpan w:val="22"/>
          </w:tcPr>
          <w:p>
            <w:pPr>
              <w:spacing w:after="0"/>
              <w:rPr>
                <w:sz w:val="20"/>
                <w:szCs w:val="20"/>
                <w:color w:val="auto"/>
              </w:rPr>
            </w:pPr>
            <w:r>
              <w:rPr>
                <w:rFonts w:ascii="Times New Roman" w:cs="Times New Roman" w:eastAsia="Times New Roman" w:hAnsi="Times New Roman"/>
                <w:sz w:val="10"/>
                <w:szCs w:val="10"/>
                <w:color w:val="auto"/>
              </w:rPr>
              <w:t>Condensed Interim Carve-out Consolidated Financial Statements (Unaudited)</w:t>
            </w: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540" w:type="dxa"/>
            <w:vAlign w:val="bottom"/>
            <w:tcBorders>
              <w:bottom w:val="single" w:sz="8" w:color="0000FF"/>
            </w:tcBorders>
            <w:gridSpan w:val="17"/>
          </w:tcPr>
          <w:p>
            <w:pPr>
              <w:spacing w:after="0" w:line="104" w:lineRule="exact"/>
              <w:rPr>
                <w:rFonts w:ascii="Times New Roman" w:cs="Times New Roman" w:eastAsia="Times New Roman" w:hAnsi="Times New Roman"/>
                <w:sz w:val="10"/>
                <w:szCs w:val="10"/>
                <w:color w:val="0000FF"/>
                <w:w w:val="97"/>
              </w:rPr>
            </w:pPr>
            <w:hyperlink w:anchor="page132">
              <w:r>
                <w:rPr>
                  <w:rFonts w:ascii="Times New Roman" w:cs="Times New Roman" w:eastAsia="Times New Roman" w:hAnsi="Times New Roman"/>
                  <w:sz w:val="10"/>
                  <w:szCs w:val="10"/>
                  <w:color w:val="0000FF"/>
                  <w:w w:val="97"/>
                </w:rPr>
                <w:t>Condensed interim Carve-out Consolidated Balance Sheets as of June 30, 2024 (Unaudited) and December 31, 2023</w:t>
              </w:r>
            </w:hyperlink>
          </w:p>
        </w:tc>
        <w:tc>
          <w:tcPr>
            <w:tcW w:w="4020" w:type="dxa"/>
            <w:vAlign w:val="bottom"/>
            <w:gridSpan w:val="5"/>
          </w:tcPr>
          <w:p>
            <w:pPr>
              <w:spacing w:after="0"/>
              <w:rPr>
                <w:sz w:val="9"/>
                <w:szCs w:val="9"/>
                <w:color w:val="auto"/>
              </w:rPr>
            </w:pPr>
          </w:p>
        </w:tc>
        <w:tc>
          <w:tcPr>
            <w:tcW w:w="206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F-3</w:t>
            </w:r>
          </w:p>
        </w:tc>
        <w:tc>
          <w:tcPr>
            <w:tcW w:w="0" w:type="dxa"/>
            <w:vAlign w:val="bottom"/>
          </w:tcPr>
          <w:p>
            <w:pPr>
              <w:spacing w:after="0"/>
              <w:rPr>
                <w:sz w:val="1"/>
                <w:szCs w:val="1"/>
                <w:color w:val="auto"/>
              </w:rPr>
            </w:pPr>
          </w:p>
        </w:tc>
      </w:tr>
      <w:tr>
        <w:trPr>
          <w:trHeight w:val="93"/>
        </w:trPr>
        <w:tc>
          <w:tcPr>
            <w:tcW w:w="5140" w:type="dxa"/>
            <w:vAlign w:val="bottom"/>
            <w:tcBorders>
              <w:bottom w:val="single" w:sz="8" w:color="0000FF"/>
            </w:tcBorders>
            <w:gridSpan w:val="19"/>
          </w:tcPr>
          <w:p>
            <w:pPr>
              <w:spacing w:after="0" w:line="93" w:lineRule="exact"/>
              <w:rPr>
                <w:rFonts w:ascii="Times New Roman" w:cs="Times New Roman" w:eastAsia="Times New Roman" w:hAnsi="Times New Roman"/>
                <w:sz w:val="10"/>
                <w:szCs w:val="10"/>
                <w:color w:val="0000FF"/>
                <w:w w:val="97"/>
              </w:rPr>
            </w:pPr>
            <w:hyperlink w:anchor="page134">
              <w:r>
                <w:rPr>
                  <w:rFonts w:ascii="Times New Roman" w:cs="Times New Roman" w:eastAsia="Times New Roman" w:hAnsi="Times New Roman"/>
                  <w:sz w:val="10"/>
                  <w:szCs w:val="10"/>
                  <w:color w:val="0000FF"/>
                  <w:w w:val="97"/>
                </w:rPr>
                <w:t>Condensed interim Carve-out Consolidated Statements of Operations for the six months ended June 30, 2024 and 2023 (Unaudited)</w:t>
              </w:r>
            </w:hyperlink>
          </w:p>
        </w:tc>
        <w:tc>
          <w:tcPr>
            <w:tcW w:w="3420" w:type="dxa"/>
            <w:vAlign w:val="bottom"/>
            <w:gridSpan w:val="3"/>
          </w:tcPr>
          <w:p>
            <w:pPr>
              <w:spacing w:after="0"/>
              <w:rPr>
                <w:sz w:val="8"/>
                <w:szCs w:val="8"/>
                <w:color w:val="auto"/>
              </w:rPr>
            </w:pPr>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F-5</w:t>
            </w:r>
          </w:p>
        </w:tc>
        <w:tc>
          <w:tcPr>
            <w:tcW w:w="0" w:type="dxa"/>
            <w:vAlign w:val="bottom"/>
          </w:tcPr>
          <w:p>
            <w:pPr>
              <w:spacing w:after="0"/>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35">
              <w:r>
                <w:rPr>
                  <w:rFonts w:ascii="Times New Roman" w:cs="Times New Roman" w:eastAsia="Times New Roman" w:hAnsi="Times New Roman"/>
                  <w:sz w:val="10"/>
                  <w:szCs w:val="10"/>
                  <w:color w:val="0000FF"/>
                </w:rPr>
                <w:t>Condensed interim Carve-out Consolidated Statements of Comprehensive Loss (Unaudited)</w:t>
              </w:r>
            </w:hyperlink>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F-6</w:t>
            </w:r>
          </w:p>
        </w:tc>
        <w:tc>
          <w:tcPr>
            <w:tcW w:w="0" w:type="dxa"/>
            <w:vAlign w:val="bottom"/>
          </w:tcPr>
          <w:p>
            <w:pPr>
              <w:spacing w:after="0"/>
              <w:rPr>
                <w:sz w:val="1"/>
                <w:szCs w:val="1"/>
                <w:color w:val="auto"/>
              </w:rPr>
            </w:pPr>
          </w:p>
        </w:tc>
      </w:tr>
      <w:tr>
        <w:trPr>
          <w:trHeight w:val="20"/>
        </w:trPr>
        <w:tc>
          <w:tcPr>
            <w:tcW w:w="1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F-7</w:t>
            </w:r>
          </w:p>
        </w:tc>
        <w:tc>
          <w:tcPr>
            <w:tcW w:w="0" w:type="dxa"/>
            <w:vAlign w:val="bottom"/>
          </w:tcPr>
          <w:p>
            <w:pPr>
              <w:spacing w:after="0" w:line="20" w:lineRule="exact"/>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36">
              <w:r>
                <w:rPr>
                  <w:rFonts w:ascii="Times New Roman" w:cs="Times New Roman" w:eastAsia="Times New Roman" w:hAnsi="Times New Roman"/>
                  <w:sz w:val="10"/>
                  <w:szCs w:val="10"/>
                  <w:color w:val="0000FF"/>
                </w:rPr>
                <w:t>Condensed interim Carve-out Consolidated Statements of Changes in Stockholders’ deficit for the six and the six months ended June 30, 2024 and 2023 (Unaudited)</w:t>
              </w:r>
            </w:hyperlink>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5120" w:type="dxa"/>
            <w:vAlign w:val="bottom"/>
            <w:tcBorders>
              <w:top w:val="single" w:sz="8" w:color="0000FF"/>
              <w:bottom w:val="single" w:sz="8" w:color="0000FF"/>
            </w:tcBorders>
            <w:gridSpan w:val="18"/>
          </w:tcPr>
          <w:p>
            <w:pPr>
              <w:spacing w:after="0" w:line="93" w:lineRule="exact"/>
              <w:rPr>
                <w:rFonts w:ascii="Times New Roman" w:cs="Times New Roman" w:eastAsia="Times New Roman" w:hAnsi="Times New Roman"/>
                <w:sz w:val="10"/>
                <w:szCs w:val="10"/>
                <w:color w:val="0000FF"/>
                <w:w w:val="97"/>
              </w:rPr>
            </w:pPr>
            <w:hyperlink w:anchor="page137">
              <w:r>
                <w:rPr>
                  <w:rFonts w:ascii="Times New Roman" w:cs="Times New Roman" w:eastAsia="Times New Roman" w:hAnsi="Times New Roman"/>
                  <w:sz w:val="10"/>
                  <w:szCs w:val="10"/>
                  <w:color w:val="0000FF"/>
                  <w:w w:val="97"/>
                </w:rPr>
                <w:t>Condensed interim Carve-out Consolidated Statements of Cash Flows for the six and the six months ended June 30, 2024 and 2023</w:t>
              </w:r>
            </w:hyperlink>
          </w:p>
        </w:tc>
        <w:tc>
          <w:tcPr>
            <w:tcW w:w="1300" w:type="dxa"/>
            <w:vAlign w:val="bottom"/>
            <w:tcBorders>
              <w:top w:val="single" w:sz="8" w:color="0000FF"/>
            </w:tcBorders>
            <w:gridSpan w:val="3"/>
          </w:tcPr>
          <w:p>
            <w:pPr>
              <w:spacing w:after="0"/>
              <w:rPr>
                <w:sz w:val="8"/>
                <w:szCs w:val="8"/>
                <w:color w:val="auto"/>
              </w:rPr>
            </w:pPr>
          </w:p>
        </w:tc>
        <w:tc>
          <w:tcPr>
            <w:tcW w:w="2140" w:type="dxa"/>
            <w:vAlign w:val="bottom"/>
          </w:tcPr>
          <w:p>
            <w:pPr>
              <w:spacing w:after="0"/>
              <w:rPr>
                <w:sz w:val="8"/>
                <w:szCs w:val="8"/>
                <w:color w:val="auto"/>
              </w:rPr>
            </w:pPr>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F-8</w:t>
            </w:r>
          </w:p>
        </w:tc>
        <w:tc>
          <w:tcPr>
            <w:tcW w:w="0" w:type="dxa"/>
            <w:vAlign w:val="bottom"/>
          </w:tcPr>
          <w:p>
            <w:pPr>
              <w:spacing w:after="0"/>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38">
              <w:r>
                <w:rPr>
                  <w:rFonts w:ascii="Times New Roman" w:cs="Times New Roman" w:eastAsia="Times New Roman" w:hAnsi="Times New Roman"/>
                  <w:sz w:val="10"/>
                  <w:szCs w:val="10"/>
                  <w:color w:val="0000FF"/>
                </w:rPr>
                <w:t>Notes to the Condensed interim Carve-out Consolidated Financial Statements June 30, 2024 (Unaudited)</w:t>
              </w:r>
            </w:hyperlink>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F-9</w:t>
            </w:r>
          </w:p>
        </w:tc>
        <w:tc>
          <w:tcPr>
            <w:tcW w:w="0" w:type="dxa"/>
            <w:vAlign w:val="bottom"/>
          </w:tcPr>
          <w:p>
            <w:pPr>
              <w:spacing w:after="0"/>
              <w:rPr>
                <w:sz w:val="1"/>
                <w:szCs w:val="1"/>
                <w:color w:val="auto"/>
              </w:rPr>
            </w:pPr>
          </w:p>
        </w:tc>
      </w:tr>
      <w:tr>
        <w:trPr>
          <w:trHeight w:val="333"/>
        </w:trPr>
        <w:tc>
          <w:tcPr>
            <w:tcW w:w="11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gridSpan w:val="6"/>
          </w:tcPr>
          <w:p>
            <w:pPr>
              <w:jc w:val="center"/>
              <w:ind w:right="2220"/>
              <w:spacing w:after="0"/>
              <w:rPr>
                <w:sz w:val="20"/>
                <w:szCs w:val="20"/>
                <w:color w:val="auto"/>
              </w:rPr>
            </w:pPr>
            <w:r>
              <w:rPr>
                <w:rFonts w:ascii="Times New Roman" w:cs="Times New Roman" w:eastAsia="Times New Roman" w:hAnsi="Times New Roman"/>
                <w:sz w:val="10"/>
                <w:szCs w:val="10"/>
                <w:b w:val="1"/>
                <w:bCs w:val="1"/>
                <w:color w:val="auto"/>
                <w:w w:val="97"/>
              </w:rPr>
              <w:t>Carve-out Consolidated Financial Statements</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40" w:type="dxa"/>
            <w:vAlign w:val="bottom"/>
            <w:gridSpan w:val="9"/>
          </w:tcPr>
          <w:p>
            <w:pPr>
              <w:jc w:val="center"/>
              <w:ind w:right="1860"/>
              <w:spacing w:after="0"/>
              <w:rPr>
                <w:sz w:val="20"/>
                <w:szCs w:val="20"/>
                <w:color w:val="auto"/>
              </w:rPr>
            </w:pPr>
            <w:r>
              <w:rPr>
                <w:rFonts w:ascii="Times New Roman" w:cs="Times New Roman" w:eastAsia="Times New Roman" w:hAnsi="Times New Roman"/>
                <w:sz w:val="10"/>
                <w:szCs w:val="10"/>
                <w:color w:val="auto"/>
                <w:w w:val="97"/>
              </w:rPr>
              <w:t>As of and for the years ended December 31, 2023 (Restated) and 2022</w:t>
            </w: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8560" w:type="dxa"/>
            <w:vAlign w:val="bottom"/>
            <w:gridSpan w:val="22"/>
          </w:tcPr>
          <w:p>
            <w:pPr>
              <w:spacing w:after="0"/>
              <w:rPr>
                <w:rFonts w:ascii="Times New Roman" w:cs="Times New Roman" w:eastAsia="Times New Roman" w:hAnsi="Times New Roman"/>
                <w:sz w:val="10"/>
                <w:szCs w:val="10"/>
                <w:color w:val="0000FF"/>
              </w:rPr>
            </w:pPr>
            <w:hyperlink w:anchor="page156">
              <w:r>
                <w:rPr>
                  <w:rFonts w:ascii="Times New Roman" w:cs="Times New Roman" w:eastAsia="Times New Roman" w:hAnsi="Times New Roman"/>
                  <w:sz w:val="10"/>
                  <w:szCs w:val="10"/>
                  <w:color w:val="0000FF"/>
                </w:rPr>
                <w:t>Independent Auditor’s Report</w:t>
              </w:r>
            </w:hyperlink>
          </w:p>
        </w:tc>
        <w:tc>
          <w:tcPr>
            <w:tcW w:w="2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F-27</w:t>
            </w:r>
          </w:p>
        </w:tc>
        <w:tc>
          <w:tcPr>
            <w:tcW w:w="0" w:type="dxa"/>
            <w:vAlign w:val="bottom"/>
          </w:tcPr>
          <w:p>
            <w:pPr>
              <w:spacing w:after="0"/>
              <w:rPr>
                <w:sz w:val="1"/>
                <w:szCs w:val="1"/>
                <w:color w:val="auto"/>
              </w:rPr>
            </w:pPr>
          </w:p>
        </w:tc>
      </w:tr>
      <w:tr>
        <w:trPr>
          <w:trHeight w:val="20"/>
        </w:trPr>
        <w:tc>
          <w:tcPr>
            <w:tcW w:w="11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8560" w:type="dxa"/>
            <w:vAlign w:val="bottom"/>
            <w:gridSpan w:val="22"/>
          </w:tcPr>
          <w:p>
            <w:pPr>
              <w:spacing w:after="0" w:line="101" w:lineRule="exact"/>
              <w:rPr>
                <w:sz w:val="20"/>
                <w:szCs w:val="20"/>
                <w:color w:val="auto"/>
              </w:rPr>
            </w:pPr>
            <w:r>
              <w:rPr>
                <w:rFonts w:ascii="Times New Roman" w:cs="Times New Roman" w:eastAsia="Times New Roman" w:hAnsi="Times New Roman"/>
                <w:sz w:val="10"/>
                <w:szCs w:val="10"/>
                <w:color w:val="auto"/>
              </w:rPr>
              <w:t>Carve-out Consolidated Financial Statements</w:t>
            </w: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8560" w:type="dxa"/>
            <w:vAlign w:val="bottom"/>
            <w:gridSpan w:val="22"/>
          </w:tcPr>
          <w:p>
            <w:pPr>
              <w:spacing w:after="0" w:line="104" w:lineRule="exact"/>
              <w:rPr>
                <w:rFonts w:ascii="Times New Roman" w:cs="Times New Roman" w:eastAsia="Times New Roman" w:hAnsi="Times New Roman"/>
                <w:sz w:val="10"/>
                <w:szCs w:val="10"/>
                <w:color w:val="0000FF"/>
              </w:rPr>
            </w:pPr>
            <w:hyperlink w:anchor="page157">
              <w:r>
                <w:rPr>
                  <w:rFonts w:ascii="Times New Roman" w:cs="Times New Roman" w:eastAsia="Times New Roman" w:hAnsi="Times New Roman"/>
                  <w:sz w:val="10"/>
                  <w:szCs w:val="10"/>
                  <w:color w:val="0000FF"/>
                </w:rPr>
                <w:t xml:space="preserve">Carve-out Consolidated Balance Sheets </w:t>
              </w:r>
            </w:hyperlink>
            <w:r>
              <w:rPr>
                <w:rFonts w:ascii="Times New Roman" w:cs="Times New Roman" w:eastAsia="Times New Roman" w:hAnsi="Times New Roman"/>
                <w:sz w:val="10"/>
                <w:szCs w:val="10"/>
                <w:color w:val="000000"/>
              </w:rPr>
              <w:t>(Restated)</w:t>
            </w:r>
          </w:p>
        </w:tc>
        <w:tc>
          <w:tcPr>
            <w:tcW w:w="206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F-28</w:t>
            </w:r>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F-29</w:t>
            </w:r>
          </w:p>
        </w:tc>
        <w:tc>
          <w:tcPr>
            <w:tcW w:w="0" w:type="dxa"/>
            <w:vAlign w:val="bottom"/>
          </w:tcPr>
          <w:p>
            <w:pPr>
              <w:spacing w:after="0" w:line="20" w:lineRule="exact"/>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58">
              <w:r>
                <w:rPr>
                  <w:rFonts w:ascii="Times New Roman" w:cs="Times New Roman" w:eastAsia="Times New Roman" w:hAnsi="Times New Roman"/>
                  <w:sz w:val="10"/>
                  <w:szCs w:val="10"/>
                  <w:color w:val="0000FF"/>
                </w:rPr>
                <w:t xml:space="preserve">Carve-out Consolidated Statements of Operations </w:t>
              </w:r>
            </w:hyperlink>
            <w:r>
              <w:rPr>
                <w:rFonts w:ascii="Times New Roman" w:cs="Times New Roman" w:eastAsia="Times New Roman" w:hAnsi="Times New Roman"/>
                <w:sz w:val="10"/>
                <w:szCs w:val="10"/>
                <w:color w:val="000000"/>
              </w:rPr>
              <w:t>(Restated)</w:t>
            </w: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9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F-30</w:t>
            </w:r>
          </w:p>
        </w:tc>
        <w:tc>
          <w:tcPr>
            <w:tcW w:w="0" w:type="dxa"/>
            <w:vAlign w:val="bottom"/>
          </w:tcPr>
          <w:p>
            <w:pPr>
              <w:spacing w:after="0" w:line="20" w:lineRule="exact"/>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59">
              <w:r>
                <w:rPr>
                  <w:rFonts w:ascii="Times New Roman" w:cs="Times New Roman" w:eastAsia="Times New Roman" w:hAnsi="Times New Roman"/>
                  <w:sz w:val="10"/>
                  <w:szCs w:val="10"/>
                  <w:color w:val="0000FF"/>
                </w:rPr>
                <w:t xml:space="preserve">Carve-out Consolidated Statements of Comprehensive Loss </w:t>
              </w:r>
            </w:hyperlink>
            <w:r>
              <w:rPr>
                <w:rFonts w:ascii="Times New Roman" w:cs="Times New Roman" w:eastAsia="Times New Roman" w:hAnsi="Times New Roman"/>
                <w:sz w:val="10"/>
                <w:szCs w:val="10"/>
                <w:color w:val="000000"/>
              </w:rPr>
              <w:t>(Restated)</w:t>
            </w: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9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F-31</w:t>
            </w:r>
          </w:p>
        </w:tc>
        <w:tc>
          <w:tcPr>
            <w:tcW w:w="0" w:type="dxa"/>
            <w:vAlign w:val="bottom"/>
          </w:tcPr>
          <w:p>
            <w:pPr>
              <w:spacing w:after="0" w:line="20" w:lineRule="exact"/>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60">
              <w:r>
                <w:rPr>
                  <w:rFonts w:ascii="Times New Roman" w:cs="Times New Roman" w:eastAsia="Times New Roman" w:hAnsi="Times New Roman"/>
                  <w:sz w:val="10"/>
                  <w:szCs w:val="10"/>
                  <w:color w:val="0000FF"/>
                </w:rPr>
                <w:t xml:space="preserve">Carve-out Consolidated Statements of Changes in Shareholders’ Deficit </w:t>
              </w:r>
            </w:hyperlink>
            <w:r>
              <w:rPr>
                <w:rFonts w:ascii="Times New Roman" w:cs="Times New Roman" w:eastAsia="Times New Roman" w:hAnsi="Times New Roman"/>
                <w:sz w:val="10"/>
                <w:szCs w:val="10"/>
                <w:color w:val="000000"/>
              </w:rPr>
              <w:t>(Restated)</w:t>
            </w: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800" w:type="dxa"/>
            <w:vAlign w:val="bottom"/>
            <w:tcBorders>
              <w:top w:val="single" w:sz="8" w:color="0000FF"/>
            </w:tcBorders>
            <w:gridSpan w:val="8"/>
          </w:tcPr>
          <w:p>
            <w:pPr>
              <w:spacing w:after="0" w:line="93" w:lineRule="exact"/>
              <w:rPr>
                <w:rFonts w:ascii="Times New Roman" w:cs="Times New Roman" w:eastAsia="Times New Roman" w:hAnsi="Times New Roman"/>
                <w:sz w:val="10"/>
                <w:szCs w:val="10"/>
                <w:color w:val="0000FF"/>
              </w:rPr>
            </w:pPr>
            <w:hyperlink w:anchor="page161">
              <w:r>
                <w:rPr>
                  <w:rFonts w:ascii="Times New Roman" w:cs="Times New Roman" w:eastAsia="Times New Roman" w:hAnsi="Times New Roman"/>
                  <w:sz w:val="10"/>
                  <w:szCs w:val="10"/>
                  <w:color w:val="0000FF"/>
                </w:rPr>
                <w:t xml:space="preserve">Carve-out Consolidated Statements of Cash Flows </w:t>
              </w:r>
            </w:hyperlink>
            <w:r>
              <w:rPr>
                <w:rFonts w:ascii="Times New Roman" w:cs="Times New Roman" w:eastAsia="Times New Roman" w:hAnsi="Times New Roman"/>
                <w:sz w:val="10"/>
                <w:szCs w:val="10"/>
                <w:color w:val="000000"/>
              </w:rPr>
              <w:t>(Restated)</w:t>
            </w:r>
          </w:p>
        </w:tc>
        <w:tc>
          <w:tcPr>
            <w:tcW w:w="5760" w:type="dxa"/>
            <w:vAlign w:val="bottom"/>
            <w:gridSpan w:val="14"/>
          </w:tcPr>
          <w:p>
            <w:pPr>
              <w:spacing w:after="0"/>
              <w:rPr>
                <w:sz w:val="8"/>
                <w:szCs w:val="8"/>
                <w:color w:val="auto"/>
              </w:rPr>
            </w:pPr>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F-32</w:t>
            </w:r>
          </w:p>
        </w:tc>
        <w:tc>
          <w:tcPr>
            <w:tcW w:w="0" w:type="dxa"/>
            <w:vAlign w:val="bottom"/>
          </w:tcPr>
          <w:p>
            <w:pPr>
              <w:spacing w:after="0"/>
              <w:rPr>
                <w:sz w:val="1"/>
                <w:szCs w:val="1"/>
                <w:color w:val="auto"/>
              </w:rPr>
            </w:pPr>
          </w:p>
        </w:tc>
      </w:tr>
      <w:tr>
        <w:trPr>
          <w:trHeight w:val="20"/>
        </w:trPr>
        <w:tc>
          <w:tcPr>
            <w:tcW w:w="196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F-33</w:t>
            </w:r>
          </w:p>
        </w:tc>
        <w:tc>
          <w:tcPr>
            <w:tcW w:w="0" w:type="dxa"/>
            <w:vAlign w:val="bottom"/>
          </w:tcPr>
          <w:p>
            <w:pPr>
              <w:spacing w:after="0" w:line="20" w:lineRule="exact"/>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62">
              <w:r>
                <w:rPr>
                  <w:rFonts w:ascii="Times New Roman" w:cs="Times New Roman" w:eastAsia="Times New Roman" w:hAnsi="Times New Roman"/>
                  <w:sz w:val="10"/>
                  <w:szCs w:val="10"/>
                  <w:color w:val="0000FF"/>
                </w:rPr>
                <w:t>Notes to the Carve-out Consolidated Financial Statements</w:t>
              </w:r>
            </w:hyperlink>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116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20" w:type="dxa"/>
            <w:vAlign w:val="bottom"/>
            <w:gridSpan w:val="5"/>
          </w:tcPr>
          <w:p>
            <w:pPr>
              <w:jc w:val="center"/>
              <w:ind w:right="2500"/>
              <w:spacing w:after="0"/>
              <w:rPr>
                <w:sz w:val="20"/>
                <w:szCs w:val="20"/>
                <w:color w:val="auto"/>
              </w:rPr>
            </w:pPr>
            <w:r>
              <w:rPr>
                <w:rFonts w:ascii="Times New Roman" w:cs="Times New Roman" w:eastAsia="Times New Roman" w:hAnsi="Times New Roman"/>
                <w:sz w:val="10"/>
                <w:szCs w:val="10"/>
                <w:b w:val="1"/>
                <w:bCs w:val="1"/>
                <w:color w:val="auto"/>
                <w:w w:val="97"/>
              </w:rPr>
              <w:t>ARMADA ACQUISITION CORP. I</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80" w:type="dxa"/>
            <w:vAlign w:val="bottom"/>
            <w:gridSpan w:val="6"/>
          </w:tcPr>
          <w:p>
            <w:pPr>
              <w:jc w:val="center"/>
              <w:ind w:right="2220"/>
              <w:spacing w:after="0"/>
              <w:rPr>
                <w:sz w:val="20"/>
                <w:szCs w:val="20"/>
                <w:color w:val="auto"/>
              </w:rPr>
            </w:pPr>
            <w:r>
              <w:rPr>
                <w:rFonts w:ascii="Times New Roman" w:cs="Times New Roman" w:eastAsia="Times New Roman" w:hAnsi="Times New Roman"/>
                <w:sz w:val="10"/>
                <w:szCs w:val="10"/>
                <w:b w:val="1"/>
                <w:bCs w:val="1"/>
                <w:color w:val="auto"/>
                <w:w w:val="97"/>
              </w:rPr>
              <w:t>Unaudited Condensed Financial Statements</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80" w:type="dxa"/>
            <w:vAlign w:val="bottom"/>
            <w:gridSpan w:val="8"/>
          </w:tcPr>
          <w:p>
            <w:pPr>
              <w:jc w:val="center"/>
              <w:ind w:right="2020"/>
              <w:spacing w:after="0"/>
              <w:rPr>
                <w:sz w:val="20"/>
                <w:szCs w:val="20"/>
                <w:color w:val="auto"/>
              </w:rPr>
            </w:pPr>
            <w:r>
              <w:rPr>
                <w:rFonts w:ascii="Times New Roman" w:cs="Times New Roman" w:eastAsia="Times New Roman" w:hAnsi="Times New Roman"/>
                <w:sz w:val="10"/>
                <w:szCs w:val="10"/>
                <w:color w:val="auto"/>
                <w:w w:val="96"/>
              </w:rPr>
              <w:t>For the Three and Nine Month Periods Ended June 30, 2024</w:t>
            </w: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3240" w:type="dxa"/>
            <w:vAlign w:val="bottom"/>
            <w:tcBorders>
              <w:bottom w:val="single" w:sz="8" w:color="0000FF"/>
            </w:tcBorders>
            <w:gridSpan w:val="9"/>
          </w:tcPr>
          <w:p>
            <w:pPr>
              <w:spacing w:after="0"/>
              <w:rPr>
                <w:rFonts w:ascii="Times New Roman" w:cs="Times New Roman" w:eastAsia="Times New Roman" w:hAnsi="Times New Roman"/>
                <w:sz w:val="10"/>
                <w:szCs w:val="10"/>
                <w:color w:val="0000FF"/>
                <w:w w:val="97"/>
              </w:rPr>
            </w:pPr>
            <w:hyperlink w:anchor="page191">
              <w:r>
                <w:rPr>
                  <w:rFonts w:ascii="Times New Roman" w:cs="Times New Roman" w:eastAsia="Times New Roman" w:hAnsi="Times New Roman"/>
                  <w:sz w:val="10"/>
                  <w:szCs w:val="10"/>
                  <w:color w:val="0000FF"/>
                  <w:w w:val="97"/>
                </w:rPr>
                <w:t>Unaudited Condensed Balance Sheets as of June 30, 2024 and September 30, 2023</w:t>
              </w:r>
            </w:hyperlink>
          </w:p>
        </w:tc>
        <w:tc>
          <w:tcPr>
            <w:tcW w:w="5320" w:type="dxa"/>
            <w:vAlign w:val="bottom"/>
            <w:gridSpan w:val="13"/>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F-62</w:t>
            </w:r>
          </w:p>
        </w:tc>
        <w:tc>
          <w:tcPr>
            <w:tcW w:w="0" w:type="dxa"/>
            <w:vAlign w:val="bottom"/>
          </w:tcPr>
          <w:p>
            <w:pPr>
              <w:spacing w:after="0"/>
              <w:rPr>
                <w:sz w:val="1"/>
                <w:szCs w:val="1"/>
                <w:color w:val="auto"/>
              </w:rPr>
            </w:pPr>
          </w:p>
        </w:tc>
      </w:tr>
      <w:tr>
        <w:trPr>
          <w:trHeight w:val="93"/>
        </w:trPr>
        <w:tc>
          <w:tcPr>
            <w:tcW w:w="4260" w:type="dxa"/>
            <w:vAlign w:val="bottom"/>
            <w:tcBorders>
              <w:bottom w:val="single" w:sz="8" w:color="0000FF"/>
            </w:tcBorders>
            <w:gridSpan w:val="15"/>
          </w:tcPr>
          <w:p>
            <w:pPr>
              <w:spacing w:after="0" w:line="93" w:lineRule="exact"/>
              <w:rPr>
                <w:rFonts w:ascii="Times New Roman" w:cs="Times New Roman" w:eastAsia="Times New Roman" w:hAnsi="Times New Roman"/>
                <w:sz w:val="10"/>
                <w:szCs w:val="10"/>
                <w:color w:val="0000FF"/>
                <w:w w:val="96"/>
              </w:rPr>
            </w:pPr>
            <w:hyperlink w:anchor="page192">
              <w:r>
                <w:rPr>
                  <w:rFonts w:ascii="Times New Roman" w:cs="Times New Roman" w:eastAsia="Times New Roman" w:hAnsi="Times New Roman"/>
                  <w:sz w:val="10"/>
                  <w:szCs w:val="10"/>
                  <w:color w:val="0000FF"/>
                  <w:w w:val="96"/>
                </w:rPr>
                <w:t>Unaudited Condensed Statements of Operations for the three and nine months-ended June 30, 2024 and 2023</w:t>
              </w:r>
            </w:hyperlink>
          </w:p>
        </w:tc>
        <w:tc>
          <w:tcPr>
            <w:tcW w:w="4300" w:type="dxa"/>
            <w:vAlign w:val="bottom"/>
            <w:gridSpan w:val="7"/>
          </w:tcPr>
          <w:p>
            <w:pPr>
              <w:spacing w:after="0"/>
              <w:rPr>
                <w:sz w:val="8"/>
                <w:szCs w:val="8"/>
                <w:color w:val="auto"/>
              </w:rPr>
            </w:pPr>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F-63</w:t>
            </w:r>
          </w:p>
        </w:tc>
        <w:tc>
          <w:tcPr>
            <w:tcW w:w="0" w:type="dxa"/>
            <w:vAlign w:val="bottom"/>
          </w:tcPr>
          <w:p>
            <w:pPr>
              <w:spacing w:after="0"/>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93">
              <w:r>
                <w:rPr>
                  <w:rFonts w:ascii="Times New Roman" w:cs="Times New Roman" w:eastAsia="Times New Roman" w:hAnsi="Times New Roman"/>
                  <w:sz w:val="10"/>
                  <w:szCs w:val="10"/>
                  <w:color w:val="0000FF"/>
                </w:rPr>
                <w:t>Unaudited Condensed Statements of Changes in Stockholders’ Deficit for the three and nine months-ended June 30, 2024 and 2023</w:t>
              </w:r>
            </w:hyperlink>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F-64</w:t>
            </w:r>
          </w:p>
        </w:tc>
        <w:tc>
          <w:tcPr>
            <w:tcW w:w="0" w:type="dxa"/>
            <w:vAlign w:val="bottom"/>
          </w:tcPr>
          <w:p>
            <w:pPr>
              <w:spacing w:after="0"/>
              <w:rPr>
                <w:sz w:val="1"/>
                <w:szCs w:val="1"/>
                <w:color w:val="auto"/>
              </w:rPr>
            </w:pPr>
          </w:p>
        </w:tc>
      </w:tr>
      <w:tr>
        <w:trPr>
          <w:trHeight w:val="93"/>
        </w:trPr>
        <w:tc>
          <w:tcPr>
            <w:tcW w:w="3900" w:type="dxa"/>
            <w:vAlign w:val="bottom"/>
            <w:tcBorders>
              <w:top w:val="single" w:sz="8" w:color="0000FF"/>
              <w:bottom w:val="single" w:sz="8" w:color="0000FF"/>
            </w:tcBorders>
            <w:gridSpan w:val="12"/>
          </w:tcPr>
          <w:p>
            <w:pPr>
              <w:spacing w:after="0" w:line="93" w:lineRule="exact"/>
              <w:rPr>
                <w:rFonts w:ascii="Times New Roman" w:cs="Times New Roman" w:eastAsia="Times New Roman" w:hAnsi="Times New Roman"/>
                <w:sz w:val="10"/>
                <w:szCs w:val="10"/>
                <w:color w:val="0000FF"/>
                <w:w w:val="96"/>
              </w:rPr>
            </w:pPr>
            <w:hyperlink w:anchor="page194">
              <w:r>
                <w:rPr>
                  <w:rFonts w:ascii="Times New Roman" w:cs="Times New Roman" w:eastAsia="Times New Roman" w:hAnsi="Times New Roman"/>
                  <w:sz w:val="10"/>
                  <w:szCs w:val="10"/>
                  <w:color w:val="0000FF"/>
                  <w:w w:val="96"/>
                </w:rPr>
                <w:t>Unaudited Condensed Statements of Cash Flows for the nine months ended June 30, 2024 and 2023</w:t>
              </w:r>
            </w:hyperlink>
          </w:p>
        </w:tc>
        <w:tc>
          <w:tcPr>
            <w:tcW w:w="1220" w:type="dxa"/>
            <w:vAlign w:val="bottom"/>
            <w:tcBorders>
              <w:top w:val="single" w:sz="8" w:color="0000FF"/>
            </w:tcBorders>
            <w:gridSpan w:val="6"/>
          </w:tcPr>
          <w:p>
            <w:pPr>
              <w:spacing w:after="0"/>
              <w:rPr>
                <w:sz w:val="8"/>
                <w:szCs w:val="8"/>
                <w:color w:val="auto"/>
              </w:rPr>
            </w:pPr>
          </w:p>
        </w:tc>
        <w:tc>
          <w:tcPr>
            <w:tcW w:w="3440" w:type="dxa"/>
            <w:vAlign w:val="bottom"/>
            <w:gridSpan w:val="4"/>
          </w:tcPr>
          <w:p>
            <w:pPr>
              <w:spacing w:after="0"/>
              <w:rPr>
                <w:sz w:val="8"/>
                <w:szCs w:val="8"/>
                <w:color w:val="auto"/>
              </w:rPr>
            </w:pPr>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F-65</w:t>
            </w:r>
          </w:p>
        </w:tc>
        <w:tc>
          <w:tcPr>
            <w:tcW w:w="0" w:type="dxa"/>
            <w:vAlign w:val="bottom"/>
          </w:tcPr>
          <w:p>
            <w:pPr>
              <w:spacing w:after="0"/>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95">
              <w:r>
                <w:rPr>
                  <w:rFonts w:ascii="Times New Roman" w:cs="Times New Roman" w:eastAsia="Times New Roman" w:hAnsi="Times New Roman"/>
                  <w:sz w:val="10"/>
                  <w:szCs w:val="10"/>
                  <w:color w:val="0000FF"/>
                </w:rPr>
                <w:t>Notes to Unaudited Condensed Financial Statements</w:t>
              </w:r>
            </w:hyperlink>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F-66</w:t>
            </w:r>
          </w:p>
        </w:tc>
        <w:tc>
          <w:tcPr>
            <w:tcW w:w="0" w:type="dxa"/>
            <w:vAlign w:val="bottom"/>
          </w:tcPr>
          <w:p>
            <w:pPr>
              <w:spacing w:after="0"/>
              <w:rPr>
                <w:sz w:val="1"/>
                <w:szCs w:val="1"/>
                <w:color w:val="auto"/>
              </w:rPr>
            </w:pPr>
          </w:p>
        </w:tc>
      </w:tr>
      <w:tr>
        <w:trPr>
          <w:trHeight w:val="221"/>
        </w:trPr>
        <w:tc>
          <w:tcPr>
            <w:tcW w:w="116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80" w:type="dxa"/>
            <w:vAlign w:val="bottom"/>
            <w:gridSpan w:val="6"/>
          </w:tcPr>
          <w:p>
            <w:pPr>
              <w:jc w:val="center"/>
              <w:ind w:right="2220"/>
              <w:spacing w:after="0"/>
              <w:rPr>
                <w:sz w:val="20"/>
                <w:szCs w:val="20"/>
                <w:color w:val="auto"/>
              </w:rPr>
            </w:pPr>
            <w:r>
              <w:rPr>
                <w:rFonts w:ascii="Times New Roman" w:cs="Times New Roman" w:eastAsia="Times New Roman" w:hAnsi="Times New Roman"/>
                <w:sz w:val="10"/>
                <w:szCs w:val="10"/>
                <w:b w:val="1"/>
                <w:bCs w:val="1"/>
                <w:color w:val="auto"/>
                <w:w w:val="97"/>
              </w:rPr>
              <w:t>Unaudited Condensed Financial Statements</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80" w:type="dxa"/>
            <w:vAlign w:val="bottom"/>
            <w:gridSpan w:val="8"/>
          </w:tcPr>
          <w:p>
            <w:pPr>
              <w:jc w:val="center"/>
              <w:ind w:right="2020"/>
              <w:spacing w:after="0"/>
              <w:rPr>
                <w:sz w:val="20"/>
                <w:szCs w:val="20"/>
                <w:color w:val="auto"/>
              </w:rPr>
            </w:pPr>
            <w:r>
              <w:rPr>
                <w:rFonts w:ascii="Times New Roman" w:cs="Times New Roman" w:eastAsia="Times New Roman" w:hAnsi="Times New Roman"/>
                <w:sz w:val="10"/>
                <w:szCs w:val="10"/>
                <w:color w:val="auto"/>
                <w:w w:val="97"/>
              </w:rPr>
              <w:t>For the Three and Six Month Periods Ended March 31, 2024</w:t>
            </w: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8560" w:type="dxa"/>
            <w:vAlign w:val="bottom"/>
            <w:gridSpan w:val="22"/>
          </w:tcPr>
          <w:p>
            <w:pPr>
              <w:spacing w:after="0"/>
              <w:rPr>
                <w:rFonts w:ascii="Times New Roman" w:cs="Times New Roman" w:eastAsia="Times New Roman" w:hAnsi="Times New Roman"/>
                <w:sz w:val="10"/>
                <w:szCs w:val="10"/>
                <w:color w:val="0000FF"/>
              </w:rPr>
            </w:pPr>
            <w:hyperlink w:anchor="page215">
              <w:r>
                <w:rPr>
                  <w:rFonts w:ascii="Times New Roman" w:cs="Times New Roman" w:eastAsia="Times New Roman" w:hAnsi="Times New Roman"/>
                  <w:sz w:val="10"/>
                  <w:szCs w:val="10"/>
                  <w:color w:val="0000FF"/>
                </w:rPr>
                <w:t>Unaudited Condensed Balance Sheets as of March 31, 2024 and September 30, 2022</w:t>
              </w:r>
            </w:hyperlink>
          </w:p>
        </w:tc>
        <w:tc>
          <w:tcPr>
            <w:tcW w:w="2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F-86</w:t>
            </w:r>
          </w:p>
        </w:tc>
        <w:tc>
          <w:tcPr>
            <w:tcW w:w="0" w:type="dxa"/>
            <w:vAlign w:val="bottom"/>
          </w:tcPr>
          <w:p>
            <w:pPr>
              <w:spacing w:after="0"/>
              <w:rPr>
                <w:sz w:val="1"/>
                <w:szCs w:val="1"/>
                <w:color w:val="auto"/>
              </w:rPr>
            </w:pPr>
          </w:p>
        </w:tc>
      </w:tr>
      <w:tr>
        <w:trPr>
          <w:trHeight w:val="20"/>
        </w:trPr>
        <w:tc>
          <w:tcPr>
            <w:tcW w:w="3300" w:type="dxa"/>
            <w:vAlign w:val="bottom"/>
            <w:gridSpan w:val="10"/>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F-87</w:t>
            </w:r>
          </w:p>
        </w:tc>
        <w:tc>
          <w:tcPr>
            <w:tcW w:w="0" w:type="dxa"/>
            <w:vAlign w:val="bottom"/>
          </w:tcPr>
          <w:p>
            <w:pPr>
              <w:spacing w:after="0" w:line="20" w:lineRule="exact"/>
              <w:rPr>
                <w:sz w:val="1"/>
                <w:szCs w:val="1"/>
                <w:color w:val="auto"/>
              </w:rPr>
            </w:pPr>
          </w:p>
        </w:tc>
      </w:tr>
      <w:tr>
        <w:trPr>
          <w:trHeight w:val="93"/>
        </w:trPr>
        <w:tc>
          <w:tcPr>
            <w:tcW w:w="4280" w:type="dxa"/>
            <w:vAlign w:val="bottom"/>
            <w:tcBorders>
              <w:bottom w:val="single" w:sz="8" w:color="0000FF"/>
            </w:tcBorders>
            <w:gridSpan w:val="16"/>
          </w:tcPr>
          <w:p>
            <w:pPr>
              <w:spacing w:after="0" w:line="93" w:lineRule="exact"/>
              <w:rPr>
                <w:rFonts w:ascii="Times New Roman" w:cs="Times New Roman" w:eastAsia="Times New Roman" w:hAnsi="Times New Roman"/>
                <w:sz w:val="10"/>
                <w:szCs w:val="10"/>
                <w:color w:val="0000FF"/>
                <w:w w:val="96"/>
              </w:rPr>
            </w:pPr>
            <w:hyperlink w:anchor="page216">
              <w:r>
                <w:rPr>
                  <w:rFonts w:ascii="Times New Roman" w:cs="Times New Roman" w:eastAsia="Times New Roman" w:hAnsi="Times New Roman"/>
                  <w:sz w:val="10"/>
                  <w:szCs w:val="10"/>
                  <w:color w:val="0000FF"/>
                  <w:w w:val="96"/>
                </w:rPr>
                <w:t>Unaudited Condensed Statements of Operations for the three and six months-ended March 31, 2024 and 2023</w:t>
              </w:r>
            </w:hyperlink>
          </w:p>
        </w:tc>
        <w:tc>
          <w:tcPr>
            <w:tcW w:w="4280" w:type="dxa"/>
            <w:vAlign w:val="bottom"/>
            <w:gridSpan w:val="6"/>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5160" w:type="dxa"/>
            <w:vAlign w:val="bottom"/>
            <w:tcBorders>
              <w:bottom w:val="single" w:sz="8" w:color="0000FF"/>
            </w:tcBorders>
            <w:gridSpan w:val="20"/>
          </w:tcPr>
          <w:p>
            <w:pPr>
              <w:spacing w:after="0" w:line="93" w:lineRule="exact"/>
              <w:rPr>
                <w:rFonts w:ascii="Times New Roman" w:cs="Times New Roman" w:eastAsia="Times New Roman" w:hAnsi="Times New Roman"/>
                <w:sz w:val="10"/>
                <w:szCs w:val="10"/>
                <w:color w:val="0000FF"/>
                <w:w w:val="97"/>
              </w:rPr>
            </w:pPr>
            <w:hyperlink w:anchor="page217">
              <w:r>
                <w:rPr>
                  <w:rFonts w:ascii="Times New Roman" w:cs="Times New Roman" w:eastAsia="Times New Roman" w:hAnsi="Times New Roman"/>
                  <w:sz w:val="10"/>
                  <w:szCs w:val="10"/>
                  <w:color w:val="0000FF"/>
                  <w:w w:val="97"/>
                </w:rPr>
                <w:t>Unaudited Condensed Statements of Changes in Stockholders’ Deficit for the three and six months-ended March 31, 2024 and 2023</w:t>
              </w:r>
            </w:hyperlink>
          </w:p>
        </w:tc>
        <w:tc>
          <w:tcPr>
            <w:tcW w:w="3400" w:type="dxa"/>
            <w:vAlign w:val="bottom"/>
            <w:gridSpan w:val="2"/>
          </w:tcPr>
          <w:p>
            <w:pPr>
              <w:spacing w:after="0"/>
              <w:rPr>
                <w:sz w:val="8"/>
                <w:szCs w:val="8"/>
                <w:color w:val="auto"/>
              </w:rPr>
            </w:pPr>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F-88</w:t>
            </w:r>
          </w:p>
        </w:tc>
        <w:tc>
          <w:tcPr>
            <w:tcW w:w="0" w:type="dxa"/>
            <w:vAlign w:val="bottom"/>
          </w:tcPr>
          <w:p>
            <w:pPr>
              <w:spacing w:after="0"/>
              <w:rPr>
                <w:sz w:val="1"/>
                <w:szCs w:val="1"/>
                <w:color w:val="auto"/>
              </w:rPr>
            </w:pPr>
          </w:p>
        </w:tc>
      </w:tr>
      <w:tr>
        <w:trPr>
          <w:trHeight w:val="93"/>
        </w:trPr>
        <w:tc>
          <w:tcPr>
            <w:tcW w:w="3920" w:type="dxa"/>
            <w:vAlign w:val="bottom"/>
            <w:tcBorders>
              <w:bottom w:val="single" w:sz="8" w:color="0000FF"/>
            </w:tcBorders>
            <w:gridSpan w:val="13"/>
          </w:tcPr>
          <w:p>
            <w:pPr>
              <w:spacing w:after="0" w:line="93" w:lineRule="exact"/>
              <w:rPr>
                <w:rFonts w:ascii="Times New Roman" w:cs="Times New Roman" w:eastAsia="Times New Roman" w:hAnsi="Times New Roman"/>
                <w:sz w:val="10"/>
                <w:szCs w:val="10"/>
                <w:color w:val="0000FF"/>
                <w:w w:val="96"/>
              </w:rPr>
            </w:pPr>
            <w:hyperlink w:anchor="page218">
              <w:r>
                <w:rPr>
                  <w:rFonts w:ascii="Times New Roman" w:cs="Times New Roman" w:eastAsia="Times New Roman" w:hAnsi="Times New Roman"/>
                  <w:sz w:val="10"/>
                  <w:szCs w:val="10"/>
                  <w:color w:val="0000FF"/>
                  <w:w w:val="96"/>
                </w:rPr>
                <w:t>Unaudited Condensed Statements of Cash Flows for the six months ended March 31, 2024 and 2023</w:t>
              </w:r>
            </w:hyperlink>
          </w:p>
        </w:tc>
        <w:tc>
          <w:tcPr>
            <w:tcW w:w="4640" w:type="dxa"/>
            <w:vAlign w:val="bottom"/>
            <w:gridSpan w:val="9"/>
          </w:tcPr>
          <w:p>
            <w:pPr>
              <w:spacing w:after="0"/>
              <w:rPr>
                <w:sz w:val="8"/>
                <w:szCs w:val="8"/>
                <w:color w:val="auto"/>
              </w:rPr>
            </w:pPr>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F-89</w:t>
            </w:r>
          </w:p>
        </w:tc>
        <w:tc>
          <w:tcPr>
            <w:tcW w:w="0" w:type="dxa"/>
            <w:vAlign w:val="bottom"/>
          </w:tcPr>
          <w:p>
            <w:pPr>
              <w:spacing w:after="0"/>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219">
              <w:r>
                <w:rPr>
                  <w:rFonts w:ascii="Times New Roman" w:cs="Times New Roman" w:eastAsia="Times New Roman" w:hAnsi="Times New Roman"/>
                  <w:sz w:val="10"/>
                  <w:szCs w:val="10"/>
                  <w:color w:val="0000FF"/>
                </w:rPr>
                <w:t>Notes to Unaudited Condensed Financial Statements</w:t>
              </w:r>
            </w:hyperlink>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F-90</w:t>
            </w:r>
          </w:p>
        </w:tc>
        <w:tc>
          <w:tcPr>
            <w:tcW w:w="0" w:type="dxa"/>
            <w:vAlign w:val="bottom"/>
          </w:tcPr>
          <w:p>
            <w:pPr>
              <w:spacing w:after="0"/>
              <w:rPr>
                <w:sz w:val="1"/>
                <w:szCs w:val="1"/>
                <w:color w:val="auto"/>
              </w:rPr>
            </w:pPr>
          </w:p>
        </w:tc>
      </w:tr>
      <w:tr>
        <w:trPr>
          <w:trHeight w:val="345"/>
        </w:trPr>
        <w:tc>
          <w:tcPr>
            <w:tcW w:w="11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gridSpan w:val="2"/>
          </w:tcPr>
          <w:p>
            <w:pPr>
              <w:jc w:val="center"/>
              <w:ind w:right="3100"/>
              <w:spacing w:after="0"/>
              <w:rPr>
                <w:sz w:val="20"/>
                <w:szCs w:val="20"/>
                <w:color w:val="auto"/>
              </w:rPr>
            </w:pPr>
            <w:r>
              <w:rPr>
                <w:rFonts w:ascii="Times New Roman" w:cs="Times New Roman" w:eastAsia="Times New Roman" w:hAnsi="Times New Roman"/>
                <w:sz w:val="10"/>
                <w:szCs w:val="10"/>
                <w:color w:val="auto"/>
              </w:rPr>
              <w:t>F-1</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116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2140" w:type="dxa"/>
            <w:vAlign w:val="bottom"/>
            <w:tcBorders>
              <w:bottom w:val="single" w:sz="8" w:color="EEEEEE"/>
            </w:tcBorders>
          </w:tcPr>
          <w:p>
            <w:pPr>
              <w:spacing w:after="0"/>
              <w:rPr>
                <w:sz w:val="24"/>
                <w:szCs w:val="24"/>
                <w:color w:val="auto"/>
              </w:rPr>
            </w:pPr>
          </w:p>
        </w:tc>
        <w:tc>
          <w:tcPr>
            <w:tcW w:w="206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78625" cy="34925"/>
                    </a:xfrm>
                    <a:prstGeom prst="rect">
                      <a:avLst/>
                    </a:prstGeom>
                    <a:noFill/>
                  </pic:spPr>
                </pic:pic>
              </a:graphicData>
            </a:graphic>
          </wp:anchor>
        </w:drawing>
        <w:drawing>
          <wp:anchor simplePos="0" relativeHeight="251657728" behindDoc="1" locked="0" layoutInCell="0" allowOverlap="1">
            <wp:simplePos x="0" y="0"/>
            <wp:positionH relativeFrom="column">
              <wp:posOffset>2879725</wp:posOffset>
            </wp:positionH>
            <wp:positionV relativeFrom="paragraph">
              <wp:posOffset>-3266440</wp:posOffset>
            </wp:positionV>
            <wp:extent cx="14605" cy="50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605" cy="508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-2980690</wp:posOffset>
            </wp:positionV>
            <wp:extent cx="14605" cy="50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605" cy="5080"/>
                    </a:xfrm>
                    <a:prstGeom prst="rect">
                      <a:avLst/>
                    </a:prstGeom>
                    <a:noFill/>
                  </pic:spPr>
                </pic:pic>
              </a:graphicData>
            </a:graphic>
          </wp:anchor>
        </w:drawing>
        <w:drawing>
          <wp:anchor simplePos="0" relativeHeight="251657728" behindDoc="1" locked="0" layoutInCell="0" allowOverlap="1">
            <wp:simplePos x="0" y="0"/>
            <wp:positionH relativeFrom="column">
              <wp:posOffset>1227455</wp:posOffset>
            </wp:positionH>
            <wp:positionV relativeFrom="paragraph">
              <wp:posOffset>-2252345</wp:posOffset>
            </wp:positionV>
            <wp:extent cx="14605" cy="50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605" cy="5080"/>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0"/>
          <w:szCs w:val="10"/>
          <w:b w:val="1"/>
          <w:bCs w:val="1"/>
          <w:color w:val="auto"/>
        </w:rPr>
        <w:t>Unaudited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For the Three Month Periods Ended December 31, 2023</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540" w:type="dxa"/>
            <w:vAlign w:val="bottom"/>
            <w:tcBorders>
              <w:bottom w:val="single" w:sz="8" w:color="0000FF"/>
            </w:tcBorders>
            <w:gridSpan w:val="8"/>
          </w:tcPr>
          <w:p>
            <w:pPr>
              <w:spacing w:after="0"/>
              <w:rPr>
                <w:rFonts w:ascii="Times New Roman" w:cs="Times New Roman" w:eastAsia="Times New Roman" w:hAnsi="Times New Roman"/>
                <w:sz w:val="10"/>
                <w:szCs w:val="10"/>
                <w:color w:val="0000FF"/>
                <w:w w:val="97"/>
              </w:rPr>
            </w:pPr>
            <w:hyperlink w:anchor="page236">
              <w:r>
                <w:rPr>
                  <w:rFonts w:ascii="Times New Roman" w:cs="Times New Roman" w:eastAsia="Times New Roman" w:hAnsi="Times New Roman"/>
                  <w:sz w:val="10"/>
                  <w:szCs w:val="10"/>
                  <w:color w:val="0000FF"/>
                  <w:w w:val="97"/>
                </w:rPr>
                <w:t>Condensed Balance Sheets as of December 31, 2023 (Unaudited) and September 30, 2022</w:t>
              </w:r>
            </w:hyperlink>
          </w:p>
        </w:tc>
        <w:tc>
          <w:tcPr>
            <w:tcW w:w="4800" w:type="dxa"/>
            <w:vAlign w:val="bottom"/>
            <w:gridSpan w:val="4"/>
          </w:tcPr>
          <w:p>
            <w:pPr>
              <w:spacing w:after="0"/>
              <w:rPr>
                <w:sz w:val="10"/>
                <w:szCs w:val="10"/>
                <w:color w:val="auto"/>
              </w:rPr>
            </w:pPr>
          </w:p>
        </w:tc>
        <w:tc>
          <w:tcPr>
            <w:tcW w:w="2280" w:type="dxa"/>
            <w:vAlign w:val="bottom"/>
          </w:tcPr>
          <w:p>
            <w:pPr>
              <w:ind w:left="2040"/>
              <w:spacing w:after="0"/>
              <w:rPr>
                <w:sz w:val="20"/>
                <w:szCs w:val="20"/>
                <w:color w:val="auto"/>
              </w:rPr>
            </w:pPr>
            <w:r>
              <w:rPr>
                <w:rFonts w:ascii="Times New Roman" w:cs="Times New Roman" w:eastAsia="Times New Roman" w:hAnsi="Times New Roman"/>
                <w:sz w:val="10"/>
                <w:szCs w:val="10"/>
                <w:color w:val="auto"/>
                <w:w w:val="91"/>
              </w:rPr>
              <w:t>F-107</w:t>
            </w:r>
          </w:p>
        </w:tc>
        <w:tc>
          <w:tcPr>
            <w:tcW w:w="0" w:type="dxa"/>
            <w:vAlign w:val="bottom"/>
          </w:tcPr>
          <w:p>
            <w:pPr>
              <w:spacing w:after="0"/>
              <w:rPr>
                <w:sz w:val="1"/>
                <w:szCs w:val="1"/>
                <w:color w:val="auto"/>
              </w:rPr>
            </w:pPr>
          </w:p>
        </w:tc>
      </w:tr>
      <w:tr>
        <w:trPr>
          <w:trHeight w:val="93"/>
        </w:trPr>
        <w:tc>
          <w:tcPr>
            <w:tcW w:w="4540" w:type="dxa"/>
            <w:vAlign w:val="bottom"/>
            <w:tcBorders>
              <w:bottom w:val="single" w:sz="8" w:color="0000FF"/>
            </w:tcBorders>
            <w:gridSpan w:val="10"/>
          </w:tcPr>
          <w:p>
            <w:pPr>
              <w:spacing w:after="0" w:line="93" w:lineRule="exact"/>
              <w:rPr>
                <w:rFonts w:ascii="Times New Roman" w:cs="Times New Roman" w:eastAsia="Times New Roman" w:hAnsi="Times New Roman"/>
                <w:sz w:val="10"/>
                <w:szCs w:val="10"/>
                <w:color w:val="0000FF"/>
                <w:w w:val="97"/>
              </w:rPr>
            </w:pPr>
            <w:hyperlink w:anchor="page237">
              <w:r>
                <w:rPr>
                  <w:rFonts w:ascii="Times New Roman" w:cs="Times New Roman" w:eastAsia="Times New Roman" w:hAnsi="Times New Roman"/>
                  <w:sz w:val="10"/>
                  <w:szCs w:val="10"/>
                  <w:color w:val="0000FF"/>
                  <w:w w:val="97"/>
                </w:rPr>
                <w:t>Condensed Statements of Operations for the three and nine months ended December 31, 2023 and 2022 (Unaudited)</w:t>
              </w:r>
            </w:hyperlink>
          </w:p>
        </w:tc>
        <w:tc>
          <w:tcPr>
            <w:tcW w:w="3800" w:type="dxa"/>
            <w:vAlign w:val="bottom"/>
            <w:gridSpan w:val="2"/>
          </w:tcPr>
          <w:p>
            <w:pPr>
              <w:spacing w:after="0"/>
              <w:rPr>
                <w:sz w:val="8"/>
                <w:szCs w:val="8"/>
                <w:color w:val="auto"/>
              </w:rPr>
            </w:pPr>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F-108</w:t>
            </w:r>
          </w:p>
        </w:tc>
        <w:tc>
          <w:tcPr>
            <w:tcW w:w="0" w:type="dxa"/>
            <w:vAlign w:val="bottom"/>
          </w:tcPr>
          <w:p>
            <w:pPr>
              <w:spacing w:after="0"/>
              <w:rPr>
                <w:sz w:val="1"/>
                <w:szCs w:val="1"/>
                <w:color w:val="auto"/>
              </w:rPr>
            </w:pPr>
          </w:p>
        </w:tc>
      </w:tr>
      <w:tr>
        <w:trPr>
          <w:trHeight w:val="93"/>
        </w:trPr>
        <w:tc>
          <w:tcPr>
            <w:tcW w:w="8340" w:type="dxa"/>
            <w:vAlign w:val="bottom"/>
            <w:gridSpan w:val="12"/>
          </w:tcPr>
          <w:p>
            <w:pPr>
              <w:spacing w:after="0" w:line="93" w:lineRule="exact"/>
              <w:rPr>
                <w:rFonts w:ascii="Times New Roman" w:cs="Times New Roman" w:eastAsia="Times New Roman" w:hAnsi="Times New Roman"/>
                <w:sz w:val="10"/>
                <w:szCs w:val="10"/>
                <w:color w:val="0000FF"/>
              </w:rPr>
            </w:pPr>
            <w:hyperlink w:anchor="page238">
              <w:r>
                <w:rPr>
                  <w:rFonts w:ascii="Times New Roman" w:cs="Times New Roman" w:eastAsia="Times New Roman" w:hAnsi="Times New Roman"/>
                  <w:sz w:val="10"/>
                  <w:szCs w:val="10"/>
                  <w:color w:val="0000FF"/>
                </w:rPr>
                <w:t>Condensed Statements of Changes in Stockholders’ Deficit for the three months ended December 31, 2023 and 2022 (Unaudited)</w:t>
              </w:r>
            </w:hyperlink>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F-109</w:t>
            </w:r>
          </w:p>
        </w:tc>
        <w:tc>
          <w:tcPr>
            <w:tcW w:w="0" w:type="dxa"/>
            <w:vAlign w:val="bottom"/>
          </w:tcPr>
          <w:p>
            <w:pPr>
              <w:spacing w:after="0"/>
              <w:rPr>
                <w:sz w:val="1"/>
                <w:szCs w:val="1"/>
                <w:color w:val="auto"/>
              </w:rPr>
            </w:pPr>
          </w:p>
        </w:tc>
      </w:tr>
      <w:tr>
        <w:trPr>
          <w:trHeight w:val="93"/>
        </w:trPr>
        <w:tc>
          <w:tcPr>
            <w:tcW w:w="5040" w:type="dxa"/>
            <w:vAlign w:val="bottom"/>
            <w:tcBorders>
              <w:top w:val="single" w:sz="8" w:color="0000FF"/>
            </w:tcBorders>
            <w:gridSpan w:val="11"/>
          </w:tcPr>
          <w:p>
            <w:pPr>
              <w:spacing w:after="0" w:line="93" w:lineRule="exact"/>
              <w:rPr>
                <w:rFonts w:ascii="Times New Roman" w:cs="Times New Roman" w:eastAsia="Times New Roman" w:hAnsi="Times New Roman"/>
                <w:sz w:val="10"/>
                <w:szCs w:val="10"/>
                <w:color w:val="0000FF"/>
              </w:rPr>
            </w:pPr>
            <w:hyperlink w:anchor="page239">
              <w:r>
                <w:rPr>
                  <w:rFonts w:ascii="Times New Roman" w:cs="Times New Roman" w:eastAsia="Times New Roman" w:hAnsi="Times New Roman"/>
                  <w:sz w:val="10"/>
                  <w:szCs w:val="10"/>
                  <w:color w:val="0000FF"/>
                </w:rPr>
                <w:t>Condensed Statements of Cash Flows for the nine months ended December 31, 2023 and 2022 (Unaudited)</w:t>
              </w:r>
            </w:hyperlink>
          </w:p>
        </w:tc>
        <w:tc>
          <w:tcPr>
            <w:tcW w:w="3300" w:type="dxa"/>
            <w:vAlign w:val="bottom"/>
          </w:tcPr>
          <w:p>
            <w:pPr>
              <w:spacing w:after="0"/>
              <w:rPr>
                <w:sz w:val="8"/>
                <w:szCs w:val="8"/>
                <w:color w:val="auto"/>
              </w:rPr>
            </w:pPr>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F-110</w:t>
            </w:r>
          </w:p>
        </w:tc>
        <w:tc>
          <w:tcPr>
            <w:tcW w:w="0" w:type="dxa"/>
            <w:vAlign w:val="bottom"/>
          </w:tcPr>
          <w:p>
            <w:pPr>
              <w:spacing w:after="0"/>
              <w:rPr>
                <w:sz w:val="1"/>
                <w:szCs w:val="1"/>
                <w:color w:val="auto"/>
              </w:rPr>
            </w:pPr>
          </w:p>
        </w:tc>
      </w:tr>
      <w:tr>
        <w:trPr>
          <w:trHeight w:val="93"/>
        </w:trPr>
        <w:tc>
          <w:tcPr>
            <w:tcW w:w="4180" w:type="dxa"/>
            <w:vAlign w:val="bottom"/>
            <w:tcBorders>
              <w:top w:val="single" w:sz="8" w:color="0000FF"/>
            </w:tcBorders>
            <w:gridSpan w:val="9"/>
          </w:tcPr>
          <w:p>
            <w:pPr>
              <w:spacing w:after="0" w:line="93" w:lineRule="exact"/>
              <w:rPr>
                <w:rFonts w:ascii="Times New Roman" w:cs="Times New Roman" w:eastAsia="Times New Roman" w:hAnsi="Times New Roman"/>
                <w:sz w:val="10"/>
                <w:szCs w:val="10"/>
                <w:color w:val="0000FF"/>
              </w:rPr>
            </w:pPr>
            <w:hyperlink w:anchor="page240">
              <w:r>
                <w:rPr>
                  <w:rFonts w:ascii="Times New Roman" w:cs="Times New Roman" w:eastAsia="Times New Roman" w:hAnsi="Times New Roman"/>
                  <w:sz w:val="10"/>
                  <w:szCs w:val="10"/>
                  <w:color w:val="0000FF"/>
                </w:rPr>
                <w:t>Notes to Unaudited Condensed Financial Statements</w:t>
              </w:r>
            </w:hyperlink>
          </w:p>
        </w:tc>
        <w:tc>
          <w:tcPr>
            <w:tcW w:w="4160" w:type="dxa"/>
            <w:vAlign w:val="bottom"/>
            <w:gridSpan w:val="3"/>
          </w:tcPr>
          <w:p>
            <w:pPr>
              <w:spacing w:after="0"/>
              <w:rPr>
                <w:sz w:val="8"/>
                <w:szCs w:val="8"/>
                <w:color w:val="auto"/>
              </w:rPr>
            </w:pPr>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F-111</w:t>
            </w:r>
          </w:p>
        </w:tc>
        <w:tc>
          <w:tcPr>
            <w:tcW w:w="0" w:type="dxa"/>
            <w:vAlign w:val="bottom"/>
          </w:tcPr>
          <w:p>
            <w:pPr>
              <w:spacing w:after="0"/>
              <w:rPr>
                <w:sz w:val="1"/>
                <w:szCs w:val="1"/>
                <w:color w:val="auto"/>
              </w:rPr>
            </w:pPr>
          </w:p>
        </w:tc>
      </w:tr>
      <w:tr>
        <w:trPr>
          <w:trHeight w:val="221"/>
        </w:trPr>
        <w:tc>
          <w:tcPr>
            <w:tcW w:w="60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0" w:type="dxa"/>
            <w:vAlign w:val="bottom"/>
            <w:gridSpan w:val="2"/>
          </w:tcPr>
          <w:p>
            <w:pPr>
              <w:jc w:val="center"/>
              <w:ind w:right="2231"/>
              <w:spacing w:after="0"/>
              <w:rPr>
                <w:sz w:val="20"/>
                <w:szCs w:val="20"/>
                <w:color w:val="auto"/>
              </w:rPr>
            </w:pPr>
            <w:r>
              <w:rPr>
                <w:rFonts w:ascii="Times New Roman" w:cs="Times New Roman" w:eastAsia="Times New Roman" w:hAnsi="Times New Roman"/>
                <w:sz w:val="10"/>
                <w:szCs w:val="10"/>
                <w:b w:val="1"/>
                <w:bCs w:val="1"/>
                <w:color w:val="auto"/>
                <w:w w:val="98"/>
              </w:rPr>
              <w:t>Financial Statements</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160" w:type="dxa"/>
            <w:vAlign w:val="bottom"/>
            <w:gridSpan w:val="3"/>
          </w:tcPr>
          <w:p>
            <w:pPr>
              <w:jc w:val="center"/>
              <w:ind w:right="1871"/>
              <w:spacing w:after="0"/>
              <w:rPr>
                <w:sz w:val="20"/>
                <w:szCs w:val="20"/>
                <w:color w:val="auto"/>
              </w:rPr>
            </w:pPr>
            <w:r>
              <w:rPr>
                <w:rFonts w:ascii="Times New Roman" w:cs="Times New Roman" w:eastAsia="Times New Roman" w:hAnsi="Times New Roman"/>
                <w:sz w:val="10"/>
                <w:szCs w:val="10"/>
                <w:color w:val="auto"/>
                <w:w w:val="97"/>
              </w:rPr>
              <w:t>For the years ended September 30, 2023 and 2022</w:t>
            </w: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8340" w:type="dxa"/>
            <w:vAlign w:val="bottom"/>
            <w:gridSpan w:val="12"/>
          </w:tcPr>
          <w:p>
            <w:pPr>
              <w:spacing w:after="0"/>
              <w:rPr>
                <w:rFonts w:ascii="Times New Roman" w:cs="Times New Roman" w:eastAsia="Times New Roman" w:hAnsi="Times New Roman"/>
                <w:sz w:val="10"/>
                <w:szCs w:val="10"/>
                <w:color w:val="0000FF"/>
              </w:rPr>
            </w:pPr>
            <w:hyperlink w:anchor="page257">
              <w:r>
                <w:rPr>
                  <w:rFonts w:ascii="Times New Roman" w:cs="Times New Roman" w:eastAsia="Times New Roman" w:hAnsi="Times New Roman"/>
                  <w:sz w:val="10"/>
                  <w:szCs w:val="10"/>
                  <w:color w:val="0000FF"/>
                </w:rPr>
                <w:t xml:space="preserve">Report of Independent Registered Public Accounting Firm </w:t>
              </w:r>
            </w:hyperlink>
            <w:r>
              <w:rPr>
                <w:rFonts w:ascii="Times New Roman" w:cs="Times New Roman" w:eastAsia="Times New Roman" w:hAnsi="Times New Roman"/>
                <w:sz w:val="10"/>
                <w:szCs w:val="10"/>
                <w:color w:val="000000"/>
              </w:rPr>
              <w:t>(PCAOB</w:t>
            </w:r>
            <w:r>
              <w:rPr>
                <w:rFonts w:ascii="Times New Roman" w:cs="Times New Roman" w:eastAsia="Times New Roman" w:hAnsi="Times New Roman"/>
                <w:sz w:val="10"/>
                <w:szCs w:val="10"/>
                <w:color w:val="0000FF"/>
              </w:rPr>
              <w:t xml:space="preserve"> </w:t>
            </w:r>
            <w:r>
              <w:rPr>
                <w:rFonts w:ascii="Times New Roman" w:cs="Times New Roman" w:eastAsia="Times New Roman" w:hAnsi="Times New Roman"/>
                <w:sz w:val="10"/>
                <w:szCs w:val="10"/>
                <w:color w:val="000000"/>
              </w:rPr>
              <w:t>ID#688)</w:t>
            </w:r>
          </w:p>
        </w:tc>
        <w:tc>
          <w:tcPr>
            <w:tcW w:w="2280" w:type="dxa"/>
            <w:vAlign w:val="bottom"/>
          </w:tcPr>
          <w:p>
            <w:pPr>
              <w:ind w:left="2040"/>
              <w:spacing w:after="0"/>
              <w:rPr>
                <w:sz w:val="20"/>
                <w:szCs w:val="20"/>
                <w:color w:val="auto"/>
              </w:rPr>
            </w:pPr>
            <w:r>
              <w:rPr>
                <w:rFonts w:ascii="Times New Roman" w:cs="Times New Roman" w:eastAsia="Times New Roman" w:hAnsi="Times New Roman"/>
                <w:sz w:val="10"/>
                <w:szCs w:val="10"/>
                <w:color w:val="auto"/>
                <w:w w:val="91"/>
              </w:rPr>
              <w:t>F-128</w:t>
            </w:r>
          </w:p>
        </w:tc>
        <w:tc>
          <w:tcPr>
            <w:tcW w:w="0" w:type="dxa"/>
            <w:vAlign w:val="bottom"/>
          </w:tcPr>
          <w:p>
            <w:pPr>
              <w:spacing w:after="0"/>
              <w:rPr>
                <w:sz w:val="1"/>
                <w:szCs w:val="1"/>
                <w:color w:val="auto"/>
              </w:rPr>
            </w:pPr>
          </w:p>
        </w:tc>
      </w:tr>
      <w:tr>
        <w:trPr>
          <w:trHeight w:val="93"/>
        </w:trPr>
        <w:tc>
          <w:tcPr>
            <w:tcW w:w="600" w:type="dxa"/>
            <w:vAlign w:val="bottom"/>
            <w:tcBorders>
              <w:top w:val="single" w:sz="8" w:color="0000FF"/>
              <w:bottom w:val="single" w:sz="8" w:color="0000FF"/>
            </w:tcBorders>
          </w:tcPr>
          <w:p>
            <w:pPr>
              <w:spacing w:after="0" w:line="93" w:lineRule="exact"/>
              <w:rPr>
                <w:rFonts w:ascii="Times New Roman" w:cs="Times New Roman" w:eastAsia="Times New Roman" w:hAnsi="Times New Roman"/>
                <w:sz w:val="10"/>
                <w:szCs w:val="10"/>
                <w:color w:val="0000FF"/>
                <w:w w:val="95"/>
              </w:rPr>
            </w:pPr>
            <w:hyperlink w:anchor="page258">
              <w:r>
                <w:rPr>
                  <w:rFonts w:ascii="Times New Roman" w:cs="Times New Roman" w:eastAsia="Times New Roman" w:hAnsi="Times New Roman"/>
                  <w:sz w:val="10"/>
                  <w:szCs w:val="10"/>
                  <w:color w:val="0000FF"/>
                  <w:w w:val="95"/>
                </w:rPr>
                <w:t>Balance Sheets</w:t>
              </w:r>
            </w:hyperlink>
          </w:p>
        </w:tc>
        <w:tc>
          <w:tcPr>
            <w:tcW w:w="1680" w:type="dxa"/>
            <w:vAlign w:val="bottom"/>
            <w:tcBorders>
              <w:top w:val="single" w:sz="8" w:color="0000FF"/>
            </w:tcBorders>
            <w:gridSpan w:val="6"/>
          </w:tcPr>
          <w:p>
            <w:pPr>
              <w:spacing w:after="0"/>
              <w:rPr>
                <w:sz w:val="8"/>
                <w:szCs w:val="8"/>
                <w:color w:val="auto"/>
              </w:rPr>
            </w:pPr>
          </w:p>
        </w:tc>
        <w:tc>
          <w:tcPr>
            <w:tcW w:w="6060" w:type="dxa"/>
            <w:vAlign w:val="bottom"/>
            <w:gridSpan w:val="5"/>
          </w:tcPr>
          <w:p>
            <w:pPr>
              <w:spacing w:after="0"/>
              <w:rPr>
                <w:sz w:val="8"/>
                <w:szCs w:val="8"/>
                <w:color w:val="auto"/>
              </w:rPr>
            </w:pPr>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F-129</w:t>
            </w:r>
          </w:p>
        </w:tc>
        <w:tc>
          <w:tcPr>
            <w:tcW w:w="0" w:type="dxa"/>
            <w:vAlign w:val="bottom"/>
          </w:tcPr>
          <w:p>
            <w:pPr>
              <w:spacing w:after="0"/>
              <w:rPr>
                <w:sz w:val="1"/>
                <w:szCs w:val="1"/>
                <w:color w:val="auto"/>
              </w:rPr>
            </w:pPr>
          </w:p>
        </w:tc>
      </w:tr>
      <w:tr>
        <w:trPr>
          <w:trHeight w:val="93"/>
        </w:trPr>
        <w:tc>
          <w:tcPr>
            <w:tcW w:w="8340" w:type="dxa"/>
            <w:vAlign w:val="bottom"/>
            <w:gridSpan w:val="12"/>
          </w:tcPr>
          <w:p>
            <w:pPr>
              <w:spacing w:after="0" w:line="93" w:lineRule="exact"/>
              <w:rPr>
                <w:rFonts w:ascii="Times New Roman" w:cs="Times New Roman" w:eastAsia="Times New Roman" w:hAnsi="Times New Roman"/>
                <w:sz w:val="10"/>
                <w:szCs w:val="10"/>
                <w:color w:val="0000FF"/>
              </w:rPr>
            </w:pPr>
            <w:hyperlink w:anchor="page259">
              <w:r>
                <w:rPr>
                  <w:rFonts w:ascii="Times New Roman" w:cs="Times New Roman" w:eastAsia="Times New Roman" w:hAnsi="Times New Roman"/>
                  <w:sz w:val="10"/>
                  <w:szCs w:val="10"/>
                  <w:color w:val="0000FF"/>
                </w:rPr>
                <w:t>Statements of Operations</w:t>
              </w:r>
            </w:hyperlink>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F-130</w:t>
            </w: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140" w:type="dxa"/>
            <w:vAlign w:val="bottom"/>
            <w:gridSpan w:val="6"/>
          </w:tcPr>
          <w:p>
            <w:pPr>
              <w:spacing w:after="0" w:line="20" w:lineRule="exact"/>
              <w:rPr>
                <w:sz w:val="1"/>
                <w:szCs w:val="1"/>
                <w:color w:val="auto"/>
              </w:rPr>
            </w:pPr>
          </w:p>
        </w:tc>
        <w:tc>
          <w:tcPr>
            <w:tcW w:w="2280" w:type="dxa"/>
            <w:vAlign w:val="bottom"/>
            <w:vMerge w:val="restart"/>
          </w:tcPr>
          <w:p>
            <w:pPr>
              <w:ind w:left="2040"/>
              <w:spacing w:after="0" w:line="113" w:lineRule="exact"/>
              <w:rPr>
                <w:sz w:val="20"/>
                <w:szCs w:val="20"/>
                <w:color w:val="auto"/>
              </w:rPr>
            </w:pPr>
            <w:r>
              <w:rPr>
                <w:rFonts w:ascii="Times New Roman" w:cs="Times New Roman" w:eastAsia="Times New Roman" w:hAnsi="Times New Roman"/>
                <w:sz w:val="10"/>
                <w:szCs w:val="10"/>
                <w:color w:val="auto"/>
                <w:w w:val="91"/>
              </w:rPr>
              <w:t>F-131</w:t>
            </w:r>
          </w:p>
        </w:tc>
        <w:tc>
          <w:tcPr>
            <w:tcW w:w="0" w:type="dxa"/>
            <w:vAlign w:val="bottom"/>
          </w:tcPr>
          <w:p>
            <w:pPr>
              <w:spacing w:after="0" w:line="20" w:lineRule="exact"/>
              <w:rPr>
                <w:sz w:val="1"/>
                <w:szCs w:val="1"/>
                <w:color w:val="auto"/>
              </w:rPr>
            </w:pPr>
          </w:p>
        </w:tc>
      </w:tr>
      <w:tr>
        <w:trPr>
          <w:trHeight w:val="93"/>
        </w:trPr>
        <w:tc>
          <w:tcPr>
            <w:tcW w:w="8340" w:type="dxa"/>
            <w:vAlign w:val="bottom"/>
            <w:gridSpan w:val="12"/>
          </w:tcPr>
          <w:p>
            <w:pPr>
              <w:spacing w:after="0" w:line="93" w:lineRule="exact"/>
              <w:rPr>
                <w:rFonts w:ascii="Times New Roman" w:cs="Times New Roman" w:eastAsia="Times New Roman" w:hAnsi="Times New Roman"/>
                <w:sz w:val="10"/>
                <w:szCs w:val="10"/>
                <w:color w:val="0000FF"/>
              </w:rPr>
            </w:pPr>
            <w:hyperlink w:anchor="page260">
              <w:r>
                <w:rPr>
                  <w:rFonts w:ascii="Times New Roman" w:cs="Times New Roman" w:eastAsia="Times New Roman" w:hAnsi="Times New Roman"/>
                  <w:sz w:val="10"/>
                  <w:szCs w:val="10"/>
                  <w:color w:val="0000FF"/>
                </w:rPr>
                <w:t>Statements of Changes in Stockholders’ Equity (Deficit)</w:t>
              </w:r>
            </w:hyperlink>
          </w:p>
        </w:tc>
        <w:tc>
          <w:tcPr>
            <w:tcW w:w="2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020" w:type="dxa"/>
            <w:vAlign w:val="bottom"/>
            <w:tcBorders>
              <w:top w:val="single" w:sz="8" w:color="0000FF"/>
              <w:bottom w:val="single" w:sz="8" w:color="0000FF"/>
            </w:tcBorders>
            <w:gridSpan w:val="3"/>
          </w:tcPr>
          <w:p>
            <w:pPr>
              <w:spacing w:after="0" w:line="93" w:lineRule="exact"/>
              <w:rPr>
                <w:rFonts w:ascii="Times New Roman" w:cs="Times New Roman" w:eastAsia="Times New Roman" w:hAnsi="Times New Roman"/>
                <w:sz w:val="10"/>
                <w:szCs w:val="10"/>
                <w:color w:val="0000FF"/>
                <w:w w:val="95"/>
              </w:rPr>
            </w:pPr>
            <w:hyperlink w:anchor="page261">
              <w:r>
                <w:rPr>
                  <w:rFonts w:ascii="Times New Roman" w:cs="Times New Roman" w:eastAsia="Times New Roman" w:hAnsi="Times New Roman"/>
                  <w:sz w:val="10"/>
                  <w:szCs w:val="10"/>
                  <w:color w:val="0000FF"/>
                  <w:w w:val="95"/>
                </w:rPr>
                <w:t>Statements of Cash Flows</w:t>
              </w:r>
            </w:hyperlink>
          </w:p>
        </w:tc>
        <w:tc>
          <w:tcPr>
            <w:tcW w:w="1180" w:type="dxa"/>
            <w:vAlign w:val="bottom"/>
            <w:tcBorders>
              <w:top w:val="single" w:sz="8" w:color="0000FF"/>
            </w:tcBorders>
            <w:gridSpan w:val="3"/>
          </w:tcPr>
          <w:p>
            <w:pPr>
              <w:spacing w:after="0"/>
              <w:rPr>
                <w:sz w:val="8"/>
                <w:szCs w:val="8"/>
                <w:color w:val="auto"/>
              </w:rPr>
            </w:pPr>
          </w:p>
        </w:tc>
        <w:tc>
          <w:tcPr>
            <w:tcW w:w="6140" w:type="dxa"/>
            <w:vAlign w:val="bottom"/>
            <w:gridSpan w:val="6"/>
          </w:tcPr>
          <w:p>
            <w:pPr>
              <w:spacing w:after="0"/>
              <w:rPr>
                <w:sz w:val="8"/>
                <w:szCs w:val="8"/>
                <w:color w:val="auto"/>
              </w:rPr>
            </w:pPr>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F-132</w:t>
            </w:r>
          </w:p>
        </w:tc>
        <w:tc>
          <w:tcPr>
            <w:tcW w:w="0" w:type="dxa"/>
            <w:vAlign w:val="bottom"/>
          </w:tcPr>
          <w:p>
            <w:pPr>
              <w:spacing w:after="0"/>
              <w:rPr>
                <w:sz w:val="1"/>
                <w:szCs w:val="1"/>
                <w:color w:val="auto"/>
              </w:rPr>
            </w:pPr>
          </w:p>
        </w:tc>
      </w:tr>
      <w:tr>
        <w:trPr>
          <w:trHeight w:val="93"/>
        </w:trPr>
        <w:tc>
          <w:tcPr>
            <w:tcW w:w="8340" w:type="dxa"/>
            <w:vAlign w:val="bottom"/>
            <w:gridSpan w:val="12"/>
          </w:tcPr>
          <w:p>
            <w:pPr>
              <w:spacing w:after="0" w:line="93" w:lineRule="exact"/>
              <w:rPr>
                <w:rFonts w:ascii="Times New Roman" w:cs="Times New Roman" w:eastAsia="Times New Roman" w:hAnsi="Times New Roman"/>
                <w:sz w:val="10"/>
                <w:szCs w:val="10"/>
                <w:color w:val="0000FF"/>
              </w:rPr>
            </w:pPr>
            <w:hyperlink w:anchor="page262">
              <w:r>
                <w:rPr>
                  <w:rFonts w:ascii="Times New Roman" w:cs="Times New Roman" w:eastAsia="Times New Roman" w:hAnsi="Times New Roman"/>
                  <w:sz w:val="10"/>
                  <w:szCs w:val="10"/>
                  <w:color w:val="0000FF"/>
                </w:rPr>
                <w:t>Notes to Financial Statements</w:t>
              </w:r>
            </w:hyperlink>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F-133</w:t>
            </w:r>
          </w:p>
        </w:tc>
        <w:tc>
          <w:tcPr>
            <w:tcW w:w="0" w:type="dxa"/>
            <w:vAlign w:val="bottom"/>
          </w:tcPr>
          <w:p>
            <w:pPr>
              <w:spacing w:after="0"/>
              <w:rPr>
                <w:sz w:val="1"/>
                <w:szCs w:val="1"/>
                <w:color w:val="auto"/>
              </w:rPr>
            </w:pPr>
          </w:p>
        </w:tc>
      </w:tr>
      <w:tr>
        <w:trPr>
          <w:trHeight w:val="346"/>
        </w:trPr>
        <w:tc>
          <w:tcPr>
            <w:tcW w:w="6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00" w:type="dxa"/>
            <w:vAlign w:val="bottom"/>
          </w:tcPr>
          <w:p>
            <w:pPr>
              <w:jc w:val="center"/>
              <w:ind w:right="2711"/>
              <w:spacing w:after="0"/>
              <w:rPr>
                <w:sz w:val="20"/>
                <w:szCs w:val="20"/>
                <w:color w:val="auto"/>
              </w:rPr>
            </w:pPr>
            <w:r>
              <w:rPr>
                <w:rFonts w:ascii="Times New Roman" w:cs="Times New Roman" w:eastAsia="Times New Roman" w:hAnsi="Times New Roman"/>
                <w:sz w:val="10"/>
                <w:szCs w:val="10"/>
                <w:color w:val="auto"/>
              </w:rPr>
              <w:t>F-2</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0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3300" w:type="dxa"/>
            <w:vAlign w:val="bottom"/>
            <w:tcBorders>
              <w:bottom w:val="single" w:sz="8" w:color="EEEEEE"/>
            </w:tcBorders>
          </w:tcPr>
          <w:p>
            <w:pPr>
              <w:spacing w:after="0"/>
              <w:rPr>
                <w:sz w:val="24"/>
                <w:szCs w:val="24"/>
                <w:color w:val="auto"/>
              </w:rPr>
            </w:pPr>
          </w:p>
        </w:tc>
        <w:tc>
          <w:tcPr>
            <w:tcW w:w="22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3" w:right="64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Condensed Interim Carve-out Consolidated Balance Sheets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6600" w:type="dxa"/>
            <w:vAlign w:val="bottom"/>
          </w:tcPr>
          <w:p>
            <w:pPr>
              <w:spacing w:after="0"/>
              <w:rPr>
                <w:sz w:val="8"/>
                <w:szCs w:val="8"/>
                <w:color w:val="auto"/>
              </w:rPr>
            </w:pPr>
          </w:p>
        </w:tc>
        <w:tc>
          <w:tcPr>
            <w:tcW w:w="1320" w:type="dxa"/>
            <w:vAlign w:val="bottom"/>
          </w:tcPr>
          <w:p>
            <w:pPr>
              <w:jc w:val="center"/>
              <w:ind w:left="519"/>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920" w:type="dxa"/>
            <w:vAlign w:val="bottom"/>
            <w:gridSpan w:val="2"/>
          </w:tcPr>
          <w:p>
            <w:pPr>
              <w:jc w:val="right"/>
              <w:ind w:right="680"/>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8"/>
        </w:trPr>
        <w:tc>
          <w:tcPr>
            <w:tcW w:w="6600" w:type="dxa"/>
            <w:vAlign w:val="bottom"/>
          </w:tcPr>
          <w:p>
            <w:pPr>
              <w:spacing w:after="0"/>
              <w:rPr>
                <w:sz w:val="9"/>
                <w:szCs w:val="9"/>
                <w:color w:val="auto"/>
              </w:rPr>
            </w:pPr>
          </w:p>
        </w:tc>
        <w:tc>
          <w:tcPr>
            <w:tcW w:w="1320" w:type="dxa"/>
            <w:vAlign w:val="bottom"/>
          </w:tcPr>
          <w:p>
            <w:pPr>
              <w:jc w:val="center"/>
              <w:ind w:left="539"/>
              <w:spacing w:after="0"/>
              <w:rPr>
                <w:sz w:val="20"/>
                <w:szCs w:val="20"/>
                <w:color w:val="auto"/>
              </w:rPr>
            </w:pPr>
            <w:r>
              <w:rPr>
                <w:rFonts w:ascii="Times New Roman" w:cs="Times New Roman" w:eastAsia="Times New Roman" w:hAnsi="Times New Roman"/>
                <w:sz w:val="8"/>
                <w:szCs w:val="8"/>
                <w:b w:val="1"/>
                <w:bCs w:val="1"/>
                <w:i w:val="1"/>
                <w:iCs w:val="1"/>
                <w:color w:val="auto"/>
              </w:rPr>
              <w:t>(Unaudited)</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1"/>
        </w:trPr>
        <w:tc>
          <w:tcPr>
            <w:tcW w:w="7920" w:type="dxa"/>
            <w:vAlign w:val="bottom"/>
            <w:gridSpan w:val="2"/>
          </w:tcPr>
          <w:p>
            <w:pPr>
              <w:jc w:val="center"/>
              <w:ind w:left="7112"/>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jc w:val="right"/>
              <w:ind w:right="832"/>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assets</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60,298</w:t>
            </w:r>
          </w:p>
        </w:tc>
        <w:tc>
          <w:tcPr>
            <w:tcW w:w="220" w:type="dxa"/>
            <w:vAlign w:val="bottom"/>
            <w:shd w:val="clear" w:color="auto" w:fill="CFF0FC"/>
          </w:tcPr>
          <w:p>
            <w:pPr>
              <w:spacing w:after="0"/>
              <w:rPr>
                <w:sz w:val="9"/>
                <w:szCs w:val="9"/>
                <w:color w:val="auto"/>
              </w:rPr>
            </w:pPr>
          </w:p>
        </w:tc>
        <w:tc>
          <w:tcPr>
            <w:tcW w:w="1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10,441</w:t>
            </w: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Accounts receivable</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11,434</w:t>
            </w:r>
          </w:p>
        </w:tc>
        <w:tc>
          <w:tcPr>
            <w:tcW w:w="220" w:type="dxa"/>
            <w:vAlign w:val="bottom"/>
          </w:tcPr>
          <w:p>
            <w:pPr>
              <w:spacing w:after="0"/>
              <w:rPr>
                <w:sz w:val="9"/>
                <w:szCs w:val="9"/>
                <w:color w:val="auto"/>
              </w:rPr>
            </w:pP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12,534</w:t>
            </w: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Prepayments and other current assets</w:t>
            </w:r>
          </w:p>
        </w:tc>
        <w:tc>
          <w:tcPr>
            <w:tcW w:w="7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430,691</w:t>
            </w:r>
          </w:p>
        </w:tc>
        <w:tc>
          <w:tcPr>
            <w:tcW w:w="19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299,013</w:t>
            </w:r>
          </w:p>
        </w:tc>
      </w:tr>
      <w:tr>
        <w:trPr>
          <w:trHeight w:val="113"/>
        </w:trPr>
        <w:tc>
          <w:tcPr>
            <w:tcW w:w="79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78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502,423</w:t>
            </w:r>
          </w:p>
        </w:tc>
        <w:tc>
          <w:tcPr>
            <w:tcW w:w="192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321,988</w:t>
            </w:r>
          </w:p>
        </w:tc>
      </w:tr>
      <w:tr>
        <w:trPr>
          <w:trHeight w:val="113"/>
        </w:trPr>
        <w:tc>
          <w:tcPr>
            <w:tcW w:w="79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Non-current assets</w:t>
            </w: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Property and equipment, net</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61,542</w:t>
            </w:r>
          </w:p>
        </w:tc>
        <w:tc>
          <w:tcPr>
            <w:tcW w:w="220" w:type="dxa"/>
            <w:vAlign w:val="bottom"/>
          </w:tcPr>
          <w:p>
            <w:pPr>
              <w:spacing w:after="0"/>
              <w:rPr>
                <w:sz w:val="9"/>
                <w:szCs w:val="9"/>
                <w:color w:val="auto"/>
              </w:rPr>
            </w:pP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79,593</w:t>
            </w: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Intangible assets, net</w:t>
            </w: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3,396,489</w:t>
            </w:r>
          </w:p>
        </w:tc>
        <w:tc>
          <w:tcPr>
            <w:tcW w:w="220" w:type="dxa"/>
            <w:vAlign w:val="bottom"/>
            <w:shd w:val="clear" w:color="auto" w:fill="CFF0FC"/>
          </w:tcPr>
          <w:p>
            <w:pPr>
              <w:spacing w:after="0"/>
              <w:rPr>
                <w:sz w:val="9"/>
                <w:szCs w:val="9"/>
                <w:color w:val="auto"/>
              </w:rPr>
            </w:pPr>
          </w:p>
        </w:tc>
        <w:tc>
          <w:tcPr>
            <w:tcW w:w="1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2,134,903</w:t>
            </w: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non-current assets</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3,458,031</w:t>
            </w:r>
          </w:p>
        </w:tc>
        <w:tc>
          <w:tcPr>
            <w:tcW w:w="220" w:type="dxa"/>
            <w:vAlign w:val="bottom"/>
          </w:tcPr>
          <w:p>
            <w:pPr>
              <w:spacing w:after="0"/>
              <w:rPr>
                <w:sz w:val="9"/>
                <w:szCs w:val="9"/>
                <w:color w:val="auto"/>
              </w:rPr>
            </w:pP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2,214,496</w:t>
            </w:r>
          </w:p>
        </w:tc>
        <w:tc>
          <w:tcPr>
            <w:tcW w:w="100" w:type="dxa"/>
            <w:vAlign w:val="bottom"/>
          </w:tcPr>
          <w:p>
            <w:pPr>
              <w:spacing w:after="0"/>
              <w:rPr>
                <w:sz w:val="9"/>
                <w:szCs w:val="9"/>
                <w:color w:val="auto"/>
              </w:rPr>
            </w:pPr>
          </w:p>
        </w:tc>
      </w:tr>
      <w:tr>
        <w:trPr>
          <w:trHeight w:val="113"/>
        </w:trPr>
        <w:tc>
          <w:tcPr>
            <w:tcW w:w="660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1320" w:type="dxa"/>
            <w:vAlign w:val="bottom"/>
            <w:tcBorders>
              <w:bottom w:val="single" w:sz="8" w:color="auto"/>
            </w:tcBorders>
            <w:shd w:val="clear" w:color="auto" w:fill="CFF0FC"/>
          </w:tcPr>
          <w:p>
            <w:pPr>
              <w:spacing w:after="0"/>
              <w:rPr>
                <w:sz w:val="9"/>
                <w:szCs w:val="9"/>
                <w:color w:val="auto"/>
              </w:rPr>
            </w:pPr>
          </w:p>
        </w:tc>
        <w:tc>
          <w:tcPr>
            <w:tcW w:w="56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3,960,454</w:t>
            </w:r>
          </w:p>
        </w:tc>
        <w:tc>
          <w:tcPr>
            <w:tcW w:w="220" w:type="dxa"/>
            <w:vAlign w:val="bottom"/>
            <w:tcBorders>
              <w:bottom w:val="single" w:sz="8" w:color="CFF0FC"/>
            </w:tcBorders>
            <w:shd w:val="clear" w:color="auto" w:fill="CFF0FC"/>
          </w:tcPr>
          <w:p>
            <w:pPr>
              <w:spacing w:after="0"/>
              <w:rPr>
                <w:sz w:val="9"/>
                <w:szCs w:val="9"/>
                <w:color w:val="auto"/>
              </w:rPr>
            </w:pPr>
          </w:p>
        </w:tc>
        <w:tc>
          <w:tcPr>
            <w:tcW w:w="18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2,536,484</w:t>
            </w:r>
          </w:p>
        </w:tc>
        <w:tc>
          <w:tcPr>
            <w:tcW w:w="100" w:type="dxa"/>
            <w:vAlign w:val="bottom"/>
            <w:tcBorders>
              <w:bottom w:val="single" w:sz="8" w:color="CFF0FC"/>
            </w:tcBorders>
            <w:shd w:val="clear" w:color="auto" w:fill="CFF0FC"/>
          </w:tcPr>
          <w:p>
            <w:pPr>
              <w:spacing w:after="0"/>
              <w:rPr>
                <w:sz w:val="9"/>
                <w:szCs w:val="9"/>
                <w:color w:val="auto"/>
              </w:rPr>
            </w:pPr>
          </w:p>
        </w:tc>
      </w:tr>
      <w:tr>
        <w:trPr>
          <w:trHeight w:val="108"/>
        </w:trPr>
        <w:tc>
          <w:tcPr>
            <w:tcW w:w="792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Liabilities and Stockholders’ deficit</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liabilities</w:t>
            </w: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4,055,537</w:t>
            </w:r>
          </w:p>
        </w:tc>
        <w:tc>
          <w:tcPr>
            <w:tcW w:w="220" w:type="dxa"/>
            <w:vAlign w:val="bottom"/>
          </w:tcPr>
          <w:p>
            <w:pPr>
              <w:spacing w:after="0"/>
              <w:rPr>
                <w:sz w:val="9"/>
                <w:szCs w:val="9"/>
                <w:color w:val="auto"/>
              </w:rPr>
            </w:pP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4,569,703</w:t>
            </w: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Due to related party</w:t>
            </w: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1,093,471</w:t>
            </w:r>
          </w:p>
        </w:tc>
        <w:tc>
          <w:tcPr>
            <w:tcW w:w="220" w:type="dxa"/>
            <w:vAlign w:val="bottom"/>
            <w:shd w:val="clear" w:color="auto" w:fill="CFF0FC"/>
          </w:tcPr>
          <w:p>
            <w:pPr>
              <w:spacing w:after="0"/>
              <w:rPr>
                <w:sz w:val="9"/>
                <w:szCs w:val="9"/>
                <w:color w:val="auto"/>
              </w:rPr>
            </w:pPr>
          </w:p>
        </w:tc>
        <w:tc>
          <w:tcPr>
            <w:tcW w:w="19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777,576</w:t>
            </w: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Accrued expenses and other payables</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4,708,590</w:t>
            </w:r>
          </w:p>
        </w:tc>
        <w:tc>
          <w:tcPr>
            <w:tcW w:w="220" w:type="dxa"/>
            <w:vAlign w:val="bottom"/>
          </w:tcPr>
          <w:p>
            <w:pPr>
              <w:spacing w:after="0"/>
              <w:rPr>
                <w:sz w:val="9"/>
                <w:szCs w:val="9"/>
                <w:color w:val="auto"/>
              </w:rPr>
            </w:pP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4,492,790</w:t>
            </w: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Ordinary shares payable</w:t>
            </w: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10,236,655</w:t>
            </w:r>
          </w:p>
        </w:tc>
        <w:tc>
          <w:tcPr>
            <w:tcW w:w="220" w:type="dxa"/>
            <w:vAlign w:val="bottom"/>
            <w:shd w:val="clear" w:color="auto" w:fill="CFF0FC"/>
          </w:tcPr>
          <w:p>
            <w:pPr>
              <w:spacing w:after="0"/>
              <w:rPr>
                <w:sz w:val="9"/>
                <w:szCs w:val="9"/>
                <w:color w:val="auto"/>
              </w:rPr>
            </w:pPr>
          </w:p>
        </w:tc>
        <w:tc>
          <w:tcPr>
            <w:tcW w:w="1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8,223,928</w:t>
            </w: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Short term convertible debt to related party</w:t>
            </w:r>
          </w:p>
        </w:tc>
        <w:tc>
          <w:tcPr>
            <w:tcW w:w="78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92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132,269</w:t>
            </w: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Short term debt to related party</w:t>
            </w:r>
          </w:p>
        </w:tc>
        <w:tc>
          <w:tcPr>
            <w:tcW w:w="7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860,778</w:t>
            </w:r>
          </w:p>
        </w:tc>
        <w:tc>
          <w:tcPr>
            <w:tcW w:w="1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6,225,815</w:t>
            </w: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Share-based payment liability</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1,383,298</w:t>
            </w:r>
          </w:p>
        </w:tc>
        <w:tc>
          <w:tcPr>
            <w:tcW w:w="220" w:type="dxa"/>
            <w:vAlign w:val="bottom"/>
          </w:tcPr>
          <w:p>
            <w:pPr>
              <w:spacing w:after="0"/>
              <w:rPr>
                <w:sz w:val="9"/>
                <w:szCs w:val="9"/>
                <w:color w:val="auto"/>
              </w:rPr>
            </w:pP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1,311,028</w:t>
            </w: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Promissory loan note</w:t>
            </w:r>
          </w:p>
        </w:tc>
        <w:tc>
          <w:tcPr>
            <w:tcW w:w="7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437,956</w:t>
            </w:r>
          </w:p>
        </w:tc>
        <w:tc>
          <w:tcPr>
            <w:tcW w:w="19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Convertible debt (current)</w:t>
            </w:r>
          </w:p>
        </w:tc>
        <w:tc>
          <w:tcPr>
            <w:tcW w:w="78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31,088,259</w:t>
            </w: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22,776,285</w:t>
            </w:r>
          </w:p>
        </w:tc>
        <w:tc>
          <w:tcPr>
            <w:tcW w:w="220" w:type="dxa"/>
            <w:vAlign w:val="bottom"/>
            <w:shd w:val="clear" w:color="auto" w:fill="CFF0FC"/>
          </w:tcPr>
          <w:p>
            <w:pPr>
              <w:spacing w:after="0"/>
              <w:rPr>
                <w:sz w:val="9"/>
                <w:szCs w:val="9"/>
                <w:color w:val="auto"/>
              </w:rPr>
            </w:pPr>
          </w:p>
        </w:tc>
        <w:tc>
          <w:tcPr>
            <w:tcW w:w="1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56,821,368</w:t>
            </w: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Non-current liabilities</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 xml:space="preserve">Convertible debt </w:t>
            </w:r>
            <w:r>
              <w:rPr>
                <w:rFonts w:ascii="Times New Roman" w:cs="Times New Roman" w:eastAsia="Times New Roman" w:hAnsi="Times New Roman"/>
                <w:sz w:val="10"/>
                <w:szCs w:val="10"/>
                <w:i w:val="1"/>
                <w:iCs w:val="1"/>
                <w:color w:val="auto"/>
              </w:rPr>
              <w:t>(includes related party balances of $6,291,581)</w:t>
            </w: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38,737,594</w:t>
            </w:r>
          </w:p>
        </w:tc>
        <w:tc>
          <w:tcPr>
            <w:tcW w:w="220" w:type="dxa"/>
            <w:vAlign w:val="bottom"/>
            <w:shd w:val="clear" w:color="auto" w:fill="CFF0FC"/>
          </w:tcPr>
          <w:p>
            <w:pPr>
              <w:spacing w:after="0"/>
              <w:rPr>
                <w:sz w:val="9"/>
                <w:szCs w:val="9"/>
                <w:color w:val="auto"/>
              </w:rPr>
            </w:pPr>
          </w:p>
        </w:tc>
        <w:tc>
          <w:tcPr>
            <w:tcW w:w="19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 xml:space="preserve">Convertible promissory notes </w:t>
            </w:r>
            <w:r>
              <w:rPr>
                <w:rFonts w:ascii="Times New Roman" w:cs="Times New Roman" w:eastAsia="Times New Roman" w:hAnsi="Times New Roman"/>
                <w:sz w:val="10"/>
                <w:szCs w:val="10"/>
                <w:i w:val="1"/>
                <w:iCs w:val="1"/>
                <w:color w:val="auto"/>
              </w:rPr>
              <w:t>(includes related party balances of $1,565,007)</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5,395,702</w:t>
            </w:r>
          </w:p>
        </w:tc>
        <w:tc>
          <w:tcPr>
            <w:tcW w:w="220" w:type="dxa"/>
            <w:vAlign w:val="bottom"/>
          </w:tcPr>
          <w:p>
            <w:pPr>
              <w:spacing w:after="0"/>
              <w:rPr>
                <w:sz w:val="9"/>
                <w:szCs w:val="9"/>
                <w:color w:val="auto"/>
              </w:rPr>
            </w:pPr>
          </w:p>
        </w:tc>
        <w:tc>
          <w:tcPr>
            <w:tcW w:w="192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79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non-current liabilities</w:t>
            </w: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44,133,296</w:t>
            </w:r>
          </w:p>
        </w:tc>
        <w:tc>
          <w:tcPr>
            <w:tcW w:w="220" w:type="dxa"/>
            <w:vAlign w:val="bottom"/>
            <w:shd w:val="clear" w:color="auto" w:fill="CFF0FC"/>
          </w:tcPr>
          <w:p>
            <w:pPr>
              <w:spacing w:after="0"/>
              <w:rPr>
                <w:sz w:val="9"/>
                <w:szCs w:val="9"/>
                <w:color w:val="auto"/>
              </w:rPr>
            </w:pPr>
          </w:p>
        </w:tc>
        <w:tc>
          <w:tcPr>
            <w:tcW w:w="19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r>
      <w:tr>
        <w:trPr>
          <w:trHeight w:val="113"/>
        </w:trPr>
        <w:tc>
          <w:tcPr>
            <w:tcW w:w="79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liabilities</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66,909,581</w:t>
            </w:r>
          </w:p>
        </w:tc>
        <w:tc>
          <w:tcPr>
            <w:tcW w:w="220" w:type="dxa"/>
            <w:vAlign w:val="bottom"/>
          </w:tcPr>
          <w:p>
            <w:pPr>
              <w:spacing w:after="0"/>
              <w:rPr>
                <w:sz w:val="9"/>
                <w:szCs w:val="9"/>
                <w:color w:val="auto"/>
              </w:rPr>
            </w:pP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56,821,368</w:t>
            </w:r>
          </w:p>
        </w:tc>
        <w:tc>
          <w:tcPr>
            <w:tcW w:w="100" w:type="dxa"/>
            <w:vAlign w:val="bottom"/>
          </w:tcPr>
          <w:p>
            <w:pPr>
              <w:spacing w:after="0"/>
              <w:rPr>
                <w:sz w:val="9"/>
                <w:szCs w:val="9"/>
                <w:color w:val="auto"/>
              </w:rPr>
            </w:pPr>
          </w:p>
        </w:tc>
      </w:tr>
      <w:tr>
        <w:trPr>
          <w:trHeight w:val="113"/>
        </w:trPr>
        <w:tc>
          <w:tcPr>
            <w:tcW w:w="66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Commitments and contingencies</w:t>
            </w:r>
          </w:p>
        </w:tc>
        <w:tc>
          <w:tcPr>
            <w:tcW w:w="132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9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r>
      <w:tr>
        <w:trPr>
          <w:trHeight w:val="20"/>
        </w:trPr>
        <w:tc>
          <w:tcPr>
            <w:tcW w:w="660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interim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Condensed Interim Carve-out Consolidated Balance Sheets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120" w:type="dxa"/>
            <w:vAlign w:val="bottom"/>
          </w:tcPr>
          <w:p>
            <w:pPr>
              <w:spacing w:after="0"/>
              <w:rPr>
                <w:sz w:val="8"/>
                <w:szCs w:val="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June 30,</w:t>
            </w:r>
          </w:p>
        </w:tc>
        <w:tc>
          <w:tcPr>
            <w:tcW w:w="240" w:type="dxa"/>
            <w:vAlign w:val="bottom"/>
          </w:tcPr>
          <w:p>
            <w:pPr>
              <w:spacing w:after="0"/>
              <w:rPr>
                <w:sz w:val="8"/>
                <w:szCs w:val="8"/>
                <w:color w:val="auto"/>
              </w:rPr>
            </w:pPr>
          </w:p>
        </w:tc>
        <w:tc>
          <w:tcPr>
            <w:tcW w:w="1600" w:type="dxa"/>
            <w:vAlign w:val="bottom"/>
          </w:tcPr>
          <w:p>
            <w:pPr>
              <w:jc w:val="right"/>
              <w:ind w:right="514"/>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120" w:type="dxa"/>
            <w:vAlign w:val="bottom"/>
          </w:tcPr>
          <w:p>
            <w:pPr>
              <w:spacing w:after="0"/>
              <w:rPr>
                <w:sz w:val="8"/>
                <w:szCs w:val="8"/>
                <w:color w:val="auto"/>
              </w:rPr>
            </w:pPr>
          </w:p>
        </w:tc>
      </w:tr>
      <w:tr>
        <w:trPr>
          <w:trHeight w:val="98"/>
        </w:trPr>
        <w:tc>
          <w:tcPr>
            <w:tcW w:w="7120" w:type="dxa"/>
            <w:vAlign w:val="bottom"/>
          </w:tcPr>
          <w:p>
            <w:pPr>
              <w:spacing w:after="0"/>
              <w:rPr>
                <w:sz w:val="8"/>
                <w:szCs w:val="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2024</w:t>
            </w:r>
          </w:p>
        </w:tc>
        <w:tc>
          <w:tcPr>
            <w:tcW w:w="1840" w:type="dxa"/>
            <w:vAlign w:val="bottom"/>
            <w:gridSpan w:val="2"/>
          </w:tcPr>
          <w:p>
            <w:pPr>
              <w:jc w:val="right"/>
              <w:ind w:right="674"/>
              <w:spacing w:after="0"/>
              <w:rPr>
                <w:sz w:val="20"/>
                <w:szCs w:val="20"/>
                <w:color w:val="auto"/>
              </w:rPr>
            </w:pPr>
            <w:r>
              <w:rPr>
                <w:rFonts w:ascii="Times New Roman" w:cs="Times New Roman" w:eastAsia="Times New Roman" w:hAnsi="Times New Roman"/>
                <w:sz w:val="8"/>
                <w:szCs w:val="8"/>
                <w:b w:val="1"/>
                <w:bCs w:val="1"/>
                <w:color w:val="auto"/>
              </w:rPr>
              <w:t>2023</w:t>
            </w:r>
          </w:p>
        </w:tc>
        <w:tc>
          <w:tcPr>
            <w:tcW w:w="120" w:type="dxa"/>
            <w:vAlign w:val="bottom"/>
          </w:tcPr>
          <w:p>
            <w:pPr>
              <w:spacing w:after="0"/>
              <w:rPr>
                <w:sz w:val="8"/>
                <w:szCs w:val="8"/>
                <w:color w:val="auto"/>
              </w:rPr>
            </w:pPr>
          </w:p>
        </w:tc>
      </w:tr>
      <w:tr>
        <w:trPr>
          <w:trHeight w:val="106"/>
        </w:trPr>
        <w:tc>
          <w:tcPr>
            <w:tcW w:w="7120" w:type="dxa"/>
            <w:vAlign w:val="bottom"/>
          </w:tcPr>
          <w:p>
            <w:pPr>
              <w:spacing w:after="0"/>
              <w:rPr>
                <w:sz w:val="9"/>
                <w:szCs w:val="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(Unaudited)$</w:t>
            </w:r>
          </w:p>
        </w:tc>
        <w:tc>
          <w:tcPr>
            <w:tcW w:w="1840" w:type="dxa"/>
            <w:vAlign w:val="bottom"/>
            <w:gridSpan w:val="2"/>
          </w:tcPr>
          <w:p>
            <w:pPr>
              <w:jc w:val="right"/>
              <w:ind w:right="734"/>
              <w:spacing w:after="0"/>
              <w:rPr>
                <w:sz w:val="20"/>
                <w:szCs w:val="20"/>
                <w:color w:val="auto"/>
              </w:rPr>
            </w:pPr>
            <w:r>
              <w:rPr>
                <w:rFonts w:ascii="Times New Roman" w:cs="Times New Roman" w:eastAsia="Times New Roman" w:hAnsi="Times New Roman"/>
                <w:sz w:val="8"/>
                <w:szCs w:val="8"/>
                <w:b w:val="1"/>
                <w:bCs w:val="1"/>
                <w:color w:val="auto"/>
              </w:rPr>
              <w:t>$</w:t>
            </w:r>
          </w:p>
        </w:tc>
        <w:tc>
          <w:tcPr>
            <w:tcW w:w="120" w:type="dxa"/>
            <w:vAlign w:val="bottom"/>
          </w:tcPr>
          <w:p>
            <w:pPr>
              <w:spacing w:after="0"/>
              <w:rPr>
                <w:sz w:val="9"/>
                <w:szCs w:val="9"/>
                <w:color w:val="auto"/>
              </w:rPr>
            </w:pPr>
          </w:p>
        </w:tc>
      </w:tr>
      <w:tr>
        <w:trPr>
          <w:trHeight w:val="100"/>
        </w:trPr>
        <w:tc>
          <w:tcPr>
            <w:tcW w:w="712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Shareholders’ deficit</w:t>
            </w:r>
          </w:p>
        </w:tc>
        <w:tc>
          <w:tcPr>
            <w:tcW w:w="154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60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r>
      <w:tr>
        <w:trPr>
          <w:trHeight w:val="106"/>
        </w:trPr>
        <w:tc>
          <w:tcPr>
            <w:tcW w:w="7120" w:type="dxa"/>
            <w:vAlign w:val="bottom"/>
          </w:tcPr>
          <w:p>
            <w:pPr>
              <w:ind w:left="120"/>
              <w:spacing w:after="0" w:line="106" w:lineRule="exact"/>
              <w:rPr>
                <w:sz w:val="20"/>
                <w:szCs w:val="20"/>
                <w:color w:val="auto"/>
              </w:rPr>
            </w:pPr>
            <w:r>
              <w:rPr>
                <w:rFonts w:ascii="Times New Roman" w:cs="Times New Roman" w:eastAsia="Times New Roman" w:hAnsi="Times New Roman"/>
                <w:sz w:val="10"/>
                <w:szCs w:val="10"/>
                <w:color w:val="auto"/>
              </w:rPr>
              <w:t>Common stock, £0.0001 nominal value 932,997,081 issued and outstanding as</w:t>
            </w:r>
          </w:p>
        </w:tc>
        <w:tc>
          <w:tcPr>
            <w:tcW w:w="1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19"/>
        </w:trPr>
        <w:tc>
          <w:tcPr>
            <w:tcW w:w="71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of June 30, 2024 932,969,424 issued and outstanding as of December 31, 2023</w:t>
            </w:r>
          </w:p>
        </w:tc>
        <w:tc>
          <w:tcPr>
            <w:tcW w:w="1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127,313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127,310</w:t>
            </w:r>
          </w:p>
        </w:tc>
        <w:tc>
          <w:tcPr>
            <w:tcW w:w="120" w:type="dxa"/>
            <w:vAlign w:val="bottom"/>
          </w:tcPr>
          <w:p>
            <w:pPr>
              <w:spacing w:after="0"/>
              <w:rPr>
                <w:sz w:val="10"/>
                <w:szCs w:val="10"/>
                <w:color w:val="auto"/>
              </w:rPr>
            </w:pPr>
          </w:p>
        </w:tc>
      </w:tr>
      <w:tr>
        <w:trPr>
          <w:trHeight w:val="113"/>
        </w:trPr>
        <w:tc>
          <w:tcPr>
            <w:tcW w:w="712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Series stock series A, £0.0001 nominal value</w:t>
            </w:r>
          </w:p>
        </w:tc>
        <w:tc>
          <w:tcPr>
            <w:tcW w:w="15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3,868</w:t>
            </w:r>
          </w:p>
        </w:tc>
        <w:tc>
          <w:tcPr>
            <w:tcW w:w="184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3,868</w:t>
            </w:r>
          </w:p>
        </w:tc>
        <w:tc>
          <w:tcPr>
            <w:tcW w:w="120" w:type="dxa"/>
            <w:vAlign w:val="bottom"/>
            <w:shd w:val="clear" w:color="auto" w:fill="CFF0FC"/>
          </w:tcPr>
          <w:p>
            <w:pPr>
              <w:spacing w:after="0"/>
              <w:rPr>
                <w:sz w:val="9"/>
                <w:szCs w:val="9"/>
                <w:color w:val="auto"/>
              </w:rPr>
            </w:pPr>
          </w:p>
        </w:tc>
      </w:tr>
      <w:tr>
        <w:trPr>
          <w:trHeight w:val="113"/>
        </w:trPr>
        <w:tc>
          <w:tcPr>
            <w:tcW w:w="712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15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176,274,941</w:t>
            </w:r>
          </w:p>
        </w:tc>
        <w:tc>
          <w:tcPr>
            <w:tcW w:w="18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172,204,832</w:t>
            </w:r>
          </w:p>
        </w:tc>
        <w:tc>
          <w:tcPr>
            <w:tcW w:w="120" w:type="dxa"/>
            <w:vAlign w:val="bottom"/>
          </w:tcPr>
          <w:p>
            <w:pPr>
              <w:spacing w:after="0"/>
              <w:rPr>
                <w:sz w:val="9"/>
                <w:szCs w:val="9"/>
                <w:color w:val="auto"/>
              </w:rPr>
            </w:pPr>
          </w:p>
        </w:tc>
      </w:tr>
      <w:tr>
        <w:trPr>
          <w:trHeight w:val="113"/>
        </w:trPr>
        <w:tc>
          <w:tcPr>
            <w:tcW w:w="712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Stock subscription receivable</w:t>
            </w:r>
          </w:p>
        </w:tc>
        <w:tc>
          <w:tcPr>
            <w:tcW w:w="15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(178,720)</w:t>
            </w:r>
          </w:p>
        </w:tc>
        <w:tc>
          <w:tcPr>
            <w:tcW w:w="184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(178,720)</w:t>
            </w:r>
          </w:p>
        </w:tc>
        <w:tc>
          <w:tcPr>
            <w:tcW w:w="120" w:type="dxa"/>
            <w:vAlign w:val="bottom"/>
            <w:shd w:val="clear" w:color="auto" w:fill="CFF0FC"/>
          </w:tcPr>
          <w:p>
            <w:pPr>
              <w:spacing w:after="0"/>
              <w:rPr>
                <w:sz w:val="9"/>
                <w:szCs w:val="9"/>
                <w:color w:val="auto"/>
              </w:rPr>
            </w:pPr>
          </w:p>
        </w:tc>
      </w:tr>
      <w:tr>
        <w:trPr>
          <w:trHeight w:val="113"/>
        </w:trPr>
        <w:tc>
          <w:tcPr>
            <w:tcW w:w="712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15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(239,133,876)</w:t>
            </w:r>
          </w:p>
        </w:tc>
        <w:tc>
          <w:tcPr>
            <w:tcW w:w="18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(226,291,430)</w:t>
            </w:r>
          </w:p>
        </w:tc>
        <w:tc>
          <w:tcPr>
            <w:tcW w:w="120" w:type="dxa"/>
            <w:vAlign w:val="bottom"/>
          </w:tcPr>
          <w:p>
            <w:pPr>
              <w:spacing w:after="0"/>
              <w:rPr>
                <w:sz w:val="9"/>
                <w:szCs w:val="9"/>
                <w:color w:val="auto"/>
              </w:rPr>
            </w:pPr>
          </w:p>
        </w:tc>
      </w:tr>
      <w:tr>
        <w:trPr>
          <w:trHeight w:val="113"/>
        </w:trPr>
        <w:tc>
          <w:tcPr>
            <w:tcW w:w="7120" w:type="dxa"/>
            <w:vAlign w:val="bottom"/>
            <w:tcBorders>
              <w:bottom w:val="single" w:sz="8" w:color="CFF0FC"/>
            </w:tcBorders>
            <w:shd w:val="clear" w:color="auto" w:fill="CFF0FC"/>
          </w:tcPr>
          <w:p>
            <w:pPr>
              <w:ind w:left="240"/>
              <w:spacing w:after="0" w:line="113" w:lineRule="exact"/>
              <w:rPr>
                <w:sz w:val="20"/>
                <w:szCs w:val="20"/>
                <w:color w:val="auto"/>
              </w:rPr>
            </w:pPr>
            <w:r>
              <w:rPr>
                <w:rFonts w:ascii="Times New Roman" w:cs="Times New Roman" w:eastAsia="Times New Roman" w:hAnsi="Times New Roman"/>
                <w:sz w:val="10"/>
                <w:szCs w:val="10"/>
                <w:color w:val="auto"/>
              </w:rPr>
              <w:t>Accumulated other comprehensive loss</w:t>
            </w:r>
          </w:p>
        </w:tc>
        <w:tc>
          <w:tcPr>
            <w:tcW w:w="154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(42,653)</w:t>
            </w:r>
          </w:p>
        </w:tc>
        <w:tc>
          <w:tcPr>
            <w:tcW w:w="240" w:type="dxa"/>
            <w:vAlign w:val="bottom"/>
            <w:tcBorders>
              <w:bottom w:val="single" w:sz="8" w:color="CFF0FC"/>
            </w:tcBorders>
            <w:shd w:val="clear" w:color="auto" w:fill="CFF0FC"/>
          </w:tcPr>
          <w:p>
            <w:pPr>
              <w:spacing w:after="0"/>
              <w:rPr>
                <w:sz w:val="9"/>
                <w:szCs w:val="9"/>
                <w:color w:val="auto"/>
              </w:rPr>
            </w:pPr>
          </w:p>
        </w:tc>
        <w:tc>
          <w:tcPr>
            <w:tcW w:w="160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(150,744)</w:t>
            </w:r>
          </w:p>
        </w:tc>
        <w:tc>
          <w:tcPr>
            <w:tcW w:w="120" w:type="dxa"/>
            <w:vAlign w:val="bottom"/>
            <w:tcBorders>
              <w:bottom w:val="single" w:sz="8" w:color="CFF0FC"/>
            </w:tcBorders>
            <w:shd w:val="clear" w:color="auto" w:fill="CFF0FC"/>
          </w:tcPr>
          <w:p>
            <w:pPr>
              <w:spacing w:after="0"/>
              <w:rPr>
                <w:sz w:val="9"/>
                <w:szCs w:val="9"/>
                <w:color w:val="auto"/>
              </w:rPr>
            </w:pPr>
          </w:p>
        </w:tc>
      </w:tr>
      <w:tr>
        <w:trPr>
          <w:trHeight w:val="100"/>
        </w:trPr>
        <w:tc>
          <w:tcPr>
            <w:tcW w:w="7120" w:type="dxa"/>
            <w:vAlign w:val="bottom"/>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Total stockholders’ deficit</w:t>
            </w:r>
          </w:p>
        </w:tc>
        <w:tc>
          <w:tcPr>
            <w:tcW w:w="154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(62,949,127)</w:t>
            </w:r>
          </w:p>
        </w:tc>
        <w:tc>
          <w:tcPr>
            <w:tcW w:w="184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(54,284,884)</w:t>
            </w:r>
          </w:p>
        </w:tc>
        <w:tc>
          <w:tcPr>
            <w:tcW w:w="120" w:type="dxa"/>
            <w:vAlign w:val="bottom"/>
          </w:tcPr>
          <w:p>
            <w:pPr>
              <w:spacing w:after="0"/>
              <w:rPr>
                <w:sz w:val="8"/>
                <w:szCs w:val="8"/>
                <w:color w:val="auto"/>
              </w:rPr>
            </w:pPr>
          </w:p>
        </w:tc>
      </w:tr>
      <w:tr>
        <w:trPr>
          <w:trHeight w:val="103"/>
        </w:trPr>
        <w:tc>
          <w:tcPr>
            <w:tcW w:w="7120" w:type="dxa"/>
            <w:vAlign w:val="bottom"/>
            <w:tcBorders>
              <w:bottom w:val="single" w:sz="8" w:color="CFF0FC"/>
            </w:tcBorders>
            <w:shd w:val="clear" w:color="auto" w:fill="CFF0FC"/>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Total liabilities and stockholders’ deficit</w:t>
            </w:r>
          </w:p>
        </w:tc>
        <w:tc>
          <w:tcPr>
            <w:tcW w:w="1540" w:type="dxa"/>
            <w:vAlign w:val="bottom"/>
            <w:tcBorders>
              <w:top w:val="single" w:sz="8" w:color="auto"/>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3,960,454</w:t>
            </w:r>
          </w:p>
        </w:tc>
        <w:tc>
          <w:tcPr>
            <w:tcW w:w="240" w:type="dxa"/>
            <w:vAlign w:val="bottom"/>
            <w:tcBorders>
              <w:bottom w:val="single" w:sz="8" w:color="CFF0FC"/>
            </w:tcBorders>
            <w:shd w:val="clear" w:color="auto" w:fill="CFF0FC"/>
          </w:tcPr>
          <w:p>
            <w:pPr>
              <w:spacing w:after="0"/>
              <w:rPr>
                <w:sz w:val="8"/>
                <w:szCs w:val="8"/>
                <w:color w:val="auto"/>
              </w:rPr>
            </w:pPr>
          </w:p>
        </w:tc>
        <w:tc>
          <w:tcPr>
            <w:tcW w:w="1600" w:type="dxa"/>
            <w:vAlign w:val="bottom"/>
            <w:tcBorders>
              <w:top w:val="single" w:sz="8" w:color="auto"/>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2,536,484</w:t>
            </w:r>
          </w:p>
        </w:tc>
        <w:tc>
          <w:tcPr>
            <w:tcW w:w="120" w:type="dxa"/>
            <w:vAlign w:val="bottom"/>
            <w:tcBorders>
              <w:bottom w:val="single" w:sz="8" w:color="CFF0FC"/>
            </w:tcBorders>
            <w:shd w:val="clear" w:color="auto" w:fill="CFF0FC"/>
          </w:tcPr>
          <w:p>
            <w:pPr>
              <w:spacing w:after="0"/>
              <w:rPr>
                <w:sz w:val="8"/>
                <w:szCs w:val="8"/>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condensed interim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Condensed Interim Carve-out Consolidated Statements of Operations</w:t>
      </w:r>
    </w:p>
    <w:p>
      <w:pPr>
        <w:spacing w:after="0"/>
        <w:rPr>
          <w:sz w:val="20"/>
          <w:szCs w:val="20"/>
          <w:color w:val="auto"/>
        </w:rPr>
      </w:pPr>
      <w:r>
        <w:rPr>
          <w:rFonts w:ascii="Times New Roman" w:cs="Times New Roman" w:eastAsia="Times New Roman" w:hAnsi="Times New Roman"/>
          <w:sz w:val="10"/>
          <w:szCs w:val="10"/>
          <w:i w:val="1"/>
          <w:iCs w:val="1"/>
          <w:color w:val="auto"/>
        </w:rPr>
        <w:t>(unaudited)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3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540" w:type="dxa"/>
            <w:vAlign w:val="bottom"/>
          </w:tcPr>
          <w:p>
            <w:pPr>
              <w:jc w:val="center"/>
              <w:ind w:right="193"/>
              <w:spacing w:after="0"/>
              <w:rPr>
                <w:sz w:val="20"/>
                <w:szCs w:val="20"/>
                <w:color w:val="auto"/>
              </w:rPr>
            </w:pPr>
            <w:r>
              <w:rPr>
                <w:rFonts w:ascii="Times New Roman" w:cs="Times New Roman" w:eastAsia="Times New Roman" w:hAnsi="Times New Roman"/>
                <w:sz w:val="8"/>
                <w:szCs w:val="8"/>
                <w:b w:val="1"/>
                <w:bCs w:val="1"/>
                <w:color w:val="auto"/>
              </w:rPr>
              <w:t>Six months ended</w:t>
            </w:r>
          </w:p>
        </w:tc>
      </w:tr>
      <w:tr>
        <w:trPr>
          <w:trHeight w:val="98"/>
        </w:trPr>
        <w:tc>
          <w:tcPr>
            <w:tcW w:w="5340" w:type="dxa"/>
            <w:vAlign w:val="bottom"/>
          </w:tcPr>
          <w:p>
            <w:pPr>
              <w:spacing w:after="0"/>
              <w:rPr>
                <w:sz w:val="8"/>
                <w:szCs w:val="8"/>
                <w:color w:val="auto"/>
              </w:rPr>
            </w:pPr>
          </w:p>
        </w:tc>
        <w:tc>
          <w:tcPr>
            <w:tcW w:w="3740" w:type="dxa"/>
            <w:vAlign w:val="bottom"/>
          </w:tcPr>
          <w:p>
            <w:pPr>
              <w:jc w:val="center"/>
              <w:ind w:left="1392"/>
              <w:spacing w:after="0"/>
              <w:rPr>
                <w:sz w:val="20"/>
                <w:szCs w:val="20"/>
                <w:color w:val="auto"/>
              </w:rPr>
            </w:pPr>
            <w:r>
              <w:rPr>
                <w:rFonts w:ascii="Times New Roman" w:cs="Times New Roman" w:eastAsia="Times New Roman" w:hAnsi="Times New Roman"/>
                <w:sz w:val="8"/>
                <w:szCs w:val="8"/>
                <w:b w:val="1"/>
                <w:bCs w:val="1"/>
                <w:color w:val="auto"/>
              </w:rPr>
              <w:t>Six months ended</w:t>
            </w:r>
          </w:p>
        </w:tc>
        <w:tc>
          <w:tcPr>
            <w:tcW w:w="1540" w:type="dxa"/>
            <w:vAlign w:val="bottom"/>
          </w:tcPr>
          <w:p>
            <w:pPr>
              <w:jc w:val="center"/>
              <w:ind w:right="213"/>
              <w:spacing w:after="0"/>
              <w:rPr>
                <w:sz w:val="20"/>
                <w:szCs w:val="20"/>
                <w:color w:val="auto"/>
              </w:rPr>
            </w:pPr>
            <w:r>
              <w:rPr>
                <w:rFonts w:ascii="Times New Roman" w:cs="Times New Roman" w:eastAsia="Times New Roman" w:hAnsi="Times New Roman"/>
                <w:sz w:val="8"/>
                <w:szCs w:val="8"/>
                <w:b w:val="1"/>
                <w:bCs w:val="1"/>
                <w:color w:val="auto"/>
              </w:rPr>
              <w:t>June 30, 2023</w:t>
            </w:r>
          </w:p>
        </w:tc>
      </w:tr>
      <w:tr>
        <w:trPr>
          <w:trHeight w:val="98"/>
        </w:trPr>
        <w:tc>
          <w:tcPr>
            <w:tcW w:w="5340" w:type="dxa"/>
            <w:vAlign w:val="bottom"/>
          </w:tcPr>
          <w:p>
            <w:pPr>
              <w:spacing w:after="0"/>
              <w:rPr>
                <w:sz w:val="8"/>
                <w:szCs w:val="8"/>
                <w:color w:val="auto"/>
              </w:rPr>
            </w:pPr>
          </w:p>
        </w:tc>
        <w:tc>
          <w:tcPr>
            <w:tcW w:w="3740" w:type="dxa"/>
            <w:vAlign w:val="bottom"/>
          </w:tcPr>
          <w:p>
            <w:pPr>
              <w:jc w:val="center"/>
              <w:ind w:left="1372"/>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1540" w:type="dxa"/>
            <w:vAlign w:val="bottom"/>
          </w:tcPr>
          <w:p>
            <w:pPr>
              <w:jc w:val="center"/>
              <w:ind w:right="193"/>
              <w:spacing w:after="0"/>
              <w:rPr>
                <w:sz w:val="20"/>
                <w:szCs w:val="20"/>
                <w:color w:val="auto"/>
              </w:rPr>
            </w:pPr>
            <w:r>
              <w:rPr>
                <w:rFonts w:ascii="Times New Roman" w:cs="Times New Roman" w:eastAsia="Times New Roman" w:hAnsi="Times New Roman"/>
                <w:sz w:val="8"/>
                <w:szCs w:val="8"/>
                <w:b w:val="1"/>
                <w:bCs w:val="1"/>
                <w:color w:val="auto"/>
                <w:w w:val="99"/>
              </w:rPr>
              <w:t>(as restated)</w:t>
            </w:r>
          </w:p>
        </w:tc>
      </w:tr>
      <w:tr>
        <w:trPr>
          <w:trHeight w:val="106"/>
        </w:trPr>
        <w:tc>
          <w:tcPr>
            <w:tcW w:w="5340" w:type="dxa"/>
            <w:vAlign w:val="bottom"/>
          </w:tcPr>
          <w:p>
            <w:pPr>
              <w:spacing w:after="0"/>
              <w:rPr>
                <w:sz w:val="9"/>
                <w:szCs w:val="9"/>
                <w:color w:val="auto"/>
              </w:rPr>
            </w:pPr>
          </w:p>
        </w:tc>
        <w:tc>
          <w:tcPr>
            <w:tcW w:w="3740" w:type="dxa"/>
            <w:vAlign w:val="bottom"/>
          </w:tcPr>
          <w:p>
            <w:pPr>
              <w:jc w:val="center"/>
              <w:ind w:left="1372"/>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540" w:type="dxa"/>
            <w:vAlign w:val="bottom"/>
          </w:tcPr>
          <w:p>
            <w:pPr>
              <w:jc w:val="center"/>
              <w:ind w:right="213"/>
              <w:spacing w:after="0"/>
              <w:rPr>
                <w:sz w:val="20"/>
                <w:szCs w:val="20"/>
                <w:color w:val="auto"/>
              </w:rPr>
            </w:pPr>
            <w:r>
              <w:rPr>
                <w:rFonts w:ascii="Times New Roman" w:cs="Times New Roman" w:eastAsia="Times New Roman" w:hAnsi="Times New Roman"/>
                <w:sz w:val="8"/>
                <w:szCs w:val="8"/>
                <w:b w:val="1"/>
                <w:bCs w:val="1"/>
                <w:color w:val="auto"/>
                <w:w w:val="98"/>
              </w:rPr>
              <w:t>$</w:t>
            </w:r>
          </w:p>
        </w:tc>
      </w:tr>
      <w:tr>
        <w:trPr>
          <w:trHeight w:val="113"/>
        </w:trPr>
        <w:tc>
          <w:tcPr>
            <w:tcW w:w="5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Revenue</w:t>
            </w:r>
          </w:p>
        </w:tc>
        <w:tc>
          <w:tcPr>
            <w:tcW w:w="3740" w:type="dxa"/>
            <w:vAlign w:val="bottom"/>
            <w:shd w:val="clear" w:color="auto" w:fill="CFF0FC"/>
          </w:tcPr>
          <w:p>
            <w:pPr>
              <w:jc w:val="right"/>
              <w:ind w:right="312"/>
              <w:spacing w:after="0" w:line="113" w:lineRule="exact"/>
              <w:rPr>
                <w:sz w:val="20"/>
                <w:szCs w:val="20"/>
                <w:color w:val="auto"/>
              </w:rPr>
            </w:pPr>
            <w:r>
              <w:rPr>
                <w:rFonts w:ascii="Times New Roman" w:cs="Times New Roman" w:eastAsia="Times New Roman" w:hAnsi="Times New Roman"/>
                <w:sz w:val="10"/>
                <w:szCs w:val="10"/>
                <w:b w:val="1"/>
                <w:bCs w:val="1"/>
                <w:color w:val="auto"/>
              </w:rPr>
              <w:t>53,399</w:t>
            </w:r>
          </w:p>
        </w:tc>
        <w:tc>
          <w:tcPr>
            <w:tcW w:w="154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b w:val="1"/>
                <w:bCs w:val="1"/>
                <w:color w:val="auto"/>
              </w:rPr>
              <w:t>46,764</w:t>
            </w:r>
          </w:p>
        </w:tc>
      </w:tr>
      <w:tr>
        <w:trPr>
          <w:trHeight w:val="113"/>
        </w:trPr>
        <w:tc>
          <w:tcPr>
            <w:tcW w:w="53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Operating expenses</w:t>
            </w:r>
          </w:p>
        </w:tc>
        <w:tc>
          <w:tcPr>
            <w:tcW w:w="374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13"/>
        </w:trPr>
        <w:tc>
          <w:tcPr>
            <w:tcW w:w="53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Cost of revenue</w:t>
            </w:r>
          </w:p>
        </w:tc>
        <w:tc>
          <w:tcPr>
            <w:tcW w:w="3740" w:type="dxa"/>
            <w:vAlign w:val="bottom"/>
            <w:shd w:val="clear" w:color="auto" w:fill="CFF0FC"/>
          </w:tcPr>
          <w:p>
            <w:pPr>
              <w:jc w:val="right"/>
              <w:ind w:right="312"/>
              <w:spacing w:after="0" w:line="113" w:lineRule="exact"/>
              <w:rPr>
                <w:sz w:val="20"/>
                <w:szCs w:val="20"/>
                <w:color w:val="auto"/>
              </w:rPr>
            </w:pPr>
            <w:r>
              <w:rPr>
                <w:rFonts w:ascii="Times New Roman" w:cs="Times New Roman" w:eastAsia="Times New Roman" w:hAnsi="Times New Roman"/>
                <w:sz w:val="10"/>
                <w:szCs w:val="10"/>
                <w:color w:val="auto"/>
              </w:rPr>
              <w:t>16,177</w:t>
            </w:r>
          </w:p>
        </w:tc>
        <w:tc>
          <w:tcPr>
            <w:tcW w:w="154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16,111</w:t>
            </w:r>
          </w:p>
        </w:tc>
      </w:tr>
      <w:tr>
        <w:trPr>
          <w:trHeight w:val="104"/>
        </w:trPr>
        <w:tc>
          <w:tcPr>
            <w:tcW w:w="5340" w:type="dxa"/>
            <w:vAlign w:val="bottom"/>
          </w:tcPr>
          <w:p>
            <w:pPr>
              <w:ind w:left="120"/>
              <w:spacing w:after="0" w:line="104" w:lineRule="exact"/>
              <w:rPr>
                <w:sz w:val="20"/>
                <w:szCs w:val="20"/>
                <w:color w:val="auto"/>
              </w:rPr>
            </w:pPr>
            <w:r>
              <w:rPr>
                <w:rFonts w:ascii="Times New Roman" w:cs="Times New Roman" w:eastAsia="Times New Roman" w:hAnsi="Times New Roman"/>
                <w:sz w:val="10"/>
                <w:szCs w:val="10"/>
                <w:color w:val="auto"/>
              </w:rPr>
              <w:t xml:space="preserve">Sales and marketing expenses </w:t>
            </w:r>
            <w:r>
              <w:rPr>
                <w:rFonts w:ascii="Times New Roman" w:cs="Times New Roman" w:eastAsia="Times New Roman" w:hAnsi="Times New Roman"/>
                <w:sz w:val="10"/>
                <w:szCs w:val="10"/>
                <w:i w:val="1"/>
                <w:iCs w:val="1"/>
                <w:color w:val="auto"/>
              </w:rPr>
              <w:t>(includes related party transactions of</w:t>
            </w:r>
          </w:p>
        </w:tc>
        <w:tc>
          <w:tcPr>
            <w:tcW w:w="374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21"/>
        </w:trPr>
        <w:tc>
          <w:tcPr>
            <w:tcW w:w="5340" w:type="dxa"/>
            <w:vAlign w:val="bottom"/>
          </w:tcPr>
          <w:p>
            <w:pPr>
              <w:ind w:left="200"/>
              <w:spacing w:after="0"/>
              <w:rPr>
                <w:sz w:val="20"/>
                <w:szCs w:val="20"/>
                <w:color w:val="auto"/>
              </w:rPr>
            </w:pPr>
            <w:r>
              <w:rPr>
                <w:rFonts w:ascii="Times New Roman" w:cs="Times New Roman" w:eastAsia="Times New Roman" w:hAnsi="Times New Roman"/>
                <w:sz w:val="10"/>
                <w:szCs w:val="10"/>
                <w:i w:val="1"/>
                <w:iCs w:val="1"/>
                <w:color w:val="auto"/>
              </w:rPr>
              <w:t>1,370,214 and 1,361,168, refer to Note 8)</w:t>
            </w:r>
          </w:p>
        </w:tc>
        <w:tc>
          <w:tcPr>
            <w:tcW w:w="374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1,431,430</w:t>
            </w:r>
          </w:p>
        </w:tc>
        <w:tc>
          <w:tcPr>
            <w:tcW w:w="154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4,710,174</w:t>
            </w:r>
          </w:p>
        </w:tc>
      </w:tr>
      <w:tr>
        <w:trPr>
          <w:trHeight w:val="104"/>
        </w:trPr>
        <w:tc>
          <w:tcPr>
            <w:tcW w:w="5340" w:type="dxa"/>
            <w:vAlign w:val="bottom"/>
            <w:shd w:val="clear" w:color="auto" w:fill="CFF0FC"/>
          </w:tcPr>
          <w:p>
            <w:pPr>
              <w:ind w:left="120"/>
              <w:spacing w:after="0" w:line="104" w:lineRule="exact"/>
              <w:rPr>
                <w:sz w:val="20"/>
                <w:szCs w:val="20"/>
                <w:color w:val="auto"/>
              </w:rPr>
            </w:pPr>
            <w:r>
              <w:rPr>
                <w:rFonts w:ascii="Times New Roman" w:cs="Times New Roman" w:eastAsia="Times New Roman" w:hAnsi="Times New Roman"/>
                <w:sz w:val="10"/>
                <w:szCs w:val="10"/>
                <w:color w:val="auto"/>
              </w:rPr>
              <w:t xml:space="preserve">General and administrative expenses </w:t>
            </w:r>
            <w:r>
              <w:rPr>
                <w:rFonts w:ascii="Times New Roman" w:cs="Times New Roman" w:eastAsia="Times New Roman" w:hAnsi="Times New Roman"/>
                <w:sz w:val="10"/>
                <w:szCs w:val="10"/>
                <w:i w:val="1"/>
                <w:iCs w:val="1"/>
                <w:color w:val="auto"/>
              </w:rPr>
              <w:t>(includes related party transactions of</w:t>
            </w:r>
          </w:p>
        </w:tc>
        <w:tc>
          <w:tcPr>
            <w:tcW w:w="374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r>
      <w:tr>
        <w:trPr>
          <w:trHeight w:val="121"/>
        </w:trPr>
        <w:tc>
          <w:tcPr>
            <w:tcW w:w="5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0"/>
                <w:szCs w:val="10"/>
                <w:i w:val="1"/>
                <w:iCs w:val="1"/>
                <w:color w:val="auto"/>
              </w:rPr>
              <w:t>5,754,682 and 1,733,938, refer to Note 8)</w:t>
            </w:r>
          </w:p>
        </w:tc>
        <w:tc>
          <w:tcPr>
            <w:tcW w:w="374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0"/>
                <w:szCs w:val="10"/>
                <w:color w:val="auto"/>
              </w:rPr>
              <w:t>8,066,209</w:t>
            </w:r>
          </w:p>
        </w:tc>
        <w:tc>
          <w:tcPr>
            <w:tcW w:w="15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0"/>
                <w:szCs w:val="10"/>
                <w:color w:val="auto"/>
              </w:rPr>
              <w:t>8,743,377</w:t>
            </w:r>
          </w:p>
        </w:tc>
      </w:tr>
      <w:tr>
        <w:trPr>
          <w:trHeight w:val="113"/>
        </w:trPr>
        <w:tc>
          <w:tcPr>
            <w:tcW w:w="53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Other Operating costs and expenses</w:t>
            </w:r>
          </w:p>
        </w:tc>
        <w:tc>
          <w:tcPr>
            <w:tcW w:w="3740" w:type="dxa"/>
            <w:vAlign w:val="bottom"/>
          </w:tcPr>
          <w:p>
            <w:pPr>
              <w:jc w:val="right"/>
              <w:ind w:right="312"/>
              <w:spacing w:after="0" w:line="113" w:lineRule="exact"/>
              <w:rPr>
                <w:sz w:val="20"/>
                <w:szCs w:val="20"/>
                <w:color w:val="auto"/>
              </w:rPr>
            </w:pPr>
            <w:r>
              <w:rPr>
                <w:rFonts w:ascii="Times New Roman" w:cs="Times New Roman" w:eastAsia="Times New Roman" w:hAnsi="Times New Roman"/>
                <w:sz w:val="10"/>
                <w:szCs w:val="10"/>
                <w:color w:val="auto"/>
              </w:rPr>
              <w:t>84,500</w:t>
            </w:r>
          </w:p>
        </w:tc>
        <w:tc>
          <w:tcPr>
            <w:tcW w:w="154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785,000</w:t>
            </w:r>
          </w:p>
        </w:tc>
      </w:tr>
      <w:tr>
        <w:trPr>
          <w:trHeight w:val="113"/>
        </w:trPr>
        <w:tc>
          <w:tcPr>
            <w:tcW w:w="53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Depreciation and amortization expenses</w:t>
            </w:r>
          </w:p>
        </w:tc>
        <w:tc>
          <w:tcPr>
            <w:tcW w:w="3740" w:type="dxa"/>
            <w:vAlign w:val="bottom"/>
            <w:shd w:val="clear" w:color="auto" w:fill="CFF0FC"/>
          </w:tcPr>
          <w:p>
            <w:pPr>
              <w:jc w:val="right"/>
              <w:ind w:right="312"/>
              <w:spacing w:after="0" w:line="113" w:lineRule="exact"/>
              <w:rPr>
                <w:sz w:val="20"/>
                <w:szCs w:val="20"/>
                <w:color w:val="auto"/>
              </w:rPr>
            </w:pPr>
            <w:r>
              <w:rPr>
                <w:rFonts w:ascii="Times New Roman" w:cs="Times New Roman" w:eastAsia="Times New Roman" w:hAnsi="Times New Roman"/>
                <w:sz w:val="10"/>
                <w:szCs w:val="10"/>
                <w:color w:val="auto"/>
              </w:rPr>
              <w:t>120,841</w:t>
            </w:r>
          </w:p>
        </w:tc>
        <w:tc>
          <w:tcPr>
            <w:tcW w:w="154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121,571</w:t>
            </w:r>
          </w:p>
        </w:tc>
      </w:tr>
      <w:tr>
        <w:trPr>
          <w:trHeight w:val="113"/>
        </w:trPr>
        <w:tc>
          <w:tcPr>
            <w:tcW w:w="53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operating expenses</w:t>
            </w:r>
          </w:p>
        </w:tc>
        <w:tc>
          <w:tcPr>
            <w:tcW w:w="3740" w:type="dxa"/>
            <w:vAlign w:val="bottom"/>
          </w:tcPr>
          <w:p>
            <w:pPr>
              <w:jc w:val="right"/>
              <w:ind w:right="312"/>
              <w:spacing w:after="0" w:line="113" w:lineRule="exact"/>
              <w:rPr>
                <w:sz w:val="20"/>
                <w:szCs w:val="20"/>
                <w:color w:val="auto"/>
              </w:rPr>
            </w:pPr>
            <w:r>
              <w:rPr>
                <w:rFonts w:ascii="Times New Roman" w:cs="Times New Roman" w:eastAsia="Times New Roman" w:hAnsi="Times New Roman"/>
                <w:sz w:val="10"/>
                <w:szCs w:val="10"/>
                <w:b w:val="1"/>
                <w:bCs w:val="1"/>
                <w:color w:val="auto"/>
              </w:rPr>
              <w:t>9,719,157</w:t>
            </w:r>
          </w:p>
        </w:tc>
        <w:tc>
          <w:tcPr>
            <w:tcW w:w="154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b w:val="1"/>
                <w:bCs w:val="1"/>
                <w:color w:val="auto"/>
              </w:rPr>
              <w:t>14,376,233</w:t>
            </w:r>
          </w:p>
        </w:tc>
      </w:tr>
      <w:tr>
        <w:trPr>
          <w:trHeight w:val="113"/>
        </w:trPr>
        <w:tc>
          <w:tcPr>
            <w:tcW w:w="5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Operating loss</w:t>
            </w:r>
          </w:p>
        </w:tc>
        <w:tc>
          <w:tcPr>
            <w:tcW w:w="3740" w:type="dxa"/>
            <w:vAlign w:val="bottom"/>
            <w:shd w:val="clear" w:color="auto" w:fill="CFF0FC"/>
          </w:tcPr>
          <w:p>
            <w:pPr>
              <w:jc w:val="right"/>
              <w:ind w:right="272"/>
              <w:spacing w:after="0" w:line="113" w:lineRule="exact"/>
              <w:rPr>
                <w:sz w:val="20"/>
                <w:szCs w:val="20"/>
                <w:color w:val="auto"/>
              </w:rPr>
            </w:pPr>
            <w:r>
              <w:rPr>
                <w:rFonts w:ascii="Times New Roman" w:cs="Times New Roman" w:eastAsia="Times New Roman" w:hAnsi="Times New Roman"/>
                <w:sz w:val="10"/>
                <w:szCs w:val="10"/>
                <w:b w:val="1"/>
                <w:bCs w:val="1"/>
                <w:color w:val="auto"/>
              </w:rPr>
              <w:t>(9,665,758)</w:t>
            </w:r>
          </w:p>
        </w:tc>
        <w:tc>
          <w:tcPr>
            <w:tcW w:w="154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b w:val="1"/>
                <w:bCs w:val="1"/>
                <w:color w:val="auto"/>
              </w:rPr>
              <w:t>(14,329,469)</w:t>
            </w:r>
          </w:p>
        </w:tc>
      </w:tr>
      <w:tr>
        <w:trPr>
          <w:trHeight w:val="113"/>
        </w:trPr>
        <w:tc>
          <w:tcPr>
            <w:tcW w:w="53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Other (expenses) / income</w:t>
            </w:r>
          </w:p>
        </w:tc>
        <w:tc>
          <w:tcPr>
            <w:tcW w:w="374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13"/>
        </w:trPr>
        <w:tc>
          <w:tcPr>
            <w:tcW w:w="5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3740" w:type="dxa"/>
            <w:vAlign w:val="bottom"/>
            <w:shd w:val="clear" w:color="auto" w:fill="CFF0FC"/>
          </w:tcPr>
          <w:p>
            <w:pPr>
              <w:jc w:val="right"/>
              <w:ind w:right="272"/>
              <w:spacing w:after="0" w:line="113" w:lineRule="exact"/>
              <w:rPr>
                <w:sz w:val="20"/>
                <w:szCs w:val="20"/>
                <w:color w:val="auto"/>
              </w:rPr>
            </w:pPr>
            <w:r>
              <w:rPr>
                <w:rFonts w:ascii="Times New Roman" w:cs="Times New Roman" w:eastAsia="Times New Roman" w:hAnsi="Times New Roman"/>
                <w:sz w:val="10"/>
                <w:szCs w:val="10"/>
                <w:color w:val="auto"/>
              </w:rPr>
              <w:t>(3,009,002)</w:t>
            </w:r>
          </w:p>
        </w:tc>
        <w:tc>
          <w:tcPr>
            <w:tcW w:w="154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(3,054,946)</w:t>
            </w:r>
          </w:p>
        </w:tc>
      </w:tr>
      <w:tr>
        <w:trPr>
          <w:trHeight w:val="113"/>
        </w:trPr>
        <w:tc>
          <w:tcPr>
            <w:tcW w:w="53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Other non-operating expense, net</w:t>
            </w:r>
          </w:p>
        </w:tc>
        <w:tc>
          <w:tcPr>
            <w:tcW w:w="3740" w:type="dxa"/>
            <w:vAlign w:val="bottom"/>
          </w:tcPr>
          <w:p>
            <w:pPr>
              <w:jc w:val="right"/>
              <w:ind w:right="272"/>
              <w:spacing w:after="0" w:line="113" w:lineRule="exact"/>
              <w:rPr>
                <w:sz w:val="20"/>
                <w:szCs w:val="20"/>
                <w:color w:val="auto"/>
              </w:rPr>
            </w:pPr>
            <w:r>
              <w:rPr>
                <w:rFonts w:ascii="Times New Roman" w:cs="Times New Roman" w:eastAsia="Times New Roman" w:hAnsi="Times New Roman"/>
                <w:sz w:val="10"/>
                <w:szCs w:val="10"/>
                <w:color w:val="auto"/>
              </w:rPr>
              <w:t>(107,816)</w:t>
            </w:r>
          </w:p>
        </w:tc>
        <w:tc>
          <w:tcPr>
            <w:tcW w:w="154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171,751</w:t>
            </w:r>
          </w:p>
        </w:tc>
      </w:tr>
      <w:tr>
        <w:trPr>
          <w:trHeight w:val="113"/>
        </w:trPr>
        <w:tc>
          <w:tcPr>
            <w:tcW w:w="5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other expenses, net</w:t>
            </w:r>
          </w:p>
        </w:tc>
        <w:tc>
          <w:tcPr>
            <w:tcW w:w="3740" w:type="dxa"/>
            <w:vAlign w:val="bottom"/>
            <w:shd w:val="clear" w:color="auto" w:fill="CFF0FC"/>
          </w:tcPr>
          <w:p>
            <w:pPr>
              <w:jc w:val="right"/>
              <w:ind w:right="272"/>
              <w:spacing w:after="0" w:line="113" w:lineRule="exact"/>
              <w:rPr>
                <w:sz w:val="20"/>
                <w:szCs w:val="20"/>
                <w:color w:val="auto"/>
              </w:rPr>
            </w:pPr>
            <w:r>
              <w:rPr>
                <w:rFonts w:ascii="Times New Roman" w:cs="Times New Roman" w:eastAsia="Times New Roman" w:hAnsi="Times New Roman"/>
                <w:sz w:val="10"/>
                <w:szCs w:val="10"/>
                <w:b w:val="1"/>
                <w:bCs w:val="1"/>
                <w:color w:val="auto"/>
              </w:rPr>
              <w:t>(3,116,818)</w:t>
            </w:r>
          </w:p>
        </w:tc>
        <w:tc>
          <w:tcPr>
            <w:tcW w:w="154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b w:val="1"/>
                <w:bCs w:val="1"/>
                <w:color w:val="auto"/>
              </w:rPr>
              <w:t>(2,883,195)</w:t>
            </w:r>
          </w:p>
        </w:tc>
      </w:tr>
      <w:tr>
        <w:trPr>
          <w:trHeight w:val="113"/>
        </w:trPr>
        <w:tc>
          <w:tcPr>
            <w:tcW w:w="53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Loss before taxes</w:t>
            </w:r>
          </w:p>
        </w:tc>
        <w:tc>
          <w:tcPr>
            <w:tcW w:w="3740" w:type="dxa"/>
            <w:vAlign w:val="bottom"/>
          </w:tcPr>
          <w:p>
            <w:pPr>
              <w:jc w:val="right"/>
              <w:ind w:right="272"/>
              <w:spacing w:after="0" w:line="113" w:lineRule="exact"/>
              <w:rPr>
                <w:sz w:val="20"/>
                <w:szCs w:val="20"/>
                <w:color w:val="auto"/>
              </w:rPr>
            </w:pPr>
            <w:r>
              <w:rPr>
                <w:rFonts w:ascii="Times New Roman" w:cs="Times New Roman" w:eastAsia="Times New Roman" w:hAnsi="Times New Roman"/>
                <w:sz w:val="10"/>
                <w:szCs w:val="10"/>
                <w:b w:val="1"/>
                <w:bCs w:val="1"/>
                <w:color w:val="auto"/>
              </w:rPr>
              <w:t>(12,782,576)</w:t>
            </w:r>
          </w:p>
        </w:tc>
        <w:tc>
          <w:tcPr>
            <w:tcW w:w="154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b w:val="1"/>
                <w:bCs w:val="1"/>
                <w:color w:val="auto"/>
              </w:rPr>
              <w:t>(17,212,664)</w:t>
            </w:r>
          </w:p>
        </w:tc>
      </w:tr>
      <w:tr>
        <w:trPr>
          <w:trHeight w:val="113"/>
        </w:trPr>
        <w:tc>
          <w:tcPr>
            <w:tcW w:w="5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 expense</w:t>
            </w:r>
          </w:p>
        </w:tc>
        <w:tc>
          <w:tcPr>
            <w:tcW w:w="3740" w:type="dxa"/>
            <w:vAlign w:val="bottom"/>
            <w:shd w:val="clear" w:color="auto" w:fill="CFF0FC"/>
          </w:tcPr>
          <w:p>
            <w:pPr>
              <w:jc w:val="right"/>
              <w:ind w:right="272"/>
              <w:spacing w:after="0" w:line="113" w:lineRule="exact"/>
              <w:rPr>
                <w:sz w:val="20"/>
                <w:szCs w:val="20"/>
                <w:color w:val="auto"/>
              </w:rPr>
            </w:pPr>
            <w:r>
              <w:rPr>
                <w:rFonts w:ascii="Times New Roman" w:cs="Times New Roman" w:eastAsia="Times New Roman" w:hAnsi="Times New Roman"/>
                <w:sz w:val="10"/>
                <w:szCs w:val="10"/>
                <w:color w:val="auto"/>
              </w:rPr>
              <w:t>(59,870)</w:t>
            </w:r>
          </w:p>
        </w:tc>
        <w:tc>
          <w:tcPr>
            <w:tcW w:w="154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(63,408)</w:t>
            </w:r>
          </w:p>
        </w:tc>
      </w:tr>
      <w:tr>
        <w:trPr>
          <w:trHeight w:val="113"/>
        </w:trPr>
        <w:tc>
          <w:tcPr>
            <w:tcW w:w="53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w:t>
            </w:r>
          </w:p>
        </w:tc>
        <w:tc>
          <w:tcPr>
            <w:tcW w:w="3740" w:type="dxa"/>
            <w:vAlign w:val="bottom"/>
          </w:tcPr>
          <w:p>
            <w:pPr>
              <w:jc w:val="right"/>
              <w:ind w:right="272"/>
              <w:spacing w:after="0" w:line="113" w:lineRule="exact"/>
              <w:rPr>
                <w:sz w:val="20"/>
                <w:szCs w:val="20"/>
                <w:color w:val="auto"/>
              </w:rPr>
            </w:pPr>
            <w:r>
              <w:rPr>
                <w:rFonts w:ascii="Times New Roman" w:cs="Times New Roman" w:eastAsia="Times New Roman" w:hAnsi="Times New Roman"/>
                <w:sz w:val="10"/>
                <w:szCs w:val="10"/>
                <w:b w:val="1"/>
                <w:bCs w:val="1"/>
                <w:color w:val="auto"/>
              </w:rPr>
              <w:t>(12,842,446)</w:t>
            </w:r>
          </w:p>
        </w:tc>
        <w:tc>
          <w:tcPr>
            <w:tcW w:w="154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b w:val="1"/>
                <w:bCs w:val="1"/>
                <w:color w:val="auto"/>
              </w:rPr>
              <w:t>(17,276,072)</w:t>
            </w:r>
          </w:p>
        </w:tc>
      </w:tr>
      <w:tr>
        <w:trPr>
          <w:trHeight w:val="113"/>
        </w:trPr>
        <w:tc>
          <w:tcPr>
            <w:tcW w:w="5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 per share – Basic and diluted</w:t>
            </w:r>
          </w:p>
        </w:tc>
        <w:tc>
          <w:tcPr>
            <w:tcW w:w="3740" w:type="dxa"/>
            <w:vAlign w:val="bottom"/>
            <w:shd w:val="clear" w:color="auto" w:fill="CFF0FC"/>
          </w:tcPr>
          <w:p>
            <w:pPr>
              <w:jc w:val="right"/>
              <w:ind w:right="272"/>
              <w:spacing w:after="0" w:line="113" w:lineRule="exact"/>
              <w:rPr>
                <w:sz w:val="20"/>
                <w:szCs w:val="20"/>
                <w:color w:val="auto"/>
              </w:rPr>
            </w:pPr>
            <w:r>
              <w:rPr>
                <w:rFonts w:ascii="Times New Roman" w:cs="Times New Roman" w:eastAsia="Times New Roman" w:hAnsi="Times New Roman"/>
                <w:sz w:val="10"/>
                <w:szCs w:val="10"/>
                <w:color w:val="auto"/>
              </w:rPr>
              <w:t>(0.01)</w:t>
            </w:r>
          </w:p>
        </w:tc>
        <w:tc>
          <w:tcPr>
            <w:tcW w:w="154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(0.02)</w:t>
            </w:r>
          </w:p>
        </w:tc>
      </w:tr>
      <w:tr>
        <w:trPr>
          <w:trHeight w:val="125"/>
        </w:trPr>
        <w:tc>
          <w:tcPr>
            <w:tcW w:w="5340" w:type="dxa"/>
            <w:vAlign w:val="bottom"/>
          </w:tcPr>
          <w:p>
            <w:pPr>
              <w:spacing w:after="0"/>
              <w:rPr>
                <w:sz w:val="20"/>
                <w:szCs w:val="20"/>
                <w:color w:val="auto"/>
              </w:rPr>
            </w:pPr>
            <w:r>
              <w:rPr>
                <w:rFonts w:ascii="Times New Roman" w:cs="Times New Roman" w:eastAsia="Times New Roman" w:hAnsi="Times New Roman"/>
                <w:sz w:val="10"/>
                <w:szCs w:val="10"/>
                <w:color w:val="auto"/>
              </w:rPr>
              <w:t>Weighted average number of shares</w:t>
            </w:r>
          </w:p>
        </w:tc>
        <w:tc>
          <w:tcPr>
            <w:tcW w:w="374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927,893,144</w:t>
            </w:r>
          </w:p>
        </w:tc>
        <w:tc>
          <w:tcPr>
            <w:tcW w:w="154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922,013,028</w:t>
            </w:r>
          </w:p>
        </w:tc>
      </w:tr>
    </w:tbl>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condensed interim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Condensed Interim Carve-out Consolidated Statements of Comprehensive Loss</w:t>
      </w:r>
    </w:p>
    <w:p>
      <w:pPr>
        <w:spacing w:after="0"/>
        <w:rPr>
          <w:sz w:val="20"/>
          <w:szCs w:val="20"/>
          <w:color w:val="auto"/>
        </w:rPr>
      </w:pPr>
      <w:r>
        <w:rPr>
          <w:rFonts w:ascii="Times New Roman" w:cs="Times New Roman" w:eastAsia="Times New Roman" w:hAnsi="Times New Roman"/>
          <w:sz w:val="10"/>
          <w:szCs w:val="10"/>
          <w:i w:val="1"/>
          <w:i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69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Six months ended</w:t>
            </w:r>
          </w:p>
        </w:tc>
      </w:tr>
      <w:tr>
        <w:trPr>
          <w:trHeight w:val="98"/>
        </w:trPr>
        <w:tc>
          <w:tcPr>
            <w:tcW w:w="6940" w:type="dxa"/>
            <w:vAlign w:val="bottom"/>
          </w:tcPr>
          <w:p>
            <w:pPr>
              <w:spacing w:after="0"/>
              <w:rPr>
                <w:sz w:val="8"/>
                <w:szCs w:val="8"/>
                <w:color w:val="auto"/>
              </w:rPr>
            </w:pPr>
          </w:p>
        </w:tc>
        <w:tc>
          <w:tcPr>
            <w:tcW w:w="1120" w:type="dxa"/>
            <w:vAlign w:val="bottom"/>
          </w:tcPr>
          <w:p>
            <w:pPr>
              <w:jc w:val="center"/>
              <w:ind w:left="459"/>
              <w:spacing w:after="0"/>
              <w:rPr>
                <w:sz w:val="20"/>
                <w:szCs w:val="20"/>
                <w:color w:val="auto"/>
              </w:rPr>
            </w:pPr>
            <w:r>
              <w:rPr>
                <w:rFonts w:ascii="Times New Roman" w:cs="Times New Roman" w:eastAsia="Times New Roman" w:hAnsi="Times New Roman"/>
                <w:sz w:val="8"/>
                <w:szCs w:val="8"/>
                <w:b w:val="1"/>
                <w:bCs w:val="1"/>
                <w:color w:val="auto"/>
              </w:rPr>
              <w:t>Six months ended</w:t>
            </w: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June 30, 2023</w:t>
            </w:r>
          </w:p>
        </w:tc>
      </w:tr>
      <w:tr>
        <w:trPr>
          <w:trHeight w:val="108"/>
        </w:trPr>
        <w:tc>
          <w:tcPr>
            <w:tcW w:w="6940" w:type="dxa"/>
            <w:vAlign w:val="bottom"/>
          </w:tcPr>
          <w:p>
            <w:pPr>
              <w:spacing w:after="0"/>
              <w:rPr>
                <w:sz w:val="9"/>
                <w:szCs w:val="9"/>
                <w:color w:val="auto"/>
              </w:rPr>
            </w:pPr>
          </w:p>
        </w:tc>
        <w:tc>
          <w:tcPr>
            <w:tcW w:w="1120" w:type="dxa"/>
            <w:vAlign w:val="bottom"/>
          </w:tcPr>
          <w:p>
            <w:pPr>
              <w:jc w:val="center"/>
              <w:ind w:left="439"/>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9"/>
              </w:rPr>
              <w:t>(as restated)</w:t>
            </w:r>
          </w:p>
        </w:tc>
      </w:tr>
      <w:tr>
        <w:trPr>
          <w:trHeight w:val="111"/>
        </w:trPr>
        <w:tc>
          <w:tcPr>
            <w:tcW w:w="8060" w:type="dxa"/>
            <w:vAlign w:val="bottom"/>
            <w:gridSpan w:val="2"/>
          </w:tcPr>
          <w:p>
            <w:pPr>
              <w:jc w:val="center"/>
              <w:ind w:left="7373"/>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20" w:type="dxa"/>
            <w:vAlign w:val="bottom"/>
          </w:tcPr>
          <w:p>
            <w:pPr>
              <w:spacing w:after="0"/>
              <w:rPr>
                <w:sz w:val="9"/>
                <w:szCs w:val="9"/>
                <w:color w:val="auto"/>
              </w:rPr>
            </w:pPr>
          </w:p>
        </w:tc>
      </w:tr>
      <w:tr>
        <w:trPr>
          <w:trHeight w:val="113"/>
        </w:trPr>
        <w:tc>
          <w:tcPr>
            <w:tcW w:w="80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w:t>
            </w:r>
          </w:p>
        </w:tc>
        <w:tc>
          <w:tcPr>
            <w:tcW w:w="780" w:type="dxa"/>
            <w:vAlign w:val="bottom"/>
            <w:gridSpan w:val="2"/>
            <w:shd w:val="clear" w:color="auto" w:fill="CFF0FC"/>
          </w:tcPr>
          <w:p>
            <w:pPr>
              <w:jc w:val="right"/>
              <w:ind w:right="260"/>
              <w:spacing w:after="0" w:line="113" w:lineRule="exact"/>
              <w:rPr>
                <w:sz w:val="20"/>
                <w:szCs w:val="20"/>
                <w:color w:val="auto"/>
              </w:rPr>
            </w:pPr>
            <w:r>
              <w:rPr>
                <w:rFonts w:ascii="Times New Roman" w:cs="Times New Roman" w:eastAsia="Times New Roman" w:hAnsi="Times New Roman"/>
                <w:sz w:val="10"/>
                <w:szCs w:val="10"/>
                <w:b w:val="1"/>
                <w:bCs w:val="1"/>
                <w:color w:val="auto"/>
                <w:w w:val="96"/>
              </w:rPr>
              <w:t>(12,842,446)</w:t>
            </w:r>
          </w:p>
        </w:tc>
        <w:tc>
          <w:tcPr>
            <w:tcW w:w="178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(17,276,072)</w:t>
            </w:r>
          </w:p>
        </w:tc>
      </w:tr>
      <w:tr>
        <w:trPr>
          <w:trHeight w:val="113"/>
        </w:trPr>
        <w:tc>
          <w:tcPr>
            <w:tcW w:w="80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Other comprehensive loss, net of tax</w:t>
            </w: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13"/>
        </w:trPr>
        <w:tc>
          <w:tcPr>
            <w:tcW w:w="80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Foreign currency translation (loss)</w:t>
            </w:r>
          </w:p>
        </w:tc>
        <w:tc>
          <w:tcPr>
            <w:tcW w:w="780" w:type="dxa"/>
            <w:vAlign w:val="bottom"/>
            <w:gridSpan w:val="2"/>
            <w:shd w:val="clear" w:color="auto" w:fill="CFF0FC"/>
          </w:tcPr>
          <w:p>
            <w:pPr>
              <w:jc w:val="right"/>
              <w:ind w:right="300"/>
              <w:spacing w:after="0" w:line="113" w:lineRule="exact"/>
              <w:rPr>
                <w:sz w:val="20"/>
                <w:szCs w:val="20"/>
                <w:color w:val="auto"/>
              </w:rPr>
            </w:pPr>
            <w:r>
              <w:rPr>
                <w:rFonts w:ascii="Times New Roman" w:cs="Times New Roman" w:eastAsia="Times New Roman" w:hAnsi="Times New Roman"/>
                <w:sz w:val="10"/>
                <w:szCs w:val="10"/>
                <w:color w:val="auto"/>
              </w:rPr>
              <w:t>108,091</w:t>
            </w:r>
          </w:p>
        </w:tc>
        <w:tc>
          <w:tcPr>
            <w:tcW w:w="1780" w:type="dxa"/>
            <w:vAlign w:val="bottom"/>
            <w:gridSpan w:val="2"/>
            <w:shd w:val="clear" w:color="auto" w:fill="CFF0FC"/>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2,901</w:t>
            </w:r>
          </w:p>
        </w:tc>
      </w:tr>
      <w:tr>
        <w:trPr>
          <w:trHeight w:val="113"/>
        </w:trPr>
        <w:tc>
          <w:tcPr>
            <w:tcW w:w="69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comprehensive loss</w:t>
            </w:r>
          </w:p>
        </w:tc>
        <w:tc>
          <w:tcPr>
            <w:tcW w:w="1120" w:type="dxa"/>
            <w:vAlign w:val="bottom"/>
          </w:tcPr>
          <w:p>
            <w:pPr>
              <w:spacing w:after="0"/>
              <w:rPr>
                <w:sz w:val="9"/>
                <w:szCs w:val="9"/>
                <w:color w:val="auto"/>
              </w:rPr>
            </w:pPr>
          </w:p>
        </w:tc>
        <w:tc>
          <w:tcPr>
            <w:tcW w:w="780" w:type="dxa"/>
            <w:vAlign w:val="bottom"/>
            <w:gridSpan w:val="2"/>
          </w:tcPr>
          <w:p>
            <w:pPr>
              <w:jc w:val="right"/>
              <w:ind w:right="260"/>
              <w:spacing w:after="0" w:line="113" w:lineRule="exact"/>
              <w:rPr>
                <w:sz w:val="20"/>
                <w:szCs w:val="20"/>
                <w:color w:val="auto"/>
              </w:rPr>
            </w:pPr>
            <w:r>
              <w:rPr>
                <w:rFonts w:ascii="Times New Roman" w:cs="Times New Roman" w:eastAsia="Times New Roman" w:hAnsi="Times New Roman"/>
                <w:sz w:val="10"/>
                <w:szCs w:val="10"/>
                <w:b w:val="1"/>
                <w:bCs w:val="1"/>
                <w:color w:val="auto"/>
                <w:w w:val="92"/>
              </w:rPr>
              <w:t>(12,734,355 )</w:t>
            </w:r>
          </w:p>
        </w:tc>
        <w:tc>
          <w:tcPr>
            <w:tcW w:w="178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(17,273,171 )</w:t>
            </w:r>
          </w:p>
        </w:tc>
      </w:tr>
      <w:tr>
        <w:trPr>
          <w:trHeight w:val="346"/>
        </w:trPr>
        <w:tc>
          <w:tcPr>
            <w:tcW w:w="6940" w:type="dxa"/>
            <w:vAlign w:val="bottom"/>
          </w:tcPr>
          <w:p>
            <w:pPr>
              <w:ind w:left="5240"/>
              <w:spacing w:after="0"/>
              <w:rPr>
                <w:sz w:val="20"/>
                <w:szCs w:val="20"/>
                <w:color w:val="auto"/>
              </w:rPr>
            </w:pPr>
            <w:r>
              <w:rPr>
                <w:rFonts w:ascii="Times New Roman" w:cs="Times New Roman" w:eastAsia="Times New Roman" w:hAnsi="Times New Roman"/>
                <w:sz w:val="10"/>
                <w:szCs w:val="10"/>
                <w:color w:val="auto"/>
              </w:rPr>
              <w:t>F-6</w:t>
            </w:r>
          </w:p>
        </w:tc>
        <w:tc>
          <w:tcPr>
            <w:tcW w:w="1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422"/>
        </w:trPr>
        <w:tc>
          <w:tcPr>
            <w:tcW w:w="694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166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Condensed Interim Carve-out Consolidated Statements of Changes in Stockholders’ Deficit</w:t>
      </w:r>
    </w:p>
    <w:p>
      <w:pPr>
        <w:spacing w:after="0"/>
        <w:rPr>
          <w:sz w:val="20"/>
          <w:szCs w:val="20"/>
          <w:color w:val="auto"/>
        </w:rPr>
      </w:pPr>
      <w:r>
        <w:rPr>
          <w:rFonts w:ascii="Times New Roman" w:cs="Times New Roman" w:eastAsia="Times New Roman" w:hAnsi="Times New Roman"/>
          <w:sz w:val="10"/>
          <w:szCs w:val="10"/>
          <w:i w:val="1"/>
          <w:i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8"/>
        </w:trPr>
        <w:tc>
          <w:tcPr>
            <w:tcW w:w="1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8"/>
              </w:rPr>
              <w:t>other</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8"/>
              </w:rPr>
              <w:t>Total</w:t>
            </w:r>
          </w:p>
        </w:tc>
      </w:tr>
      <w:tr>
        <w:trPr>
          <w:trHeight w:val="98"/>
        </w:trPr>
        <w:tc>
          <w:tcPr>
            <w:tcW w:w="1720" w:type="dxa"/>
            <w:vAlign w:val="bottom"/>
          </w:tcPr>
          <w:p>
            <w:pPr>
              <w:spacing w:after="0"/>
              <w:rPr>
                <w:sz w:val="8"/>
                <w:szCs w:val="8"/>
                <w:color w:val="auto"/>
              </w:rPr>
            </w:pPr>
          </w:p>
        </w:tc>
        <w:tc>
          <w:tcPr>
            <w:tcW w:w="1060" w:type="dxa"/>
            <w:vAlign w:val="bottom"/>
            <w:gridSpan w:val="3"/>
          </w:tcPr>
          <w:p>
            <w:pPr>
              <w:ind w:left="500"/>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gridSpan w:val="3"/>
          </w:tcPr>
          <w:p>
            <w:pPr>
              <w:jc w:val="right"/>
              <w:ind w:right="373"/>
              <w:spacing w:after="0"/>
              <w:rPr>
                <w:sz w:val="20"/>
                <w:szCs w:val="20"/>
                <w:color w:val="auto"/>
              </w:rPr>
            </w:pPr>
            <w:r>
              <w:rPr>
                <w:rFonts w:ascii="Times New Roman" w:cs="Times New Roman" w:eastAsia="Times New Roman" w:hAnsi="Times New Roman"/>
                <w:sz w:val="8"/>
                <w:szCs w:val="8"/>
                <w:b w:val="1"/>
                <w:bCs w:val="1"/>
                <w:color w:val="auto"/>
              </w:rPr>
              <w:t>Series A Shares</w:t>
            </w:r>
          </w:p>
        </w:tc>
        <w:tc>
          <w:tcPr>
            <w:tcW w:w="220" w:type="dxa"/>
            <w:vAlign w:val="bottom"/>
          </w:tcPr>
          <w:p>
            <w:pPr>
              <w:spacing w:after="0"/>
              <w:rPr>
                <w:sz w:val="8"/>
                <w:szCs w:val="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paid-in</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Stock</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Comprehensive</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98"/>
        </w:trPr>
        <w:tc>
          <w:tcPr>
            <w:tcW w:w="1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jc w:val="right"/>
              <w:ind w:right="95"/>
              <w:spacing w:after="0"/>
              <w:rPr>
                <w:sz w:val="20"/>
                <w:szCs w:val="20"/>
                <w:color w:val="auto"/>
              </w:rPr>
            </w:pPr>
            <w:r>
              <w:rPr>
                <w:rFonts w:ascii="Times New Roman" w:cs="Times New Roman" w:eastAsia="Times New Roman" w:hAnsi="Times New Roman"/>
                <w:sz w:val="8"/>
                <w:szCs w:val="8"/>
                <w:b w:val="1"/>
                <w:bCs w:val="1"/>
                <w:color w:val="auto"/>
              </w:rPr>
              <w:t>Amount</w:t>
            </w: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8"/>
                <w:szCs w:val="8"/>
                <w:b w:val="1"/>
                <w:bCs w:val="1"/>
                <w:color w:val="auto"/>
              </w:rPr>
              <w:t>Amount</w:t>
            </w:r>
          </w:p>
        </w:tc>
        <w:tc>
          <w:tcPr>
            <w:tcW w:w="220" w:type="dxa"/>
            <w:vAlign w:val="bottom"/>
          </w:tcPr>
          <w:p>
            <w:pPr>
              <w:spacing w:after="0"/>
              <w:rPr>
                <w:sz w:val="8"/>
                <w:szCs w:val="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subscription</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w w:val="96"/>
              </w:rPr>
              <w:t>loss</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deficit</w:t>
            </w:r>
          </w:p>
        </w:tc>
      </w:tr>
      <w:tr>
        <w:trPr>
          <w:trHeight w:val="106"/>
        </w:trPr>
        <w:tc>
          <w:tcPr>
            <w:tcW w:w="1720" w:type="dxa"/>
            <w:vAlign w:val="bottom"/>
          </w:tcPr>
          <w:p>
            <w:pPr>
              <w:spacing w:after="0"/>
              <w:rPr>
                <w:sz w:val="9"/>
                <w:szCs w:val="9"/>
                <w:color w:val="auto"/>
              </w:rPr>
            </w:pPr>
          </w:p>
        </w:tc>
        <w:tc>
          <w:tcPr>
            <w:tcW w:w="1060" w:type="dxa"/>
            <w:vAlign w:val="bottom"/>
            <w:gridSpan w:val="3"/>
          </w:tcPr>
          <w:p>
            <w:pPr>
              <w:ind w:left="240"/>
              <w:spacing w:after="0"/>
              <w:rPr>
                <w:sz w:val="20"/>
                <w:szCs w:val="20"/>
                <w:color w:val="auto"/>
              </w:rPr>
            </w:pPr>
            <w:r>
              <w:rPr>
                <w:rFonts w:ascii="Times New Roman" w:cs="Times New Roman" w:eastAsia="Times New Roman" w:hAnsi="Times New Roman"/>
                <w:sz w:val="8"/>
                <w:szCs w:val="8"/>
                <w:b w:val="1"/>
                <w:bCs w:val="1"/>
                <w:color w:val="auto"/>
              </w:rPr>
              <w:t>Shares</w:t>
            </w:r>
          </w:p>
        </w:tc>
        <w:tc>
          <w:tcPr>
            <w:tcW w:w="460" w:type="dxa"/>
            <w:vAlign w:val="bottom"/>
          </w:tcPr>
          <w:p>
            <w:pPr>
              <w:jc w:val="right"/>
              <w:ind w:right="215"/>
              <w:spacing w:after="0"/>
              <w:rPr>
                <w:sz w:val="20"/>
                <w:szCs w:val="20"/>
                <w:color w:val="auto"/>
              </w:rPr>
            </w:pPr>
            <w:r>
              <w:rPr>
                <w:rFonts w:ascii="Times New Roman" w:cs="Times New Roman" w:eastAsia="Times New Roman" w:hAnsi="Times New Roman"/>
                <w:sz w:val="8"/>
                <w:szCs w:val="8"/>
                <w:b w:val="1"/>
                <w:bCs w:val="1"/>
                <w:color w:val="auto"/>
              </w:rPr>
              <w:t>$</w:t>
            </w:r>
          </w:p>
        </w:tc>
        <w:tc>
          <w:tcPr>
            <w:tcW w:w="240" w:type="dxa"/>
            <w:vAlign w:val="bottom"/>
          </w:tcPr>
          <w:p>
            <w:pPr>
              <w:spacing w:after="0"/>
              <w:rPr>
                <w:sz w:val="9"/>
                <w:szCs w:val="9"/>
                <w:color w:val="auto"/>
              </w:rPr>
            </w:pP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8"/>
                <w:szCs w:val="8"/>
                <w:b w:val="1"/>
                <w:bCs w:val="1"/>
                <w:color w:val="auto"/>
              </w:rPr>
              <w:t>Shares</w:t>
            </w:r>
          </w:p>
        </w:tc>
        <w:tc>
          <w:tcPr>
            <w:tcW w:w="820" w:type="dxa"/>
            <w:vAlign w:val="bottom"/>
            <w:gridSpan w:val="2"/>
          </w:tcPr>
          <w:p>
            <w:pPr>
              <w:jc w:val="right"/>
              <w:ind w:right="233"/>
              <w:spacing w:after="0"/>
              <w:rPr>
                <w:sz w:val="20"/>
                <w:szCs w:val="20"/>
                <w:color w:val="auto"/>
              </w:rPr>
            </w:pPr>
            <w:r>
              <w:rPr>
                <w:rFonts w:ascii="Times New Roman" w:cs="Times New Roman" w:eastAsia="Times New Roman" w:hAnsi="Times New Roman"/>
                <w:sz w:val="8"/>
                <w:szCs w:val="8"/>
                <w:b w:val="1"/>
                <w:bCs w:val="1"/>
                <w:color w:val="auto"/>
              </w:rPr>
              <w:t>$</w:t>
            </w:r>
          </w:p>
        </w:tc>
        <w:tc>
          <w:tcPr>
            <w:tcW w:w="1120" w:type="dxa"/>
            <w:vAlign w:val="bottom"/>
            <w:gridSpan w:val="2"/>
          </w:tcPr>
          <w:p>
            <w:pPr>
              <w:jc w:val="center"/>
              <w:ind w:left="159"/>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220" w:type="dxa"/>
            <w:vAlign w:val="bottom"/>
          </w:tcPr>
          <w:p>
            <w:pPr>
              <w:spacing w:after="0"/>
              <w:rPr>
                <w:sz w:val="9"/>
                <w:szCs w:val="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220" w:type="dxa"/>
            <w:vAlign w:val="bottom"/>
          </w:tcPr>
          <w:p>
            <w:pPr>
              <w:spacing w:after="0"/>
              <w:rPr>
                <w:sz w:val="9"/>
                <w:szCs w:val="9"/>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receivable</w:t>
            </w:r>
          </w:p>
        </w:tc>
        <w:tc>
          <w:tcPr>
            <w:tcW w:w="9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200" w:type="dxa"/>
            <w:vAlign w:val="bottom"/>
          </w:tcPr>
          <w:p>
            <w:pPr>
              <w:spacing w:after="0"/>
              <w:rPr>
                <w:sz w:val="9"/>
                <w:szCs w:val="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20" w:type="dxa"/>
            <w:vAlign w:val="bottom"/>
          </w:tcPr>
          <w:p>
            <w:pPr>
              <w:spacing w:after="0"/>
              <w:rPr>
                <w:sz w:val="9"/>
                <w:szCs w:val="9"/>
                <w:color w:val="auto"/>
              </w:rPr>
            </w:pPr>
          </w:p>
        </w:tc>
      </w:tr>
      <w:tr>
        <w:trPr>
          <w:trHeight w:val="98"/>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Balance as at January 1, 2023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927,806,159</w:t>
            </w: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126,677</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28,039,517</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3,868</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163,165,083</w:t>
            </w:r>
          </w:p>
        </w:tc>
        <w:tc>
          <w:tcPr>
            <w:tcW w:w="220" w:type="dxa"/>
            <w:vAlign w:val="bottom"/>
            <w:shd w:val="clear" w:color="auto" w:fill="CFF0FC"/>
          </w:tcPr>
          <w:p>
            <w:pPr>
              <w:spacing w:after="0"/>
              <w:rPr>
                <w:sz w:val="8"/>
                <w:szCs w:val="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(195,555,332 )</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(178,720 )</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(81,179 )</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 xml:space="preserve">(32,519,603 </w:t>
            </w:r>
            <w:r>
              <w:rPr>
                <w:rFonts w:ascii="Times New Roman" w:cs="Times New Roman" w:eastAsia="Times New Roman" w:hAnsi="Times New Roman"/>
                <w:sz w:val="8"/>
                <w:szCs w:val="8"/>
                <w:color w:val="auto"/>
              </w:rPr>
              <w:t>)</w:t>
            </w:r>
          </w:p>
        </w:tc>
      </w:tr>
      <w:tr>
        <w:trPr>
          <w:trHeight w:val="91"/>
        </w:trPr>
        <w:tc>
          <w:tcPr>
            <w:tcW w:w="1720" w:type="dxa"/>
            <w:vAlign w:val="bottom"/>
          </w:tcPr>
          <w:p>
            <w:pPr>
              <w:spacing w:after="0" w:line="91" w:lineRule="exact"/>
              <w:rPr>
                <w:sz w:val="20"/>
                <w:szCs w:val="20"/>
                <w:color w:val="auto"/>
              </w:rPr>
            </w:pPr>
            <w:r>
              <w:rPr>
                <w:rFonts w:ascii="Times New Roman" w:cs="Times New Roman" w:eastAsia="Times New Roman" w:hAnsi="Times New Roman"/>
                <w:sz w:val="8"/>
                <w:szCs w:val="8"/>
                <w:color w:val="auto"/>
              </w:rPr>
              <w:t>Common stock issued to related</w:t>
            </w:r>
          </w:p>
        </w:tc>
        <w:tc>
          <w:tcPr>
            <w:tcW w:w="720" w:type="dxa"/>
            <w:vAlign w:val="bottom"/>
          </w:tcPr>
          <w:p>
            <w:pPr>
              <w:jc w:val="right"/>
              <w:spacing w:after="0" w:line="91" w:lineRule="exact"/>
              <w:rPr>
                <w:sz w:val="20"/>
                <w:szCs w:val="20"/>
                <w:color w:val="auto"/>
              </w:rPr>
            </w:pPr>
            <w:r>
              <w:rPr>
                <w:rFonts w:ascii="Times New Roman" w:cs="Times New Roman" w:eastAsia="Times New Roman" w:hAnsi="Times New Roman"/>
                <w:sz w:val="8"/>
                <w:szCs w:val="8"/>
                <w:color w:val="auto"/>
              </w:rPr>
              <w:t>163,265</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jc w:val="right"/>
              <w:spacing w:after="0" w:line="91" w:lineRule="exact"/>
              <w:rPr>
                <w:sz w:val="20"/>
                <w:szCs w:val="20"/>
                <w:color w:val="auto"/>
              </w:rPr>
            </w:pPr>
            <w:r>
              <w:rPr>
                <w:rFonts w:ascii="Times New Roman" w:cs="Times New Roman" w:eastAsia="Times New Roman" w:hAnsi="Times New Roman"/>
                <w:sz w:val="8"/>
                <w:szCs w:val="8"/>
                <w:color w:val="auto"/>
              </w:rPr>
              <w:t>20</w:t>
            </w:r>
          </w:p>
        </w:tc>
        <w:tc>
          <w:tcPr>
            <w:tcW w:w="240" w:type="dxa"/>
            <w:vAlign w:val="bottom"/>
          </w:tcPr>
          <w:p>
            <w:pPr>
              <w:spacing w:after="0"/>
              <w:rPr>
                <w:sz w:val="7"/>
                <w:szCs w:val="7"/>
                <w:color w:val="auto"/>
              </w:rPr>
            </w:pPr>
          </w:p>
        </w:tc>
        <w:tc>
          <w:tcPr>
            <w:tcW w:w="56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7"/>
                <w:szCs w:val="7"/>
                <w:color w:val="auto"/>
              </w:rPr>
            </w:pPr>
          </w:p>
        </w:tc>
        <w:tc>
          <w:tcPr>
            <w:tcW w:w="58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tcPr>
          <w:p>
            <w:pPr>
              <w:jc w:val="right"/>
              <w:spacing w:after="0" w:line="91" w:lineRule="exact"/>
              <w:rPr>
                <w:sz w:val="20"/>
                <w:szCs w:val="20"/>
                <w:color w:val="auto"/>
              </w:rPr>
            </w:pPr>
            <w:r>
              <w:rPr>
                <w:rFonts w:ascii="Times New Roman" w:cs="Times New Roman" w:eastAsia="Times New Roman" w:hAnsi="Times New Roman"/>
                <w:sz w:val="8"/>
                <w:szCs w:val="8"/>
                <w:color w:val="auto"/>
              </w:rPr>
              <w:t>199,954</w:t>
            </w:r>
          </w:p>
        </w:tc>
        <w:tc>
          <w:tcPr>
            <w:tcW w:w="220" w:type="dxa"/>
            <w:vAlign w:val="bottom"/>
          </w:tcPr>
          <w:p>
            <w:pPr>
              <w:spacing w:after="0"/>
              <w:rPr>
                <w:sz w:val="7"/>
                <w:szCs w:val="7"/>
                <w:color w:val="auto"/>
              </w:rPr>
            </w:pPr>
          </w:p>
        </w:tc>
        <w:tc>
          <w:tcPr>
            <w:tcW w:w="1180" w:type="dxa"/>
            <w:vAlign w:val="bottom"/>
            <w:gridSpan w:val="2"/>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line="91" w:lineRule="exact"/>
              <w:rPr>
                <w:sz w:val="20"/>
                <w:szCs w:val="20"/>
                <w:color w:val="auto"/>
              </w:rPr>
            </w:pPr>
            <w:r>
              <w:rPr>
                <w:rFonts w:ascii="Times New Roman" w:cs="Times New Roman" w:eastAsia="Times New Roman" w:hAnsi="Times New Roman"/>
                <w:sz w:val="8"/>
                <w:szCs w:val="8"/>
                <w:color w:val="auto"/>
              </w:rPr>
              <w:t>199,974</w:t>
            </w:r>
          </w:p>
        </w:tc>
        <w:tc>
          <w:tcPr>
            <w:tcW w:w="120" w:type="dxa"/>
            <w:vAlign w:val="bottom"/>
          </w:tcPr>
          <w:p>
            <w:pPr>
              <w:spacing w:after="0"/>
              <w:rPr>
                <w:sz w:val="7"/>
                <w:szCs w:val="7"/>
                <w:color w:val="auto"/>
              </w:rPr>
            </w:pPr>
          </w:p>
        </w:tc>
      </w:tr>
      <w:tr>
        <w:trPr>
          <w:trHeight w:val="104"/>
        </w:trPr>
        <w:tc>
          <w:tcPr>
            <w:tcW w:w="1720" w:type="dxa"/>
            <w:vAlign w:val="bottom"/>
          </w:tcPr>
          <w:p>
            <w:pPr>
              <w:ind w:left="60"/>
              <w:spacing w:after="0"/>
              <w:rPr>
                <w:sz w:val="20"/>
                <w:szCs w:val="20"/>
                <w:color w:val="auto"/>
              </w:rPr>
            </w:pPr>
            <w:r>
              <w:rPr>
                <w:rFonts w:ascii="Times New Roman" w:cs="Times New Roman" w:eastAsia="Times New Roman" w:hAnsi="Times New Roman"/>
                <w:sz w:val="8"/>
                <w:szCs w:val="8"/>
                <w:color w:val="auto"/>
              </w:rPr>
              <w:t>parties</w:t>
            </w: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91"/>
        </w:trPr>
        <w:tc>
          <w:tcPr>
            <w:tcW w:w="172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8"/>
                <w:szCs w:val="8"/>
                <w:color w:val="auto"/>
              </w:rPr>
              <w:t>Common stock issued from the</w:t>
            </w:r>
          </w:p>
        </w:tc>
        <w:tc>
          <w:tcPr>
            <w:tcW w:w="72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5,000,000</w:t>
            </w:r>
          </w:p>
        </w:tc>
        <w:tc>
          <w:tcPr>
            <w:tcW w:w="2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4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613</w:t>
            </w:r>
          </w:p>
        </w:tc>
        <w:tc>
          <w:tcPr>
            <w:tcW w:w="240" w:type="dxa"/>
            <w:vAlign w:val="bottom"/>
            <w:shd w:val="clear" w:color="auto" w:fill="CFF0FC"/>
          </w:tcPr>
          <w:p>
            <w:pPr>
              <w:spacing w:after="0"/>
              <w:rPr>
                <w:sz w:val="7"/>
                <w:szCs w:val="7"/>
                <w:color w:val="auto"/>
              </w:rPr>
            </w:pPr>
          </w:p>
        </w:tc>
        <w:tc>
          <w:tcPr>
            <w:tcW w:w="5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7"/>
                <w:szCs w:val="7"/>
                <w:color w:val="auto"/>
              </w:rPr>
            </w:pPr>
          </w:p>
        </w:tc>
        <w:tc>
          <w:tcPr>
            <w:tcW w:w="5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gridSpan w:val="3"/>
            <w:shd w:val="clear" w:color="auto" w:fill="CFF0FC"/>
          </w:tcPr>
          <w:p>
            <w:pPr>
              <w:jc w:val="right"/>
              <w:ind w:right="200"/>
              <w:spacing w:after="0" w:line="91" w:lineRule="exact"/>
              <w:rPr>
                <w:sz w:val="20"/>
                <w:szCs w:val="20"/>
                <w:color w:val="auto"/>
              </w:rPr>
            </w:pPr>
            <w:r>
              <w:rPr>
                <w:rFonts w:ascii="Times New Roman" w:cs="Times New Roman" w:eastAsia="Times New Roman" w:hAnsi="Times New Roman"/>
                <w:sz w:val="8"/>
                <w:szCs w:val="8"/>
                <w:color w:val="auto"/>
              </w:rPr>
              <w:t>(613 )</w:t>
            </w:r>
          </w:p>
        </w:tc>
        <w:tc>
          <w:tcPr>
            <w:tcW w:w="1180" w:type="dxa"/>
            <w:vAlign w:val="bottom"/>
            <w:gridSpan w:val="2"/>
            <w:shd w:val="clear" w:color="auto" w:fill="CFF0FC"/>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shd w:val="clear" w:color="auto" w:fill="CFF0FC"/>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FF0FC"/>
          </w:tcPr>
          <w:p>
            <w:pPr>
              <w:jc w:val="right"/>
              <w:ind w:right="140"/>
              <w:spacing w:after="0" w:line="91" w:lineRule="exact"/>
              <w:rPr>
                <w:sz w:val="20"/>
                <w:szCs w:val="20"/>
                <w:color w:val="auto"/>
              </w:rPr>
            </w:pPr>
            <w:r>
              <w:rPr>
                <w:rFonts w:ascii="Times New Roman" w:cs="Times New Roman" w:eastAsia="Times New Roman" w:hAnsi="Times New Roman"/>
                <w:sz w:val="10"/>
                <w:szCs w:val="10"/>
                <w:color w:val="auto"/>
              </w:rPr>
              <w:t>—</w:t>
            </w:r>
          </w:p>
        </w:tc>
      </w:tr>
      <w:tr>
        <w:trPr>
          <w:trHeight w:val="104"/>
        </w:trPr>
        <w:tc>
          <w:tcPr>
            <w:tcW w:w="1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exercise of stock options</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91"/>
        </w:trPr>
        <w:tc>
          <w:tcPr>
            <w:tcW w:w="1720" w:type="dxa"/>
            <w:vAlign w:val="bottom"/>
          </w:tcPr>
          <w:p>
            <w:pPr>
              <w:spacing w:after="0" w:line="91" w:lineRule="exact"/>
              <w:rPr>
                <w:sz w:val="20"/>
                <w:szCs w:val="20"/>
                <w:color w:val="auto"/>
              </w:rPr>
            </w:pPr>
            <w:r>
              <w:rPr>
                <w:rFonts w:ascii="Times New Roman" w:cs="Times New Roman" w:eastAsia="Times New Roman" w:hAnsi="Times New Roman"/>
                <w:sz w:val="8"/>
                <w:szCs w:val="8"/>
                <w:color w:val="auto"/>
              </w:rPr>
              <w:t>Share-based compensation to</w:t>
            </w:r>
          </w:p>
        </w:tc>
        <w:tc>
          <w:tcPr>
            <w:tcW w:w="1060" w:type="dxa"/>
            <w:vAlign w:val="bottom"/>
            <w:gridSpan w:val="3"/>
          </w:tcPr>
          <w:p>
            <w:pPr>
              <w:jc w:val="right"/>
              <w:ind w:right="340"/>
              <w:spacing w:after="0" w:line="91"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7"/>
                <w:szCs w:val="7"/>
                <w:color w:val="auto"/>
              </w:rPr>
            </w:pPr>
          </w:p>
        </w:tc>
        <w:tc>
          <w:tcPr>
            <w:tcW w:w="56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7"/>
                <w:szCs w:val="7"/>
                <w:color w:val="auto"/>
              </w:rPr>
            </w:pPr>
          </w:p>
        </w:tc>
        <w:tc>
          <w:tcPr>
            <w:tcW w:w="58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tcPr>
          <w:p>
            <w:pPr>
              <w:jc w:val="right"/>
              <w:spacing w:after="0" w:line="91" w:lineRule="exact"/>
              <w:rPr>
                <w:sz w:val="20"/>
                <w:szCs w:val="20"/>
                <w:color w:val="auto"/>
              </w:rPr>
            </w:pPr>
            <w:r>
              <w:rPr>
                <w:rFonts w:ascii="Times New Roman" w:cs="Times New Roman" w:eastAsia="Times New Roman" w:hAnsi="Times New Roman"/>
                <w:sz w:val="8"/>
                <w:szCs w:val="8"/>
                <w:color w:val="auto"/>
              </w:rPr>
              <w:t>115,190</w:t>
            </w:r>
          </w:p>
        </w:tc>
        <w:tc>
          <w:tcPr>
            <w:tcW w:w="220" w:type="dxa"/>
            <w:vAlign w:val="bottom"/>
          </w:tcPr>
          <w:p>
            <w:pPr>
              <w:spacing w:after="0"/>
              <w:rPr>
                <w:sz w:val="7"/>
                <w:szCs w:val="7"/>
                <w:color w:val="auto"/>
              </w:rPr>
            </w:pPr>
          </w:p>
        </w:tc>
        <w:tc>
          <w:tcPr>
            <w:tcW w:w="1180" w:type="dxa"/>
            <w:vAlign w:val="bottom"/>
            <w:gridSpan w:val="2"/>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line="91" w:lineRule="exact"/>
              <w:rPr>
                <w:sz w:val="20"/>
                <w:szCs w:val="20"/>
                <w:color w:val="auto"/>
              </w:rPr>
            </w:pPr>
            <w:r>
              <w:rPr>
                <w:rFonts w:ascii="Times New Roman" w:cs="Times New Roman" w:eastAsia="Times New Roman" w:hAnsi="Times New Roman"/>
                <w:sz w:val="8"/>
                <w:szCs w:val="8"/>
                <w:color w:val="auto"/>
              </w:rPr>
              <w:t>115,190</w:t>
            </w:r>
          </w:p>
        </w:tc>
        <w:tc>
          <w:tcPr>
            <w:tcW w:w="120" w:type="dxa"/>
            <w:vAlign w:val="bottom"/>
          </w:tcPr>
          <w:p>
            <w:pPr>
              <w:spacing w:after="0"/>
              <w:rPr>
                <w:sz w:val="7"/>
                <w:szCs w:val="7"/>
                <w:color w:val="auto"/>
              </w:rPr>
            </w:pPr>
          </w:p>
        </w:tc>
      </w:tr>
      <w:tr>
        <w:trPr>
          <w:trHeight w:val="104"/>
        </w:trPr>
        <w:tc>
          <w:tcPr>
            <w:tcW w:w="1720" w:type="dxa"/>
            <w:vAlign w:val="bottom"/>
          </w:tcPr>
          <w:p>
            <w:pPr>
              <w:ind w:left="60"/>
              <w:spacing w:after="0"/>
              <w:rPr>
                <w:sz w:val="20"/>
                <w:szCs w:val="20"/>
                <w:color w:val="auto"/>
              </w:rPr>
            </w:pPr>
            <w:r>
              <w:rPr>
                <w:rFonts w:ascii="Times New Roman" w:cs="Times New Roman" w:eastAsia="Times New Roman" w:hAnsi="Times New Roman"/>
                <w:sz w:val="8"/>
                <w:szCs w:val="8"/>
                <w:color w:val="auto"/>
              </w:rPr>
              <w:t>related parties</w:t>
            </w: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91"/>
        </w:trPr>
        <w:tc>
          <w:tcPr>
            <w:tcW w:w="172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8"/>
                <w:szCs w:val="8"/>
                <w:color w:val="auto"/>
              </w:rPr>
              <w:t>Employee share-based</w:t>
            </w:r>
          </w:p>
        </w:tc>
        <w:tc>
          <w:tcPr>
            <w:tcW w:w="7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46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56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1120" w:type="dxa"/>
            <w:vAlign w:val="bottom"/>
            <w:gridSpan w:val="2"/>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4,880,389</w:t>
            </w:r>
          </w:p>
        </w:tc>
        <w:tc>
          <w:tcPr>
            <w:tcW w:w="220" w:type="dxa"/>
            <w:vAlign w:val="bottom"/>
            <w:shd w:val="clear" w:color="auto" w:fill="CFF0FC"/>
          </w:tcPr>
          <w:p>
            <w:pPr>
              <w:spacing w:after="0"/>
              <w:rPr>
                <w:sz w:val="7"/>
                <w:szCs w:val="7"/>
                <w:color w:val="auto"/>
              </w:rPr>
            </w:pPr>
          </w:p>
        </w:tc>
        <w:tc>
          <w:tcPr>
            <w:tcW w:w="9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4,880,389</w:t>
            </w:r>
          </w:p>
        </w:tc>
        <w:tc>
          <w:tcPr>
            <w:tcW w:w="120" w:type="dxa"/>
            <w:vAlign w:val="bottom"/>
            <w:shd w:val="clear" w:color="auto" w:fill="CFF0FC"/>
          </w:tcPr>
          <w:p>
            <w:pPr>
              <w:spacing w:after="0"/>
              <w:rPr>
                <w:sz w:val="7"/>
                <w:szCs w:val="7"/>
                <w:color w:val="auto"/>
              </w:rPr>
            </w:pPr>
          </w:p>
        </w:tc>
      </w:tr>
      <w:tr>
        <w:trPr>
          <w:trHeight w:val="104"/>
        </w:trPr>
        <w:tc>
          <w:tcPr>
            <w:tcW w:w="1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compensation</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13"/>
        </w:trPr>
        <w:tc>
          <w:tcPr>
            <w:tcW w:w="1720" w:type="dxa"/>
            <w:vAlign w:val="bottom"/>
          </w:tcPr>
          <w:p>
            <w:pPr>
              <w:spacing w:after="0"/>
              <w:rPr>
                <w:sz w:val="20"/>
                <w:szCs w:val="20"/>
                <w:color w:val="auto"/>
              </w:rPr>
            </w:pPr>
            <w:r>
              <w:rPr>
                <w:rFonts w:ascii="Times New Roman" w:cs="Times New Roman" w:eastAsia="Times New Roman" w:hAnsi="Times New Roman"/>
                <w:sz w:val="8"/>
                <w:szCs w:val="8"/>
                <w:color w:val="auto"/>
              </w:rPr>
              <w:t>Net Loss</w:t>
            </w:r>
          </w:p>
        </w:tc>
        <w:tc>
          <w:tcPr>
            <w:tcW w:w="1060" w:type="dxa"/>
            <w:vAlign w:val="bottom"/>
            <w:gridSpan w:val="3"/>
          </w:tcPr>
          <w:p>
            <w:pPr>
              <w:jc w:val="right"/>
              <w:ind w:right="3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1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(17,276,072 )</w:t>
            </w:r>
          </w:p>
        </w:tc>
        <w:tc>
          <w:tcPr>
            <w:tcW w:w="118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(17,276,072 )</w:t>
            </w:r>
          </w:p>
        </w:tc>
      </w:tr>
      <w:tr>
        <w:trPr>
          <w:trHeight w:val="91"/>
        </w:trPr>
        <w:tc>
          <w:tcPr>
            <w:tcW w:w="172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8"/>
                <w:szCs w:val="8"/>
                <w:color w:val="auto"/>
              </w:rPr>
              <w:t>Foreign currency translation</w:t>
            </w:r>
          </w:p>
        </w:tc>
        <w:tc>
          <w:tcPr>
            <w:tcW w:w="1060" w:type="dxa"/>
            <w:vAlign w:val="bottom"/>
            <w:gridSpan w:val="3"/>
            <w:shd w:val="clear" w:color="auto" w:fill="CFF0FC"/>
          </w:tcPr>
          <w:p>
            <w:pPr>
              <w:jc w:val="right"/>
              <w:ind w:right="340"/>
              <w:spacing w:after="0" w:line="91"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7"/>
                <w:szCs w:val="7"/>
                <w:color w:val="auto"/>
              </w:rPr>
            </w:pPr>
          </w:p>
        </w:tc>
        <w:tc>
          <w:tcPr>
            <w:tcW w:w="5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7"/>
                <w:szCs w:val="7"/>
                <w:color w:val="auto"/>
              </w:rPr>
            </w:pPr>
          </w:p>
        </w:tc>
        <w:tc>
          <w:tcPr>
            <w:tcW w:w="5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7"/>
                <w:szCs w:val="7"/>
                <w:color w:val="auto"/>
              </w:rPr>
            </w:pPr>
          </w:p>
        </w:tc>
        <w:tc>
          <w:tcPr>
            <w:tcW w:w="1120" w:type="dxa"/>
            <w:vAlign w:val="bottom"/>
            <w:gridSpan w:val="2"/>
            <w:shd w:val="clear" w:color="auto" w:fill="CFF0FC"/>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2,901</w:t>
            </w:r>
          </w:p>
        </w:tc>
        <w:tc>
          <w:tcPr>
            <w:tcW w:w="200" w:type="dxa"/>
            <w:vAlign w:val="bottom"/>
            <w:shd w:val="clear" w:color="auto" w:fill="CFF0FC"/>
          </w:tcPr>
          <w:p>
            <w:pPr>
              <w:spacing w:after="0"/>
              <w:rPr>
                <w:sz w:val="7"/>
                <w:szCs w:val="7"/>
                <w:color w:val="auto"/>
              </w:rPr>
            </w:pPr>
          </w:p>
        </w:tc>
        <w:tc>
          <w:tcPr>
            <w:tcW w:w="7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2,901</w:t>
            </w:r>
          </w:p>
        </w:tc>
        <w:tc>
          <w:tcPr>
            <w:tcW w:w="120" w:type="dxa"/>
            <w:vAlign w:val="bottom"/>
            <w:shd w:val="clear" w:color="auto" w:fill="CFF0FC"/>
          </w:tcPr>
          <w:p>
            <w:pPr>
              <w:spacing w:after="0"/>
              <w:rPr>
                <w:sz w:val="7"/>
                <w:szCs w:val="7"/>
                <w:color w:val="auto"/>
              </w:rPr>
            </w:pPr>
          </w:p>
        </w:tc>
      </w:tr>
      <w:tr>
        <w:trPr>
          <w:trHeight w:val="104"/>
        </w:trPr>
        <w:tc>
          <w:tcPr>
            <w:tcW w:w="1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gain</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08"/>
        </w:trPr>
        <w:tc>
          <w:tcPr>
            <w:tcW w:w="17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Balance as at June 30, 2023</w:t>
            </w: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932,969,424</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127,310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28,039,517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3,868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168,360,003</w:t>
            </w:r>
          </w:p>
        </w:tc>
        <w:tc>
          <w:tcPr>
            <w:tcW w:w="220" w:type="dxa"/>
            <w:vAlign w:val="bottom"/>
          </w:tcPr>
          <w:p>
            <w:pPr>
              <w:spacing w:after="0"/>
              <w:rPr>
                <w:sz w:val="9"/>
                <w:szCs w:val="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(212,831,404 )</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(178,720 )</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(78,278 )</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(44,597,221 )</w:t>
            </w:r>
          </w:p>
        </w:tc>
      </w:tr>
      <w:tr>
        <w:trPr>
          <w:trHeight w:val="87"/>
        </w:trPr>
        <w:tc>
          <w:tcPr>
            <w:tcW w:w="1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98"/>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Balance as at January 1, 2024</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932,969,424</w:t>
            </w: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127,310</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28,039,517</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3,868</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172,204,832</w:t>
            </w:r>
          </w:p>
        </w:tc>
        <w:tc>
          <w:tcPr>
            <w:tcW w:w="220" w:type="dxa"/>
            <w:vAlign w:val="bottom"/>
            <w:shd w:val="clear" w:color="auto" w:fill="CFF0FC"/>
          </w:tcPr>
          <w:p>
            <w:pPr>
              <w:spacing w:after="0"/>
              <w:rPr>
                <w:sz w:val="8"/>
                <w:szCs w:val="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(226,291,430 )</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(178,720 )</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(150,744)</w:t>
            </w:r>
          </w:p>
        </w:tc>
        <w:tc>
          <w:tcPr>
            <w:tcW w:w="200" w:type="dxa"/>
            <w:vAlign w:val="bottom"/>
            <w:shd w:val="clear" w:color="auto" w:fill="CFF0FC"/>
          </w:tcPr>
          <w:p>
            <w:pPr>
              <w:spacing w:after="0"/>
              <w:rPr>
                <w:sz w:val="8"/>
                <w:szCs w:val="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(54,284,884 )</w:t>
            </w:r>
          </w:p>
        </w:tc>
      </w:tr>
      <w:tr>
        <w:trPr>
          <w:trHeight w:val="113"/>
        </w:trPr>
        <w:tc>
          <w:tcPr>
            <w:tcW w:w="1720" w:type="dxa"/>
            <w:vAlign w:val="bottom"/>
          </w:tcPr>
          <w:p>
            <w:pPr>
              <w:spacing w:after="0"/>
              <w:rPr>
                <w:sz w:val="20"/>
                <w:szCs w:val="20"/>
                <w:color w:val="auto"/>
              </w:rPr>
            </w:pPr>
            <w:r>
              <w:rPr>
                <w:rFonts w:ascii="Times New Roman" w:cs="Times New Roman" w:eastAsia="Times New Roman" w:hAnsi="Times New Roman"/>
                <w:sz w:val="8"/>
                <w:szCs w:val="8"/>
                <w:color w:val="auto"/>
              </w:rPr>
              <w:t>Common stock issued</w:t>
            </w: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27,757</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240" w:type="dxa"/>
            <w:vAlign w:val="bottom"/>
          </w:tcPr>
          <w:p>
            <w:pPr>
              <w:spacing w:after="0"/>
              <w:rPr>
                <w:sz w:val="9"/>
                <w:szCs w:val="9"/>
                <w:color w:val="auto"/>
              </w:rPr>
            </w:pP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25,143</w:t>
            </w:r>
          </w:p>
        </w:tc>
        <w:tc>
          <w:tcPr>
            <w:tcW w:w="220" w:type="dxa"/>
            <w:vAlign w:val="bottom"/>
          </w:tcPr>
          <w:p>
            <w:pPr>
              <w:spacing w:after="0"/>
              <w:rPr>
                <w:sz w:val="9"/>
                <w:szCs w:val="9"/>
                <w:color w:val="auto"/>
              </w:rPr>
            </w:pPr>
          </w:p>
        </w:tc>
        <w:tc>
          <w:tcPr>
            <w:tcW w:w="118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25,146</w:t>
            </w:r>
          </w:p>
        </w:tc>
        <w:tc>
          <w:tcPr>
            <w:tcW w:w="120" w:type="dxa"/>
            <w:vAlign w:val="bottom"/>
          </w:tcPr>
          <w:p>
            <w:pPr>
              <w:spacing w:after="0"/>
              <w:rPr>
                <w:sz w:val="9"/>
                <w:szCs w:val="9"/>
                <w:color w:val="auto"/>
              </w:rPr>
            </w:pPr>
          </w:p>
        </w:tc>
      </w:tr>
      <w:tr>
        <w:trPr>
          <w:trHeight w:val="113"/>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Warrants issued with loan</w:t>
            </w:r>
          </w:p>
        </w:tc>
        <w:tc>
          <w:tcPr>
            <w:tcW w:w="1060" w:type="dxa"/>
            <w:vAlign w:val="bottom"/>
            <w:gridSpan w:val="3"/>
            <w:shd w:val="clear" w:color="auto" w:fill="CFF0FC"/>
          </w:tcPr>
          <w:p>
            <w:pPr>
              <w:jc w:val="right"/>
              <w:ind w:right="3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1,782</w:t>
            </w:r>
          </w:p>
        </w:tc>
        <w:tc>
          <w:tcPr>
            <w:tcW w:w="220" w:type="dxa"/>
            <w:vAlign w:val="bottom"/>
            <w:shd w:val="clear" w:color="auto" w:fill="CFF0FC"/>
          </w:tcPr>
          <w:p>
            <w:pPr>
              <w:spacing w:after="0"/>
              <w:rPr>
                <w:sz w:val="9"/>
                <w:szCs w:val="9"/>
                <w:color w:val="auto"/>
              </w:rPr>
            </w:pPr>
          </w:p>
        </w:tc>
        <w:tc>
          <w:tcPr>
            <w:tcW w:w="11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1,782</w:t>
            </w:r>
          </w:p>
        </w:tc>
        <w:tc>
          <w:tcPr>
            <w:tcW w:w="120" w:type="dxa"/>
            <w:vAlign w:val="bottom"/>
            <w:shd w:val="clear" w:color="auto" w:fill="CFF0FC"/>
          </w:tcPr>
          <w:p>
            <w:pPr>
              <w:spacing w:after="0"/>
              <w:rPr>
                <w:sz w:val="9"/>
                <w:szCs w:val="9"/>
                <w:color w:val="auto"/>
              </w:rPr>
            </w:pPr>
          </w:p>
        </w:tc>
      </w:tr>
      <w:tr>
        <w:trPr>
          <w:trHeight w:val="91"/>
        </w:trPr>
        <w:tc>
          <w:tcPr>
            <w:tcW w:w="1720" w:type="dxa"/>
            <w:vAlign w:val="bottom"/>
          </w:tcPr>
          <w:p>
            <w:pPr>
              <w:spacing w:after="0" w:line="91" w:lineRule="exact"/>
              <w:rPr>
                <w:sz w:val="20"/>
                <w:szCs w:val="20"/>
                <w:color w:val="auto"/>
              </w:rPr>
            </w:pPr>
            <w:r>
              <w:rPr>
                <w:rFonts w:ascii="Times New Roman" w:cs="Times New Roman" w:eastAsia="Times New Roman" w:hAnsi="Times New Roman"/>
                <w:sz w:val="8"/>
                <w:szCs w:val="8"/>
                <w:color w:val="auto"/>
              </w:rPr>
              <w:t>Share-based compensation to</w:t>
            </w: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gridSpan w:val="2"/>
          </w:tcPr>
          <w:p>
            <w:pPr>
              <w:jc w:val="right"/>
              <w:spacing w:after="0" w:line="91" w:lineRule="exact"/>
              <w:rPr>
                <w:sz w:val="20"/>
                <w:szCs w:val="20"/>
                <w:color w:val="auto"/>
              </w:rPr>
            </w:pPr>
            <w:r>
              <w:rPr>
                <w:rFonts w:ascii="Times New Roman" w:cs="Times New Roman" w:eastAsia="Times New Roman" w:hAnsi="Times New Roman"/>
                <w:sz w:val="8"/>
                <w:szCs w:val="8"/>
                <w:color w:val="auto"/>
              </w:rPr>
              <w:t>2,190,482</w:t>
            </w: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jc w:val="right"/>
              <w:spacing w:after="0" w:line="91" w:lineRule="exact"/>
              <w:rPr>
                <w:sz w:val="20"/>
                <w:szCs w:val="20"/>
                <w:color w:val="auto"/>
              </w:rPr>
            </w:pPr>
            <w:r>
              <w:rPr>
                <w:rFonts w:ascii="Times New Roman" w:cs="Times New Roman" w:eastAsia="Times New Roman" w:hAnsi="Times New Roman"/>
                <w:sz w:val="8"/>
                <w:szCs w:val="8"/>
                <w:color w:val="auto"/>
              </w:rPr>
              <w:t>2,190,482</w:t>
            </w:r>
          </w:p>
        </w:tc>
        <w:tc>
          <w:tcPr>
            <w:tcW w:w="120" w:type="dxa"/>
            <w:vAlign w:val="bottom"/>
          </w:tcPr>
          <w:p>
            <w:pPr>
              <w:spacing w:after="0"/>
              <w:rPr>
                <w:sz w:val="7"/>
                <w:szCs w:val="7"/>
                <w:color w:val="auto"/>
              </w:rPr>
            </w:pPr>
          </w:p>
        </w:tc>
      </w:tr>
      <w:tr>
        <w:trPr>
          <w:trHeight w:val="104"/>
        </w:trPr>
        <w:tc>
          <w:tcPr>
            <w:tcW w:w="1720" w:type="dxa"/>
            <w:vAlign w:val="bottom"/>
          </w:tcPr>
          <w:p>
            <w:pPr>
              <w:ind w:left="60"/>
              <w:spacing w:after="0"/>
              <w:rPr>
                <w:sz w:val="20"/>
                <w:szCs w:val="20"/>
                <w:color w:val="auto"/>
              </w:rPr>
            </w:pPr>
            <w:r>
              <w:rPr>
                <w:rFonts w:ascii="Times New Roman" w:cs="Times New Roman" w:eastAsia="Times New Roman" w:hAnsi="Times New Roman"/>
                <w:sz w:val="8"/>
                <w:szCs w:val="8"/>
                <w:color w:val="auto"/>
              </w:rPr>
              <w:t>related parties</w:t>
            </w: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91"/>
        </w:trPr>
        <w:tc>
          <w:tcPr>
            <w:tcW w:w="172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8"/>
                <w:szCs w:val="8"/>
                <w:color w:val="auto"/>
              </w:rPr>
              <w:t>Employee share-based</w:t>
            </w:r>
          </w:p>
        </w:tc>
        <w:tc>
          <w:tcPr>
            <w:tcW w:w="1060" w:type="dxa"/>
            <w:vAlign w:val="bottom"/>
            <w:gridSpan w:val="3"/>
            <w:shd w:val="clear" w:color="auto" w:fill="CFF0FC"/>
          </w:tcPr>
          <w:p>
            <w:pPr>
              <w:jc w:val="right"/>
              <w:ind w:right="340"/>
              <w:spacing w:after="0" w:line="91"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7"/>
                <w:szCs w:val="7"/>
                <w:color w:val="auto"/>
              </w:rPr>
            </w:pPr>
          </w:p>
        </w:tc>
        <w:tc>
          <w:tcPr>
            <w:tcW w:w="5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7"/>
                <w:szCs w:val="7"/>
                <w:color w:val="auto"/>
              </w:rPr>
            </w:pPr>
          </w:p>
        </w:tc>
        <w:tc>
          <w:tcPr>
            <w:tcW w:w="5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1,852,702</w:t>
            </w:r>
          </w:p>
        </w:tc>
        <w:tc>
          <w:tcPr>
            <w:tcW w:w="220" w:type="dxa"/>
            <w:vAlign w:val="bottom"/>
            <w:shd w:val="clear" w:color="auto" w:fill="CFF0FC"/>
          </w:tcPr>
          <w:p>
            <w:pPr>
              <w:spacing w:after="0"/>
              <w:rPr>
                <w:sz w:val="7"/>
                <w:szCs w:val="7"/>
                <w:color w:val="auto"/>
              </w:rPr>
            </w:pPr>
          </w:p>
        </w:tc>
        <w:tc>
          <w:tcPr>
            <w:tcW w:w="1180" w:type="dxa"/>
            <w:vAlign w:val="bottom"/>
            <w:gridSpan w:val="2"/>
            <w:shd w:val="clear" w:color="auto" w:fill="CFF0FC"/>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shd w:val="clear" w:color="auto" w:fill="CFF0FC"/>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1,852,702</w:t>
            </w:r>
          </w:p>
        </w:tc>
        <w:tc>
          <w:tcPr>
            <w:tcW w:w="120" w:type="dxa"/>
            <w:vAlign w:val="bottom"/>
            <w:shd w:val="clear" w:color="auto" w:fill="CFF0FC"/>
          </w:tcPr>
          <w:p>
            <w:pPr>
              <w:spacing w:after="0"/>
              <w:rPr>
                <w:sz w:val="7"/>
                <w:szCs w:val="7"/>
                <w:color w:val="auto"/>
              </w:rPr>
            </w:pPr>
          </w:p>
        </w:tc>
      </w:tr>
      <w:tr>
        <w:trPr>
          <w:trHeight w:val="104"/>
        </w:trPr>
        <w:tc>
          <w:tcPr>
            <w:tcW w:w="1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compensation</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13"/>
        </w:trPr>
        <w:tc>
          <w:tcPr>
            <w:tcW w:w="1720" w:type="dxa"/>
            <w:vAlign w:val="bottom"/>
          </w:tcPr>
          <w:p>
            <w:pPr>
              <w:spacing w:after="0"/>
              <w:rPr>
                <w:sz w:val="20"/>
                <w:szCs w:val="20"/>
                <w:color w:val="auto"/>
              </w:rPr>
            </w:pPr>
            <w:r>
              <w:rPr>
                <w:rFonts w:ascii="Times New Roman" w:cs="Times New Roman" w:eastAsia="Times New Roman" w:hAnsi="Times New Roman"/>
                <w:sz w:val="8"/>
                <w:szCs w:val="8"/>
                <w:color w:val="auto"/>
              </w:rPr>
              <w:t>Net Loss</w:t>
            </w:r>
          </w:p>
        </w:tc>
        <w:tc>
          <w:tcPr>
            <w:tcW w:w="1060" w:type="dxa"/>
            <w:vAlign w:val="bottom"/>
            <w:gridSpan w:val="3"/>
          </w:tcPr>
          <w:p>
            <w:pPr>
              <w:jc w:val="right"/>
              <w:ind w:right="3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1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(12,842,446 )</w:t>
            </w:r>
          </w:p>
        </w:tc>
        <w:tc>
          <w:tcPr>
            <w:tcW w:w="118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(12,842,446 )</w:t>
            </w:r>
          </w:p>
        </w:tc>
      </w:tr>
      <w:tr>
        <w:trPr>
          <w:trHeight w:val="91"/>
        </w:trPr>
        <w:tc>
          <w:tcPr>
            <w:tcW w:w="172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8"/>
                <w:szCs w:val="8"/>
                <w:color w:val="auto"/>
              </w:rPr>
              <w:t>Foreign currency translation</w:t>
            </w:r>
          </w:p>
        </w:tc>
        <w:tc>
          <w:tcPr>
            <w:tcW w:w="1060" w:type="dxa"/>
            <w:vAlign w:val="bottom"/>
            <w:gridSpan w:val="3"/>
            <w:shd w:val="clear" w:color="auto" w:fill="CFF0FC"/>
          </w:tcPr>
          <w:p>
            <w:pPr>
              <w:jc w:val="right"/>
              <w:ind w:right="340"/>
              <w:spacing w:after="0" w:line="91"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7"/>
                <w:szCs w:val="7"/>
                <w:color w:val="auto"/>
              </w:rPr>
            </w:pPr>
          </w:p>
        </w:tc>
        <w:tc>
          <w:tcPr>
            <w:tcW w:w="5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7"/>
                <w:szCs w:val="7"/>
                <w:color w:val="auto"/>
              </w:rPr>
            </w:pPr>
          </w:p>
        </w:tc>
        <w:tc>
          <w:tcPr>
            <w:tcW w:w="5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7"/>
                <w:szCs w:val="7"/>
                <w:color w:val="auto"/>
              </w:rPr>
            </w:pPr>
          </w:p>
        </w:tc>
        <w:tc>
          <w:tcPr>
            <w:tcW w:w="1120" w:type="dxa"/>
            <w:vAlign w:val="bottom"/>
            <w:gridSpan w:val="2"/>
            <w:shd w:val="clear" w:color="auto" w:fill="CFF0FC"/>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108,091</w:t>
            </w:r>
          </w:p>
        </w:tc>
        <w:tc>
          <w:tcPr>
            <w:tcW w:w="200" w:type="dxa"/>
            <w:vAlign w:val="bottom"/>
            <w:shd w:val="clear" w:color="auto" w:fill="CFF0FC"/>
          </w:tcPr>
          <w:p>
            <w:pPr>
              <w:spacing w:after="0"/>
              <w:rPr>
                <w:sz w:val="7"/>
                <w:szCs w:val="7"/>
                <w:color w:val="auto"/>
              </w:rPr>
            </w:pPr>
          </w:p>
        </w:tc>
        <w:tc>
          <w:tcPr>
            <w:tcW w:w="7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108,091</w:t>
            </w:r>
          </w:p>
        </w:tc>
        <w:tc>
          <w:tcPr>
            <w:tcW w:w="120" w:type="dxa"/>
            <w:vAlign w:val="bottom"/>
            <w:shd w:val="clear" w:color="auto" w:fill="CFF0FC"/>
          </w:tcPr>
          <w:p>
            <w:pPr>
              <w:spacing w:after="0"/>
              <w:rPr>
                <w:sz w:val="7"/>
                <w:szCs w:val="7"/>
                <w:color w:val="auto"/>
              </w:rPr>
            </w:pPr>
          </w:p>
        </w:tc>
      </w:tr>
      <w:tr>
        <w:trPr>
          <w:trHeight w:val="104"/>
        </w:trPr>
        <w:tc>
          <w:tcPr>
            <w:tcW w:w="1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gain</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98"/>
        </w:trPr>
        <w:tc>
          <w:tcPr>
            <w:tcW w:w="17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Balance as at June 30, 2024</w:t>
            </w: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932,997,181</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127,313</w:t>
            </w:r>
          </w:p>
        </w:tc>
        <w:tc>
          <w:tcPr>
            <w:tcW w:w="24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28,039,517</w:t>
            </w:r>
          </w:p>
        </w:tc>
        <w:tc>
          <w:tcPr>
            <w:tcW w:w="240" w:type="dxa"/>
            <w:vAlign w:val="bottom"/>
          </w:tcPr>
          <w:p>
            <w:pPr>
              <w:spacing w:after="0"/>
              <w:rPr>
                <w:sz w:val="8"/>
                <w:szCs w:val="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3,868</w:t>
            </w:r>
          </w:p>
        </w:tc>
        <w:tc>
          <w:tcPr>
            <w:tcW w:w="220" w:type="dxa"/>
            <w:vAlign w:val="bottom"/>
          </w:tcPr>
          <w:p>
            <w:pPr>
              <w:spacing w:after="0"/>
              <w:rPr>
                <w:sz w:val="8"/>
                <w:szCs w:val="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176,274,941</w:t>
            </w:r>
          </w:p>
        </w:tc>
        <w:tc>
          <w:tcPr>
            <w:tcW w:w="220" w:type="dxa"/>
            <w:vAlign w:val="bottom"/>
          </w:tcPr>
          <w:p>
            <w:pPr>
              <w:spacing w:after="0"/>
              <w:rPr>
                <w:sz w:val="8"/>
                <w:szCs w:val="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(239,133,876 )</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(178,720 )</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(42,653 )</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(62,949,127 )</w:t>
            </w:r>
          </w:p>
        </w:tc>
      </w:tr>
      <w:tr>
        <w:trPr>
          <w:trHeight w:val="20"/>
        </w:trPr>
        <w:tc>
          <w:tcPr>
            <w:tcW w:w="17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condensed interim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Condensed Interim Consolidated Carve-out Statements of Cash Flows</w:t>
      </w:r>
    </w:p>
    <w:p>
      <w:pPr>
        <w:spacing w:after="0"/>
        <w:rPr>
          <w:sz w:val="20"/>
          <w:szCs w:val="20"/>
          <w:color w:val="auto"/>
        </w:rPr>
      </w:pPr>
      <w:r>
        <w:rPr>
          <w:rFonts w:ascii="Times New Roman" w:cs="Times New Roman" w:eastAsia="Times New Roman" w:hAnsi="Times New Roman"/>
          <w:sz w:val="10"/>
          <w:szCs w:val="10"/>
          <w:i w:val="1"/>
          <w:iCs w:val="1"/>
          <w:color w:val="auto"/>
        </w:rPr>
        <w:t>(Unaudited)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8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560" w:type="dxa"/>
            <w:vAlign w:val="bottom"/>
          </w:tcPr>
          <w:p>
            <w:pPr>
              <w:jc w:val="center"/>
              <w:ind w:right="212"/>
              <w:spacing w:after="0"/>
              <w:rPr>
                <w:sz w:val="20"/>
                <w:szCs w:val="20"/>
                <w:color w:val="auto"/>
              </w:rPr>
            </w:pPr>
            <w:r>
              <w:rPr>
                <w:rFonts w:ascii="Times New Roman" w:cs="Times New Roman" w:eastAsia="Times New Roman" w:hAnsi="Times New Roman"/>
                <w:sz w:val="8"/>
                <w:szCs w:val="8"/>
                <w:b w:val="1"/>
                <w:bCs w:val="1"/>
                <w:color w:val="auto"/>
              </w:rPr>
              <w:t>Six months ended</w:t>
            </w:r>
          </w:p>
        </w:tc>
      </w:tr>
      <w:tr>
        <w:trPr>
          <w:trHeight w:val="98"/>
        </w:trPr>
        <w:tc>
          <w:tcPr>
            <w:tcW w:w="8180" w:type="dxa"/>
            <w:vAlign w:val="bottom"/>
          </w:tcPr>
          <w:p>
            <w:pPr>
              <w:jc w:val="center"/>
              <w:ind w:left="7512"/>
              <w:spacing w:after="0"/>
              <w:rPr>
                <w:sz w:val="20"/>
                <w:szCs w:val="20"/>
                <w:color w:val="auto"/>
              </w:rPr>
            </w:pPr>
            <w:r>
              <w:rPr>
                <w:rFonts w:ascii="Times New Roman" w:cs="Times New Roman" w:eastAsia="Times New Roman" w:hAnsi="Times New Roman"/>
                <w:sz w:val="8"/>
                <w:szCs w:val="8"/>
                <w:b w:val="1"/>
                <w:bCs w:val="1"/>
                <w:color w:val="auto"/>
              </w:rPr>
              <w:t>Six months ended</w:t>
            </w:r>
          </w:p>
        </w:tc>
        <w:tc>
          <w:tcPr>
            <w:tcW w:w="880" w:type="dxa"/>
            <w:vAlign w:val="bottom"/>
          </w:tcPr>
          <w:p>
            <w:pPr>
              <w:spacing w:after="0"/>
              <w:rPr>
                <w:sz w:val="8"/>
                <w:szCs w:val="8"/>
                <w:color w:val="auto"/>
              </w:rPr>
            </w:pPr>
          </w:p>
        </w:tc>
        <w:tc>
          <w:tcPr>
            <w:tcW w:w="1560" w:type="dxa"/>
            <w:vAlign w:val="bottom"/>
          </w:tcPr>
          <w:p>
            <w:pPr>
              <w:jc w:val="center"/>
              <w:ind w:right="192"/>
              <w:spacing w:after="0"/>
              <w:rPr>
                <w:sz w:val="20"/>
                <w:szCs w:val="20"/>
                <w:color w:val="auto"/>
              </w:rPr>
            </w:pPr>
            <w:r>
              <w:rPr>
                <w:rFonts w:ascii="Times New Roman" w:cs="Times New Roman" w:eastAsia="Times New Roman" w:hAnsi="Times New Roman"/>
                <w:sz w:val="8"/>
                <w:szCs w:val="8"/>
                <w:b w:val="1"/>
                <w:bCs w:val="1"/>
                <w:color w:val="auto"/>
              </w:rPr>
              <w:t>June 30, 2023</w:t>
            </w:r>
          </w:p>
        </w:tc>
      </w:tr>
      <w:tr>
        <w:trPr>
          <w:trHeight w:val="98"/>
        </w:trPr>
        <w:tc>
          <w:tcPr>
            <w:tcW w:w="8180" w:type="dxa"/>
            <w:vAlign w:val="bottom"/>
          </w:tcPr>
          <w:p>
            <w:pPr>
              <w:jc w:val="center"/>
              <w:ind w:left="7492"/>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880" w:type="dxa"/>
            <w:vAlign w:val="bottom"/>
          </w:tcPr>
          <w:p>
            <w:pPr>
              <w:spacing w:after="0"/>
              <w:rPr>
                <w:sz w:val="8"/>
                <w:szCs w:val="8"/>
                <w:color w:val="auto"/>
              </w:rPr>
            </w:pPr>
          </w:p>
        </w:tc>
        <w:tc>
          <w:tcPr>
            <w:tcW w:w="1560" w:type="dxa"/>
            <w:vAlign w:val="bottom"/>
          </w:tcPr>
          <w:p>
            <w:pPr>
              <w:jc w:val="center"/>
              <w:ind w:right="212"/>
              <w:spacing w:after="0"/>
              <w:rPr>
                <w:sz w:val="20"/>
                <w:szCs w:val="20"/>
                <w:color w:val="auto"/>
              </w:rPr>
            </w:pPr>
            <w:r>
              <w:rPr>
                <w:rFonts w:ascii="Times New Roman" w:cs="Times New Roman" w:eastAsia="Times New Roman" w:hAnsi="Times New Roman"/>
                <w:sz w:val="8"/>
                <w:szCs w:val="8"/>
                <w:b w:val="1"/>
                <w:bCs w:val="1"/>
                <w:color w:val="auto"/>
                <w:w w:val="99"/>
              </w:rPr>
              <w:t>(as restated)</w:t>
            </w:r>
          </w:p>
        </w:tc>
      </w:tr>
      <w:tr>
        <w:trPr>
          <w:trHeight w:val="106"/>
        </w:trPr>
        <w:tc>
          <w:tcPr>
            <w:tcW w:w="8180" w:type="dxa"/>
            <w:vAlign w:val="bottom"/>
          </w:tcPr>
          <w:p>
            <w:pPr>
              <w:jc w:val="center"/>
              <w:ind w:left="7492"/>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880" w:type="dxa"/>
            <w:vAlign w:val="bottom"/>
          </w:tcPr>
          <w:p>
            <w:pPr>
              <w:spacing w:after="0"/>
              <w:rPr>
                <w:sz w:val="9"/>
                <w:szCs w:val="9"/>
                <w:color w:val="auto"/>
              </w:rPr>
            </w:pPr>
          </w:p>
        </w:tc>
        <w:tc>
          <w:tcPr>
            <w:tcW w:w="1560" w:type="dxa"/>
            <w:vAlign w:val="bottom"/>
          </w:tcPr>
          <w:p>
            <w:pPr>
              <w:jc w:val="center"/>
              <w:ind w:right="192"/>
              <w:spacing w:after="0"/>
              <w:rPr>
                <w:sz w:val="20"/>
                <w:szCs w:val="20"/>
                <w:color w:val="auto"/>
              </w:rPr>
            </w:pPr>
            <w:r>
              <w:rPr>
                <w:rFonts w:ascii="Times New Roman" w:cs="Times New Roman" w:eastAsia="Times New Roman" w:hAnsi="Times New Roman"/>
                <w:sz w:val="8"/>
                <w:szCs w:val="8"/>
                <w:b w:val="1"/>
                <w:bCs w:val="1"/>
                <w:color w:val="auto"/>
                <w:w w:val="98"/>
              </w:rPr>
              <w:t>$</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88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88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w w:val="92"/>
              </w:rPr>
              <w:t>(12,842,446 )</w:t>
            </w:r>
          </w:p>
        </w:tc>
        <w:tc>
          <w:tcPr>
            <w:tcW w:w="15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(17,276,072 )</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Adjustments to reconcile net loss to net cash (used in)</w:t>
            </w:r>
          </w:p>
        </w:tc>
        <w:tc>
          <w:tcPr>
            <w:tcW w:w="88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operating activities:</w:t>
            </w:r>
          </w:p>
        </w:tc>
        <w:tc>
          <w:tcPr>
            <w:tcW w:w="880" w:type="dxa"/>
            <w:vAlign w:val="bottom"/>
          </w:tcPr>
          <w:p>
            <w:pPr>
              <w:spacing w:after="0"/>
              <w:rPr>
                <w:sz w:val="9"/>
                <w:szCs w:val="9"/>
                <w:color w:val="auto"/>
              </w:rPr>
            </w:pPr>
          </w:p>
        </w:tc>
        <w:tc>
          <w:tcPr>
            <w:tcW w:w="1560" w:type="dxa"/>
            <w:vAlign w:val="bottom"/>
          </w:tcPr>
          <w:p>
            <w:pPr>
              <w:spacing w:after="0"/>
              <w:rPr>
                <w:sz w:val="9"/>
                <w:szCs w:val="9"/>
                <w:color w:val="auto"/>
              </w:rPr>
            </w:pP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120,841</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121,571</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Unrealized Foreign Exchange loss</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108,224</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327,383</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Share based compensation – related parties</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2,190,482</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1,291,429</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Share based compensation – employees</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1,852,702</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3,588,960</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Impairment of prepayment and other current assets</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1,156,316</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3,009,002</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3,054,946</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Changes in operating assets and liabilities:</w:t>
            </w:r>
          </w:p>
        </w:tc>
        <w:tc>
          <w:tcPr>
            <w:tcW w:w="88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Decrease in accounts receivable</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1,100</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534</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(Increase) in prepayment and other current assets</w:t>
            </w:r>
          </w:p>
        </w:tc>
        <w:tc>
          <w:tcPr>
            <w:tcW w:w="88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(131,679 )</w:t>
            </w:r>
          </w:p>
        </w:tc>
        <w:tc>
          <w:tcPr>
            <w:tcW w:w="15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(695,026 )</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Increase/(decrease) in accounts payable, accrued expenses and other payables</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477,428</w:t>
            </w:r>
          </w:p>
        </w:tc>
        <w:tc>
          <w:tcPr>
            <w:tcW w:w="15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(263,348 )</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Increase/(Decrease) in other payables with related parties</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315,895</w:t>
            </w:r>
          </w:p>
        </w:tc>
        <w:tc>
          <w:tcPr>
            <w:tcW w:w="15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(125,000 )</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88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b w:val="1"/>
                <w:bCs w:val="1"/>
                <w:color w:val="auto"/>
              </w:rPr>
              <w:t xml:space="preserve">(4,898,451 </w:t>
            </w:r>
            <w:r>
              <w:rPr>
                <w:rFonts w:ascii="Times New Roman" w:cs="Times New Roman" w:eastAsia="Times New Roman" w:hAnsi="Times New Roman"/>
                <w:sz w:val="10"/>
                <w:szCs w:val="10"/>
                <w:color w:val="auto"/>
              </w:rPr>
              <w:t>)</w:t>
            </w:r>
          </w:p>
        </w:tc>
        <w:tc>
          <w:tcPr>
            <w:tcW w:w="15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(8,818,307 )</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88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Development of intangible asset</w:t>
            </w:r>
          </w:p>
        </w:tc>
        <w:tc>
          <w:tcPr>
            <w:tcW w:w="88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(1,360,525 )</w:t>
            </w:r>
          </w:p>
        </w:tc>
        <w:tc>
          <w:tcPr>
            <w:tcW w:w="15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(104,604 )</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Purchase of property and equipment</w:t>
            </w:r>
          </w:p>
        </w:tc>
        <w:tc>
          <w:tcPr>
            <w:tcW w:w="88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(3,850 )</w:t>
            </w:r>
          </w:p>
        </w:tc>
        <w:tc>
          <w:tcPr>
            <w:tcW w:w="15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(8,060 )</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investing activities</w:t>
            </w:r>
          </w:p>
        </w:tc>
        <w:tc>
          <w:tcPr>
            <w:tcW w:w="88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b w:val="1"/>
                <w:bCs w:val="1"/>
                <w:color w:val="auto"/>
              </w:rPr>
              <w:t xml:space="preserve">(1,364,375 </w:t>
            </w:r>
            <w:r>
              <w:rPr>
                <w:rFonts w:ascii="Times New Roman" w:cs="Times New Roman" w:eastAsia="Times New Roman" w:hAnsi="Times New Roman"/>
                <w:sz w:val="10"/>
                <w:szCs w:val="10"/>
                <w:color w:val="auto"/>
              </w:rPr>
              <w:t>)</w:t>
            </w:r>
          </w:p>
        </w:tc>
        <w:tc>
          <w:tcPr>
            <w:tcW w:w="15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(112,664 )</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88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rights issuance</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1,350,000</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1,653,882</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Call up capital received from related parties</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222,306</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common stock to related parties</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199,974</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Repayment of short term debt obligation from related parties</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(250,000 )</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short-term debt from related party</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4,178,008</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short-term debt</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400,000</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762,505</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convertible debt</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4,301,855</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2,627,543</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flow generated from financing activities</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b w:val="1"/>
                <w:bCs w:val="1"/>
                <w:color w:val="auto"/>
              </w:rPr>
              <w:t>6,274,161</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b w:val="1"/>
                <w:bCs w:val="1"/>
                <w:color w:val="auto"/>
              </w:rPr>
              <w:t>9,171,912</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Effect of exchange rate changes on cash</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b w:val="1"/>
                <w:bCs w:val="1"/>
                <w:color w:val="auto"/>
              </w:rPr>
              <w:t>38,522</w:t>
            </w:r>
          </w:p>
        </w:tc>
        <w:tc>
          <w:tcPr>
            <w:tcW w:w="15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(159,230 )</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change in cash</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b w:val="1"/>
                <w:bCs w:val="1"/>
                <w:color w:val="auto"/>
              </w:rPr>
              <w:t>49,857</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b w:val="1"/>
                <w:bCs w:val="1"/>
                <w:color w:val="auto"/>
              </w:rPr>
              <w:t>81,711</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and cash equivalents, beginning of year</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10,441</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39,380</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and cash equivalents, end of period</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b w:val="1"/>
                <w:bCs w:val="1"/>
                <w:color w:val="auto"/>
              </w:rPr>
              <w:t>60,298</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b w:val="1"/>
                <w:bCs w:val="1"/>
                <w:color w:val="auto"/>
              </w:rPr>
              <w:t>121,091</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Supplemental disclosure of non-cash investing and financing activities</w:t>
            </w:r>
          </w:p>
        </w:tc>
        <w:tc>
          <w:tcPr>
            <w:tcW w:w="880" w:type="dxa"/>
            <w:vAlign w:val="bottom"/>
          </w:tcPr>
          <w:p>
            <w:pPr>
              <w:spacing w:after="0"/>
              <w:rPr>
                <w:sz w:val="9"/>
                <w:szCs w:val="9"/>
                <w:color w:val="auto"/>
              </w:rPr>
            </w:pPr>
          </w:p>
        </w:tc>
        <w:tc>
          <w:tcPr>
            <w:tcW w:w="1560" w:type="dxa"/>
            <w:vAlign w:val="bottom"/>
          </w:tcPr>
          <w:p>
            <w:pPr>
              <w:spacing w:after="0"/>
              <w:rPr>
                <w:sz w:val="9"/>
                <w:szCs w:val="9"/>
                <w:color w:val="auto"/>
              </w:rPr>
            </w:pP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Share-based payment for development of intangible asset</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115,190</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paid for interest</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Cash paid for taxes</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Accrued interest payable converted to principal</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3,000,000</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Conversion of expenses under advanced subscription agreements</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25,143</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132,453</w:t>
            </w: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condensed interim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1.Organization and nature of operations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Group Limited (“Rezolve” or "the Company") was incorporated in England and Wales on January 5, 2023 and changed its name on June 5, 2023 to Rezolve AI Limited.</w:t>
      </w:r>
    </w:p>
    <w:p>
      <w:pPr>
        <w:spacing w:after="0" w:line="118"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Rezolve is a mobile commerce and engagement platform that enables retailers and brands to deliver rich and engaging mobile experiences to consumers. The mailing address of Rezolve’s registered office is 3rd Floor, 80 New Bond Street, London, United Kingdom, W1S 1SB.</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2.Significant Accounting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2.1.Basis of preparation and consolidation</w:t>
      </w:r>
    </w:p>
    <w:p>
      <w:pPr>
        <w:spacing w:after="0" w:line="60"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These condensed interim carve-out consolidated financial statements are for the six month period ended June 30, 2024 and are presented in United States Dollars ($) which is the functional currency of the parent company, Rezolve AI Limited. The accompanying unaudited condensed financial statements of the Company are presented in conformity with accounting principles generally accepted in the United States of America (“US GAAP”) and pursuant to the rules and regulations of the U.S. Securities and Exchange Commission (the “SEC”). Accordingly, they do not include all of the information and footnotes required by GAAP. In the opinion of management, the unaudited condensed financial statements reflect all adjustments, which include only normal recurring adjustments necessary for the fair statement of the balances and results for the periods presented. They have been prepared in accordance with Accounting Standards Codification (“ASC”)- 270 “Interim Reporting” and Article 10 of Regulation S-X for interim financial information. They do not include all of the information required in annual consolidated financial statements in accordance with accounting principles generally accepted in the United States of America (“US GAAP”). The accompanying unaudited condensed interim carve-out consolidated financial statements should be read in conjunction with the consolidated carve-out financial statements for the year ended December 31, 2023. However, selected explanatory notes are included to explain events and transactions that are significant to an understanding of the changes in the Company’s financial position and performance since the last annual financial statements. The interim results for the six months ended June 30, 2024 are not necessarily indicative of the results to be expected for the year ending December 31, 2024 or for any future interim periods.</w:t>
      </w:r>
    </w:p>
    <w:p>
      <w:pPr>
        <w:spacing w:after="0" w:line="108"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The accounting policies used for the condensed interim consolidated carve-out financial statements for the six-month period ended June 30, 2024 are consistent with those used in the annual carve-out consolidated financial statements for the year ended December 31, 2023. There has been no material change to the Company’s significant accounting policies during the six months ended June 30, 2024.</w:t>
      </w:r>
    </w:p>
    <w:p>
      <w:pPr>
        <w:spacing w:after="0" w:line="101"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accompanying Carve-out Consolidated Financial Statements include the financial statements of Rezolve AI Limited,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China Business”).</w:t>
      </w:r>
    </w:p>
    <w:p>
      <w:pPr>
        <w:spacing w:after="0" w:line="101"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On January 3, 2023, the Company’s directors approved a plan to abandon its operations in China completely. Subsequently, on January 5, 2023, the Company’s directors approved an application to the United Kingdom (the “UK”) tax authorities requesting tax clearance for a solvent demerger (the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05"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Demerger involves establishing a new holding company, Rezolve AI Limited (“Rezolve AI”),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The Demerger was completed on July 4, 2024 before the completion of the business combination with Armada on August 15, 2024, which was effected with Rezolve AI instead of Rezolve Limited. The listed company consists of Rezolve AI and its subsidiaries, which will legally not include Rezolve Shanghai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323215</wp:posOffset>
            </wp:positionV>
            <wp:extent cx="6778625" cy="349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ind w:right="160" w:firstLine="480"/>
        <w:spacing w:after="0" w:line="277" w:lineRule="auto"/>
        <w:rPr>
          <w:sz w:val="20"/>
          <w:szCs w:val="20"/>
          <w:color w:val="auto"/>
        </w:rPr>
      </w:pPr>
      <w:r>
        <w:rPr>
          <w:rFonts w:ascii="Times New Roman" w:cs="Times New Roman" w:eastAsia="Times New Roman" w:hAnsi="Times New Roman"/>
          <w:sz w:val="9"/>
          <w:szCs w:val="9"/>
          <w:color w:val="auto"/>
        </w:rPr>
        <w:t>These Carve -out Consolidated Financial Statements have been prepared on the basis that the Demerger was completed retrospectively on December 31, 2021, and thus reflects the predecessor company prior to completion of the Demerger. They are prepared on a carve-out basis. All costs of doing business in Rezolve Limited have been reflected in Rezolve AI Limited on a 100% allocation basis since management feels that this fully reflects the Carve-out Consolidated Financial Statements had the Demerger completed on December 31, 2021. Investments made in the China Business by Rezolve Limited in the People’s Republic of China (“China”) for the six months ending June 30, 2024 and 2023 have been recorded as “Business development expenses”, a component of General and Administrative expenses within the Company’s Consolidated Statement of Operations in accordance with Staff Accounting Bulletin Topic 1-B1, Costs Reflected in Historical Financial Statements ("SAB 1-B1"). Management asserts that this method used is reasonable.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2.2.Basis of consolidation</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 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which most significantly impact on the entity’s economic performance, and (2) the right to receive benefits or the obligation to absorb losses from the entity which could potentially be significant to the entity.</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does not have any VIEs to which we are the primary beneficiary.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intercompany balances and transactions have been eliminated.</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significant intercompany accounts and transactions have been eliminated in the consolidated financial statements. A list of subsidiary entities and the groups holding as at June 30, 2024, and December 31, 2023, are as follows:</w:t>
      </w:r>
    </w:p>
    <w:p>
      <w:pPr>
        <w:spacing w:after="0" w:line="168" w:lineRule="exact"/>
        <w:rPr>
          <w:sz w:val="20"/>
          <w:szCs w:val="20"/>
          <w:color w:val="auto"/>
        </w:rPr>
      </w:pPr>
    </w:p>
    <w:tbl>
      <w:tblPr>
        <w:tblLayout w:type="fixed"/>
        <w:tblInd w:w="520" w:type="dxa"/>
        <w:tblCellMar>
          <w:top w:w="0" w:type="dxa"/>
          <w:left w:w="0" w:type="dxa"/>
          <w:bottom w:w="0" w:type="dxa"/>
          <w:right w:w="0" w:type="dxa"/>
        </w:tblCellMar>
      </w:tblPr>
      <w:tr>
        <w:trPr>
          <w:trHeight w:val="106"/>
        </w:trPr>
        <w:tc>
          <w:tcPr>
            <w:tcW w:w="3220" w:type="dxa"/>
            <w:vAlign w:val="bottom"/>
          </w:tcPr>
          <w:p>
            <w:pPr>
              <w:ind w:left="1540"/>
              <w:spacing w:after="0"/>
              <w:rPr>
                <w:sz w:val="20"/>
                <w:szCs w:val="20"/>
                <w:color w:val="auto"/>
              </w:rPr>
            </w:pPr>
            <w:r>
              <w:rPr>
                <w:rFonts w:ascii="Times New Roman" w:cs="Times New Roman" w:eastAsia="Times New Roman" w:hAnsi="Times New Roman"/>
                <w:sz w:val="8"/>
                <w:szCs w:val="8"/>
                <w:b w:val="1"/>
                <w:bCs w:val="1"/>
                <w:color w:val="auto"/>
              </w:rPr>
              <w:t>Name of the entity</w:t>
            </w:r>
          </w:p>
        </w:tc>
        <w:tc>
          <w:tcPr>
            <w:tcW w:w="2360" w:type="dxa"/>
            <w:vAlign w:val="bottom"/>
          </w:tcPr>
          <w:p>
            <w:pPr>
              <w:jc w:val="center"/>
              <w:ind w:left="433"/>
              <w:spacing w:after="0"/>
              <w:rPr>
                <w:sz w:val="20"/>
                <w:szCs w:val="20"/>
                <w:color w:val="auto"/>
              </w:rPr>
            </w:pPr>
            <w:r>
              <w:rPr>
                <w:rFonts w:ascii="Times New Roman" w:cs="Times New Roman" w:eastAsia="Times New Roman" w:hAnsi="Times New Roman"/>
                <w:sz w:val="8"/>
                <w:szCs w:val="8"/>
                <w:b w:val="1"/>
                <w:bCs w:val="1"/>
                <w:color w:val="auto"/>
              </w:rPr>
              <w:t>Date of incorporation</w:t>
            </w:r>
          </w:p>
        </w:tc>
        <w:tc>
          <w:tcPr>
            <w:tcW w:w="20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Country of incorporation</w:t>
            </w:r>
          </w:p>
        </w:tc>
        <w:tc>
          <w:tcPr>
            <w:tcW w:w="192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Group shareholding (%)</w:t>
            </w:r>
          </w:p>
        </w:tc>
      </w:tr>
      <w:tr>
        <w:trPr>
          <w:trHeight w:val="113"/>
        </w:trPr>
        <w:tc>
          <w:tcPr>
            <w:tcW w:w="3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Rezolve Mobile Commerce Inc.</w:t>
            </w:r>
          </w:p>
        </w:tc>
        <w:tc>
          <w:tcPr>
            <w:tcW w:w="2360" w:type="dxa"/>
            <w:vAlign w:val="bottom"/>
            <w:shd w:val="clear" w:color="auto" w:fill="CFF0FC"/>
          </w:tcPr>
          <w:p>
            <w:pPr>
              <w:jc w:val="center"/>
              <w:ind w:left="433"/>
              <w:spacing w:after="0" w:line="113" w:lineRule="exact"/>
              <w:rPr>
                <w:sz w:val="20"/>
                <w:szCs w:val="20"/>
                <w:color w:val="auto"/>
              </w:rPr>
            </w:pPr>
            <w:r>
              <w:rPr>
                <w:rFonts w:ascii="Times New Roman" w:cs="Times New Roman" w:eastAsia="Times New Roman" w:hAnsi="Times New Roman"/>
                <w:sz w:val="10"/>
                <w:szCs w:val="10"/>
                <w:color w:val="auto"/>
                <w:w w:val="95"/>
              </w:rPr>
              <w:t>April 20, 2016</w:t>
            </w:r>
          </w:p>
        </w:tc>
        <w:tc>
          <w:tcPr>
            <w:tcW w:w="2080" w:type="dxa"/>
            <w:vAlign w:val="bottom"/>
            <w:shd w:val="clear" w:color="auto" w:fill="CFF0FC"/>
          </w:tcPr>
          <w:p>
            <w:pPr>
              <w:jc w:val="center"/>
              <w:spacing w:after="0" w:line="113" w:lineRule="exact"/>
              <w:rPr>
                <w:sz w:val="20"/>
                <w:szCs w:val="20"/>
                <w:color w:val="auto"/>
              </w:rPr>
            </w:pPr>
            <w:r>
              <w:rPr>
                <w:rFonts w:ascii="Times New Roman" w:cs="Times New Roman" w:eastAsia="Times New Roman" w:hAnsi="Times New Roman"/>
                <w:sz w:val="10"/>
                <w:szCs w:val="10"/>
                <w:color w:val="auto"/>
                <w:w w:val="96"/>
              </w:rPr>
              <w:t>United States of America</w:t>
            </w:r>
          </w:p>
        </w:tc>
        <w:tc>
          <w:tcPr>
            <w:tcW w:w="1920" w:type="dxa"/>
            <w:vAlign w:val="bottom"/>
            <w:shd w:val="clear" w:color="auto" w:fill="CFF0FC"/>
          </w:tcPr>
          <w:p>
            <w:pPr>
              <w:jc w:val="center"/>
              <w:spacing w:after="0" w:line="113" w:lineRule="exact"/>
              <w:rPr>
                <w:sz w:val="20"/>
                <w:szCs w:val="20"/>
                <w:color w:val="auto"/>
              </w:rPr>
            </w:pPr>
            <w:r>
              <w:rPr>
                <w:rFonts w:ascii="Times New Roman" w:cs="Times New Roman" w:eastAsia="Times New Roman" w:hAnsi="Times New Roman"/>
                <w:sz w:val="10"/>
                <w:szCs w:val="10"/>
                <w:color w:val="auto"/>
                <w:w w:val="94"/>
              </w:rPr>
              <w:t>100%</w:t>
            </w:r>
          </w:p>
        </w:tc>
      </w:tr>
      <w:tr>
        <w:trPr>
          <w:trHeight w:val="113"/>
        </w:trPr>
        <w:tc>
          <w:tcPr>
            <w:tcW w:w="32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Rezolve Technology S.L.</w:t>
            </w:r>
          </w:p>
        </w:tc>
        <w:tc>
          <w:tcPr>
            <w:tcW w:w="2360" w:type="dxa"/>
            <w:vAlign w:val="bottom"/>
          </w:tcPr>
          <w:p>
            <w:pPr>
              <w:jc w:val="center"/>
              <w:ind w:left="433"/>
              <w:spacing w:after="0" w:line="113" w:lineRule="exact"/>
              <w:rPr>
                <w:sz w:val="20"/>
                <w:szCs w:val="20"/>
                <w:color w:val="auto"/>
              </w:rPr>
            </w:pPr>
            <w:r>
              <w:rPr>
                <w:rFonts w:ascii="Times New Roman" w:cs="Times New Roman" w:eastAsia="Times New Roman" w:hAnsi="Times New Roman"/>
                <w:sz w:val="10"/>
                <w:szCs w:val="10"/>
                <w:color w:val="auto"/>
                <w:w w:val="96"/>
              </w:rPr>
              <w:t>August 25, 2020</w:t>
            </w:r>
          </w:p>
        </w:tc>
        <w:tc>
          <w:tcPr>
            <w:tcW w:w="208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color w:val="auto"/>
                <w:w w:val="96"/>
              </w:rPr>
              <w:t>Spain</w:t>
            </w:r>
          </w:p>
        </w:tc>
        <w:tc>
          <w:tcPr>
            <w:tcW w:w="192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color w:val="auto"/>
                <w:w w:val="94"/>
              </w:rPr>
              <w:t>100%</w:t>
            </w:r>
          </w:p>
        </w:tc>
      </w:tr>
      <w:tr>
        <w:trPr>
          <w:trHeight w:val="113"/>
        </w:trPr>
        <w:tc>
          <w:tcPr>
            <w:tcW w:w="3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Rezolve Taiwan Limited</w:t>
            </w:r>
          </w:p>
        </w:tc>
        <w:tc>
          <w:tcPr>
            <w:tcW w:w="2360" w:type="dxa"/>
            <w:vAlign w:val="bottom"/>
            <w:shd w:val="clear" w:color="auto" w:fill="CFF0FC"/>
          </w:tcPr>
          <w:p>
            <w:pPr>
              <w:jc w:val="center"/>
              <w:ind w:left="433"/>
              <w:spacing w:after="0" w:line="113" w:lineRule="exact"/>
              <w:rPr>
                <w:sz w:val="20"/>
                <w:szCs w:val="20"/>
                <w:color w:val="auto"/>
              </w:rPr>
            </w:pPr>
            <w:r>
              <w:rPr>
                <w:rFonts w:ascii="Times New Roman" w:cs="Times New Roman" w:eastAsia="Times New Roman" w:hAnsi="Times New Roman"/>
                <w:sz w:val="10"/>
                <w:szCs w:val="10"/>
                <w:color w:val="auto"/>
                <w:w w:val="96"/>
              </w:rPr>
              <w:t>November 9, 2000</w:t>
            </w:r>
          </w:p>
        </w:tc>
        <w:tc>
          <w:tcPr>
            <w:tcW w:w="2080" w:type="dxa"/>
            <w:vAlign w:val="bottom"/>
            <w:shd w:val="clear" w:color="auto" w:fill="CFF0FC"/>
          </w:tcPr>
          <w:p>
            <w:pPr>
              <w:jc w:val="center"/>
              <w:spacing w:after="0" w:line="113" w:lineRule="exact"/>
              <w:rPr>
                <w:sz w:val="20"/>
                <w:szCs w:val="20"/>
                <w:color w:val="auto"/>
              </w:rPr>
            </w:pPr>
            <w:r>
              <w:rPr>
                <w:rFonts w:ascii="Times New Roman" w:cs="Times New Roman" w:eastAsia="Times New Roman" w:hAnsi="Times New Roman"/>
                <w:sz w:val="10"/>
                <w:szCs w:val="10"/>
                <w:color w:val="auto"/>
                <w:w w:val="93"/>
              </w:rPr>
              <w:t>Taiwan</w:t>
            </w:r>
          </w:p>
        </w:tc>
        <w:tc>
          <w:tcPr>
            <w:tcW w:w="1920" w:type="dxa"/>
            <w:vAlign w:val="bottom"/>
            <w:shd w:val="clear" w:color="auto" w:fill="CFF0FC"/>
          </w:tcPr>
          <w:p>
            <w:pPr>
              <w:jc w:val="center"/>
              <w:spacing w:after="0" w:line="113" w:lineRule="exact"/>
              <w:rPr>
                <w:sz w:val="20"/>
                <w:szCs w:val="20"/>
                <w:color w:val="auto"/>
              </w:rPr>
            </w:pPr>
            <w:r>
              <w:rPr>
                <w:rFonts w:ascii="Times New Roman" w:cs="Times New Roman" w:eastAsia="Times New Roman" w:hAnsi="Times New Roman"/>
                <w:sz w:val="10"/>
                <w:szCs w:val="10"/>
                <w:color w:val="auto"/>
                <w:w w:val="94"/>
              </w:rPr>
              <w:t>100%</w:t>
            </w:r>
          </w:p>
        </w:tc>
      </w:tr>
      <w:tr>
        <w:trPr>
          <w:trHeight w:val="125"/>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Rezolve Technology (India) Private Limited</w:t>
            </w:r>
          </w:p>
        </w:tc>
        <w:tc>
          <w:tcPr>
            <w:tcW w:w="2360" w:type="dxa"/>
            <w:vAlign w:val="bottom"/>
          </w:tcPr>
          <w:p>
            <w:pPr>
              <w:jc w:val="center"/>
              <w:ind w:left="433"/>
              <w:spacing w:after="0"/>
              <w:rPr>
                <w:sz w:val="20"/>
                <w:szCs w:val="20"/>
                <w:color w:val="auto"/>
              </w:rPr>
            </w:pPr>
            <w:r>
              <w:rPr>
                <w:rFonts w:ascii="Times New Roman" w:cs="Times New Roman" w:eastAsia="Times New Roman" w:hAnsi="Times New Roman"/>
                <w:sz w:val="10"/>
                <w:szCs w:val="10"/>
                <w:color w:val="auto"/>
                <w:w w:val="94"/>
              </w:rPr>
              <w:t>March 20, 2021</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India</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100%</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2.3.Use of estimates</w:t>
      </w:r>
    </w:p>
    <w:p>
      <w:pPr>
        <w:spacing w:after="0" w:line="60" w:lineRule="exact"/>
        <w:rPr>
          <w:sz w:val="20"/>
          <w:szCs w:val="20"/>
          <w:color w:val="auto"/>
        </w:rPr>
      </w:pPr>
    </w:p>
    <w:p>
      <w:pPr>
        <w:ind w:right="40" w:firstLine="480"/>
        <w:spacing w:after="0" w:line="277" w:lineRule="auto"/>
        <w:rPr>
          <w:sz w:val="20"/>
          <w:szCs w:val="20"/>
          <w:color w:val="auto"/>
        </w:rPr>
      </w:pPr>
      <w:r>
        <w:rPr>
          <w:rFonts w:ascii="Times New Roman" w:cs="Times New Roman" w:eastAsia="Times New Roman" w:hAnsi="Times New Roman"/>
          <w:sz w:val="9"/>
          <w:szCs w:val="9"/>
          <w:color w:val="auto"/>
        </w:rPr>
        <w:t>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long-lived assets, and share-based compensation. Management believes that the estimates used in the preparation of the consolidated financial statements are prudent and reasonable. Management’s estimates could be affected by external conditions, including those unique to the Company and general economic conditions. It is reasonably possible that these external factors could have an effect on the Company’s estimates and could cause actual results to differ from those estimates.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2.4.Emerging Growth Company</w:t>
      </w:r>
    </w:p>
    <w:p>
      <w:pPr>
        <w:spacing w:after="0" w:line="60" w:lineRule="exact"/>
        <w:rPr>
          <w:sz w:val="20"/>
          <w:szCs w:val="20"/>
          <w:color w:val="auto"/>
        </w:rPr>
      </w:pPr>
    </w:p>
    <w:p>
      <w:pPr>
        <w:ind w:right="60" w:firstLine="480"/>
        <w:spacing w:after="0" w:line="285" w:lineRule="auto"/>
        <w:rPr>
          <w:sz w:val="20"/>
          <w:szCs w:val="20"/>
          <w:color w:val="auto"/>
        </w:rPr>
      </w:pPr>
      <w:r>
        <w:rPr>
          <w:rFonts w:ascii="Times New Roman" w:cs="Times New Roman" w:eastAsia="Times New Roman" w:hAnsi="Times New Roman"/>
          <w:sz w:val="9"/>
          <w:szCs w:val="9"/>
          <w:color w:val="auto"/>
        </w:rPr>
        <w:t>The Company is an “emerging growth company,” as defined in Section 2(a) of the Securities Act of 1933, as amended, (the “Securities Act”), as modified by the Jumpstart our Business Startups Act of 2012, (the “JOBS Act”) .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w:t>
      </w:r>
    </w:p>
    <w:p>
      <w:pPr>
        <w:spacing w:after="0" w:line="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921" w:right="60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requirements that apply to non-emerging growth companies but any such election to opt out is irrevocable, provided that early adoption is permitted by the new or revised accounting standard. The Company has elected to not opt out of such extended transition period,</w:t>
      </w:r>
    </w:p>
    <w:p>
      <w:pPr>
        <w:spacing w:after="0" w:line="129"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2.5.Liquidity</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accompanying condensed consolidated financial statements are prepared in accordance with generally accepted accounting principles applicable to a going concern, which contemplates the realization of assets and the satisfaction of liabilities in the normal course of business. In accordance with ASU No. 2014-15, Disclosure of Uncertainties about an Entity’s Ability to Continue as a Going concern (Subtopic 205-40), the Company has evaluated whether there are conditions and events, considered in the aggregate, that raise substantial doubt about its ability to continue as a going concern within one year after the date that the condensed consolidated financial statements are issued.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historically funded its operations with cash flow from debt and equity capital raises agreements from investors. The Company's principal uses of cash have been working capital and funding operations.</w:t>
      </w:r>
    </w:p>
    <w:p>
      <w:pPr>
        <w:spacing w:after="0" w:line="118"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As of June 30, 2024, the Company had an accumulated deficit of $239.1 million. For the six months ended June 30, 2024, the Company incurred a net loss of $ 12.8 million and net cash used in operating activities was $4.9 million. Cash and cash equivalents totaled $0.06 million as of June 30, 2024. The Company has a working capital deficit of $18.8 million as at June 30, 2024. The Company continues to incur losses while it develops technological services and targets customers. Our sources of cash for these activities rely on debt and equity funding. The ability to raise funding proved challenging beginning in the year ended December 31, 2022 which coincided with the increase in interest rates. Interest rates have started to decrease, however the ability to raise funding continues to be constrained.</w:t>
      </w:r>
    </w:p>
    <w:p>
      <w:pPr>
        <w:spacing w:after="0" w:line="108" w:lineRule="exact"/>
        <w:rPr>
          <w:sz w:val="20"/>
          <w:szCs w:val="20"/>
          <w:color w:val="auto"/>
        </w:rPr>
      </w:pPr>
    </w:p>
    <w:p>
      <w:pPr>
        <w:ind w:right="60" w:firstLine="480"/>
        <w:spacing w:after="0" w:line="292" w:lineRule="auto"/>
        <w:rPr>
          <w:sz w:val="20"/>
          <w:szCs w:val="20"/>
          <w:color w:val="auto"/>
        </w:rPr>
      </w:pPr>
      <w:r>
        <w:rPr>
          <w:rFonts w:ascii="Times New Roman" w:cs="Times New Roman" w:eastAsia="Times New Roman" w:hAnsi="Times New Roman"/>
          <w:sz w:val="10"/>
          <w:szCs w:val="10"/>
          <w:color w:val="auto"/>
        </w:rPr>
        <w:t>In the six months ending June 30, 2024, the Company obtained two unsecured convertible loans (Note 5.4) as well as an unsecured promissory note (Note 5.5). Subsequent to the date of these condensed interim carve-out consolidated financial statements, the Company executed an amended to it’s senior secured convertible notes (5.3) whereby the maturity date was extended to August 14</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2027.</w:t>
      </w:r>
    </w:p>
    <w:p>
      <w:pPr>
        <w:spacing w:after="0" w:line="38"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thereto.</w:t>
      </w:r>
    </w:p>
    <w:p>
      <w:pPr>
        <w:spacing w:after="0" w:line="101" w:lineRule="exact"/>
        <w:rPr>
          <w:sz w:val="20"/>
          <w:szCs w:val="20"/>
          <w:color w:val="auto"/>
        </w:rPr>
      </w:pPr>
    </w:p>
    <w:p>
      <w:pPr>
        <w:ind w:right="240" w:firstLine="480"/>
        <w:spacing w:after="0" w:line="255" w:lineRule="auto"/>
        <w:rPr>
          <w:sz w:val="20"/>
          <w:szCs w:val="20"/>
          <w:color w:val="auto"/>
        </w:rPr>
      </w:pPr>
      <w:r>
        <w:rPr>
          <w:rFonts w:ascii="Times New Roman" w:cs="Times New Roman" w:eastAsia="Times New Roman" w:hAnsi="Times New Roman"/>
          <w:sz w:val="10"/>
          <w:szCs w:val="10"/>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•Seeking additional capital through the issuance of debt or equity securities.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•Generating revenue by execution of successful trials and long-term partner arrangements.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•Reducing expenses by taking restructuring actions and reducing the number of employees and consultants.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•Controlling expenses and limiting capital expenditures.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Assumptions underlying the Company’s business plan are highly sensitive to the signing of revenue generating contracts, the successful outcome of trials for our services and the ability to control expenses.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Furthermore, the review of the strategic plan and budget, including expected developments in liquidity and capital from definitive agreements entered (Note 5.4), were considered. Consequently, it has been concluded that significant doubt exists regarding the entity’s ability to continue as a going concern.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2.6.Recently issued accounting pronouncements</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In December 2023, the Financial Accounting Standards Board (the FASB) issued Accounting Standards Update (ASU) No. 2023-09, Improvements to Income Tax Disclosures (ASU 2023-09), which is intended to enhance the transparency of income tax matters within financial statements, providing stakeholders with a clearer understanding of tax positions and their associated risks and uncertainties. ASU 2023-09 requires public business entities to disclose, on an annual basis, specific categories in the rate reconciliation and provide additional information for reconciling items that meet a specific quantitative threshold. There is a further requirement that public business entities will need to disclose a tabular reconciliation, using both percentages and reporting currency amounts. ASU 2023-09 is effective for fiscal years beginning after December 15, 2024. We are currently evaluating the impact of ASU 2023-09 on our consolidated financial statements and disclosures.</w:t>
      </w:r>
    </w:p>
    <w:p>
      <w:pPr>
        <w:spacing w:after="0" w:line="108" w:lineRule="exact"/>
        <w:rPr>
          <w:sz w:val="20"/>
          <w:szCs w:val="20"/>
          <w:color w:val="auto"/>
        </w:rPr>
      </w:pPr>
    </w:p>
    <w:p>
      <w:pPr>
        <w:jc w:val="both"/>
        <w:ind w:right="140" w:firstLine="480"/>
        <w:spacing w:after="0" w:line="277" w:lineRule="auto"/>
        <w:rPr>
          <w:sz w:val="20"/>
          <w:szCs w:val="20"/>
          <w:color w:val="auto"/>
        </w:rPr>
      </w:pPr>
      <w:r>
        <w:rPr>
          <w:rFonts w:ascii="Times New Roman" w:cs="Times New Roman" w:eastAsia="Times New Roman" w:hAnsi="Times New Roman"/>
          <w:sz w:val="9"/>
          <w:szCs w:val="9"/>
          <w:color w:val="auto"/>
        </w:rPr>
        <w:t>In November 2023, the FASB issued ASU No. 2023-07, Improvements to Reportable Segment Disclosures (ASU 2023-07), which aims to improve reportable segment disclosure requirements, primarily through enhanced disclosures regarding significant segment expenses. ASU 2023-07 requires public companies to disclose, on an annual and interim basis, significant segment expenses that are regularly provided to the chief operating decision maker and included within each reported measure of segment profit or loss. ASU 2023-07 also requires a public entity to disclose, on an annual and interim basis for each reportable segment, an amount for other segment items and a description of its composition. ASU 2023-07 is effective for fiscal years beginning after December 15, 2023 and interim periods within fiscal years beginning after December 15, 2024 and is required to be applied on a retrospective basis. We are currently evaluating the impact of ASU 2023-07 on our consolidated financial statements and disclosures.</w:t>
      </w:r>
    </w:p>
    <w:p>
      <w:pPr>
        <w:spacing w:after="0" w:line="92"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In October 2023, the Financial Accounting Standards Board (“FASB”) issued ASU 2023-06, “Disclosure Improvements: Codification Amendments in Response to the SEC’s Disclosure Update and Simplification Initiative” (“ASU 2023-06”). This ASU incorporates certain SEC disclosure requirements into the FASB Accounting Standards Codification (“ASC”). The amendments in the ASU are expected to clarify or improve disclosure and presentation requirements of a variety of ASC Topics, allow users to more easily compare entities subject to the SEC’s existing disclosures with those entities that were not previously subject to the requirements, and align the requirements in the ASC with the SEC’s regulations. The ASU has an unusual effective date and transition requirements since it is contingent on future SEC rule setting. If the SEC fails to enact required changes by June 30, 2027, this ASU is not effective for any entities. Early adoption is not permitted. The Company is currently evaluating the impact that the adoption of this standard will have on its consolidated financial statements.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2.7.Recently adopted accounting pronouncements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number of amended standards became applicable for the current reporting period. The Company did not have to change its accounting policies or make retrospective adjustments as a result of adopting these amended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2.8.Net loss per share</w:t>
      </w:r>
    </w:p>
    <w:p>
      <w:pPr>
        <w:spacing w:after="0" w:line="60"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The Company has two classes of issued shares, ordinary shares and series A preferred. Each series A preferred and ordinary shareholder are entitled to one vote per share. Holders of ordinary shares are entitled to receive dividends out of any asset legally available for payment of dividends only when such dividends are declared by the Board of Directors and approved by the majority of the shareholders. As of June 30, 2024, and December 31, 2023, the Company’s Board of Directors had not declared any dividends for ordinary shares.</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Basic net loss per share is based on the weighted average number of ordinary shares issued and outstanding and is calculated by dividing net loss attributable to ordinary shareholders by the weighted average shares outstanding during the period.</w:t>
      </w:r>
    </w:p>
    <w:p>
      <w:pPr>
        <w:spacing w:after="0" w:line="118"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0"/>
          <w:szCs w:val="10"/>
          <w:color w:val="auto"/>
        </w:rPr>
        <w:t>the effect of dilutive ordinary share equivalents, as their effect would be antidilutive. Diluted loss per share is equal to the net loss per share as all potentially dilutive securities are anti-dilutive in the periods presented. For the periods ended June 30, 2024 and 2023 the Company incurred net losses and therefore no potential dilutive ordinary share were utilized in the calculation of losses per share.</w:t>
      </w:r>
    </w:p>
    <w:p>
      <w:pPr>
        <w:spacing w:after="0" w:line="101" w:lineRule="exact"/>
        <w:rPr>
          <w:sz w:val="20"/>
          <w:szCs w:val="20"/>
          <w:color w:val="auto"/>
        </w:rPr>
      </w:pPr>
    </w:p>
    <w:p>
      <w:pPr>
        <w:ind w:right="240" w:firstLine="480"/>
        <w:spacing w:after="0" w:line="255" w:lineRule="auto"/>
        <w:rPr>
          <w:sz w:val="20"/>
          <w:szCs w:val="20"/>
          <w:color w:val="auto"/>
        </w:rPr>
      </w:pPr>
      <w:r>
        <w:rPr>
          <w:rFonts w:ascii="Times New Roman" w:cs="Times New Roman" w:eastAsia="Times New Roman" w:hAnsi="Times New Roman"/>
          <w:sz w:val="10"/>
          <w:szCs w:val="10"/>
          <w:color w:val="auto"/>
        </w:rPr>
        <w:t>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w:t>
      </w:r>
    </w:p>
    <w:p>
      <w:pPr>
        <w:spacing w:after="0" w:line="101"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w:t>
      </w:r>
    </w:p>
    <w:p>
      <w:pPr>
        <w:spacing w:after="0" w:line="101"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presents the potential shares of ordinary shares outstanding that were excluded from the computation of diluted net loss per share of ordinary shares as of the periods presented because including them would have been antidilutive:</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6"/>
        </w:trPr>
        <w:tc>
          <w:tcPr>
            <w:tcW w:w="4080" w:type="dxa"/>
            <w:vAlign w:val="bottom"/>
          </w:tcPr>
          <w:p>
            <w:pPr>
              <w:spacing w:after="0"/>
              <w:rPr>
                <w:sz w:val="9"/>
                <w:szCs w:val="9"/>
                <w:color w:val="auto"/>
              </w:rPr>
            </w:pPr>
          </w:p>
        </w:tc>
        <w:tc>
          <w:tcPr>
            <w:tcW w:w="1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8"/>
                <w:szCs w:val="8"/>
                <w:b w:val="1"/>
                <w:bCs w:val="1"/>
                <w:color w:val="auto"/>
              </w:rPr>
              <w:t>June 30, 2023</w:t>
            </w:r>
          </w:p>
        </w:tc>
        <w:tc>
          <w:tcPr>
            <w:tcW w:w="100" w:type="dxa"/>
            <w:vAlign w:val="bottom"/>
          </w:tcPr>
          <w:p>
            <w:pPr>
              <w:spacing w:after="0"/>
              <w:rPr>
                <w:sz w:val="9"/>
                <w:szCs w:val="9"/>
                <w:color w:val="auto"/>
              </w:rPr>
            </w:pPr>
          </w:p>
        </w:tc>
      </w:tr>
      <w:tr>
        <w:trPr>
          <w:trHeight w:val="100"/>
        </w:trPr>
        <w:tc>
          <w:tcPr>
            <w:tcW w:w="4080" w:type="dxa"/>
            <w:vAlign w:val="bottom"/>
            <w:shd w:val="clear" w:color="auto" w:fill="CFF0FC"/>
          </w:tcPr>
          <w:p>
            <w:pPr>
              <w:ind w:left="20"/>
              <w:spacing w:after="0" w:line="100" w:lineRule="exact"/>
              <w:rPr>
                <w:sz w:val="20"/>
                <w:szCs w:val="20"/>
                <w:color w:val="auto"/>
              </w:rPr>
            </w:pPr>
            <w:r>
              <w:rPr>
                <w:rFonts w:ascii="Times New Roman" w:cs="Times New Roman" w:eastAsia="Times New Roman" w:hAnsi="Times New Roman"/>
                <w:sz w:val="10"/>
                <w:szCs w:val="10"/>
                <w:color w:val="auto"/>
              </w:rPr>
              <w:t>Convertible loans</w:t>
            </w:r>
          </w:p>
        </w:tc>
        <w:tc>
          <w:tcPr>
            <w:tcW w:w="1100" w:type="dxa"/>
            <w:vAlign w:val="bottom"/>
            <w:shd w:val="clear" w:color="auto" w:fill="CFF0FC"/>
          </w:tcPr>
          <w:p>
            <w:pPr>
              <w:spacing w:after="0"/>
              <w:rPr>
                <w:sz w:val="8"/>
                <w:szCs w:val="8"/>
                <w:color w:val="auto"/>
              </w:rPr>
            </w:pPr>
          </w:p>
        </w:tc>
        <w:tc>
          <w:tcPr>
            <w:tcW w:w="50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color w:val="auto"/>
              </w:rPr>
              <w:t>5,423,768</w:t>
            </w:r>
          </w:p>
        </w:tc>
        <w:tc>
          <w:tcPr>
            <w:tcW w:w="100" w:type="dxa"/>
            <w:vAlign w:val="bottom"/>
            <w:shd w:val="clear" w:color="auto" w:fill="CFF0FC"/>
          </w:tcPr>
          <w:p>
            <w:pPr>
              <w:spacing w:after="0"/>
              <w:rPr>
                <w:sz w:val="8"/>
                <w:szCs w:val="8"/>
                <w:color w:val="auto"/>
              </w:rPr>
            </w:pPr>
          </w:p>
        </w:tc>
        <w:tc>
          <w:tcPr>
            <w:tcW w:w="15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color w:val="auto"/>
              </w:rPr>
              <w:t>4,273,552</w:t>
            </w:r>
          </w:p>
        </w:tc>
        <w:tc>
          <w:tcPr>
            <w:tcW w:w="100" w:type="dxa"/>
            <w:vAlign w:val="bottom"/>
            <w:shd w:val="clear" w:color="auto" w:fill="CFF0FC"/>
          </w:tcPr>
          <w:p>
            <w:pPr>
              <w:spacing w:after="0"/>
              <w:rPr>
                <w:sz w:val="8"/>
                <w:szCs w:val="8"/>
                <w:color w:val="auto"/>
              </w:rPr>
            </w:pPr>
          </w:p>
        </w:tc>
      </w:tr>
      <w:tr>
        <w:trPr>
          <w:trHeight w:val="113"/>
        </w:trPr>
        <w:tc>
          <w:tcPr>
            <w:tcW w:w="518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loan from related party</w:t>
            </w:r>
          </w:p>
        </w:tc>
        <w:tc>
          <w:tcPr>
            <w:tcW w:w="5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1,037,575</w:t>
            </w:r>
          </w:p>
        </w:tc>
        <w:tc>
          <w:tcPr>
            <w:tcW w:w="100" w:type="dxa"/>
            <w:vAlign w:val="bottom"/>
          </w:tcPr>
          <w:p>
            <w:pPr>
              <w:spacing w:after="0"/>
              <w:rPr>
                <w:sz w:val="9"/>
                <w:szCs w:val="9"/>
                <w:color w:val="auto"/>
              </w:rPr>
            </w:pPr>
          </w:p>
        </w:tc>
      </w:tr>
      <w:tr>
        <w:trPr>
          <w:trHeight w:val="113"/>
        </w:trPr>
        <w:tc>
          <w:tcPr>
            <w:tcW w:w="518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Shares payable</w:t>
            </w:r>
          </w:p>
        </w:tc>
        <w:tc>
          <w:tcPr>
            <w:tcW w:w="5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140,000</w:t>
            </w:r>
          </w:p>
        </w:tc>
        <w:tc>
          <w:tcPr>
            <w:tcW w:w="166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140,000</w:t>
            </w:r>
          </w:p>
        </w:tc>
        <w:tc>
          <w:tcPr>
            <w:tcW w:w="100" w:type="dxa"/>
            <w:vAlign w:val="bottom"/>
            <w:shd w:val="clear" w:color="auto" w:fill="CFF0FC"/>
          </w:tcPr>
          <w:p>
            <w:pPr>
              <w:spacing w:after="0"/>
              <w:rPr>
                <w:sz w:val="9"/>
                <w:szCs w:val="9"/>
                <w:color w:val="auto"/>
              </w:rPr>
            </w:pPr>
          </w:p>
        </w:tc>
      </w:tr>
      <w:tr>
        <w:trPr>
          <w:trHeight w:val="113"/>
        </w:trPr>
        <w:tc>
          <w:tcPr>
            <w:tcW w:w="518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Warrants</w:t>
            </w:r>
          </w:p>
        </w:tc>
        <w:tc>
          <w:tcPr>
            <w:tcW w:w="5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3,521,846</w:t>
            </w:r>
          </w:p>
        </w:tc>
        <w:tc>
          <w:tcPr>
            <w:tcW w:w="100" w:type="dxa"/>
            <w:vAlign w:val="bottom"/>
          </w:tcPr>
          <w:p>
            <w:pPr>
              <w:spacing w:after="0"/>
              <w:rPr>
                <w:sz w:val="9"/>
                <w:szCs w:val="9"/>
                <w:color w:val="auto"/>
              </w:rPr>
            </w:pP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r>
      <w:tr>
        <w:trPr>
          <w:trHeight w:val="113"/>
        </w:trPr>
        <w:tc>
          <w:tcPr>
            <w:tcW w:w="518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 options</w:t>
            </w:r>
          </w:p>
        </w:tc>
        <w:tc>
          <w:tcPr>
            <w:tcW w:w="5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5,200,000</w:t>
            </w:r>
          </w:p>
        </w:tc>
        <w:tc>
          <w:tcPr>
            <w:tcW w:w="166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5,200,000</w:t>
            </w:r>
          </w:p>
        </w:tc>
        <w:tc>
          <w:tcPr>
            <w:tcW w:w="100" w:type="dxa"/>
            <w:vAlign w:val="bottom"/>
            <w:shd w:val="clear" w:color="auto" w:fill="CFF0FC"/>
          </w:tcPr>
          <w:p>
            <w:pPr>
              <w:spacing w:after="0"/>
              <w:rPr>
                <w:sz w:val="9"/>
                <w:szCs w:val="9"/>
                <w:color w:val="auto"/>
              </w:rPr>
            </w:pPr>
          </w:p>
        </w:tc>
      </w:tr>
      <w:tr>
        <w:trPr>
          <w:trHeight w:val="113"/>
        </w:trPr>
        <w:tc>
          <w:tcPr>
            <w:tcW w:w="4080" w:type="dxa"/>
            <w:vAlign w:val="bottom"/>
            <w:tcBorders>
              <w:bottom w:val="single" w:sz="8" w:color="CFF0FC"/>
            </w:tcBorders>
          </w:tcPr>
          <w:p>
            <w:pPr>
              <w:ind w:left="20"/>
              <w:spacing w:after="0" w:line="113" w:lineRule="exact"/>
              <w:rPr>
                <w:sz w:val="20"/>
                <w:szCs w:val="20"/>
                <w:color w:val="auto"/>
              </w:rPr>
            </w:pPr>
            <w:r>
              <w:rPr>
                <w:rFonts w:ascii="Times New Roman" w:cs="Times New Roman" w:eastAsia="Times New Roman" w:hAnsi="Times New Roman"/>
                <w:sz w:val="10"/>
                <w:szCs w:val="10"/>
                <w:color w:val="auto"/>
              </w:rPr>
              <w:t>Preferred shares</w:t>
            </w:r>
          </w:p>
        </w:tc>
        <w:tc>
          <w:tcPr>
            <w:tcW w:w="1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28,039,517</w:t>
            </w:r>
          </w:p>
        </w:tc>
        <w:tc>
          <w:tcPr>
            <w:tcW w:w="100" w:type="dxa"/>
            <w:vAlign w:val="bottom"/>
            <w:tcBorders>
              <w:bottom w:val="single" w:sz="8" w:color="CFF0FC"/>
            </w:tcBorders>
          </w:tcPr>
          <w:p>
            <w:pPr>
              <w:spacing w:after="0"/>
              <w:rPr>
                <w:sz w:val="9"/>
                <w:szCs w:val="9"/>
                <w:color w:val="auto"/>
              </w:rPr>
            </w:pPr>
          </w:p>
        </w:tc>
        <w:tc>
          <w:tcPr>
            <w:tcW w:w="15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28,039,517</w:t>
            </w:r>
          </w:p>
        </w:tc>
        <w:tc>
          <w:tcPr>
            <w:tcW w:w="100" w:type="dxa"/>
            <w:vAlign w:val="bottom"/>
            <w:tcBorders>
              <w:bottom w:val="single" w:sz="8" w:color="CFF0FC"/>
            </w:tcBorders>
          </w:tcPr>
          <w:p>
            <w:pPr>
              <w:spacing w:after="0"/>
              <w:rPr>
                <w:sz w:val="9"/>
                <w:szCs w:val="9"/>
                <w:color w:val="auto"/>
              </w:rPr>
            </w:pPr>
          </w:p>
        </w:tc>
      </w:tr>
      <w:tr>
        <w:trPr>
          <w:trHeight w:val="103"/>
        </w:trPr>
        <w:tc>
          <w:tcPr>
            <w:tcW w:w="4080" w:type="dxa"/>
            <w:vAlign w:val="bottom"/>
            <w:tcBorders>
              <w:bottom w:val="single" w:sz="8" w:color="CFF0FC"/>
            </w:tcBorders>
            <w:shd w:val="clear" w:color="auto" w:fill="CFF0FC"/>
          </w:tcPr>
          <w:p>
            <w:pPr>
              <w:ind w:left="20"/>
              <w:spacing w:after="0" w:line="93" w:lineRule="exact"/>
              <w:rPr>
                <w:sz w:val="20"/>
                <w:szCs w:val="20"/>
                <w:color w:val="auto"/>
              </w:rPr>
            </w:pPr>
            <w:r>
              <w:rPr>
                <w:rFonts w:ascii="Times New Roman" w:cs="Times New Roman" w:eastAsia="Times New Roman" w:hAnsi="Times New Roman"/>
                <w:sz w:val="10"/>
                <w:szCs w:val="10"/>
                <w:b w:val="1"/>
                <w:bCs w:val="1"/>
                <w:color w:val="auto"/>
              </w:rPr>
              <w:t>Total</w:t>
            </w:r>
          </w:p>
        </w:tc>
        <w:tc>
          <w:tcPr>
            <w:tcW w:w="1100" w:type="dxa"/>
            <w:vAlign w:val="bottom"/>
            <w:tcBorders>
              <w:bottom w:val="single" w:sz="8" w:color="auto"/>
            </w:tcBorders>
            <w:shd w:val="clear" w:color="auto" w:fill="CFF0FC"/>
          </w:tcPr>
          <w:p>
            <w:pPr>
              <w:spacing w:after="0"/>
              <w:rPr>
                <w:sz w:val="8"/>
                <w:szCs w:val="8"/>
                <w:color w:val="auto"/>
              </w:rPr>
            </w:pPr>
          </w:p>
        </w:tc>
        <w:tc>
          <w:tcPr>
            <w:tcW w:w="500" w:type="dxa"/>
            <w:vAlign w:val="bottom"/>
            <w:tcBorders>
              <w:bottom w:val="single" w:sz="8" w:color="auto"/>
            </w:tcBorders>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42,325,131</w:t>
            </w:r>
          </w:p>
        </w:tc>
        <w:tc>
          <w:tcPr>
            <w:tcW w:w="100" w:type="dxa"/>
            <w:vAlign w:val="bottom"/>
            <w:tcBorders>
              <w:bottom w:val="single" w:sz="8" w:color="CFF0FC"/>
            </w:tcBorders>
            <w:shd w:val="clear" w:color="auto" w:fill="CFF0FC"/>
          </w:tcPr>
          <w:p>
            <w:pPr>
              <w:spacing w:after="0"/>
              <w:rPr>
                <w:sz w:val="8"/>
                <w:szCs w:val="8"/>
                <w:color w:val="auto"/>
              </w:rPr>
            </w:pPr>
          </w:p>
        </w:tc>
        <w:tc>
          <w:tcPr>
            <w:tcW w:w="1560" w:type="dxa"/>
            <w:vAlign w:val="bottom"/>
            <w:tcBorders>
              <w:bottom w:val="single" w:sz="8" w:color="auto"/>
            </w:tcBorders>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38,690,644</w:t>
            </w:r>
          </w:p>
        </w:tc>
        <w:tc>
          <w:tcPr>
            <w:tcW w:w="100" w:type="dxa"/>
            <w:vAlign w:val="bottom"/>
            <w:tcBorders>
              <w:bottom w:val="single" w:sz="8" w:color="CFF0FC"/>
            </w:tcBorders>
            <w:shd w:val="clear" w:color="auto" w:fill="CFF0FC"/>
          </w:tcPr>
          <w:p>
            <w:pPr>
              <w:spacing w:after="0"/>
              <w:rPr>
                <w:sz w:val="8"/>
                <w:szCs w:val="8"/>
                <w:color w:val="auto"/>
              </w:rPr>
            </w:pPr>
          </w:p>
        </w:tc>
      </w:tr>
    </w:tbl>
    <w:p>
      <w:pPr>
        <w:spacing w:after="0" w:line="136"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Company uses the if converted method for calculating the dilutive effect of the convertible loans and shares payable and the treasury stock method for calculating the dilutive effect of the warrants and share options. The preferred shares are convertible at the rate of one preferred share into one common share in the event of an initial public offering.</w:t>
      </w:r>
    </w:p>
    <w:p>
      <w:pPr>
        <w:spacing w:after="0" w:line="137" w:lineRule="exact"/>
        <w:rPr>
          <w:sz w:val="20"/>
          <w:szCs w:val="20"/>
          <w:color w:val="auto"/>
        </w:rPr>
      </w:pPr>
    </w:p>
    <w:tbl>
      <w:tblPr>
        <w:tblLayout w:type="fixed"/>
        <w:tblInd w:w="1060" w:type="dxa"/>
        <w:tblCellMar>
          <w:top w:w="0" w:type="dxa"/>
          <w:left w:w="0" w:type="dxa"/>
          <w:bottom w:w="0" w:type="dxa"/>
          <w:right w:w="0" w:type="dxa"/>
        </w:tblCellMar>
      </w:tblPr>
      <w:tr>
        <w:trPr>
          <w:trHeight w:val="98"/>
        </w:trPr>
        <w:tc>
          <w:tcPr>
            <w:tcW w:w="40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124"/>
              </w:rPr>
              <w:t>Employee Shares</w:t>
            </w: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04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124"/>
              </w:rPr>
              <w:t>Employee Shares</w:t>
            </w:r>
          </w:p>
        </w:tc>
        <w:tc>
          <w:tcPr>
            <w:tcW w:w="120" w:type="dxa"/>
            <w:vAlign w:val="bottom"/>
          </w:tcPr>
          <w:p>
            <w:pPr>
              <w:spacing w:after="0"/>
              <w:rPr>
                <w:sz w:val="8"/>
                <w:szCs w:val="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124"/>
              </w:rPr>
              <w:t>Requiring Additional</w:t>
            </w: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04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124"/>
              </w:rPr>
              <w:t>at Par Value</w:t>
            </w:r>
          </w:p>
        </w:tc>
        <w:tc>
          <w:tcPr>
            <w:tcW w:w="120" w:type="dxa"/>
            <w:vAlign w:val="bottom"/>
          </w:tcPr>
          <w:p>
            <w:pPr>
              <w:spacing w:after="0"/>
              <w:rPr>
                <w:sz w:val="8"/>
                <w:szCs w:val="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124"/>
              </w:rPr>
              <w:t>Paid in Capital</w:t>
            </w:r>
          </w:p>
        </w:tc>
        <w:tc>
          <w:tcPr>
            <w:tcW w:w="1280" w:type="dxa"/>
            <w:vAlign w:val="bottom"/>
            <w:gridSpan w:val="2"/>
          </w:tcPr>
          <w:p>
            <w:pPr>
              <w:jc w:val="right"/>
              <w:ind w:right="491"/>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8"/>
                <w:szCs w:val="8"/>
                <w:color w:val="auto"/>
              </w:rPr>
            </w:pPr>
          </w:p>
        </w:tc>
      </w:tr>
      <w:tr>
        <w:trPr>
          <w:trHeight w:val="106"/>
        </w:trPr>
        <w:tc>
          <w:tcPr>
            <w:tcW w:w="40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Exercise price</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124"/>
              </w:rPr>
              <w:t xml:space="preserve">£ </w:t>
            </w:r>
            <w:r>
              <w:rPr>
                <w:rFonts w:ascii="Times New Roman" w:cs="Times New Roman" w:eastAsia="Times New Roman" w:hAnsi="Times New Roman"/>
                <w:sz w:val="8"/>
                <w:szCs w:val="8"/>
                <w:b w:val="1"/>
                <w:bCs w:val="1"/>
                <w:color w:val="000000"/>
              </w:rPr>
              <w:t>0.0001</w:t>
            </w:r>
          </w:p>
        </w:tc>
        <w:tc>
          <w:tcPr>
            <w:tcW w:w="1700" w:type="dxa"/>
            <w:vAlign w:val="bottom"/>
            <w:gridSpan w:val="2"/>
          </w:tcPr>
          <w:p>
            <w:pPr>
              <w:jc w:val="center"/>
              <w:ind w:left="54"/>
              <w:spacing w:after="0"/>
              <w:rPr>
                <w:sz w:val="20"/>
                <w:szCs w:val="20"/>
                <w:color w:val="auto"/>
              </w:rPr>
            </w:pPr>
            <w:r>
              <w:rPr>
                <w:rFonts w:ascii="Times New Roman" w:cs="Times New Roman" w:eastAsia="Times New Roman" w:hAnsi="Times New Roman"/>
                <w:sz w:val="8"/>
                <w:szCs w:val="8"/>
                <w:b w:val="1"/>
                <w:bCs w:val="1"/>
                <w:color w:val="202124"/>
                <w:w w:val="99"/>
              </w:rPr>
              <w:t xml:space="preserve">£ </w:t>
            </w:r>
            <w:r>
              <w:rPr>
                <w:rFonts w:ascii="Times New Roman" w:cs="Times New Roman" w:eastAsia="Times New Roman" w:hAnsi="Times New Roman"/>
                <w:sz w:val="8"/>
                <w:szCs w:val="8"/>
                <w:b w:val="1"/>
                <w:bCs w:val="1"/>
                <w:color w:val="000000"/>
                <w:w w:val="99"/>
              </w:rPr>
              <w:t>0.016</w:t>
            </w: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40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As at January 1, 2023</w:t>
            </w:r>
          </w:p>
        </w:tc>
        <w:tc>
          <w:tcPr>
            <w:tcW w:w="13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58,315,800</w:t>
            </w:r>
          </w:p>
        </w:tc>
        <w:tc>
          <w:tcPr>
            <w:tcW w:w="170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10,700,000</w:t>
            </w:r>
          </w:p>
        </w:tc>
        <w:tc>
          <w:tcPr>
            <w:tcW w:w="128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215,448</w:t>
            </w:r>
          </w:p>
        </w:tc>
        <w:tc>
          <w:tcPr>
            <w:tcW w:w="100" w:type="dxa"/>
            <w:vAlign w:val="bottom"/>
            <w:shd w:val="clear" w:color="auto" w:fill="CFF0FC"/>
          </w:tcPr>
          <w:p>
            <w:pPr>
              <w:spacing w:after="0"/>
              <w:rPr>
                <w:sz w:val="9"/>
                <w:szCs w:val="9"/>
                <w:color w:val="auto"/>
              </w:rPr>
            </w:pPr>
          </w:p>
        </w:tc>
      </w:tr>
      <w:tr>
        <w:trPr>
          <w:trHeight w:val="113"/>
        </w:trPr>
        <w:tc>
          <w:tcPr>
            <w:tcW w:w="40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Issued during the period ended June 30, 2023</w:t>
            </w:r>
          </w:p>
        </w:tc>
        <w:tc>
          <w:tcPr>
            <w:tcW w:w="13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2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04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40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 at June 30, 2023</w:t>
            </w:r>
          </w:p>
        </w:tc>
        <w:tc>
          <w:tcPr>
            <w:tcW w:w="13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58,315,800</w:t>
            </w:r>
          </w:p>
        </w:tc>
        <w:tc>
          <w:tcPr>
            <w:tcW w:w="170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10,700,000</w:t>
            </w:r>
          </w:p>
        </w:tc>
        <w:tc>
          <w:tcPr>
            <w:tcW w:w="128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215,448</w:t>
            </w:r>
          </w:p>
        </w:tc>
        <w:tc>
          <w:tcPr>
            <w:tcW w:w="100" w:type="dxa"/>
            <w:vAlign w:val="bottom"/>
          </w:tcPr>
          <w:p>
            <w:pPr>
              <w:spacing w:after="0"/>
              <w:rPr>
                <w:sz w:val="9"/>
                <w:szCs w:val="9"/>
                <w:color w:val="auto"/>
              </w:rPr>
            </w:pPr>
          </w:p>
        </w:tc>
      </w:tr>
      <w:tr>
        <w:trPr>
          <w:trHeight w:val="113"/>
        </w:trPr>
        <w:tc>
          <w:tcPr>
            <w:tcW w:w="40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Issued during the period ended June 30, 2024</w:t>
            </w:r>
          </w:p>
        </w:tc>
        <w:tc>
          <w:tcPr>
            <w:tcW w:w="13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9"/>
                <w:szCs w:val="9"/>
                <w:color w:val="auto"/>
              </w:rPr>
            </w:pP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9"/>
                <w:szCs w:val="9"/>
                <w:color w:val="auto"/>
              </w:rPr>
            </w:pPr>
          </w:p>
        </w:tc>
        <w:tc>
          <w:tcPr>
            <w:tcW w:w="1280" w:type="dxa"/>
            <w:vAlign w:val="bottom"/>
            <w:gridSpan w:val="2"/>
            <w:shd w:val="clear" w:color="auto" w:fill="CFF0FC"/>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0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404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 at June 30, 2024</w:t>
            </w:r>
          </w:p>
        </w:tc>
        <w:tc>
          <w:tcPr>
            <w:tcW w:w="13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58,315,800</w:t>
            </w:r>
          </w:p>
        </w:tc>
        <w:tc>
          <w:tcPr>
            <w:tcW w:w="120" w:type="dxa"/>
            <w:vAlign w:val="bottom"/>
            <w:tcBorders>
              <w:bottom w:val="single" w:sz="8" w:color="CFF0FC"/>
            </w:tcBorders>
            <w:shd w:val="clear" w:color="auto" w:fill="CFF0FC"/>
          </w:tcPr>
          <w:p>
            <w:pPr>
              <w:spacing w:after="0"/>
              <w:rPr>
                <w:sz w:val="9"/>
                <w:szCs w:val="9"/>
                <w:color w:val="auto"/>
              </w:rPr>
            </w:pPr>
          </w:p>
        </w:tc>
        <w:tc>
          <w:tcPr>
            <w:tcW w:w="15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10,700,000</w:t>
            </w:r>
          </w:p>
        </w:tc>
        <w:tc>
          <w:tcPr>
            <w:tcW w:w="100" w:type="dxa"/>
            <w:vAlign w:val="bottom"/>
            <w:tcBorders>
              <w:bottom w:val="single" w:sz="8" w:color="CFF0FC"/>
            </w:tcBorders>
            <w:shd w:val="clear" w:color="auto" w:fill="CFF0FC"/>
          </w:tcPr>
          <w:p>
            <w:pPr>
              <w:spacing w:after="0"/>
              <w:rPr>
                <w:sz w:val="9"/>
                <w:szCs w:val="9"/>
                <w:color w:val="auto"/>
              </w:rPr>
            </w:pPr>
          </w:p>
        </w:tc>
        <w:tc>
          <w:tcPr>
            <w:tcW w:w="11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215,448</w:t>
            </w:r>
          </w:p>
        </w:tc>
        <w:tc>
          <w:tcPr>
            <w:tcW w:w="100" w:type="dxa"/>
            <w:vAlign w:val="bottom"/>
            <w:tcBorders>
              <w:bottom w:val="single" w:sz="8" w:color="CFF0FC"/>
            </w:tcBorders>
            <w:shd w:val="clear" w:color="auto" w:fill="CFF0FC"/>
          </w:tcPr>
          <w:p>
            <w:pPr>
              <w:spacing w:after="0"/>
              <w:rPr>
                <w:sz w:val="9"/>
                <w:szCs w:val="9"/>
                <w:color w:val="auto"/>
              </w:rPr>
            </w:pPr>
          </w:p>
        </w:tc>
      </w:tr>
    </w:tbl>
    <w:p>
      <w:pPr>
        <w:spacing w:after="0" w:line="136"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These employee shares have significant restrictions including management’s and or the board’s rights to cancel the shares any time, restrictions on right to transfer, to vote and cumulative dividends. There are no vesting conditions including service conditions in relation to the shares issued. Considering the restrictions imposed on these shares, these shares are considered to be ungranted to the employees. The amount receivable for these employee shares and such employee shares issued have been adjusted from the share subscription receivable and number of ordinary shares, respectively in the Company’s carve-out consolidated statement of changes in shareholder’s deficit.</w:t>
      </w:r>
    </w:p>
    <w:p>
      <w:pPr>
        <w:spacing w:after="0" w:line="105"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Management expect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June 30, 2024, the Company estimates the total share-based</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0"/>
          <w:szCs w:val="10"/>
          <w:color w:val="auto"/>
        </w:rPr>
        <w:t>payment expense to have been recognized immediately for the grant of 58,315,800 employee shares to be $13,995,792. This estimate uses a fair value per employee share of $ based on the last equity funding of the Company at $.24 per Ordinary share and an exercise price of £0.0001 for each employee share.</w:t>
      </w:r>
    </w:p>
    <w:p>
      <w:pPr>
        <w:spacing w:after="0" w:line="101"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2.9.Restatement of error in previously filed condensed interim carve-out consolidated financial statements: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In the initial and four amended filings of the Company’s F-4 registration statement in connection with the proposed business combination with that of Armada Acquisition Corp I (“Armada”, note 7.3), the Company consolidated ANY Lifestyle Management GmbH (“ANY”, Note 14) as a VIE with Rezolve as the primary beneficiary as of August 30, 2021 in its consolidated combined carve-out financial statements.</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On August 30, 2021, the Company executed a binding term sheet to acquire ANY from the Radio Group GmbH. In accordance with the binding term sheet, the Company issued 14,427,185 ordinary shares valued at $1.03 per share. The ordinary shares were</w:t>
      </w:r>
    </w:p>
    <w:p>
      <w:pPr>
        <w:spacing w:after="0" w:line="2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0"/>
          <w:szCs w:val="10"/>
          <w:color w:val="auto"/>
        </w:rPr>
        <w:t>issued on February 11, 2022 at which point all of the outstanding shares of ANY were transferred from the Radio Group to the Company. On December 28, 2022 the legal ownership of ANY reverted back to the sellers of ANY, the consideration shares were reclassified as deferred shares. On April 13, 2024, the board of directors of the Company approved a decision to abandon its plans to complete the acquisition of ANY. The Radio Group was notified immediately upon the board’s decision. The Company has no plans to pursue acquiring ANY at a later date.</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reassessed the legal rights under the binding term sheet to acquire ANY in early 2024 and concluded that the Company is not the primary beneficiary, and does not have the power to direct the activities of ANY</w:t>
      </w:r>
    </w:p>
    <w:p>
      <w:pPr>
        <w:spacing w:after="0" w:line="118"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 has therefore restated its comparative condensed interim carve-out consolidated financial statements for the six months ending June 30, 2023 by restating the comparative financial statements in these condensed interim carve-out consolidated financial statements.</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921" w:right="68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The following presents a reconciliation of the impacted financial statement line items as filed to the restated amounts as of and for the six months then ended. The previously reported amounts reflect those included in the third and fourth amended registration statements as of and for the six months ended June 30, 2023 filed with the SEC on December 12, 2023 and January 19, 2024. These amounts are labeled as “As filed” in the tables below. The amounts labeled “Restatement Adjustments” represent the effects of this restatement due to the change in judgement associated with the Company as ANY’s primary beneficiary. The impact of correcting this material error was an decrease in net loss of $7.3 million, a decrease in total assets of $0.3 million and total liabilities and shareholders equity of $0.3 million.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34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60" w:type="dxa"/>
            <w:vAlign w:val="bottom"/>
            <w:gridSpan w:val="2"/>
          </w:tcPr>
          <w:p>
            <w:pPr>
              <w:jc w:val="right"/>
              <w:ind w:right="723"/>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1680" w:type="dxa"/>
            <w:vAlign w:val="bottom"/>
            <w:gridSpan w:val="2"/>
          </w:tcPr>
          <w:p>
            <w:pPr>
              <w:jc w:val="right"/>
              <w:ind w:right="640"/>
              <w:spacing w:after="0"/>
              <w:rPr>
                <w:sz w:val="20"/>
                <w:szCs w:val="20"/>
                <w:color w:val="auto"/>
              </w:rPr>
            </w:pPr>
            <w:r>
              <w:rPr>
                <w:rFonts w:ascii="Times New Roman" w:cs="Times New Roman" w:eastAsia="Times New Roman" w:hAnsi="Times New Roman"/>
                <w:sz w:val="8"/>
                <w:szCs w:val="8"/>
                <w:b w:val="1"/>
                <w:bCs w:val="1"/>
                <w:color w:val="auto"/>
              </w:rPr>
              <w:t>June 30, 2023</w:t>
            </w:r>
          </w:p>
        </w:tc>
      </w:tr>
      <w:tr>
        <w:trPr>
          <w:trHeight w:val="106"/>
        </w:trPr>
        <w:tc>
          <w:tcPr>
            <w:tcW w:w="34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balance sheet</w:t>
            </w:r>
          </w:p>
        </w:tc>
        <w:tc>
          <w:tcPr>
            <w:tcW w:w="1980" w:type="dxa"/>
            <w:vAlign w:val="bottom"/>
          </w:tcPr>
          <w:p>
            <w:pPr>
              <w:spacing w:after="0"/>
              <w:rPr>
                <w:sz w:val="9"/>
                <w:szCs w:val="9"/>
                <w:color w:val="auto"/>
              </w:rPr>
            </w:pPr>
          </w:p>
        </w:tc>
        <w:tc>
          <w:tcPr>
            <w:tcW w:w="1760" w:type="dxa"/>
            <w:vAlign w:val="bottom"/>
            <w:gridSpan w:val="2"/>
          </w:tcPr>
          <w:p>
            <w:pPr>
              <w:jc w:val="right"/>
              <w:ind w:right="860"/>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1760" w:type="dxa"/>
            <w:vAlign w:val="bottom"/>
            <w:gridSpan w:val="2"/>
          </w:tcPr>
          <w:p>
            <w:pPr>
              <w:jc w:val="right"/>
              <w:ind w:right="723"/>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00"/>
        </w:trPr>
        <w:tc>
          <w:tcPr>
            <w:tcW w:w="344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Assets</w:t>
            </w:r>
          </w:p>
        </w:tc>
        <w:tc>
          <w:tcPr>
            <w:tcW w:w="1980" w:type="dxa"/>
            <w:vAlign w:val="bottom"/>
            <w:shd w:val="clear" w:color="auto" w:fill="CFF0FC"/>
          </w:tcPr>
          <w:p>
            <w:pPr>
              <w:spacing w:after="0"/>
              <w:rPr>
                <w:sz w:val="8"/>
                <w:szCs w:val="8"/>
                <w:color w:val="auto"/>
              </w:rPr>
            </w:pPr>
          </w:p>
        </w:tc>
        <w:tc>
          <w:tcPr>
            <w:tcW w:w="15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56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5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assets</w:t>
            </w: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122,364</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(1,275 )</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121,089</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Accounts receivable</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75,353</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(67,032 )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8,321</w:t>
            </w: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Prepayments and other current assets</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738,274</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(161,304 )</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576,970</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935,991</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b w:val="1"/>
                <w:bCs w:val="1"/>
                <w:color w:val="auto"/>
              </w:rPr>
              <w:t>(229,611 )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706,380</w:t>
            </w:r>
          </w:p>
        </w:tc>
        <w:tc>
          <w:tcPr>
            <w:tcW w:w="100" w:type="dxa"/>
            <w:vAlign w:val="bottom"/>
          </w:tcPr>
          <w:p>
            <w:pPr>
              <w:spacing w:after="0"/>
              <w:rPr>
                <w:sz w:val="9"/>
                <w:szCs w:val="9"/>
                <w:color w:val="auto"/>
              </w:rPr>
            </w:pPr>
          </w:p>
        </w:tc>
      </w:tr>
      <w:tr>
        <w:trPr>
          <w:trHeight w:val="100"/>
        </w:trPr>
        <w:tc>
          <w:tcPr>
            <w:tcW w:w="344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Non-current assets</w:t>
            </w:r>
          </w:p>
        </w:tc>
        <w:tc>
          <w:tcPr>
            <w:tcW w:w="1980" w:type="dxa"/>
            <w:vAlign w:val="bottom"/>
            <w:shd w:val="clear" w:color="auto" w:fill="CFF0FC"/>
          </w:tcPr>
          <w:p>
            <w:pPr>
              <w:spacing w:after="0"/>
              <w:rPr>
                <w:sz w:val="8"/>
                <w:szCs w:val="8"/>
                <w:color w:val="auto"/>
              </w:rPr>
            </w:pPr>
          </w:p>
        </w:tc>
        <w:tc>
          <w:tcPr>
            <w:tcW w:w="15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5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5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Property and equipment, net</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119,591</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(24,263 )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95,328</w:t>
            </w: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Intangible assets</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589,524</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(18,225 )</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571,299</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non-current assets</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709,115</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b w:val="1"/>
                <w:bCs w:val="1"/>
                <w:color w:val="auto"/>
              </w:rPr>
              <w:t>(42,488 )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666,627</w:t>
            </w:r>
          </w:p>
        </w:tc>
        <w:tc>
          <w:tcPr>
            <w:tcW w:w="100" w:type="dxa"/>
            <w:vAlign w:val="bottom"/>
          </w:tcPr>
          <w:p>
            <w:pPr>
              <w:spacing w:after="0"/>
              <w:rPr>
                <w:sz w:val="9"/>
                <w:szCs w:val="9"/>
                <w:color w:val="auto"/>
              </w:rPr>
            </w:pPr>
          </w:p>
        </w:tc>
      </w:tr>
      <w:tr>
        <w:trPr>
          <w:trHeight w:val="100"/>
        </w:trPr>
        <w:tc>
          <w:tcPr>
            <w:tcW w:w="3440" w:type="dxa"/>
            <w:vAlign w:val="bottom"/>
            <w:tcBorders>
              <w:bottom w:val="single" w:sz="8" w:color="CFF0FC"/>
            </w:tcBorders>
            <w:shd w:val="clear" w:color="auto" w:fill="CFF0FC"/>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1980" w:type="dxa"/>
            <w:vAlign w:val="bottom"/>
            <w:tcBorders>
              <w:bottom w:val="single" w:sz="8" w:color="CFF0FC"/>
            </w:tcBorders>
            <w:shd w:val="clear" w:color="auto" w:fill="CFF0FC"/>
          </w:tcPr>
          <w:p>
            <w:pPr>
              <w:spacing w:after="0"/>
              <w:rPr>
                <w:sz w:val="8"/>
                <w:szCs w:val="8"/>
                <w:color w:val="auto"/>
              </w:rPr>
            </w:pPr>
          </w:p>
        </w:tc>
        <w:tc>
          <w:tcPr>
            <w:tcW w:w="1540" w:type="dxa"/>
            <w:vAlign w:val="bottom"/>
            <w:tcBorders>
              <w:top w:val="single" w:sz="8" w:color="auto"/>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1,645,106</w:t>
            </w:r>
          </w:p>
        </w:tc>
        <w:tc>
          <w:tcPr>
            <w:tcW w:w="220" w:type="dxa"/>
            <w:vAlign w:val="bottom"/>
            <w:tcBorders>
              <w:bottom w:val="single" w:sz="8" w:color="CFF0FC"/>
            </w:tcBorders>
            <w:shd w:val="clear" w:color="auto" w:fill="CFF0FC"/>
          </w:tcPr>
          <w:p>
            <w:pPr>
              <w:spacing w:after="0"/>
              <w:rPr>
                <w:sz w:val="8"/>
                <w:szCs w:val="8"/>
                <w:color w:val="auto"/>
              </w:rPr>
            </w:pPr>
          </w:p>
        </w:tc>
        <w:tc>
          <w:tcPr>
            <w:tcW w:w="1560" w:type="dxa"/>
            <w:vAlign w:val="bottom"/>
            <w:tcBorders>
              <w:top w:val="single" w:sz="8" w:color="auto"/>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(272,099</w:t>
            </w:r>
          </w:p>
        </w:tc>
        <w:tc>
          <w:tcPr>
            <w:tcW w:w="200" w:type="dxa"/>
            <w:vAlign w:val="bottom"/>
            <w:tcBorders>
              <w:bottom w:val="single" w:sz="8" w:color="CFF0FC"/>
            </w:tcBorders>
            <w:shd w:val="clear" w:color="auto" w:fill="CFF0FC"/>
          </w:tcPr>
          <w:p>
            <w:pPr>
              <w:jc w:val="right"/>
              <w:ind w:right="12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1580" w:type="dxa"/>
            <w:vAlign w:val="bottom"/>
            <w:tcBorders>
              <w:top w:val="single" w:sz="8" w:color="auto"/>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1,373,007</w:t>
            </w:r>
          </w:p>
        </w:tc>
        <w:tc>
          <w:tcPr>
            <w:tcW w:w="100" w:type="dxa"/>
            <w:vAlign w:val="bottom"/>
            <w:tcBorders>
              <w:bottom w:val="single" w:sz="8" w:color="CFF0FC"/>
            </w:tcBorders>
            <w:shd w:val="clear" w:color="auto" w:fill="CFF0FC"/>
          </w:tcPr>
          <w:p>
            <w:pPr>
              <w:spacing w:after="0"/>
              <w:rPr>
                <w:sz w:val="8"/>
                <w:szCs w:val="8"/>
                <w:color w:val="auto"/>
              </w:rPr>
            </w:pPr>
          </w:p>
        </w:tc>
      </w:tr>
      <w:tr>
        <w:trPr>
          <w:trHeight w:val="108"/>
        </w:trPr>
        <w:tc>
          <w:tcPr>
            <w:tcW w:w="3440" w:type="dxa"/>
            <w:vAlign w:val="bottom"/>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Liabilities and Shareholders’ deficit</w:t>
            </w: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liabilities</w:t>
            </w:r>
          </w:p>
        </w:tc>
        <w:tc>
          <w:tcPr>
            <w:tcW w:w="198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4,050,668</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(74,773 )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3,975,895</w:t>
            </w: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Due to related party</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895,170</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(795,050 )</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100,120</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Accrued expenses and other payables</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2,875,038</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(348,254 )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2,526,784</w:t>
            </w: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Ordinary shares payable</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1,786,335</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83"/>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1,786,335</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Short term debt</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762,505</w:t>
            </w:r>
          </w:p>
        </w:tc>
        <w:tc>
          <w:tcPr>
            <w:tcW w:w="220" w:type="dxa"/>
            <w:vAlign w:val="bottom"/>
          </w:tcPr>
          <w:p>
            <w:pPr>
              <w:spacing w:after="0"/>
              <w:rPr>
                <w:sz w:val="9"/>
                <w:szCs w:val="9"/>
                <w:color w:val="auto"/>
              </w:rPr>
            </w:pPr>
          </w:p>
        </w:tc>
        <w:tc>
          <w:tcPr>
            <w:tcW w:w="1760" w:type="dxa"/>
            <w:vAlign w:val="bottom"/>
            <w:gridSpan w:val="2"/>
          </w:tcPr>
          <w:p>
            <w:pPr>
              <w:jc w:val="right"/>
              <w:ind w:right="183"/>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762,505</w:t>
            </w: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Short term debt to related party</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5,661,193</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83"/>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5,661,193</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16,030,909</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b w:val="1"/>
                <w:bCs w:val="1"/>
                <w:color w:val="auto"/>
              </w:rPr>
              <w:t>(1,218,077 )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14,812,832</w:t>
            </w:r>
          </w:p>
        </w:tc>
        <w:tc>
          <w:tcPr>
            <w:tcW w:w="100" w:type="dxa"/>
            <w:vAlign w:val="bottom"/>
          </w:tcPr>
          <w:p>
            <w:pPr>
              <w:spacing w:after="0"/>
              <w:rPr>
                <w:sz w:val="9"/>
                <w:szCs w:val="9"/>
                <w:color w:val="auto"/>
              </w:rPr>
            </w:pPr>
          </w:p>
        </w:tc>
      </w:tr>
      <w:tr>
        <w:trPr>
          <w:trHeight w:val="100"/>
        </w:trPr>
        <w:tc>
          <w:tcPr>
            <w:tcW w:w="344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Non-current liabilities</w:t>
            </w:r>
          </w:p>
        </w:tc>
        <w:tc>
          <w:tcPr>
            <w:tcW w:w="1980" w:type="dxa"/>
            <w:vAlign w:val="bottom"/>
            <w:shd w:val="clear" w:color="auto" w:fill="CFF0FC"/>
          </w:tcPr>
          <w:p>
            <w:pPr>
              <w:spacing w:after="0"/>
              <w:rPr>
                <w:sz w:val="8"/>
                <w:szCs w:val="8"/>
                <w:color w:val="auto"/>
              </w:rPr>
            </w:pPr>
          </w:p>
        </w:tc>
        <w:tc>
          <w:tcPr>
            <w:tcW w:w="15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56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5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Convertible debt</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30,968,733</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(1,053,869 )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29,914,864</w:t>
            </w: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Share-based payment liability</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1,242,533</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83"/>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1,242,533</w:t>
            </w:r>
          </w:p>
        </w:tc>
        <w:tc>
          <w:tcPr>
            <w:tcW w:w="100" w:type="dxa"/>
            <w:vAlign w:val="bottom"/>
            <w:shd w:val="clear" w:color="auto" w:fill="CFF0FC"/>
          </w:tcPr>
          <w:p>
            <w:pPr>
              <w:spacing w:after="0"/>
              <w:rPr>
                <w:sz w:val="9"/>
                <w:szCs w:val="9"/>
                <w:color w:val="auto"/>
              </w:rPr>
            </w:pPr>
          </w:p>
        </w:tc>
      </w:tr>
      <w:tr>
        <w:trPr>
          <w:trHeight w:val="100"/>
        </w:trPr>
        <w:tc>
          <w:tcPr>
            <w:tcW w:w="3440" w:type="dxa"/>
            <w:vAlign w:val="bottom"/>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Total non-current liabilities</w:t>
            </w:r>
          </w:p>
        </w:tc>
        <w:tc>
          <w:tcPr>
            <w:tcW w:w="352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32,211,266</w:t>
            </w:r>
          </w:p>
        </w:tc>
        <w:tc>
          <w:tcPr>
            <w:tcW w:w="220" w:type="dxa"/>
            <w:vAlign w:val="bottom"/>
          </w:tcPr>
          <w:p>
            <w:pPr>
              <w:spacing w:after="0"/>
              <w:rPr>
                <w:sz w:val="8"/>
                <w:szCs w:val="8"/>
                <w:color w:val="auto"/>
              </w:rPr>
            </w:pPr>
          </w:p>
        </w:tc>
        <w:tc>
          <w:tcPr>
            <w:tcW w:w="156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(1,053,869</w:t>
            </w:r>
          </w:p>
        </w:tc>
        <w:tc>
          <w:tcPr>
            <w:tcW w:w="200" w:type="dxa"/>
            <w:vAlign w:val="bottom"/>
          </w:tcPr>
          <w:p>
            <w:pPr>
              <w:jc w:val="right"/>
              <w:ind w:right="12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158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31,157,397</w:t>
            </w:r>
          </w:p>
        </w:tc>
        <w:tc>
          <w:tcPr>
            <w:tcW w:w="100" w:type="dxa"/>
            <w:vAlign w:val="bottom"/>
          </w:tcPr>
          <w:p>
            <w:pPr>
              <w:spacing w:after="0"/>
              <w:rPr>
                <w:sz w:val="8"/>
                <w:szCs w:val="8"/>
                <w:color w:val="auto"/>
              </w:rPr>
            </w:pPr>
          </w:p>
        </w:tc>
      </w:tr>
      <w:tr>
        <w:trPr>
          <w:trHeight w:val="100"/>
        </w:trPr>
        <w:tc>
          <w:tcPr>
            <w:tcW w:w="344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Total liabilities</w:t>
            </w:r>
          </w:p>
        </w:tc>
        <w:tc>
          <w:tcPr>
            <w:tcW w:w="3520" w:type="dxa"/>
            <w:vAlign w:val="bottom"/>
            <w:gridSpan w:val="2"/>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48,242,175</w:t>
            </w:r>
          </w:p>
        </w:tc>
        <w:tc>
          <w:tcPr>
            <w:tcW w:w="220" w:type="dxa"/>
            <w:vAlign w:val="bottom"/>
            <w:shd w:val="clear" w:color="auto" w:fill="CFF0FC"/>
          </w:tcPr>
          <w:p>
            <w:pPr>
              <w:spacing w:after="0"/>
              <w:rPr>
                <w:sz w:val="8"/>
                <w:szCs w:val="8"/>
                <w:color w:val="auto"/>
              </w:rPr>
            </w:pPr>
          </w:p>
        </w:tc>
        <w:tc>
          <w:tcPr>
            <w:tcW w:w="15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(2,271,946)</w:t>
            </w:r>
          </w:p>
        </w:tc>
        <w:tc>
          <w:tcPr>
            <w:tcW w:w="200" w:type="dxa"/>
            <w:vAlign w:val="bottom"/>
            <w:shd w:val="clear" w:color="auto" w:fill="CFF0FC"/>
          </w:tcPr>
          <w:p>
            <w:pPr>
              <w:spacing w:after="0"/>
              <w:rPr>
                <w:sz w:val="8"/>
                <w:szCs w:val="8"/>
                <w:color w:val="auto"/>
              </w:rPr>
            </w:pPr>
          </w:p>
        </w:tc>
        <w:tc>
          <w:tcPr>
            <w:tcW w:w="158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45,970,229</w:t>
            </w:r>
          </w:p>
        </w:tc>
        <w:tc>
          <w:tcPr>
            <w:tcW w:w="100" w:type="dxa"/>
            <w:vAlign w:val="bottom"/>
            <w:shd w:val="clear" w:color="auto" w:fill="CFF0FC"/>
          </w:tcPr>
          <w:p>
            <w:pPr>
              <w:spacing w:after="0"/>
              <w:rPr>
                <w:sz w:val="8"/>
                <w:szCs w:val="8"/>
                <w:color w:val="auto"/>
              </w:rPr>
            </w:pP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Liabilities and Shareholder’s deficit</w:t>
            </w: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Ordinary shares</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127,310</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83"/>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127,310</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Deferred shares</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1,993</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 xml:space="preserve">(1,993 </w:t>
            </w:r>
            <w:r>
              <w:rPr>
                <w:rFonts w:ascii="Times New Roman" w:cs="Times New Roman" w:eastAsia="Times New Roman" w:hAnsi="Times New Roman"/>
                <w:sz w:val="10"/>
                <w:szCs w:val="10"/>
                <w:b w:val="1"/>
                <w:bCs w:val="1"/>
                <w:color w:val="auto"/>
              </w:rPr>
              <w:t>)</w:t>
            </w:r>
          </w:p>
        </w:tc>
        <w:tc>
          <w:tcPr>
            <w:tcW w:w="168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Series A shares</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3,868</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83"/>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3,868</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168,358,010</w:t>
            </w:r>
          </w:p>
        </w:tc>
        <w:tc>
          <w:tcPr>
            <w:tcW w:w="220" w:type="dxa"/>
            <w:vAlign w:val="bottom"/>
          </w:tcPr>
          <w:p>
            <w:pPr>
              <w:spacing w:after="0"/>
              <w:rPr>
                <w:sz w:val="9"/>
                <w:szCs w:val="9"/>
                <w:color w:val="auto"/>
              </w:rPr>
            </w:pP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1,993</w:t>
            </w:r>
          </w:p>
        </w:tc>
        <w:tc>
          <w:tcPr>
            <w:tcW w:w="200" w:type="dxa"/>
            <w:vAlign w:val="bottom"/>
          </w:tcPr>
          <w:p>
            <w:pPr>
              <w:spacing w:after="0"/>
              <w:rPr>
                <w:sz w:val="9"/>
                <w:szCs w:val="9"/>
                <w:color w:val="auto"/>
              </w:rPr>
            </w:pP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168,360,003</w:t>
            </w: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Share subscription receivable</w:t>
            </w:r>
          </w:p>
        </w:tc>
        <w:tc>
          <w:tcPr>
            <w:tcW w:w="3740" w:type="dxa"/>
            <w:vAlign w:val="bottom"/>
            <w:gridSpan w:val="3"/>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 xml:space="preserve">(178,720 </w:t>
            </w:r>
            <w:r>
              <w:rPr>
                <w:rFonts w:ascii="Times New Roman" w:cs="Times New Roman" w:eastAsia="Times New Roman" w:hAnsi="Times New Roman"/>
                <w:sz w:val="10"/>
                <w:szCs w:val="10"/>
                <w:b w:val="1"/>
                <w:bCs w:val="1"/>
                <w:color w:val="auto"/>
              </w:rPr>
              <w:t>)</w:t>
            </w:r>
          </w:p>
        </w:tc>
        <w:tc>
          <w:tcPr>
            <w:tcW w:w="1760" w:type="dxa"/>
            <w:vAlign w:val="bottom"/>
            <w:gridSpan w:val="2"/>
            <w:shd w:val="clear" w:color="auto" w:fill="CFF0FC"/>
          </w:tcPr>
          <w:p>
            <w:pPr>
              <w:jc w:val="right"/>
              <w:ind w:right="183"/>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6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 xml:space="preserve">(178,720 </w:t>
            </w:r>
            <w:r>
              <w:rPr>
                <w:rFonts w:ascii="Times New Roman" w:cs="Times New Roman" w:eastAsia="Times New Roman" w:hAnsi="Times New Roman"/>
                <w:sz w:val="10"/>
                <w:szCs w:val="10"/>
                <w:b w:val="1"/>
                <w:bCs w:val="1"/>
                <w:color w:val="auto"/>
              </w:rPr>
              <w:t>)</w:t>
            </w: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3740" w:type="dxa"/>
            <w:vAlign w:val="bottom"/>
            <w:gridSpan w:val="3"/>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 xml:space="preserve">(213,740,307 </w:t>
            </w:r>
            <w:r>
              <w:rPr>
                <w:rFonts w:ascii="Times New Roman" w:cs="Times New Roman" w:eastAsia="Times New Roman" w:hAnsi="Times New Roman"/>
                <w:sz w:val="10"/>
                <w:szCs w:val="10"/>
                <w:b w:val="1"/>
                <w:bCs w:val="1"/>
                <w:color w:val="auto"/>
              </w:rPr>
              <w:t>)</w:t>
            </w: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908,901</w:t>
            </w:r>
          </w:p>
        </w:tc>
        <w:tc>
          <w:tcPr>
            <w:tcW w:w="200" w:type="dxa"/>
            <w:vAlign w:val="bottom"/>
          </w:tcPr>
          <w:p>
            <w:pPr>
              <w:spacing w:after="0"/>
              <w:rPr>
                <w:sz w:val="9"/>
                <w:szCs w:val="9"/>
                <w:color w:val="auto"/>
              </w:rPr>
            </w:pPr>
          </w:p>
        </w:tc>
        <w:tc>
          <w:tcPr>
            <w:tcW w:w="16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 xml:space="preserve">(212,831,406 </w:t>
            </w:r>
            <w:r>
              <w:rPr>
                <w:rFonts w:ascii="Times New Roman" w:cs="Times New Roman" w:eastAsia="Times New Roman" w:hAnsi="Times New Roman"/>
                <w:sz w:val="10"/>
                <w:szCs w:val="10"/>
                <w:b w:val="1"/>
                <w:bCs w:val="1"/>
                <w:color w:val="auto"/>
              </w:rPr>
              <w:t>)</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Accumulated other comprehensive loss</w:t>
            </w:r>
          </w:p>
        </w:tc>
        <w:tc>
          <w:tcPr>
            <w:tcW w:w="3740" w:type="dxa"/>
            <w:vAlign w:val="bottom"/>
            <w:gridSpan w:val="3"/>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 xml:space="preserve">(1,169,223 </w:t>
            </w:r>
            <w:r>
              <w:rPr>
                <w:rFonts w:ascii="Times New Roman" w:cs="Times New Roman" w:eastAsia="Times New Roman" w:hAnsi="Times New Roman"/>
                <w:sz w:val="10"/>
                <w:szCs w:val="10"/>
                <w:b w:val="1"/>
                <w:bCs w:val="1"/>
                <w:color w:val="auto"/>
              </w:rPr>
              <w:t>)</w:t>
            </w:r>
          </w:p>
        </w:tc>
        <w:tc>
          <w:tcPr>
            <w:tcW w:w="1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1,090,946</w:t>
            </w:r>
          </w:p>
        </w:tc>
        <w:tc>
          <w:tcPr>
            <w:tcW w:w="200" w:type="dxa"/>
            <w:vAlign w:val="bottom"/>
            <w:shd w:val="clear" w:color="auto" w:fill="CFF0FC"/>
          </w:tcPr>
          <w:p>
            <w:pPr>
              <w:spacing w:after="0"/>
              <w:rPr>
                <w:sz w:val="9"/>
                <w:szCs w:val="9"/>
                <w:color w:val="auto"/>
              </w:rPr>
            </w:pPr>
          </w:p>
        </w:tc>
        <w:tc>
          <w:tcPr>
            <w:tcW w:w="16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 xml:space="preserve">(78,277 </w:t>
            </w:r>
            <w:r>
              <w:rPr>
                <w:rFonts w:ascii="Times New Roman" w:cs="Times New Roman" w:eastAsia="Times New Roman" w:hAnsi="Times New Roman"/>
                <w:sz w:val="10"/>
                <w:szCs w:val="10"/>
                <w:b w:val="1"/>
                <w:bCs w:val="1"/>
                <w:color w:val="auto"/>
              </w:rPr>
              <w:t>)</w:t>
            </w: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shareholders’ deficit</w:t>
            </w:r>
          </w:p>
        </w:tc>
        <w:tc>
          <w:tcPr>
            <w:tcW w:w="3740" w:type="dxa"/>
            <w:vAlign w:val="bottom"/>
            <w:gridSpan w:val="3"/>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(46,597,069 )</w:t>
            </w: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1,999,847</w:t>
            </w:r>
          </w:p>
        </w:tc>
        <w:tc>
          <w:tcPr>
            <w:tcW w:w="200" w:type="dxa"/>
            <w:vAlign w:val="bottom"/>
          </w:tcPr>
          <w:p>
            <w:pPr>
              <w:spacing w:after="0"/>
              <w:rPr>
                <w:sz w:val="9"/>
                <w:szCs w:val="9"/>
                <w:color w:val="auto"/>
              </w:rPr>
            </w:pPr>
          </w:p>
        </w:tc>
        <w:tc>
          <w:tcPr>
            <w:tcW w:w="16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(44,597,222 )</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liabilities and shareholders’ deficit</w:t>
            </w:r>
          </w:p>
        </w:tc>
        <w:tc>
          <w:tcPr>
            <w:tcW w:w="1980" w:type="dxa"/>
            <w:vAlign w:val="bottom"/>
            <w:shd w:val="clear" w:color="auto" w:fill="CFF0FC"/>
          </w:tcPr>
          <w:p>
            <w:pPr>
              <w:spacing w:after="0"/>
              <w:rPr>
                <w:sz w:val="9"/>
                <w:szCs w:val="9"/>
                <w:color w:val="auto"/>
              </w:rPr>
            </w:pPr>
          </w:p>
        </w:tc>
        <w:tc>
          <w:tcPr>
            <w:tcW w:w="15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1,645,106</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23"/>
              <w:spacing w:after="0" w:line="113" w:lineRule="exact"/>
              <w:rPr>
                <w:sz w:val="20"/>
                <w:szCs w:val="20"/>
                <w:color w:val="auto"/>
              </w:rPr>
            </w:pPr>
            <w:r>
              <w:rPr>
                <w:rFonts w:ascii="Times New Roman" w:cs="Times New Roman" w:eastAsia="Times New Roman" w:hAnsi="Times New Roman"/>
                <w:sz w:val="10"/>
                <w:szCs w:val="10"/>
                <w:b w:val="1"/>
                <w:bCs w:val="1"/>
                <w:color w:val="auto"/>
              </w:rPr>
              <w:t>(272,099 )</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1,373,007</w:t>
            </w:r>
          </w:p>
        </w:tc>
        <w:tc>
          <w:tcPr>
            <w:tcW w:w="100" w:type="dxa"/>
            <w:vAlign w:val="bottom"/>
            <w:shd w:val="clear" w:color="auto" w:fill="CFF0FC"/>
          </w:tcPr>
          <w:p>
            <w:pPr>
              <w:spacing w:after="0"/>
              <w:rPr>
                <w:sz w:val="9"/>
                <w:szCs w:val="9"/>
                <w:color w:val="auto"/>
              </w:rPr>
            </w:pPr>
          </w:p>
        </w:tc>
      </w:tr>
      <w:tr>
        <w:trPr>
          <w:trHeight w:val="345"/>
        </w:trPr>
        <w:tc>
          <w:tcPr>
            <w:tcW w:w="3440" w:type="dxa"/>
            <w:vAlign w:val="bottom"/>
            <w:tcBorders>
              <w:top w:val="single" w:sz="8" w:color="CFF0FC"/>
            </w:tcBorders>
          </w:tcPr>
          <w:p>
            <w:pPr>
              <w:spacing w:after="0"/>
              <w:rPr>
                <w:sz w:val="24"/>
                <w:szCs w:val="24"/>
                <w:color w:val="auto"/>
              </w:rPr>
            </w:pPr>
          </w:p>
        </w:tc>
        <w:tc>
          <w:tcPr>
            <w:tcW w:w="1980" w:type="dxa"/>
            <w:vAlign w:val="bottom"/>
            <w:tcBorders>
              <w:top w:val="single" w:sz="8" w:color="CFF0FC"/>
            </w:tcBorders>
          </w:tcPr>
          <w:p>
            <w:pPr>
              <w:ind w:left="1780"/>
              <w:spacing w:after="0"/>
              <w:rPr>
                <w:sz w:val="20"/>
                <w:szCs w:val="20"/>
                <w:color w:val="auto"/>
              </w:rPr>
            </w:pPr>
            <w:r>
              <w:rPr>
                <w:rFonts w:ascii="Times New Roman" w:cs="Times New Roman" w:eastAsia="Times New Roman" w:hAnsi="Times New Roman"/>
                <w:sz w:val="10"/>
                <w:szCs w:val="10"/>
                <w:color w:val="auto"/>
                <w:w w:val="95"/>
              </w:rPr>
              <w:t>F-15</w:t>
            </w:r>
          </w:p>
        </w:tc>
        <w:tc>
          <w:tcPr>
            <w:tcW w:w="15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22"/>
        </w:trPr>
        <w:tc>
          <w:tcPr>
            <w:tcW w:w="3440" w:type="dxa"/>
            <w:vAlign w:val="bottom"/>
            <w:tcBorders>
              <w:bottom w:val="single" w:sz="8" w:color="EEEEEE"/>
            </w:tcBorders>
          </w:tcPr>
          <w:p>
            <w:pPr>
              <w:spacing w:after="0"/>
              <w:rPr>
                <w:sz w:val="24"/>
                <w:szCs w:val="24"/>
                <w:color w:val="auto"/>
              </w:rPr>
            </w:pPr>
          </w:p>
        </w:tc>
        <w:tc>
          <w:tcPr>
            <w:tcW w:w="1980" w:type="dxa"/>
            <w:vAlign w:val="bottom"/>
            <w:tcBorders>
              <w:bottom w:val="single" w:sz="8" w:color="EEEEEE"/>
            </w:tcBorders>
          </w:tcPr>
          <w:p>
            <w:pPr>
              <w:spacing w:after="0"/>
              <w:rPr>
                <w:sz w:val="24"/>
                <w:szCs w:val="24"/>
                <w:color w:val="auto"/>
              </w:rPr>
            </w:pPr>
          </w:p>
        </w:tc>
        <w:tc>
          <w:tcPr>
            <w:tcW w:w="15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5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5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ind w:left="520"/>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financial statements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gridSpan w:val="2"/>
          </w:tcPr>
          <w:p>
            <w:pPr>
              <w:jc w:val="right"/>
              <w:ind w:right="779"/>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100" w:type="dxa"/>
            <w:vAlign w:val="bottom"/>
          </w:tcPr>
          <w:p>
            <w:pPr>
              <w:spacing w:after="0"/>
              <w:rPr>
                <w:sz w:val="9"/>
                <w:szCs w:val="9"/>
                <w:color w:val="auto"/>
              </w:rPr>
            </w:pPr>
          </w:p>
        </w:tc>
        <w:tc>
          <w:tcPr>
            <w:tcW w:w="1700" w:type="dxa"/>
            <w:vAlign w:val="bottom"/>
            <w:gridSpan w:val="2"/>
          </w:tcPr>
          <w:p>
            <w:pPr>
              <w:ind w:left="520"/>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100" w:type="dxa"/>
            <w:vAlign w:val="bottom"/>
          </w:tcPr>
          <w:p>
            <w:pPr>
              <w:spacing w:after="0"/>
              <w:rPr>
                <w:sz w:val="9"/>
                <w:szCs w:val="9"/>
                <w:color w:val="auto"/>
              </w:rPr>
            </w:pPr>
          </w:p>
        </w:tc>
        <w:tc>
          <w:tcPr>
            <w:tcW w:w="1480" w:type="dxa"/>
            <w:vAlign w:val="bottom"/>
            <w:gridSpan w:val="2"/>
          </w:tcPr>
          <w:p>
            <w:pPr>
              <w:jc w:val="right"/>
              <w:ind w:right="595"/>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0" w:type="dxa"/>
            <w:vAlign w:val="bottom"/>
          </w:tcPr>
          <w:p>
            <w:pPr>
              <w:spacing w:after="0"/>
              <w:rPr>
                <w:sz w:val="1"/>
                <w:szCs w:val="1"/>
                <w:color w:val="auto"/>
              </w:rPr>
            </w:pPr>
          </w:p>
        </w:tc>
      </w:tr>
      <w:tr>
        <w:trPr>
          <w:trHeight w:val="85"/>
        </w:trPr>
        <w:tc>
          <w:tcPr>
            <w:tcW w:w="5320" w:type="dxa"/>
            <w:vAlign w:val="bottom"/>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Revenue</w:t>
            </w: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480" w:type="dxa"/>
            <w:vAlign w:val="bottom"/>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color w:val="auto"/>
              </w:rPr>
              <w:t>4,604,332</w:t>
            </w: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500" w:type="dxa"/>
            <w:vAlign w:val="bottom"/>
            <w:tcBorders>
              <w:top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color w:val="auto"/>
              </w:rPr>
              <w:t>(4,557,568</w:t>
            </w:r>
          </w:p>
        </w:tc>
        <w:tc>
          <w:tcPr>
            <w:tcW w:w="2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
                <w:szCs w:val="1"/>
                <w:color w:val="auto"/>
                <w:w w:val="4294967281"/>
              </w:rPr>
              <w:t>)</w:t>
            </w:r>
          </w:p>
        </w:tc>
        <w:tc>
          <w:tcPr>
            <w:tcW w:w="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380" w:type="dxa"/>
            <w:vAlign w:val="bottom"/>
            <w:tcBorders>
              <w:top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color w:val="auto"/>
              </w:rPr>
              <w:t>46,764</w:t>
            </w: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Operating expenses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Cost of revenue</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2,334,088</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(2,317,977 )</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16,111</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Sales and marketing expenses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5,509,407</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jc w:val="right"/>
              <w:ind w:right="175"/>
              <w:spacing w:after="0"/>
              <w:rPr>
                <w:sz w:val="20"/>
                <w:szCs w:val="20"/>
                <w:color w:val="auto"/>
              </w:rPr>
            </w:pPr>
            <w:r>
              <w:rPr>
                <w:rFonts w:ascii="Times New Roman" w:cs="Times New Roman" w:eastAsia="Times New Roman" w:hAnsi="Times New Roman"/>
                <w:sz w:val="8"/>
                <w:szCs w:val="8"/>
                <w:color w:val="auto"/>
              </w:rPr>
              <w:t>(799,233 )</w:t>
            </w: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4,710,174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General and administrative expenses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11,112,591</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(2,369,214 )</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8,743,377</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Other operating expenses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6,397,167</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(5,612,167)</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785,000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Depreciation and amortization expenses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379,900</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(258,329)</w:t>
            </w: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121,571</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Impairment of goodwill</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1,080,110</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(1,080,110 )</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3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50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5320" w:type="dxa"/>
            <w:vAlign w:val="bottom"/>
          </w:tcPr>
          <w:p>
            <w:pPr>
              <w:spacing w:after="0" w:line="85" w:lineRule="exact"/>
              <w:rPr>
                <w:sz w:val="20"/>
                <w:szCs w:val="20"/>
                <w:color w:val="auto"/>
              </w:rPr>
            </w:pPr>
            <w:r>
              <w:rPr>
                <w:rFonts w:ascii="Times New Roman" w:cs="Times New Roman" w:eastAsia="Times New Roman" w:hAnsi="Times New Roman"/>
                <w:sz w:val="8"/>
                <w:szCs w:val="8"/>
                <w:b w:val="1"/>
                <w:bCs w:val="1"/>
                <w:color w:val="auto"/>
              </w:rPr>
              <w:t>Total operating expenses</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26,813,263</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gridSpan w:val="2"/>
          </w:tcPr>
          <w:p>
            <w:pPr>
              <w:jc w:val="right"/>
              <w:ind w:right="175"/>
              <w:spacing w:after="0" w:line="85" w:lineRule="exact"/>
              <w:rPr>
                <w:sz w:val="20"/>
                <w:szCs w:val="20"/>
                <w:color w:val="auto"/>
              </w:rPr>
            </w:pPr>
            <w:r>
              <w:rPr>
                <w:rFonts w:ascii="Times New Roman" w:cs="Times New Roman" w:eastAsia="Times New Roman" w:hAnsi="Times New Roman"/>
                <w:sz w:val="8"/>
                <w:szCs w:val="8"/>
                <w:b w:val="1"/>
                <w:bCs w:val="1"/>
                <w:color w:val="auto"/>
              </w:rPr>
              <w:t>(12,437,030 )</w:t>
            </w:r>
          </w:p>
        </w:tc>
        <w:tc>
          <w:tcPr>
            <w:tcW w:w="100" w:type="dxa"/>
            <w:vAlign w:val="bottom"/>
          </w:tcPr>
          <w:p>
            <w:pPr>
              <w:spacing w:after="0"/>
              <w:rPr>
                <w:sz w:val="7"/>
                <w:szCs w:val="7"/>
                <w:color w:val="auto"/>
              </w:rPr>
            </w:pPr>
          </w:p>
        </w:tc>
        <w:tc>
          <w:tcPr>
            <w:tcW w:w="138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14,376,233</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5320" w:type="dxa"/>
            <w:vAlign w:val="bottom"/>
            <w:tcBorders>
              <w:bottom w:val="single" w:sz="8" w:color="CFF0FC"/>
            </w:tcBorders>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Operating loss</w:t>
            </w:r>
          </w:p>
        </w:tc>
        <w:tc>
          <w:tcPr>
            <w:tcW w:w="100" w:type="dxa"/>
            <w:vAlign w:val="bottom"/>
            <w:tcBorders>
              <w:bottom w:val="single" w:sz="8" w:color="CFF0FC"/>
            </w:tcBorders>
            <w:shd w:val="clear" w:color="auto" w:fill="CFF0FC"/>
          </w:tcPr>
          <w:p>
            <w:pPr>
              <w:spacing w:after="0"/>
              <w:rPr>
                <w:sz w:val="7"/>
                <w:szCs w:val="7"/>
                <w:color w:val="auto"/>
              </w:rPr>
            </w:pPr>
          </w:p>
        </w:tc>
        <w:tc>
          <w:tcPr>
            <w:tcW w:w="120" w:type="dxa"/>
            <w:vAlign w:val="bottom"/>
            <w:tcBorders>
              <w:bottom w:val="single" w:sz="8" w:color="CFF0FC"/>
            </w:tcBorders>
            <w:shd w:val="clear" w:color="auto" w:fill="CFF0FC"/>
          </w:tcPr>
          <w:p>
            <w:pPr>
              <w:spacing w:after="0"/>
              <w:rPr>
                <w:sz w:val="7"/>
                <w:szCs w:val="7"/>
                <w:color w:val="auto"/>
              </w:rPr>
            </w:pPr>
          </w:p>
        </w:tc>
        <w:tc>
          <w:tcPr>
            <w:tcW w:w="1480" w:type="dxa"/>
            <w:vAlign w:val="bottom"/>
            <w:tcBorders>
              <w:top w:val="single" w:sz="8" w:color="auto"/>
              <w:bottom w:val="single" w:sz="8" w:color="auto"/>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(22,208,931</w:t>
            </w:r>
          </w:p>
        </w:tc>
        <w:tc>
          <w:tcPr>
            <w:tcW w:w="220" w:type="dxa"/>
            <w:vAlign w:val="bottom"/>
            <w:tcBorders>
              <w:bottom w:val="single" w:sz="8" w:color="CFF0FC"/>
            </w:tcBorders>
            <w:shd w:val="clear" w:color="auto" w:fill="CFF0FC"/>
          </w:tcPr>
          <w:p>
            <w:pPr>
              <w:jc w:val="right"/>
              <w:ind w:right="139"/>
              <w:spacing w:after="0" w:line="85" w:lineRule="exact"/>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bottom w:val="single" w:sz="8" w:color="CFF0FC"/>
            </w:tcBorders>
            <w:shd w:val="clear" w:color="auto" w:fill="CFF0FC"/>
          </w:tcPr>
          <w:p>
            <w:pPr>
              <w:spacing w:after="0"/>
              <w:rPr>
                <w:sz w:val="7"/>
                <w:szCs w:val="7"/>
                <w:color w:val="auto"/>
              </w:rPr>
            </w:pPr>
          </w:p>
        </w:tc>
        <w:tc>
          <w:tcPr>
            <w:tcW w:w="1500" w:type="dxa"/>
            <w:vAlign w:val="bottom"/>
            <w:tcBorders>
              <w:top w:val="single" w:sz="8" w:color="auto"/>
              <w:bottom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7,879,462</w:t>
            </w:r>
          </w:p>
        </w:tc>
        <w:tc>
          <w:tcPr>
            <w:tcW w:w="200" w:type="dxa"/>
            <w:vAlign w:val="bottom"/>
            <w:tcBorders>
              <w:bottom w:val="single" w:sz="8" w:color="CFF0FC"/>
            </w:tcBorders>
            <w:shd w:val="clear" w:color="auto" w:fill="CFF0FC"/>
          </w:tcPr>
          <w:p>
            <w:pPr>
              <w:spacing w:after="0"/>
              <w:rPr>
                <w:sz w:val="7"/>
                <w:szCs w:val="7"/>
                <w:color w:val="auto"/>
              </w:rPr>
            </w:pPr>
          </w:p>
        </w:tc>
        <w:tc>
          <w:tcPr>
            <w:tcW w:w="100" w:type="dxa"/>
            <w:vAlign w:val="bottom"/>
            <w:tcBorders>
              <w:bottom w:val="single" w:sz="8" w:color="CFF0FC"/>
            </w:tcBorders>
            <w:shd w:val="clear" w:color="auto" w:fill="CFF0FC"/>
          </w:tcPr>
          <w:p>
            <w:pPr>
              <w:spacing w:after="0"/>
              <w:rPr>
                <w:sz w:val="7"/>
                <w:szCs w:val="7"/>
                <w:color w:val="auto"/>
              </w:rPr>
            </w:pPr>
          </w:p>
        </w:tc>
        <w:tc>
          <w:tcPr>
            <w:tcW w:w="1380" w:type="dxa"/>
            <w:vAlign w:val="bottom"/>
            <w:tcBorders>
              <w:top w:val="single" w:sz="8" w:color="auto"/>
              <w:bottom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(14,329,469</w:t>
            </w:r>
          </w:p>
        </w:tc>
        <w:tc>
          <w:tcPr>
            <w:tcW w:w="100" w:type="dxa"/>
            <w:vAlign w:val="bottom"/>
            <w:tcBorders>
              <w:bottom w:val="single" w:sz="8" w:color="CFF0FC"/>
            </w:tcBorders>
            <w:shd w:val="clear" w:color="auto" w:fill="CFF0FC"/>
          </w:tcPr>
          <w:p>
            <w:pPr>
              <w:jc w:val="right"/>
              <w:ind w:right="75"/>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0" w:type="dxa"/>
            <w:vAlign w:val="bottom"/>
          </w:tcPr>
          <w:p>
            <w:pPr>
              <w:spacing w:after="0"/>
              <w:rPr>
                <w:sz w:val="1"/>
                <w:szCs w:val="1"/>
                <w:color w:val="auto"/>
              </w:rPr>
            </w:pPr>
          </w:p>
        </w:tc>
      </w:tr>
      <w:tr>
        <w:trPr>
          <w:trHeight w:val="85"/>
        </w:trPr>
        <w:tc>
          <w:tcPr>
            <w:tcW w:w="5320" w:type="dxa"/>
            <w:vAlign w:val="bottom"/>
          </w:tcPr>
          <w:p>
            <w:pPr>
              <w:spacing w:after="0" w:line="85" w:lineRule="exact"/>
              <w:rPr>
                <w:sz w:val="20"/>
                <w:szCs w:val="20"/>
                <w:color w:val="auto"/>
              </w:rPr>
            </w:pPr>
            <w:r>
              <w:rPr>
                <w:rFonts w:ascii="Times New Roman" w:cs="Times New Roman" w:eastAsia="Times New Roman" w:hAnsi="Times New Roman"/>
                <w:sz w:val="8"/>
                <w:szCs w:val="8"/>
                <w:b w:val="1"/>
                <w:bCs w:val="1"/>
                <w:color w:val="auto"/>
              </w:rPr>
              <w:t>Other expenses</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Interest expense</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(4,106,733)</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1,051,787</w:t>
            </w: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(3,054,946)</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Other non-operating income (expense), net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269,510</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jc w:val="right"/>
              <w:ind w:right="175"/>
              <w:spacing w:after="0"/>
              <w:rPr>
                <w:sz w:val="20"/>
                <w:szCs w:val="20"/>
                <w:color w:val="auto"/>
              </w:rPr>
            </w:pPr>
            <w:r>
              <w:rPr>
                <w:rFonts w:ascii="Times New Roman" w:cs="Times New Roman" w:eastAsia="Times New Roman" w:hAnsi="Times New Roman"/>
                <w:sz w:val="8"/>
                <w:szCs w:val="8"/>
                <w:color w:val="auto"/>
              </w:rPr>
              <w:t>(97,759 )</w:t>
            </w: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171,751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5320" w:type="dxa"/>
            <w:vAlign w:val="bottom"/>
            <w:tcBorders>
              <w:bottom w:val="single" w:sz="8" w:color="CFF0FC"/>
            </w:tcBorders>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Total other expenses, net</w:t>
            </w:r>
          </w:p>
        </w:tc>
        <w:tc>
          <w:tcPr>
            <w:tcW w:w="100" w:type="dxa"/>
            <w:vAlign w:val="bottom"/>
            <w:tcBorders>
              <w:bottom w:val="single" w:sz="8" w:color="CFF0FC"/>
            </w:tcBorders>
            <w:shd w:val="clear" w:color="auto" w:fill="CFF0FC"/>
          </w:tcPr>
          <w:p>
            <w:pPr>
              <w:spacing w:after="0"/>
              <w:rPr>
                <w:sz w:val="7"/>
                <w:szCs w:val="7"/>
                <w:color w:val="auto"/>
              </w:rPr>
            </w:pPr>
          </w:p>
        </w:tc>
        <w:tc>
          <w:tcPr>
            <w:tcW w:w="120" w:type="dxa"/>
            <w:vAlign w:val="bottom"/>
            <w:tcBorders>
              <w:bottom w:val="single" w:sz="8" w:color="CFF0FC"/>
            </w:tcBorders>
            <w:shd w:val="clear" w:color="auto" w:fill="CFF0FC"/>
          </w:tcPr>
          <w:p>
            <w:pPr>
              <w:spacing w:after="0"/>
              <w:rPr>
                <w:sz w:val="7"/>
                <w:szCs w:val="7"/>
                <w:color w:val="auto"/>
              </w:rPr>
            </w:pPr>
          </w:p>
        </w:tc>
        <w:tc>
          <w:tcPr>
            <w:tcW w:w="1480" w:type="dxa"/>
            <w:vAlign w:val="bottom"/>
            <w:tcBorders>
              <w:top w:val="single" w:sz="8" w:color="auto"/>
              <w:bottom w:val="single" w:sz="8" w:color="auto"/>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(3,837,223</w:t>
            </w:r>
          </w:p>
        </w:tc>
        <w:tc>
          <w:tcPr>
            <w:tcW w:w="220" w:type="dxa"/>
            <w:vAlign w:val="bottom"/>
            <w:tcBorders>
              <w:bottom w:val="single" w:sz="8" w:color="CFF0FC"/>
            </w:tcBorders>
            <w:shd w:val="clear" w:color="auto" w:fill="CFF0FC"/>
          </w:tcPr>
          <w:p>
            <w:pPr>
              <w:jc w:val="right"/>
              <w:ind w:right="139"/>
              <w:spacing w:after="0" w:line="85" w:lineRule="exact"/>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bottom w:val="single" w:sz="8" w:color="CFF0FC"/>
            </w:tcBorders>
            <w:shd w:val="clear" w:color="auto" w:fill="CFF0FC"/>
          </w:tcPr>
          <w:p>
            <w:pPr>
              <w:spacing w:after="0"/>
              <w:rPr>
                <w:sz w:val="7"/>
                <w:szCs w:val="7"/>
                <w:color w:val="auto"/>
              </w:rPr>
            </w:pPr>
          </w:p>
        </w:tc>
        <w:tc>
          <w:tcPr>
            <w:tcW w:w="1500" w:type="dxa"/>
            <w:vAlign w:val="bottom"/>
            <w:tcBorders>
              <w:top w:val="single" w:sz="8" w:color="auto"/>
              <w:bottom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954,028</w:t>
            </w:r>
          </w:p>
        </w:tc>
        <w:tc>
          <w:tcPr>
            <w:tcW w:w="200" w:type="dxa"/>
            <w:vAlign w:val="bottom"/>
            <w:tcBorders>
              <w:bottom w:val="single" w:sz="8" w:color="CFF0FC"/>
            </w:tcBorders>
            <w:shd w:val="clear" w:color="auto" w:fill="CFF0FC"/>
          </w:tcPr>
          <w:p>
            <w:pPr>
              <w:spacing w:after="0"/>
              <w:rPr>
                <w:sz w:val="7"/>
                <w:szCs w:val="7"/>
                <w:color w:val="auto"/>
              </w:rPr>
            </w:pPr>
          </w:p>
        </w:tc>
        <w:tc>
          <w:tcPr>
            <w:tcW w:w="100" w:type="dxa"/>
            <w:vAlign w:val="bottom"/>
            <w:tcBorders>
              <w:bottom w:val="single" w:sz="8" w:color="CFF0FC"/>
            </w:tcBorders>
            <w:shd w:val="clear" w:color="auto" w:fill="CFF0FC"/>
          </w:tcPr>
          <w:p>
            <w:pPr>
              <w:spacing w:after="0"/>
              <w:rPr>
                <w:sz w:val="7"/>
                <w:szCs w:val="7"/>
                <w:color w:val="auto"/>
              </w:rPr>
            </w:pPr>
          </w:p>
        </w:tc>
        <w:tc>
          <w:tcPr>
            <w:tcW w:w="1380" w:type="dxa"/>
            <w:vAlign w:val="bottom"/>
            <w:tcBorders>
              <w:top w:val="single" w:sz="8" w:color="auto"/>
              <w:bottom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(2,883,195</w:t>
            </w:r>
          </w:p>
        </w:tc>
        <w:tc>
          <w:tcPr>
            <w:tcW w:w="100" w:type="dxa"/>
            <w:vAlign w:val="bottom"/>
            <w:tcBorders>
              <w:bottom w:val="single" w:sz="8" w:color="CFF0FC"/>
            </w:tcBorders>
            <w:shd w:val="clear" w:color="auto" w:fill="CFF0FC"/>
          </w:tcPr>
          <w:p>
            <w:pPr>
              <w:jc w:val="right"/>
              <w:ind w:right="75"/>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0" w:type="dxa"/>
            <w:vAlign w:val="bottom"/>
          </w:tcPr>
          <w:p>
            <w:pPr>
              <w:spacing w:after="0"/>
              <w:rPr>
                <w:sz w:val="1"/>
                <w:szCs w:val="1"/>
                <w:color w:val="auto"/>
              </w:rPr>
            </w:pPr>
          </w:p>
        </w:tc>
      </w:tr>
      <w:tr>
        <w:trPr>
          <w:trHeight w:val="85"/>
        </w:trPr>
        <w:tc>
          <w:tcPr>
            <w:tcW w:w="5320" w:type="dxa"/>
            <w:vAlign w:val="bottom"/>
          </w:tcPr>
          <w:p>
            <w:pPr>
              <w:spacing w:after="0" w:line="85" w:lineRule="exact"/>
              <w:rPr>
                <w:sz w:val="20"/>
                <w:szCs w:val="20"/>
                <w:color w:val="auto"/>
              </w:rPr>
            </w:pPr>
            <w:r>
              <w:rPr>
                <w:rFonts w:ascii="Times New Roman" w:cs="Times New Roman" w:eastAsia="Times New Roman" w:hAnsi="Times New Roman"/>
                <w:sz w:val="8"/>
                <w:szCs w:val="8"/>
                <w:b w:val="1"/>
                <w:bCs w:val="1"/>
                <w:color w:val="auto"/>
              </w:rPr>
              <w:t>Loss before taxes</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00" w:type="dxa"/>
            <w:vAlign w:val="bottom"/>
            <w:gridSpan w:val="2"/>
          </w:tcPr>
          <w:p>
            <w:pPr>
              <w:jc w:val="right"/>
              <w:ind w:right="139"/>
              <w:spacing w:after="0" w:line="85" w:lineRule="exact"/>
              <w:rPr>
                <w:sz w:val="20"/>
                <w:szCs w:val="20"/>
                <w:color w:val="auto"/>
              </w:rPr>
            </w:pPr>
            <w:r>
              <w:rPr>
                <w:rFonts w:ascii="Times New Roman" w:cs="Times New Roman" w:eastAsia="Times New Roman" w:hAnsi="Times New Roman"/>
                <w:sz w:val="8"/>
                <w:szCs w:val="8"/>
                <w:b w:val="1"/>
                <w:bCs w:val="1"/>
                <w:color w:val="auto"/>
              </w:rPr>
              <w:t>(26,046,154 )</w:t>
            </w:r>
          </w:p>
        </w:tc>
        <w:tc>
          <w:tcPr>
            <w:tcW w:w="100" w:type="dxa"/>
            <w:vAlign w:val="bottom"/>
          </w:tcPr>
          <w:p>
            <w:pPr>
              <w:spacing w:after="0"/>
              <w:rPr>
                <w:sz w:val="7"/>
                <w:szCs w:val="7"/>
                <w:color w:val="auto"/>
              </w:rPr>
            </w:pPr>
          </w:p>
        </w:tc>
        <w:tc>
          <w:tcPr>
            <w:tcW w:w="150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8,833,490</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gridSpan w:val="2"/>
          </w:tcPr>
          <w:p>
            <w:pPr>
              <w:jc w:val="right"/>
              <w:ind w:right="75"/>
              <w:spacing w:after="0" w:line="85" w:lineRule="exact"/>
              <w:rPr>
                <w:sz w:val="20"/>
                <w:szCs w:val="20"/>
                <w:color w:val="auto"/>
              </w:rPr>
            </w:pPr>
            <w:r>
              <w:rPr>
                <w:rFonts w:ascii="Times New Roman" w:cs="Times New Roman" w:eastAsia="Times New Roman" w:hAnsi="Times New Roman"/>
                <w:sz w:val="8"/>
                <w:szCs w:val="8"/>
                <w:b w:val="1"/>
                <w:bCs w:val="1"/>
                <w:color w:val="auto"/>
              </w:rPr>
              <w:t>(17,212,664 )</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Income tax recovery (expense)</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1,477,389</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(1,540,797 )</w:t>
            </w:r>
          </w:p>
        </w:tc>
        <w:tc>
          <w:tcPr>
            <w:tcW w:w="100" w:type="dxa"/>
            <w:vAlign w:val="bottom"/>
            <w:shd w:val="clear" w:color="auto" w:fill="CFF0FC"/>
          </w:tcPr>
          <w:p>
            <w:pPr>
              <w:spacing w:after="0"/>
              <w:rPr>
                <w:sz w:val="8"/>
                <w:szCs w:val="8"/>
                <w:color w:val="auto"/>
              </w:rPr>
            </w:pPr>
          </w:p>
        </w:tc>
        <w:tc>
          <w:tcPr>
            <w:tcW w:w="14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8"/>
                <w:szCs w:val="8"/>
                <w:color w:val="auto"/>
              </w:rPr>
              <w:t>(63,408 )</w:t>
            </w: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Net loss for the year</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b w:val="1"/>
                <w:bCs w:val="1"/>
                <w:color w:val="auto"/>
              </w:rPr>
              <w:t>(24,568,765 )</w:t>
            </w: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7,292,693</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b w:val="1"/>
                <w:bCs w:val="1"/>
                <w:color w:val="auto"/>
              </w:rPr>
              <w:t>(17,276,072 )</w:t>
            </w:r>
          </w:p>
        </w:tc>
        <w:tc>
          <w:tcPr>
            <w:tcW w:w="0" w:type="dxa"/>
            <w:vAlign w:val="bottom"/>
          </w:tcPr>
          <w:p>
            <w:pPr>
              <w:spacing w:after="0"/>
              <w:rPr>
                <w:sz w:val="1"/>
                <w:szCs w:val="1"/>
                <w:color w:val="auto"/>
              </w:rPr>
            </w:pPr>
          </w:p>
        </w:tc>
      </w:tr>
      <w:tr>
        <w:trPr>
          <w:trHeight w:val="85"/>
        </w:trPr>
        <w:tc>
          <w:tcPr>
            <w:tcW w:w="5320" w:type="dxa"/>
            <w:vAlign w:val="bottom"/>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Net loss per share – Basic and diluted</w:t>
            </w:r>
          </w:p>
        </w:tc>
        <w:tc>
          <w:tcPr>
            <w:tcW w:w="220" w:type="dxa"/>
            <w:vAlign w:val="bottom"/>
            <w:gridSpan w:val="2"/>
            <w:shd w:val="clear" w:color="auto" w:fill="CFF0FC"/>
          </w:tcPr>
          <w:p>
            <w:pPr>
              <w:jc w:val="right"/>
              <w:ind w:right="60"/>
              <w:spacing w:after="0" w:line="85" w:lineRule="exact"/>
              <w:rPr>
                <w:sz w:val="20"/>
                <w:szCs w:val="20"/>
                <w:color w:val="auto"/>
              </w:rPr>
            </w:pPr>
            <w:r>
              <w:rPr>
                <w:rFonts w:ascii="Times New Roman" w:cs="Times New Roman" w:eastAsia="Times New Roman" w:hAnsi="Times New Roman"/>
                <w:sz w:val="8"/>
                <w:szCs w:val="8"/>
                <w:color w:val="auto"/>
              </w:rPr>
              <w:t>$</w:t>
            </w:r>
          </w:p>
        </w:tc>
        <w:tc>
          <w:tcPr>
            <w:tcW w:w="1480" w:type="dxa"/>
            <w:vAlign w:val="bottom"/>
            <w:tcBorders>
              <w:top w:val="single" w:sz="8" w:color="auto"/>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color w:val="auto"/>
              </w:rPr>
              <w:t>(0.03)</w:t>
            </w: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500" w:type="dxa"/>
            <w:vAlign w:val="bottom"/>
            <w:tcBorders>
              <w:top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color w:val="auto"/>
              </w:rPr>
              <w:t>(0.01</w:t>
            </w:r>
          </w:p>
        </w:tc>
        <w:tc>
          <w:tcPr>
            <w:tcW w:w="2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
                <w:szCs w:val="1"/>
                <w:color w:val="auto"/>
                <w:w w:val="4294967281"/>
              </w:rPr>
              <w:t>)</w:t>
            </w:r>
          </w:p>
        </w:tc>
        <w:tc>
          <w:tcPr>
            <w:tcW w:w="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380" w:type="dxa"/>
            <w:vAlign w:val="bottom"/>
            <w:tcBorders>
              <w:top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color w:val="auto"/>
              </w:rPr>
              <w:t>(0.02</w:t>
            </w:r>
          </w:p>
        </w:tc>
        <w:tc>
          <w:tcPr>
            <w:tcW w:w="10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
                <w:szCs w:val="1"/>
                <w:color w:val="auto"/>
                <w:w w:val="4294967281"/>
              </w:rPr>
              <w:t>)</w:t>
            </w:r>
          </w:p>
        </w:tc>
        <w:tc>
          <w:tcPr>
            <w:tcW w:w="0" w:type="dxa"/>
            <w:vAlign w:val="bottom"/>
          </w:tcPr>
          <w:p>
            <w:pPr>
              <w:spacing w:after="0"/>
              <w:rPr>
                <w:sz w:val="1"/>
                <w:szCs w:val="1"/>
                <w:color w:val="auto"/>
              </w:rPr>
            </w:pPr>
          </w:p>
        </w:tc>
      </w:tr>
      <w:tr>
        <w:trPr>
          <w:trHeight w:val="106"/>
        </w:trPr>
        <w:tc>
          <w:tcPr>
            <w:tcW w:w="5320" w:type="dxa"/>
            <w:vAlign w:val="bottom"/>
          </w:tcPr>
          <w:p>
            <w:pPr>
              <w:ind w:left="20"/>
              <w:spacing w:after="0"/>
              <w:rPr>
                <w:sz w:val="20"/>
                <w:szCs w:val="20"/>
                <w:color w:val="auto"/>
              </w:rPr>
            </w:pPr>
            <w:r>
              <w:rPr>
                <w:rFonts w:ascii="Times New Roman" w:cs="Times New Roman" w:eastAsia="Times New Roman" w:hAnsi="Times New Roman"/>
                <w:sz w:val="8"/>
                <w:szCs w:val="8"/>
                <w:color w:val="auto"/>
              </w:rPr>
              <w:t>Weighted average number of shares – Basic and diluted</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922,013,028</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922,013,028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vMerge w:val="restart"/>
          </w:tcPr>
          <w:p>
            <w:pPr>
              <w:jc w:val="right"/>
              <w:ind w:right="819"/>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100" w:type="dxa"/>
            <w:vAlign w:val="bottom"/>
          </w:tcPr>
          <w:p>
            <w:pPr>
              <w:spacing w:after="0"/>
              <w:rPr>
                <w:sz w:val="20"/>
                <w:szCs w:val="20"/>
                <w:color w:val="auto"/>
              </w:rPr>
            </w:pPr>
          </w:p>
        </w:tc>
        <w:tc>
          <w:tcPr>
            <w:tcW w:w="1700" w:type="dxa"/>
            <w:vAlign w:val="bottom"/>
            <w:gridSpan w:val="2"/>
          </w:tcPr>
          <w:p>
            <w:pPr>
              <w:ind w:left="480"/>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statement of cash flows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ind w:left="480"/>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100" w:type="dxa"/>
            <w:vAlign w:val="bottom"/>
          </w:tcPr>
          <w:p>
            <w:pPr>
              <w:spacing w:after="0"/>
              <w:rPr>
                <w:sz w:val="8"/>
                <w:szCs w:val="8"/>
                <w:color w:val="auto"/>
              </w:rPr>
            </w:pPr>
          </w:p>
        </w:tc>
        <w:tc>
          <w:tcPr>
            <w:tcW w:w="1480" w:type="dxa"/>
            <w:vAlign w:val="bottom"/>
            <w:gridSpan w:val="2"/>
          </w:tcPr>
          <w:p>
            <w:pPr>
              <w:jc w:val="right"/>
              <w:ind w:right="635"/>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0" w:type="dxa"/>
            <w:vAlign w:val="bottom"/>
          </w:tcPr>
          <w:p>
            <w:pPr>
              <w:spacing w:after="0"/>
              <w:rPr>
                <w:sz w:val="1"/>
                <w:szCs w:val="1"/>
                <w:color w:val="auto"/>
              </w:rPr>
            </w:pPr>
          </w:p>
        </w:tc>
      </w:tr>
      <w:tr>
        <w:trPr>
          <w:trHeight w:val="85"/>
        </w:trPr>
        <w:tc>
          <w:tcPr>
            <w:tcW w:w="5320" w:type="dxa"/>
            <w:vAlign w:val="bottom"/>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Cash flows from operating activities:</w:t>
            </w:r>
          </w:p>
        </w:tc>
        <w:tc>
          <w:tcPr>
            <w:tcW w:w="100" w:type="dxa"/>
            <w:vAlign w:val="bottom"/>
            <w:shd w:val="clear" w:color="auto" w:fill="CFF0FC"/>
          </w:tcPr>
          <w:p>
            <w:pPr>
              <w:spacing w:after="0"/>
              <w:rPr>
                <w:sz w:val="7"/>
                <w:szCs w:val="7"/>
                <w:color w:val="auto"/>
              </w:rPr>
            </w:pPr>
          </w:p>
        </w:tc>
        <w:tc>
          <w:tcPr>
            <w:tcW w:w="120" w:type="dxa"/>
            <w:vAlign w:val="bottom"/>
            <w:tcBorders>
              <w:top w:val="single" w:sz="8" w:color="auto"/>
            </w:tcBorders>
            <w:shd w:val="clear" w:color="auto" w:fill="CFF0FC"/>
          </w:tcPr>
          <w:p>
            <w:pPr>
              <w:spacing w:after="0"/>
              <w:rPr>
                <w:sz w:val="7"/>
                <w:szCs w:val="7"/>
                <w:color w:val="auto"/>
              </w:rPr>
            </w:pPr>
          </w:p>
        </w:tc>
        <w:tc>
          <w:tcPr>
            <w:tcW w:w="1480" w:type="dxa"/>
            <w:vAlign w:val="bottom"/>
            <w:tcBorders>
              <w:top w:val="single" w:sz="8" w:color="auto"/>
            </w:tcBorders>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500" w:type="dxa"/>
            <w:vAlign w:val="bottom"/>
            <w:tcBorders>
              <w:right w:val="single" w:sz="8" w:color="CFF0FC"/>
            </w:tcBorders>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380" w:type="dxa"/>
            <w:vAlign w:val="bottom"/>
            <w:tcBorders>
              <w:right w:val="single" w:sz="8" w:color="CFF0FC"/>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Net loss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color w:val="auto"/>
              </w:rPr>
              <w:t>(24,568,765 )</w:t>
            </w: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7,292,693</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color w:val="auto"/>
              </w:rPr>
              <w:t>(17,276,072 )</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Adjustments to reconcile net loss to net cash (used in)</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500" w:type="dxa"/>
            <w:vAlign w:val="bottom"/>
            <w:tcBorders>
              <w:right w:val="single" w:sz="8" w:color="CFF0FC"/>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operating activities: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Depreciation and amortization</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379,900</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(258,329 )</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121,571</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Unrealized foreign exchange (gain)/loss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63,284</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264,099</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327,383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532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8"/>
                <w:szCs w:val="8"/>
                <w:color w:val="auto"/>
              </w:rPr>
              <w:t>Share based compensation issued to related parties for consultancy</w:t>
            </w: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4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500" w:type="dxa"/>
            <w:vAlign w:val="bottom"/>
            <w:tcBorders>
              <w:right w:val="single" w:sz="8" w:color="CFF0FC"/>
            </w:tcBorders>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380" w:type="dxa"/>
            <w:vAlign w:val="bottom"/>
            <w:tcBorders>
              <w:right w:val="single" w:sz="8" w:color="CFF0FC"/>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services</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70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9"/>
                <w:szCs w:val="9"/>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1,291,429</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1,291,429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Employee share based compensation</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4,880,389</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(1,291,429)</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3,588,960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Impairment of prepayments and other current assets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1,156,316</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1,156,316</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Impairment of customer list intangible asset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5,612,167</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(5,612,167)</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tcPr>
          <w:p>
            <w:pPr>
              <w:jc w:val="right"/>
              <w:ind w:right="135"/>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Impairment of goodwill</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1,080,110</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(1,080,110)</w:t>
            </w: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8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Deferred tax benefit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color w:val="auto"/>
              </w:rPr>
              <w:t>(1,459,336 )</w:t>
            </w: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1,459,336</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tcPr>
          <w:p>
            <w:pPr>
              <w:jc w:val="right"/>
              <w:ind w:right="135"/>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Interest expense</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4,134,431</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(1,079,485 )</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3,054,946</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Changes in operating assets and liabilities: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Decrease/(increase) in accounts receivable</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8"/>
                <w:szCs w:val="8"/>
                <w:color w:val="auto"/>
              </w:rPr>
              <w:t>(605 )</w:t>
            </w:r>
          </w:p>
        </w:tc>
        <w:tc>
          <w:tcPr>
            <w:tcW w:w="100" w:type="dxa"/>
            <w:vAlign w:val="bottom"/>
            <w:shd w:val="clear" w:color="auto" w:fill="CFF0FC"/>
          </w:tcPr>
          <w:p>
            <w:pPr>
              <w:spacing w:after="0"/>
              <w:rPr>
                <w:sz w:val="8"/>
                <w:szCs w:val="8"/>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1,139</w:t>
            </w: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534</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(Increase) in prepayment and other current assets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236,410</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jc w:val="right"/>
              <w:ind w:right="175"/>
              <w:spacing w:after="0"/>
              <w:rPr>
                <w:sz w:val="20"/>
                <w:szCs w:val="20"/>
                <w:color w:val="auto"/>
              </w:rPr>
            </w:pPr>
            <w:r>
              <w:rPr>
                <w:rFonts w:ascii="Times New Roman" w:cs="Times New Roman" w:eastAsia="Times New Roman" w:hAnsi="Times New Roman"/>
                <w:sz w:val="8"/>
                <w:szCs w:val="8"/>
                <w:color w:val="auto"/>
              </w:rPr>
              <w:t>(931,436 )</w:t>
            </w:r>
          </w:p>
        </w:tc>
        <w:tc>
          <w:tcPr>
            <w:tcW w:w="100" w:type="dxa"/>
            <w:vAlign w:val="bottom"/>
          </w:tcPr>
          <w:p>
            <w:pPr>
              <w:spacing w:after="0"/>
              <w:rPr>
                <w:sz w:val="8"/>
                <w:szCs w:val="8"/>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color w:val="auto"/>
              </w:rPr>
              <w:t>(695,026 )</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Decrease in receivable with related parties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8"/>
                <w:szCs w:val="8"/>
                <w:color w:val="auto"/>
              </w:rPr>
              <w:t>(320,702 )</w:t>
            </w:r>
          </w:p>
        </w:tc>
        <w:tc>
          <w:tcPr>
            <w:tcW w:w="100" w:type="dxa"/>
            <w:vAlign w:val="bottom"/>
            <w:shd w:val="clear" w:color="auto" w:fill="CFF0FC"/>
          </w:tcPr>
          <w:p>
            <w:pPr>
              <w:spacing w:after="0"/>
              <w:rPr>
                <w:sz w:val="8"/>
                <w:szCs w:val="8"/>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320,702</w:t>
            </w: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8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Decrease in accounts payable, accrued expenses and other payables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color w:val="auto"/>
              </w:rPr>
              <w:t>(825,679 )</w:t>
            </w: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562,331</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color w:val="auto"/>
              </w:rPr>
              <w:t>(263,348 )</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Increase (decrease) in payables to related parties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670,050</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(795,050 )</w:t>
            </w:r>
          </w:p>
        </w:tc>
        <w:tc>
          <w:tcPr>
            <w:tcW w:w="100" w:type="dxa"/>
            <w:vAlign w:val="bottom"/>
            <w:shd w:val="clear" w:color="auto" w:fill="CFF0FC"/>
          </w:tcPr>
          <w:p>
            <w:pPr>
              <w:spacing w:after="0"/>
              <w:rPr>
                <w:sz w:val="8"/>
                <w:szCs w:val="8"/>
                <w:color w:val="auto"/>
              </w:rPr>
            </w:pPr>
          </w:p>
        </w:tc>
        <w:tc>
          <w:tcPr>
            <w:tcW w:w="14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8"/>
                <w:szCs w:val="8"/>
                <w:color w:val="auto"/>
              </w:rPr>
              <w:t>(125,000 )</w:t>
            </w:r>
          </w:p>
        </w:tc>
        <w:tc>
          <w:tcPr>
            <w:tcW w:w="0" w:type="dxa"/>
            <w:vAlign w:val="bottom"/>
          </w:tcPr>
          <w:p>
            <w:pPr>
              <w:spacing w:after="0"/>
              <w:rPr>
                <w:sz w:val="1"/>
                <w:szCs w:val="1"/>
                <w:color w:val="auto"/>
              </w:rPr>
            </w:pPr>
          </w:p>
        </w:tc>
      </w:tr>
      <w:tr>
        <w:trPr>
          <w:trHeight w:val="85"/>
        </w:trPr>
        <w:tc>
          <w:tcPr>
            <w:tcW w:w="5320" w:type="dxa"/>
            <w:vAlign w:val="bottom"/>
          </w:tcPr>
          <w:p>
            <w:pPr>
              <w:spacing w:after="0" w:line="85" w:lineRule="exact"/>
              <w:rPr>
                <w:sz w:val="20"/>
                <w:szCs w:val="20"/>
                <w:color w:val="auto"/>
              </w:rPr>
            </w:pPr>
            <w:r>
              <w:rPr>
                <w:rFonts w:ascii="Times New Roman" w:cs="Times New Roman" w:eastAsia="Times New Roman" w:hAnsi="Times New Roman"/>
                <w:sz w:val="8"/>
                <w:szCs w:val="8"/>
                <w:b w:val="1"/>
                <w:bCs w:val="1"/>
                <w:color w:val="auto"/>
              </w:rPr>
              <w:t>Net cash (used in) operating activities</w:t>
            </w:r>
          </w:p>
        </w:tc>
        <w:tc>
          <w:tcPr>
            <w:tcW w:w="100" w:type="dxa"/>
            <w:vAlign w:val="bottom"/>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148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(8,962,030</w:t>
            </w:r>
          </w:p>
        </w:tc>
        <w:tc>
          <w:tcPr>
            <w:tcW w:w="220" w:type="dxa"/>
            <w:vAlign w:val="bottom"/>
          </w:tcPr>
          <w:p>
            <w:pPr>
              <w:jc w:val="right"/>
              <w:ind w:right="139"/>
              <w:spacing w:after="0" w:line="85" w:lineRule="exact"/>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top w:val="single" w:sz="8" w:color="auto"/>
              <w:bottom w:val="single" w:sz="8" w:color="auto"/>
            </w:tcBorders>
          </w:tcPr>
          <w:p>
            <w:pPr>
              <w:spacing w:after="0"/>
              <w:rPr>
                <w:sz w:val="7"/>
                <w:szCs w:val="7"/>
                <w:color w:val="auto"/>
              </w:rPr>
            </w:pPr>
          </w:p>
        </w:tc>
        <w:tc>
          <w:tcPr>
            <w:tcW w:w="150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143,723</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gridSpan w:val="2"/>
          </w:tcPr>
          <w:p>
            <w:pPr>
              <w:jc w:val="right"/>
              <w:ind w:right="75"/>
              <w:spacing w:after="0" w:line="85" w:lineRule="exact"/>
              <w:rPr>
                <w:sz w:val="20"/>
                <w:szCs w:val="20"/>
                <w:color w:val="auto"/>
              </w:rPr>
            </w:pPr>
            <w:r>
              <w:rPr>
                <w:rFonts w:ascii="Times New Roman" w:cs="Times New Roman" w:eastAsia="Times New Roman" w:hAnsi="Times New Roman"/>
                <w:sz w:val="8"/>
                <w:szCs w:val="8"/>
                <w:b w:val="1"/>
                <w:bCs w:val="1"/>
                <w:color w:val="auto"/>
              </w:rPr>
              <w:t>(8,818,307 )</w:t>
            </w:r>
          </w:p>
        </w:tc>
        <w:tc>
          <w:tcPr>
            <w:tcW w:w="0" w:type="dxa"/>
            <w:vAlign w:val="bottom"/>
          </w:tcPr>
          <w:p>
            <w:pPr>
              <w:spacing w:after="0"/>
              <w:rPr>
                <w:sz w:val="1"/>
                <w:szCs w:val="1"/>
                <w:color w:val="auto"/>
              </w:rPr>
            </w:pPr>
          </w:p>
        </w:tc>
      </w:tr>
      <w:tr>
        <w:trPr>
          <w:trHeight w:val="85"/>
        </w:trPr>
        <w:tc>
          <w:tcPr>
            <w:tcW w:w="5320" w:type="dxa"/>
            <w:vAlign w:val="bottom"/>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Cash flows from investing activities:</w:t>
            </w: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4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500" w:type="dxa"/>
            <w:vAlign w:val="bottom"/>
            <w:tcBorders>
              <w:right w:val="single" w:sz="8" w:color="CFF0FC"/>
            </w:tcBorders>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380" w:type="dxa"/>
            <w:vAlign w:val="bottom"/>
            <w:tcBorders>
              <w:right w:val="single" w:sz="8" w:color="CFF0FC"/>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Purchase of property and equipment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color w:val="auto"/>
              </w:rPr>
              <w:t>(104,604 )</w:t>
            </w:r>
          </w:p>
        </w:tc>
        <w:tc>
          <w:tcPr>
            <w:tcW w:w="100" w:type="dxa"/>
            <w:vAlign w:val="bottom"/>
          </w:tcPr>
          <w:p>
            <w:pPr>
              <w:spacing w:after="0"/>
              <w:rPr>
                <w:sz w:val="8"/>
                <w:szCs w:val="8"/>
                <w:color w:val="auto"/>
              </w:rPr>
            </w:pPr>
          </w:p>
        </w:tc>
        <w:tc>
          <w:tcPr>
            <w:tcW w:w="1700" w:type="dxa"/>
            <w:vAlign w:val="bottom"/>
            <w:gridSpan w:val="2"/>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color w:val="auto"/>
              </w:rPr>
              <w:t>(104,604 )</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Development of intangible assets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8"/>
                <w:szCs w:val="8"/>
                <w:color w:val="auto"/>
              </w:rPr>
              <w:t>(8,060 )</w:t>
            </w: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4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8"/>
                <w:szCs w:val="8"/>
                <w:color w:val="auto"/>
              </w:rPr>
              <w:t>(8,060 )</w:t>
            </w:r>
          </w:p>
        </w:tc>
        <w:tc>
          <w:tcPr>
            <w:tcW w:w="0" w:type="dxa"/>
            <w:vAlign w:val="bottom"/>
          </w:tcPr>
          <w:p>
            <w:pPr>
              <w:spacing w:after="0"/>
              <w:rPr>
                <w:sz w:val="1"/>
                <w:szCs w:val="1"/>
                <w:color w:val="auto"/>
              </w:rPr>
            </w:pPr>
          </w:p>
        </w:tc>
      </w:tr>
      <w:tr>
        <w:trPr>
          <w:trHeight w:val="85"/>
        </w:trPr>
        <w:tc>
          <w:tcPr>
            <w:tcW w:w="5320" w:type="dxa"/>
            <w:vAlign w:val="bottom"/>
          </w:tcPr>
          <w:p>
            <w:pPr>
              <w:spacing w:after="0" w:line="85" w:lineRule="exact"/>
              <w:rPr>
                <w:sz w:val="20"/>
                <w:szCs w:val="20"/>
                <w:color w:val="auto"/>
              </w:rPr>
            </w:pPr>
            <w:r>
              <w:rPr>
                <w:rFonts w:ascii="Times New Roman" w:cs="Times New Roman" w:eastAsia="Times New Roman" w:hAnsi="Times New Roman"/>
                <w:sz w:val="8"/>
                <w:szCs w:val="8"/>
                <w:b w:val="1"/>
                <w:bCs w:val="1"/>
                <w:color w:val="auto"/>
              </w:rPr>
              <w:t>Net cash (used in) investing activities</w:t>
            </w:r>
          </w:p>
        </w:tc>
        <w:tc>
          <w:tcPr>
            <w:tcW w:w="100" w:type="dxa"/>
            <w:vAlign w:val="bottom"/>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148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(112,664</w:t>
            </w:r>
          </w:p>
        </w:tc>
        <w:tc>
          <w:tcPr>
            <w:tcW w:w="220" w:type="dxa"/>
            <w:vAlign w:val="bottom"/>
          </w:tcPr>
          <w:p>
            <w:pPr>
              <w:jc w:val="right"/>
              <w:ind w:right="139"/>
              <w:spacing w:after="0" w:line="85" w:lineRule="exact"/>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Pr>
          <w:p>
            <w:pPr>
              <w:spacing w:after="0"/>
              <w:rPr>
                <w:sz w:val="7"/>
                <w:szCs w:val="7"/>
                <w:color w:val="auto"/>
              </w:rPr>
            </w:pPr>
          </w:p>
        </w:tc>
        <w:tc>
          <w:tcPr>
            <w:tcW w:w="1700" w:type="dxa"/>
            <w:vAlign w:val="bottom"/>
            <w:gridSpan w:val="2"/>
          </w:tcPr>
          <w:p>
            <w:pPr>
              <w:jc w:val="right"/>
              <w:ind w:right="215"/>
              <w:spacing w:after="0" w:line="85"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1480" w:type="dxa"/>
            <w:vAlign w:val="bottom"/>
            <w:gridSpan w:val="2"/>
          </w:tcPr>
          <w:p>
            <w:pPr>
              <w:jc w:val="right"/>
              <w:ind w:right="75"/>
              <w:spacing w:after="0" w:line="85" w:lineRule="exact"/>
              <w:rPr>
                <w:sz w:val="20"/>
                <w:szCs w:val="20"/>
                <w:color w:val="auto"/>
              </w:rPr>
            </w:pPr>
            <w:r>
              <w:rPr>
                <w:rFonts w:ascii="Times New Roman" w:cs="Times New Roman" w:eastAsia="Times New Roman" w:hAnsi="Times New Roman"/>
                <w:sz w:val="8"/>
                <w:szCs w:val="8"/>
                <w:b w:val="1"/>
                <w:bCs w:val="1"/>
                <w:color w:val="auto"/>
              </w:rPr>
              <w:t>(112,664 )</w:t>
            </w:r>
          </w:p>
        </w:tc>
        <w:tc>
          <w:tcPr>
            <w:tcW w:w="0" w:type="dxa"/>
            <w:vAlign w:val="bottom"/>
          </w:tcPr>
          <w:p>
            <w:pPr>
              <w:spacing w:after="0"/>
              <w:rPr>
                <w:sz w:val="1"/>
                <w:szCs w:val="1"/>
                <w:color w:val="auto"/>
              </w:rPr>
            </w:pPr>
          </w:p>
        </w:tc>
      </w:tr>
      <w:tr>
        <w:trPr>
          <w:trHeight w:val="85"/>
        </w:trPr>
        <w:tc>
          <w:tcPr>
            <w:tcW w:w="5320" w:type="dxa"/>
            <w:vAlign w:val="bottom"/>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Cash flows from financing activities:</w:t>
            </w: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4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500" w:type="dxa"/>
            <w:vAlign w:val="bottom"/>
            <w:tcBorders>
              <w:right w:val="single" w:sz="8" w:color="CFF0FC"/>
            </w:tcBorders>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380" w:type="dxa"/>
            <w:vAlign w:val="bottom"/>
            <w:tcBorders>
              <w:right w:val="single" w:sz="8" w:color="CFF0FC"/>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Proceeds from rights issuance</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1,653,882</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1,653,882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Proceeds from issuance of common stock to related parties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199,974</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199,974</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Repayment of short term debt obligation from related parties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color w:val="auto"/>
              </w:rPr>
              <w:t>(250,000 )</w:t>
            </w:r>
          </w:p>
        </w:tc>
        <w:tc>
          <w:tcPr>
            <w:tcW w:w="100" w:type="dxa"/>
            <w:vAlign w:val="bottom"/>
          </w:tcPr>
          <w:p>
            <w:pPr>
              <w:spacing w:after="0"/>
              <w:rPr>
                <w:sz w:val="8"/>
                <w:szCs w:val="8"/>
                <w:color w:val="auto"/>
              </w:rPr>
            </w:pPr>
          </w:p>
        </w:tc>
        <w:tc>
          <w:tcPr>
            <w:tcW w:w="1700" w:type="dxa"/>
            <w:vAlign w:val="bottom"/>
            <w:gridSpan w:val="2"/>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color w:val="auto"/>
              </w:rPr>
              <w:t>(250,000 )</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Proceeds from short-term debt from related party</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4,178,008</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4,178,008</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Proceeds from short-term debt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762,505</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762,505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Proceeds from convertible debt</w:t>
            </w:r>
          </w:p>
        </w:tc>
        <w:tc>
          <w:tcPr>
            <w:tcW w:w="10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auto"/>
            </w:tcBorders>
            <w:shd w:val="clear" w:color="auto" w:fill="CFF0FC"/>
          </w:tcPr>
          <w:p>
            <w:pPr>
              <w:spacing w:after="0"/>
              <w:rPr>
                <w:sz w:val="8"/>
                <w:szCs w:val="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2,627,543</w:t>
            </w:r>
          </w:p>
        </w:tc>
        <w:tc>
          <w:tcPr>
            <w:tcW w:w="220" w:type="dxa"/>
            <w:vAlign w:val="bottom"/>
            <w:tcBorders>
              <w:bottom w:val="single" w:sz="8" w:color="CFF0FC"/>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1700" w:type="dxa"/>
            <w:vAlign w:val="bottom"/>
            <w:tcBorders>
              <w:bottom w:val="single" w:sz="8" w:color="CFF0FC"/>
            </w:tcBorders>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Borders>
              <w:bottom w:val="single" w:sz="8" w:color="CFF0FC"/>
            </w:tcBorders>
            <w:shd w:val="clear" w:color="auto" w:fill="CFF0FC"/>
          </w:tcPr>
          <w:p>
            <w:pPr>
              <w:spacing w:after="0"/>
              <w:rPr>
                <w:sz w:val="8"/>
                <w:szCs w:val="8"/>
                <w:color w:val="auto"/>
              </w:rPr>
            </w:pPr>
          </w:p>
        </w:tc>
        <w:tc>
          <w:tcPr>
            <w:tcW w:w="138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2,627,543</w:t>
            </w: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5320" w:type="dxa"/>
            <w:vAlign w:val="bottom"/>
          </w:tcPr>
          <w:p>
            <w:pPr>
              <w:spacing w:after="0" w:line="85" w:lineRule="exact"/>
              <w:rPr>
                <w:sz w:val="20"/>
                <w:szCs w:val="20"/>
                <w:color w:val="auto"/>
              </w:rPr>
            </w:pPr>
            <w:r>
              <w:rPr>
                <w:rFonts w:ascii="Times New Roman" w:cs="Times New Roman" w:eastAsia="Times New Roman" w:hAnsi="Times New Roman"/>
                <w:sz w:val="8"/>
                <w:szCs w:val="8"/>
                <w:b w:val="1"/>
                <w:bCs w:val="1"/>
                <w:color w:val="auto"/>
              </w:rPr>
              <w:t>Net cash flow generated from financing activities</w:t>
            </w: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9,171,912</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9,171,912</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5320" w:type="dxa"/>
            <w:vAlign w:val="bottom"/>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Effect of exchange rate changes on cash</w:t>
            </w: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480" w:type="dxa"/>
            <w:vAlign w:val="bottom"/>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(16,563</w:t>
            </w:r>
          </w:p>
        </w:tc>
        <w:tc>
          <w:tcPr>
            <w:tcW w:w="220" w:type="dxa"/>
            <w:vAlign w:val="bottom"/>
            <w:shd w:val="clear" w:color="auto" w:fill="CFF0FC"/>
          </w:tcPr>
          <w:p>
            <w:pPr>
              <w:jc w:val="right"/>
              <w:ind w:right="139"/>
              <w:spacing w:after="0" w:line="85" w:lineRule="exact"/>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shd w:val="clear" w:color="auto" w:fill="CFF0FC"/>
          </w:tcPr>
          <w:p>
            <w:pPr>
              <w:spacing w:after="0"/>
              <w:rPr>
                <w:sz w:val="7"/>
                <w:szCs w:val="7"/>
                <w:color w:val="auto"/>
              </w:rPr>
            </w:pPr>
          </w:p>
        </w:tc>
        <w:tc>
          <w:tcPr>
            <w:tcW w:w="1700" w:type="dxa"/>
            <w:vAlign w:val="bottom"/>
            <w:gridSpan w:val="2"/>
            <w:shd w:val="clear" w:color="auto" w:fill="CFF0FC"/>
          </w:tcPr>
          <w:p>
            <w:pPr>
              <w:jc w:val="right"/>
              <w:ind w:right="175"/>
              <w:spacing w:after="0" w:line="85" w:lineRule="exact"/>
              <w:rPr>
                <w:sz w:val="20"/>
                <w:szCs w:val="20"/>
                <w:color w:val="auto"/>
              </w:rPr>
            </w:pPr>
            <w:r>
              <w:rPr>
                <w:rFonts w:ascii="Times New Roman" w:cs="Times New Roman" w:eastAsia="Times New Roman" w:hAnsi="Times New Roman"/>
                <w:sz w:val="8"/>
                <w:szCs w:val="8"/>
                <w:b w:val="1"/>
                <w:bCs w:val="1"/>
                <w:color w:val="auto"/>
              </w:rPr>
              <w:t>(142,667 )</w:t>
            </w:r>
          </w:p>
        </w:tc>
        <w:tc>
          <w:tcPr>
            <w:tcW w:w="100" w:type="dxa"/>
            <w:vAlign w:val="bottom"/>
            <w:shd w:val="clear" w:color="auto" w:fill="CFF0FC"/>
          </w:tcPr>
          <w:p>
            <w:pPr>
              <w:spacing w:after="0"/>
              <w:rPr>
                <w:sz w:val="7"/>
                <w:szCs w:val="7"/>
                <w:color w:val="auto"/>
              </w:rPr>
            </w:pPr>
          </w:p>
        </w:tc>
        <w:tc>
          <w:tcPr>
            <w:tcW w:w="1480" w:type="dxa"/>
            <w:vAlign w:val="bottom"/>
            <w:gridSpan w:val="2"/>
            <w:shd w:val="clear" w:color="auto" w:fill="CFF0FC"/>
          </w:tcPr>
          <w:p>
            <w:pPr>
              <w:jc w:val="right"/>
              <w:ind w:right="75"/>
              <w:spacing w:after="0" w:line="85" w:lineRule="exact"/>
              <w:rPr>
                <w:sz w:val="20"/>
                <w:szCs w:val="20"/>
                <w:color w:val="auto"/>
              </w:rPr>
            </w:pPr>
            <w:r>
              <w:rPr>
                <w:rFonts w:ascii="Times New Roman" w:cs="Times New Roman" w:eastAsia="Times New Roman" w:hAnsi="Times New Roman"/>
                <w:sz w:val="8"/>
                <w:szCs w:val="8"/>
                <w:b w:val="1"/>
                <w:bCs w:val="1"/>
                <w:color w:val="auto"/>
              </w:rPr>
              <w:t>(159,230 )</w:t>
            </w:r>
          </w:p>
        </w:tc>
        <w:tc>
          <w:tcPr>
            <w:tcW w:w="0" w:type="dxa"/>
            <w:vAlign w:val="bottom"/>
          </w:tcPr>
          <w:p>
            <w:pPr>
              <w:spacing w:after="0"/>
              <w:rPr>
                <w:sz w:val="1"/>
                <w:szCs w:val="1"/>
                <w:color w:val="auto"/>
              </w:rPr>
            </w:pPr>
          </w:p>
        </w:tc>
      </w:tr>
      <w:tr>
        <w:trPr>
          <w:trHeight w:val="85"/>
        </w:trPr>
        <w:tc>
          <w:tcPr>
            <w:tcW w:w="5320" w:type="dxa"/>
            <w:vAlign w:val="bottom"/>
            <w:tcBorders>
              <w:top w:val="single" w:sz="8" w:color="CFF0FC"/>
            </w:tcBorders>
          </w:tcPr>
          <w:p>
            <w:pPr>
              <w:spacing w:after="0" w:line="85" w:lineRule="exact"/>
              <w:rPr>
                <w:sz w:val="20"/>
                <w:szCs w:val="20"/>
                <w:color w:val="auto"/>
              </w:rPr>
            </w:pPr>
            <w:r>
              <w:rPr>
                <w:rFonts w:ascii="Times New Roman" w:cs="Times New Roman" w:eastAsia="Times New Roman" w:hAnsi="Times New Roman"/>
                <w:sz w:val="8"/>
                <w:szCs w:val="8"/>
                <w:b w:val="1"/>
                <w:bCs w:val="1"/>
                <w:color w:val="auto"/>
              </w:rPr>
              <w:t>Net change in cash</w:t>
            </w:r>
          </w:p>
        </w:tc>
        <w:tc>
          <w:tcPr>
            <w:tcW w:w="100" w:type="dxa"/>
            <w:vAlign w:val="bottom"/>
            <w:tcBorders>
              <w:top w:val="single" w:sz="8" w:color="CFF0FC"/>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48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80,655</w:t>
            </w:r>
          </w:p>
        </w:tc>
        <w:tc>
          <w:tcPr>
            <w:tcW w:w="22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50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1,056</w:t>
            </w:r>
          </w:p>
        </w:tc>
        <w:tc>
          <w:tcPr>
            <w:tcW w:w="20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38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81,711</w:t>
            </w:r>
          </w:p>
        </w:tc>
        <w:tc>
          <w:tcPr>
            <w:tcW w:w="10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Cash and cash equivalents, beginning of year</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41,709</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(2,329 )</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39,380</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Cash and cash equivalents, end of year</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122,364</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gridSpan w:val="2"/>
          </w:tcPr>
          <w:p>
            <w:pPr>
              <w:jc w:val="right"/>
              <w:ind w:right="175"/>
              <w:spacing w:after="0"/>
              <w:rPr>
                <w:sz w:val="20"/>
                <w:szCs w:val="20"/>
                <w:color w:val="auto"/>
              </w:rPr>
            </w:pPr>
            <w:r>
              <w:rPr>
                <w:rFonts w:ascii="Times New Roman" w:cs="Times New Roman" w:eastAsia="Times New Roman" w:hAnsi="Times New Roman"/>
                <w:sz w:val="8"/>
                <w:szCs w:val="8"/>
                <w:b w:val="1"/>
                <w:bCs w:val="1"/>
                <w:color w:val="auto"/>
              </w:rPr>
              <w:t>(1,273 )</w:t>
            </w:r>
          </w:p>
        </w:tc>
        <w:tc>
          <w:tcPr>
            <w:tcW w:w="100" w:type="dxa"/>
            <w:vAlign w:val="bottom"/>
          </w:tcPr>
          <w:p>
            <w:pPr>
              <w:spacing w:after="0"/>
              <w:rPr>
                <w:sz w:val="9"/>
                <w:szCs w:val="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121,091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2.10.Fair value measurement and concentration of credit risk</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29"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w:t>
      </w:r>
    </w:p>
    <w:p>
      <w:pPr>
        <w:spacing w:after="0" w:line="105" w:lineRule="exact"/>
        <w:rPr>
          <w:sz w:val="20"/>
          <w:szCs w:val="20"/>
          <w:color w:val="auto"/>
        </w:rPr>
      </w:pPr>
    </w:p>
    <w:p>
      <w:pPr>
        <w:jc w:val="both"/>
        <w:ind w:firstLine="480"/>
        <w:spacing w:after="0" w:line="285" w:lineRule="auto"/>
        <w:rPr>
          <w:sz w:val="20"/>
          <w:szCs w:val="20"/>
          <w:color w:val="auto"/>
        </w:rPr>
      </w:pPr>
      <w:r>
        <w:rPr>
          <w:rFonts w:ascii="Times New Roman" w:cs="Times New Roman" w:eastAsia="Times New Roman" w:hAnsi="Times New Roman"/>
          <w:sz w:val="9"/>
          <w:szCs w:val="9"/>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1—Observable inputs are quoted prices (unadjusted) in active markets for identical assets or liabilities that the Company has the ability to access at the measurement date.</w:t>
      </w:r>
    </w:p>
    <w:p>
      <w:pPr>
        <w:spacing w:after="0" w:line="11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Level 2—Observable inputs other than Level 1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101"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Level 3—Unobservable inputs in which little or no market data exists, therefore requiring an entity to develop its own assumptions, such as valuations derived from valuation techniques in which one or more significant inputs or significant value drivers are unobservable. In some circumstances, the inputs used to measure fair value might be categorized within different levels of the fair value hierarchy. are unobservable inputs for the asset or liability.</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level in the fair value hierarchy within which a fair value measurement in its entirety falls is based on the lowest-level input that is significant to the fair value measurement in its entirety.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Fair value measurement at reporting date:</w:t>
      </w:r>
    </w:p>
    <w:p>
      <w:pPr>
        <w:spacing w:after="0" w:line="168" w:lineRule="exact"/>
        <w:rPr>
          <w:sz w:val="20"/>
          <w:szCs w:val="20"/>
          <w:color w:val="auto"/>
        </w:rPr>
      </w:pPr>
    </w:p>
    <w:tbl>
      <w:tblPr>
        <w:tblLayout w:type="fixed"/>
        <w:tblInd w:w="1060" w:type="dxa"/>
        <w:tblCellMar>
          <w:top w:w="0" w:type="dxa"/>
          <w:left w:w="0" w:type="dxa"/>
          <w:bottom w:w="0" w:type="dxa"/>
          <w:right w:w="0" w:type="dxa"/>
        </w:tblCellMar>
      </w:tblPr>
      <w:tr>
        <w:trPr>
          <w:trHeight w:val="106"/>
        </w:trPr>
        <w:tc>
          <w:tcPr>
            <w:tcW w:w="29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Description</w:t>
            </w:r>
          </w:p>
        </w:tc>
        <w:tc>
          <w:tcPr>
            <w:tcW w:w="2080" w:type="dxa"/>
            <w:vAlign w:val="bottom"/>
          </w:tcPr>
          <w:p>
            <w:pPr>
              <w:ind w:left="1600"/>
              <w:spacing w:after="0"/>
              <w:rPr>
                <w:sz w:val="20"/>
                <w:szCs w:val="20"/>
                <w:color w:val="auto"/>
              </w:rPr>
            </w:pPr>
            <w:r>
              <w:rPr>
                <w:rFonts w:ascii="Times New Roman" w:cs="Times New Roman" w:eastAsia="Times New Roman" w:hAnsi="Times New Roman"/>
                <w:sz w:val="8"/>
                <w:szCs w:val="8"/>
                <w:b w:val="1"/>
                <w:bCs w:val="1"/>
                <w:color w:val="auto"/>
              </w:rPr>
              <w:t>Level 1</w:t>
            </w:r>
          </w:p>
        </w:tc>
        <w:tc>
          <w:tcPr>
            <w:tcW w:w="1480" w:type="dxa"/>
            <w:vAlign w:val="bottom"/>
          </w:tcPr>
          <w:p>
            <w:pPr>
              <w:ind w:left="980"/>
              <w:spacing w:after="0"/>
              <w:rPr>
                <w:sz w:val="20"/>
                <w:szCs w:val="20"/>
                <w:color w:val="auto"/>
              </w:rPr>
            </w:pPr>
            <w:r>
              <w:rPr>
                <w:rFonts w:ascii="Times New Roman" w:cs="Times New Roman" w:eastAsia="Times New Roman" w:hAnsi="Times New Roman"/>
                <w:sz w:val="8"/>
                <w:szCs w:val="8"/>
                <w:b w:val="1"/>
                <w:bCs w:val="1"/>
                <w:color w:val="auto"/>
              </w:rPr>
              <w:t>Level 2</w:t>
            </w: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jc w:val="right"/>
              <w:ind w:right="634"/>
              <w:spacing w:after="0"/>
              <w:rPr>
                <w:sz w:val="20"/>
                <w:szCs w:val="20"/>
                <w:color w:val="auto"/>
              </w:rPr>
            </w:pPr>
            <w:r>
              <w:rPr>
                <w:rFonts w:ascii="Times New Roman" w:cs="Times New Roman" w:eastAsia="Times New Roman" w:hAnsi="Times New Roman"/>
                <w:sz w:val="8"/>
                <w:szCs w:val="8"/>
                <w:b w:val="1"/>
                <w:bCs w:val="1"/>
                <w:color w:val="auto"/>
              </w:rPr>
              <w:t>Level 3</w:t>
            </w:r>
          </w:p>
        </w:tc>
      </w:tr>
      <w:tr>
        <w:trPr>
          <w:trHeight w:val="113"/>
        </w:trPr>
        <w:tc>
          <w:tcPr>
            <w:tcW w:w="29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June 30, 2024</w:t>
            </w:r>
          </w:p>
        </w:tc>
        <w:tc>
          <w:tcPr>
            <w:tcW w:w="2080" w:type="dxa"/>
            <w:vAlign w:val="bottom"/>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r>
      <w:tr>
        <w:trPr>
          <w:trHeight w:val="113"/>
        </w:trPr>
        <w:tc>
          <w:tcPr>
            <w:tcW w:w="2900" w:type="dxa"/>
            <w:vAlign w:val="bottom"/>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0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113"/>
        </w:trPr>
        <w:tc>
          <w:tcPr>
            <w:tcW w:w="29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(1) Share-based payment liability</w:t>
            </w:r>
          </w:p>
        </w:tc>
        <w:tc>
          <w:tcPr>
            <w:tcW w:w="2080" w:type="dxa"/>
            <w:vAlign w:val="bottom"/>
            <w:shd w:val="clear" w:color="auto" w:fill="CFF0FC"/>
          </w:tcPr>
          <w:p>
            <w:pPr>
              <w:spacing w:after="0"/>
              <w:rPr>
                <w:sz w:val="9"/>
                <w:szCs w:val="9"/>
                <w:color w:val="auto"/>
              </w:rPr>
            </w:pPr>
          </w:p>
        </w:tc>
        <w:tc>
          <w:tcPr>
            <w:tcW w:w="1480" w:type="dxa"/>
            <w:vAlign w:val="bottom"/>
            <w:shd w:val="clear" w:color="auto" w:fill="CFF0FC"/>
          </w:tcPr>
          <w:p>
            <w:pPr>
              <w:ind w:lef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FF0FC"/>
          </w:tcPr>
          <w:p>
            <w:pPr>
              <w:ind w:lef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20" w:type="dxa"/>
            <w:vAlign w:val="bottom"/>
            <w:shd w:val="clear" w:color="auto" w:fill="CFF0FC"/>
          </w:tcPr>
          <w:p>
            <w:pPr>
              <w:jc w:val="right"/>
              <w:ind w:right="74"/>
              <w:spacing w:after="0" w:line="113" w:lineRule="exact"/>
              <w:rPr>
                <w:sz w:val="20"/>
                <w:szCs w:val="20"/>
                <w:color w:val="auto"/>
              </w:rPr>
            </w:pPr>
            <w:r>
              <w:rPr>
                <w:rFonts w:ascii="Times New Roman" w:cs="Times New Roman" w:eastAsia="Times New Roman" w:hAnsi="Times New Roman"/>
                <w:sz w:val="10"/>
                <w:szCs w:val="10"/>
                <w:color w:val="auto"/>
              </w:rPr>
              <w:t>1,383,298</w:t>
            </w:r>
          </w:p>
        </w:tc>
      </w:tr>
      <w:tr>
        <w:trPr>
          <w:trHeight w:val="225"/>
        </w:trPr>
        <w:tc>
          <w:tcPr>
            <w:tcW w:w="29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20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13"/>
        </w:trPr>
        <w:tc>
          <w:tcPr>
            <w:tcW w:w="29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080" w:type="dxa"/>
            <w:vAlign w:val="bottom"/>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r>
      <w:tr>
        <w:trPr>
          <w:trHeight w:val="125"/>
        </w:trPr>
        <w:tc>
          <w:tcPr>
            <w:tcW w:w="2900" w:type="dxa"/>
            <w:vAlign w:val="bottom"/>
          </w:tcPr>
          <w:p>
            <w:pPr>
              <w:spacing w:after="0"/>
              <w:rPr>
                <w:sz w:val="20"/>
                <w:szCs w:val="20"/>
                <w:color w:val="auto"/>
              </w:rPr>
            </w:pPr>
            <w:r>
              <w:rPr>
                <w:rFonts w:ascii="Times New Roman" w:cs="Times New Roman" w:eastAsia="Times New Roman" w:hAnsi="Times New Roman"/>
                <w:sz w:val="10"/>
                <w:szCs w:val="10"/>
                <w:color w:val="auto"/>
              </w:rPr>
              <w:t>(1) Share-based payment liability</w:t>
            </w:r>
          </w:p>
        </w:tc>
        <w:tc>
          <w:tcPr>
            <w:tcW w:w="2080" w:type="dxa"/>
            <w:vAlign w:val="bottom"/>
          </w:tcPr>
          <w:p>
            <w:pPr>
              <w:spacing w:after="0"/>
              <w:rPr>
                <w:sz w:val="10"/>
                <w:szCs w:val="10"/>
                <w:color w:val="auto"/>
              </w:rPr>
            </w:pPr>
          </w:p>
        </w:tc>
        <w:tc>
          <w:tcPr>
            <w:tcW w:w="148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0"/>
                <w:szCs w:val="10"/>
                <w:color w:val="auto"/>
              </w:rPr>
              <w:t>1,311,028</w:t>
            </w: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(1)The fair value of the common shares payable was valued using a discounted cash flow method using a risk adjusted discount rate of 10.8%.</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carrying amount of the Company’s cash equivalents, accounts receivables, accounts payable and accrued expenses approximated their fair values due to their short maturities.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Credit risk</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Accounts receivable is potentially subject to credit risk concentration. The Company has not experienced any material losses related to concentrations during the years presented. The Company however has a concentration risk related to its contract with its only customer such that as at June 30, 2024 and December 31, 2023, 100% of the Company’s accounts receivable is through its sole revenue generating agreement. If the sole agreement was terminated then such losses due to concentration risk may be material in the future and management makes no assurance that these losses may be avoided.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Accounts payable include balances for work incurred by third parties for the benefit of the company. As at June 30, 2024 and December 31, 2023, the following vendors represented more than 10% of total accounts payable.</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6"/>
        </w:trPr>
        <w:tc>
          <w:tcPr>
            <w:tcW w:w="3920" w:type="dxa"/>
            <w:vAlign w:val="bottom"/>
          </w:tcPr>
          <w:p>
            <w:pPr>
              <w:spacing w:after="0"/>
              <w:rPr>
                <w:sz w:val="9"/>
                <w:szCs w:val="9"/>
                <w:color w:val="auto"/>
              </w:rPr>
            </w:pPr>
          </w:p>
        </w:tc>
        <w:tc>
          <w:tcPr>
            <w:tcW w:w="1180" w:type="dxa"/>
            <w:vAlign w:val="bottom"/>
          </w:tcPr>
          <w:p>
            <w:pPr>
              <w:ind w:left="500"/>
              <w:spacing w:after="0"/>
              <w:rPr>
                <w:sz w:val="20"/>
                <w:szCs w:val="20"/>
                <w:color w:val="auto"/>
              </w:rPr>
            </w:pPr>
            <w:r>
              <w:rPr>
                <w:rFonts w:ascii="Times New Roman" w:cs="Times New Roman" w:eastAsia="Times New Roman" w:hAnsi="Times New Roman"/>
                <w:sz w:val="8"/>
                <w:szCs w:val="8"/>
                <w:b w:val="1"/>
                <w:bCs w:val="1"/>
                <w:color w:val="auto"/>
              </w:rPr>
              <w:t>June 23, 2024</w:t>
            </w: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00" w:type="dxa"/>
            <w:vAlign w:val="bottom"/>
            <w:gridSpan w:val="2"/>
          </w:tcPr>
          <w:p>
            <w:pPr>
              <w:ind w:left="400"/>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0"/>
        </w:trPr>
        <w:tc>
          <w:tcPr>
            <w:tcW w:w="3920" w:type="dxa"/>
            <w:vAlign w:val="bottom"/>
            <w:shd w:val="clear" w:color="auto" w:fill="CFF0FC"/>
          </w:tcPr>
          <w:p>
            <w:pPr>
              <w:ind w:left="20"/>
              <w:spacing w:after="0" w:line="100" w:lineRule="exact"/>
              <w:rPr>
                <w:sz w:val="20"/>
                <w:szCs w:val="20"/>
                <w:color w:val="auto"/>
              </w:rPr>
            </w:pPr>
            <w:r>
              <w:rPr>
                <w:rFonts w:ascii="Times New Roman" w:cs="Times New Roman" w:eastAsia="Times New Roman" w:hAnsi="Times New Roman"/>
                <w:sz w:val="10"/>
                <w:szCs w:val="10"/>
                <w:color w:val="auto"/>
              </w:rPr>
              <w:t>KPMG LLP</w:t>
            </w:r>
          </w:p>
        </w:tc>
        <w:tc>
          <w:tcPr>
            <w:tcW w:w="1180" w:type="dxa"/>
            <w:vAlign w:val="bottom"/>
            <w:tcBorders>
              <w:top w:val="single" w:sz="8" w:color="auto"/>
            </w:tcBorders>
            <w:shd w:val="clear" w:color="auto" w:fill="CFF0FC"/>
          </w:tcPr>
          <w:p>
            <w:pPr>
              <w:spacing w:after="0"/>
              <w:rPr>
                <w:sz w:val="8"/>
                <w:szCs w:val="8"/>
                <w:color w:val="auto"/>
              </w:rPr>
            </w:pPr>
          </w:p>
        </w:tc>
        <w:tc>
          <w:tcPr>
            <w:tcW w:w="300" w:type="dxa"/>
            <w:vAlign w:val="bottom"/>
            <w:tcBorders>
              <w:top w:val="single" w:sz="8" w:color="auto"/>
            </w:tcBorders>
            <w:shd w:val="clear" w:color="auto" w:fill="CFF0FC"/>
          </w:tcPr>
          <w:p>
            <w:pPr>
              <w:ind w:left="200"/>
              <w:spacing w:after="0" w:line="100" w:lineRule="exact"/>
              <w:rPr>
                <w:sz w:val="20"/>
                <w:szCs w:val="20"/>
                <w:color w:val="auto"/>
              </w:rPr>
            </w:pPr>
            <w:r>
              <w:rPr>
                <w:rFonts w:ascii="Times New Roman" w:cs="Times New Roman" w:eastAsia="Times New Roman" w:hAnsi="Times New Roman"/>
                <w:sz w:val="10"/>
                <w:szCs w:val="10"/>
                <w:color w:val="auto"/>
                <w:w w:val="79"/>
              </w:rPr>
              <w:t>11</w:t>
            </w:r>
          </w:p>
        </w:tc>
        <w:tc>
          <w:tcPr>
            <w:tcW w:w="340" w:type="dxa"/>
            <w:vAlign w:val="bottom"/>
            <w:shd w:val="clear" w:color="auto" w:fill="CFF0FC"/>
          </w:tcPr>
          <w:p>
            <w:pPr>
              <w:jc w:val="right"/>
              <w:ind w:right="211"/>
              <w:spacing w:after="0" w:line="100" w:lineRule="exact"/>
              <w:rPr>
                <w:sz w:val="20"/>
                <w:szCs w:val="20"/>
                <w:color w:val="auto"/>
              </w:rPr>
            </w:pPr>
            <w:r>
              <w:rPr>
                <w:rFonts w:ascii="Times New Roman" w:cs="Times New Roman" w:eastAsia="Times New Roman" w:hAnsi="Times New Roman"/>
                <w:sz w:val="10"/>
                <w:szCs w:val="10"/>
                <w:color w:val="auto"/>
                <w:w w:val="71"/>
              </w:rPr>
              <w:t>%</w:t>
            </w:r>
          </w:p>
        </w:tc>
        <w:tc>
          <w:tcPr>
            <w:tcW w:w="1480" w:type="dxa"/>
            <w:vAlign w:val="bottom"/>
            <w:tcBorders>
              <w:top w:val="single" w:sz="8" w:color="auto"/>
            </w:tcBorders>
            <w:shd w:val="clear" w:color="auto" w:fill="CFF0FC"/>
          </w:tcPr>
          <w:p>
            <w:pPr>
              <w:ind w:left="1380"/>
              <w:spacing w:after="0" w:line="100" w:lineRule="exact"/>
              <w:rPr>
                <w:sz w:val="20"/>
                <w:szCs w:val="20"/>
                <w:color w:val="auto"/>
              </w:rPr>
            </w:pPr>
            <w:r>
              <w:rPr>
                <w:rFonts w:ascii="Times New Roman" w:cs="Times New Roman" w:eastAsia="Times New Roman" w:hAnsi="Times New Roman"/>
                <w:sz w:val="10"/>
                <w:szCs w:val="10"/>
                <w:color w:val="auto"/>
                <w:w w:val="79"/>
              </w:rPr>
              <w:t>10</w:t>
            </w:r>
          </w:p>
        </w:tc>
        <w:tc>
          <w:tcPr>
            <w:tcW w:w="220" w:type="dxa"/>
            <w:vAlign w:val="bottom"/>
            <w:shd w:val="clear" w:color="auto" w:fill="CFF0FC"/>
          </w:tcPr>
          <w:p>
            <w:pPr>
              <w:jc w:val="right"/>
              <w:ind w:right="91"/>
              <w:spacing w:after="0" w:line="100" w:lineRule="exact"/>
              <w:rPr>
                <w:sz w:val="20"/>
                <w:szCs w:val="20"/>
                <w:color w:val="auto"/>
              </w:rPr>
            </w:pPr>
            <w:r>
              <w:rPr>
                <w:rFonts w:ascii="Times New Roman" w:cs="Times New Roman" w:eastAsia="Times New Roman" w:hAnsi="Times New Roman"/>
                <w:sz w:val="10"/>
                <w:szCs w:val="10"/>
                <w:color w:val="auto"/>
                <w:w w:val="71"/>
              </w:rPr>
              <w:t>%</w:t>
            </w:r>
          </w:p>
        </w:tc>
      </w:tr>
      <w:tr>
        <w:trPr>
          <w:trHeight w:val="113"/>
        </w:trPr>
        <w:tc>
          <w:tcPr>
            <w:tcW w:w="510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Taylor Wessing LLP</w:t>
            </w:r>
          </w:p>
        </w:tc>
        <w:tc>
          <w:tcPr>
            <w:tcW w:w="640" w:type="dxa"/>
            <w:vAlign w:val="bottom"/>
            <w:gridSpan w:val="2"/>
          </w:tcPr>
          <w:p>
            <w:pPr>
              <w:ind w:left="2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700" w:type="dxa"/>
            <w:vAlign w:val="bottom"/>
            <w:gridSpan w:val="2"/>
          </w:tcPr>
          <w:p>
            <w:pPr>
              <w:ind w:left="1380"/>
              <w:spacing w:after="0" w:line="113" w:lineRule="exact"/>
              <w:rPr>
                <w:sz w:val="20"/>
                <w:szCs w:val="20"/>
                <w:color w:val="auto"/>
              </w:rPr>
            </w:pPr>
            <w:r>
              <w:rPr>
                <w:rFonts w:ascii="Times New Roman" w:cs="Times New Roman" w:eastAsia="Times New Roman" w:hAnsi="Times New Roman"/>
                <w:sz w:val="10"/>
                <w:szCs w:val="10"/>
                <w:color w:val="auto"/>
              </w:rPr>
              <w:t>13 %</w:t>
            </w:r>
          </w:p>
        </w:tc>
      </w:tr>
      <w:tr>
        <w:trPr>
          <w:trHeight w:val="113"/>
        </w:trPr>
        <w:tc>
          <w:tcPr>
            <w:tcW w:w="510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Wilson Sonsini Goodrich &amp; Rosati</w:t>
            </w:r>
          </w:p>
        </w:tc>
        <w:tc>
          <w:tcPr>
            <w:tcW w:w="640" w:type="dxa"/>
            <w:vAlign w:val="bottom"/>
            <w:gridSpan w:val="2"/>
            <w:shd w:val="clear" w:color="auto" w:fill="CFF0FC"/>
          </w:tcPr>
          <w:p>
            <w:pPr>
              <w:ind w:left="200"/>
              <w:spacing w:after="0" w:line="113" w:lineRule="exact"/>
              <w:rPr>
                <w:sz w:val="20"/>
                <w:szCs w:val="20"/>
                <w:color w:val="auto"/>
              </w:rPr>
            </w:pPr>
            <w:r>
              <w:rPr>
                <w:rFonts w:ascii="Times New Roman" w:cs="Times New Roman" w:eastAsia="Times New Roman" w:hAnsi="Times New Roman"/>
                <w:sz w:val="10"/>
                <w:szCs w:val="10"/>
                <w:color w:val="auto"/>
              </w:rPr>
              <w:t>15 %</w:t>
            </w:r>
          </w:p>
        </w:tc>
        <w:tc>
          <w:tcPr>
            <w:tcW w:w="1700" w:type="dxa"/>
            <w:vAlign w:val="bottom"/>
            <w:gridSpan w:val="2"/>
            <w:shd w:val="clear" w:color="auto" w:fill="CFF0FC"/>
          </w:tcPr>
          <w:p>
            <w:pPr>
              <w:ind w:left="1380"/>
              <w:spacing w:after="0" w:line="113" w:lineRule="exact"/>
              <w:rPr>
                <w:sz w:val="20"/>
                <w:szCs w:val="20"/>
                <w:color w:val="auto"/>
              </w:rPr>
            </w:pPr>
            <w:r>
              <w:rPr>
                <w:rFonts w:ascii="Times New Roman" w:cs="Times New Roman" w:eastAsia="Times New Roman" w:hAnsi="Times New Roman"/>
                <w:sz w:val="10"/>
                <w:szCs w:val="10"/>
                <w:color w:val="auto"/>
              </w:rPr>
              <w:t>14 %</w:t>
            </w:r>
          </w:p>
        </w:tc>
      </w:tr>
      <w:tr>
        <w:trPr>
          <w:trHeight w:val="125"/>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Amazon Web Services</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0"/>
                <w:szCs w:val="10"/>
                <w:color w:val="auto"/>
              </w:rPr>
              <w:t>14 %</w:t>
            </w:r>
          </w:p>
        </w:tc>
        <w:tc>
          <w:tcPr>
            <w:tcW w:w="1700" w:type="dxa"/>
            <w:vAlign w:val="bottom"/>
            <w:gridSpan w:val="2"/>
          </w:tcPr>
          <w:p>
            <w:pPr>
              <w:ind w:left="1380"/>
              <w:spacing w:after="0"/>
              <w:rPr>
                <w:sz w:val="20"/>
                <w:szCs w:val="20"/>
                <w:color w:val="auto"/>
              </w:rPr>
            </w:pPr>
            <w:r>
              <w:rPr>
                <w:rFonts w:ascii="Times New Roman" w:cs="Times New Roman" w:eastAsia="Times New Roman" w:hAnsi="Times New Roman"/>
                <w:sz w:val="10"/>
                <w:szCs w:val="10"/>
                <w:color w:val="auto"/>
              </w:rPr>
              <w:t>—</w:t>
            </w: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Foreign currency risk</w:t>
      </w:r>
    </w:p>
    <w:p>
      <w:pPr>
        <w:spacing w:after="0" w:line="60" w:lineRule="exact"/>
        <w:rPr>
          <w:sz w:val="20"/>
          <w:szCs w:val="20"/>
          <w:color w:val="auto"/>
        </w:rPr>
      </w:pPr>
    </w:p>
    <w:p>
      <w:pPr>
        <w:ind w:right="240" w:firstLine="480"/>
        <w:spacing w:after="0" w:line="255" w:lineRule="auto"/>
        <w:rPr>
          <w:sz w:val="20"/>
          <w:szCs w:val="20"/>
          <w:color w:val="auto"/>
        </w:rPr>
      </w:pPr>
      <w:r>
        <w:rPr>
          <w:rFonts w:ascii="Times New Roman" w:cs="Times New Roman" w:eastAsia="Times New Roman" w:hAnsi="Times New Roman"/>
          <w:sz w:val="10"/>
          <w:szCs w:val="10"/>
          <w:color w:val="auto"/>
        </w:rPr>
        <w:t>All of the Company’s revenue is denominated in the Euro (“EUR”) since the sales of the Company is in Spain. Based upon the Company’s level of operations for the period ended June 30, 2024, a sensitivity analysis shows that a 10% appreciation or depreciation in the EUR against the dollar would have increased or decreased, respectively, the Company’s revenue for the periods ended June 30, 2024 and 2023 by approximately $ 5,339 and $ 4,676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3.Prepayments and other current assets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June 30, 2023</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6"/>
        </w:trPr>
        <w:tc>
          <w:tcPr>
            <w:tcW w:w="15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00" w:type="dxa"/>
            <w:vAlign w:val="bottom"/>
          </w:tcPr>
          <w:p>
            <w:pPr>
              <w:spacing w:after="0"/>
              <w:rPr>
                <w:sz w:val="9"/>
                <w:szCs w:val="9"/>
                <w:color w:val="auto"/>
              </w:rPr>
            </w:pPr>
          </w:p>
        </w:tc>
      </w:tr>
      <w:tr>
        <w:trPr>
          <w:trHeight w:val="100"/>
        </w:trPr>
        <w:tc>
          <w:tcPr>
            <w:tcW w:w="1580" w:type="dxa"/>
            <w:vAlign w:val="bottom"/>
          </w:tcPr>
          <w:p>
            <w:pPr>
              <w:spacing w:after="0"/>
              <w:rPr>
                <w:sz w:val="8"/>
                <w:szCs w:val="8"/>
                <w:color w:val="auto"/>
              </w:rPr>
            </w:pPr>
          </w:p>
        </w:tc>
        <w:tc>
          <w:tcPr>
            <w:tcW w:w="4080" w:type="dxa"/>
            <w:vAlign w:val="bottom"/>
            <w:gridSpan w:val="2"/>
            <w:shd w:val="clear" w:color="auto" w:fill="CFF0FC"/>
          </w:tcPr>
          <w:p>
            <w:pPr>
              <w:ind w:left="20"/>
              <w:spacing w:after="0" w:line="100" w:lineRule="exact"/>
              <w:rPr>
                <w:sz w:val="20"/>
                <w:szCs w:val="20"/>
                <w:color w:val="auto"/>
              </w:rPr>
            </w:pPr>
            <w:r>
              <w:rPr>
                <w:rFonts w:ascii="Times New Roman" w:cs="Times New Roman" w:eastAsia="Times New Roman" w:hAnsi="Times New Roman"/>
                <w:sz w:val="10"/>
                <w:szCs w:val="10"/>
                <w:color w:val="auto"/>
              </w:rPr>
              <w:t>Prepaid expense</w:t>
            </w:r>
          </w:p>
        </w:tc>
        <w:tc>
          <w:tcPr>
            <w:tcW w:w="15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color w:val="auto"/>
              </w:rPr>
              <w:t>207,829</w:t>
            </w: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5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color w:val="auto"/>
              </w:rPr>
              <w:t>130,309</w:t>
            </w:r>
          </w:p>
        </w:tc>
        <w:tc>
          <w:tcPr>
            <w:tcW w:w="100" w:type="dxa"/>
            <w:vAlign w:val="bottom"/>
            <w:shd w:val="clear" w:color="auto" w:fill="CFF0FC"/>
          </w:tcPr>
          <w:p>
            <w:pPr>
              <w:spacing w:after="0"/>
              <w:rPr>
                <w:sz w:val="8"/>
                <w:szCs w:val="8"/>
                <w:color w:val="auto"/>
              </w:rPr>
            </w:pPr>
          </w:p>
        </w:tc>
      </w:tr>
      <w:tr>
        <w:trPr>
          <w:trHeight w:val="113"/>
        </w:trPr>
        <w:tc>
          <w:tcPr>
            <w:tcW w:w="1580" w:type="dxa"/>
            <w:vAlign w:val="bottom"/>
          </w:tcPr>
          <w:p>
            <w:pPr>
              <w:spacing w:after="0"/>
              <w:rPr>
                <w:sz w:val="9"/>
                <w:szCs w:val="9"/>
                <w:color w:val="auto"/>
              </w:rPr>
            </w:pPr>
          </w:p>
        </w:tc>
        <w:tc>
          <w:tcPr>
            <w:tcW w:w="408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Receivable from government authorities</w:t>
            </w: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3,393</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582</w:t>
            </w:r>
          </w:p>
        </w:tc>
        <w:tc>
          <w:tcPr>
            <w:tcW w:w="1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408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receivable</w:t>
            </w:r>
          </w:p>
        </w:tc>
        <w:tc>
          <w:tcPr>
            <w:tcW w:w="1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68,788</w:t>
            </w: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27,690</w:t>
            </w:r>
          </w:p>
        </w:tc>
        <w:tc>
          <w:tcPr>
            <w:tcW w:w="100" w:type="dxa"/>
            <w:vAlign w:val="bottom"/>
            <w:shd w:val="clear" w:color="auto" w:fill="CFF0FC"/>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4080" w:type="dxa"/>
            <w:vAlign w:val="bottom"/>
            <w:tcBorders>
              <w:bottom w:val="single" w:sz="8" w:color="CFF0FC"/>
            </w:tcBorders>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Input tax credit receivable</w:t>
            </w:r>
          </w:p>
        </w:tc>
        <w:tc>
          <w:tcPr>
            <w:tcW w:w="15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150,681</w:t>
            </w:r>
          </w:p>
        </w:tc>
        <w:tc>
          <w:tcPr>
            <w:tcW w:w="120" w:type="dxa"/>
            <w:vAlign w:val="bottom"/>
            <w:tcBorders>
              <w:bottom w:val="single" w:sz="8" w:color="CFF0FC"/>
            </w:tcBorders>
          </w:tcPr>
          <w:p>
            <w:pPr>
              <w:spacing w:after="0"/>
              <w:rPr>
                <w:sz w:val="9"/>
                <w:szCs w:val="9"/>
                <w:color w:val="auto"/>
              </w:rPr>
            </w:pPr>
          </w:p>
        </w:tc>
        <w:tc>
          <w:tcPr>
            <w:tcW w:w="20" w:type="dxa"/>
            <w:vAlign w:val="bottom"/>
            <w:tcBorders>
              <w:bottom w:val="single" w:sz="8" w:color="CFF0FC"/>
            </w:tcBorders>
          </w:tcPr>
          <w:p>
            <w:pPr>
              <w:spacing w:after="0"/>
              <w:rPr>
                <w:sz w:val="9"/>
                <w:szCs w:val="9"/>
                <w:color w:val="auto"/>
              </w:rPr>
            </w:pPr>
          </w:p>
        </w:tc>
        <w:tc>
          <w:tcPr>
            <w:tcW w:w="15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140,432</w:t>
            </w:r>
          </w:p>
        </w:tc>
        <w:tc>
          <w:tcPr>
            <w:tcW w:w="100" w:type="dxa"/>
            <w:vAlign w:val="bottom"/>
            <w:tcBorders>
              <w:bottom w:val="single" w:sz="8" w:color="CFF0FC"/>
            </w:tcBorders>
          </w:tcPr>
          <w:p>
            <w:pPr>
              <w:spacing w:after="0"/>
              <w:rPr>
                <w:sz w:val="9"/>
                <w:szCs w:val="9"/>
                <w:color w:val="auto"/>
              </w:rPr>
            </w:pPr>
          </w:p>
        </w:tc>
      </w:tr>
      <w:tr>
        <w:trPr>
          <w:trHeight w:val="103"/>
        </w:trPr>
        <w:tc>
          <w:tcPr>
            <w:tcW w:w="1580" w:type="dxa"/>
            <w:vAlign w:val="bottom"/>
          </w:tcPr>
          <w:p>
            <w:pPr>
              <w:spacing w:after="0"/>
              <w:rPr>
                <w:sz w:val="8"/>
                <w:szCs w:val="8"/>
                <w:color w:val="auto"/>
              </w:rPr>
            </w:pPr>
          </w:p>
        </w:tc>
        <w:tc>
          <w:tcPr>
            <w:tcW w:w="4080" w:type="dxa"/>
            <w:vAlign w:val="bottom"/>
            <w:tcBorders>
              <w:bottom w:val="single" w:sz="8" w:color="CFF0FC"/>
            </w:tcBorders>
            <w:gridSpan w:val="2"/>
            <w:shd w:val="clear" w:color="auto" w:fill="CFF0FC"/>
          </w:tcPr>
          <w:p>
            <w:pPr>
              <w:ind w:left="20"/>
              <w:spacing w:after="0" w:line="100" w:lineRule="exact"/>
              <w:rPr>
                <w:sz w:val="20"/>
                <w:szCs w:val="20"/>
                <w:color w:val="auto"/>
              </w:rPr>
            </w:pPr>
            <w:r>
              <w:rPr>
                <w:rFonts w:ascii="Times New Roman" w:cs="Times New Roman" w:eastAsia="Times New Roman" w:hAnsi="Times New Roman"/>
                <w:sz w:val="10"/>
                <w:szCs w:val="10"/>
                <w:b w:val="1"/>
                <w:bCs w:val="1"/>
                <w:color w:val="auto"/>
              </w:rPr>
              <w:t>Total</w:t>
            </w:r>
          </w:p>
        </w:tc>
        <w:tc>
          <w:tcPr>
            <w:tcW w:w="1560" w:type="dxa"/>
            <w:vAlign w:val="bottom"/>
            <w:tcBorders>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430,691</w:t>
            </w:r>
          </w:p>
        </w:tc>
        <w:tc>
          <w:tcPr>
            <w:tcW w:w="120" w:type="dxa"/>
            <w:vAlign w:val="bottom"/>
            <w:tcBorders>
              <w:bottom w:val="single" w:sz="8" w:color="CFF0FC"/>
            </w:tcBorders>
            <w:shd w:val="clear" w:color="auto" w:fill="CFF0FC"/>
          </w:tcPr>
          <w:p>
            <w:pPr>
              <w:spacing w:after="0"/>
              <w:rPr>
                <w:sz w:val="8"/>
                <w:szCs w:val="8"/>
                <w:color w:val="auto"/>
              </w:rPr>
            </w:pPr>
          </w:p>
        </w:tc>
        <w:tc>
          <w:tcPr>
            <w:tcW w:w="20" w:type="dxa"/>
            <w:vAlign w:val="bottom"/>
            <w:tcBorders>
              <w:bottom w:val="single" w:sz="8" w:color="CFF0FC"/>
            </w:tcBorders>
            <w:shd w:val="clear" w:color="auto" w:fill="CFF0FC"/>
          </w:tcPr>
          <w:p>
            <w:pPr>
              <w:spacing w:after="0"/>
              <w:rPr>
                <w:sz w:val="8"/>
                <w:szCs w:val="8"/>
                <w:color w:val="auto"/>
              </w:rPr>
            </w:pPr>
          </w:p>
        </w:tc>
        <w:tc>
          <w:tcPr>
            <w:tcW w:w="1560" w:type="dxa"/>
            <w:vAlign w:val="bottom"/>
            <w:tcBorders>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299,013</w:t>
            </w:r>
          </w:p>
        </w:tc>
        <w:tc>
          <w:tcPr>
            <w:tcW w:w="100" w:type="dxa"/>
            <w:vAlign w:val="bottom"/>
            <w:tcBorders>
              <w:bottom w:val="single" w:sz="8" w:color="CFF0FC"/>
            </w:tcBorders>
            <w:shd w:val="clear" w:color="auto" w:fill="CFF0FC"/>
          </w:tcPr>
          <w:p>
            <w:pPr>
              <w:spacing w:after="0"/>
              <w:rPr>
                <w:sz w:val="8"/>
                <w:szCs w:val="8"/>
                <w:color w:val="auto"/>
              </w:rPr>
            </w:pPr>
          </w:p>
        </w:tc>
      </w:tr>
      <w:tr>
        <w:trPr>
          <w:trHeight w:val="321"/>
        </w:trPr>
        <w:tc>
          <w:tcPr>
            <w:tcW w:w="56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4.Intangible assets, net</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5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gridSpan w:val="3"/>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6"/>
        </w:trPr>
        <w:tc>
          <w:tcPr>
            <w:tcW w:w="15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00" w:type="dxa"/>
            <w:vAlign w:val="bottom"/>
          </w:tcPr>
          <w:p>
            <w:pPr>
              <w:spacing w:after="0"/>
              <w:rPr>
                <w:sz w:val="9"/>
                <w:szCs w:val="9"/>
                <w:color w:val="auto"/>
              </w:rPr>
            </w:pPr>
          </w:p>
        </w:tc>
      </w:tr>
      <w:tr>
        <w:trPr>
          <w:trHeight w:val="100"/>
        </w:trPr>
        <w:tc>
          <w:tcPr>
            <w:tcW w:w="1580" w:type="dxa"/>
            <w:vAlign w:val="bottom"/>
          </w:tcPr>
          <w:p>
            <w:pPr>
              <w:spacing w:after="0"/>
              <w:rPr>
                <w:sz w:val="8"/>
                <w:szCs w:val="8"/>
                <w:color w:val="auto"/>
              </w:rPr>
            </w:pPr>
          </w:p>
        </w:tc>
        <w:tc>
          <w:tcPr>
            <w:tcW w:w="4060" w:type="dxa"/>
            <w:vAlign w:val="bottom"/>
            <w:shd w:val="clear" w:color="auto" w:fill="CFF0FC"/>
          </w:tcPr>
          <w:p>
            <w:pPr>
              <w:ind w:left="20"/>
              <w:spacing w:after="0" w:line="100" w:lineRule="exact"/>
              <w:rPr>
                <w:sz w:val="20"/>
                <w:szCs w:val="20"/>
                <w:color w:val="auto"/>
              </w:rPr>
            </w:pPr>
            <w:r>
              <w:rPr>
                <w:rFonts w:ascii="Times New Roman" w:cs="Times New Roman" w:eastAsia="Times New Roman" w:hAnsi="Times New Roman"/>
                <w:sz w:val="10"/>
                <w:szCs w:val="10"/>
                <w:color w:val="auto"/>
              </w:rPr>
              <w:t>Software</w:t>
            </w:r>
          </w:p>
        </w:tc>
        <w:tc>
          <w:tcPr>
            <w:tcW w:w="20" w:type="dxa"/>
            <w:vAlign w:val="bottom"/>
            <w:shd w:val="clear" w:color="auto" w:fill="CFF0FC"/>
          </w:tcPr>
          <w:p>
            <w:pPr>
              <w:spacing w:after="0"/>
              <w:rPr>
                <w:sz w:val="8"/>
                <w:szCs w:val="8"/>
                <w:color w:val="auto"/>
              </w:rPr>
            </w:pPr>
          </w:p>
        </w:tc>
        <w:tc>
          <w:tcPr>
            <w:tcW w:w="15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color w:val="auto"/>
              </w:rPr>
              <w:t>1,014,094</w:t>
            </w: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5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color w:val="auto"/>
              </w:rPr>
              <w:t>1,009,272</w:t>
            </w:r>
          </w:p>
        </w:tc>
        <w:tc>
          <w:tcPr>
            <w:tcW w:w="100" w:type="dxa"/>
            <w:vAlign w:val="bottom"/>
            <w:shd w:val="clear" w:color="auto" w:fill="CFF0FC"/>
          </w:tcPr>
          <w:p>
            <w:pPr>
              <w:spacing w:after="0"/>
              <w:rPr>
                <w:sz w:val="8"/>
                <w:szCs w:val="8"/>
                <w:color w:val="auto"/>
              </w:rPr>
            </w:pPr>
          </w:p>
        </w:tc>
      </w:tr>
      <w:tr>
        <w:trPr>
          <w:trHeight w:val="113"/>
        </w:trPr>
        <w:tc>
          <w:tcPr>
            <w:tcW w:w="1580" w:type="dxa"/>
            <w:vAlign w:val="bottom"/>
          </w:tcPr>
          <w:p>
            <w:pPr>
              <w:spacing w:after="0"/>
              <w:rPr>
                <w:sz w:val="9"/>
                <w:szCs w:val="9"/>
                <w:color w:val="auto"/>
              </w:rPr>
            </w:pPr>
          </w:p>
        </w:tc>
        <w:tc>
          <w:tcPr>
            <w:tcW w:w="408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In development intangible asset</w:t>
            </w: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3,218,169</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1,862,465</w:t>
            </w:r>
          </w:p>
        </w:tc>
        <w:tc>
          <w:tcPr>
            <w:tcW w:w="1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40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4,232,263</w:t>
            </w: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2,871,737</w:t>
            </w:r>
          </w:p>
        </w:tc>
        <w:tc>
          <w:tcPr>
            <w:tcW w:w="100" w:type="dxa"/>
            <w:vAlign w:val="bottom"/>
            <w:shd w:val="clear" w:color="auto" w:fill="CFF0FC"/>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408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Less - Accumulated amortization</w:t>
            </w:r>
          </w:p>
        </w:tc>
        <w:tc>
          <w:tcPr>
            <w:tcW w:w="168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(835,774 )</w:t>
            </w:r>
          </w:p>
        </w:tc>
        <w:tc>
          <w:tcPr>
            <w:tcW w:w="20" w:type="dxa"/>
            <w:vAlign w:val="bottom"/>
          </w:tcPr>
          <w:p>
            <w:pPr>
              <w:spacing w:after="0"/>
              <w:rPr>
                <w:sz w:val="9"/>
                <w:szCs w:val="9"/>
                <w:color w:val="auto"/>
              </w:rPr>
            </w:pPr>
          </w:p>
        </w:tc>
        <w:tc>
          <w:tcPr>
            <w:tcW w:w="166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(736,834 )</w:t>
            </w:r>
          </w:p>
        </w:tc>
      </w:tr>
      <w:tr>
        <w:trPr>
          <w:trHeight w:val="103"/>
        </w:trPr>
        <w:tc>
          <w:tcPr>
            <w:tcW w:w="1580" w:type="dxa"/>
            <w:vAlign w:val="bottom"/>
          </w:tcPr>
          <w:p>
            <w:pPr>
              <w:spacing w:after="0"/>
              <w:rPr>
                <w:sz w:val="8"/>
                <w:szCs w:val="8"/>
                <w:color w:val="auto"/>
              </w:rPr>
            </w:pPr>
          </w:p>
        </w:tc>
        <w:tc>
          <w:tcPr>
            <w:tcW w:w="4060" w:type="dxa"/>
            <w:vAlign w:val="bottom"/>
            <w:tcBorders>
              <w:bottom w:val="single" w:sz="8" w:color="CFF0FC"/>
            </w:tcBorders>
            <w:shd w:val="clear" w:color="auto" w:fill="CFF0FC"/>
          </w:tcPr>
          <w:p>
            <w:pPr>
              <w:ind w:left="20"/>
              <w:spacing w:after="0" w:line="100" w:lineRule="exact"/>
              <w:rPr>
                <w:sz w:val="20"/>
                <w:szCs w:val="20"/>
                <w:color w:val="auto"/>
              </w:rPr>
            </w:pPr>
            <w:r>
              <w:rPr>
                <w:rFonts w:ascii="Times New Roman" w:cs="Times New Roman" w:eastAsia="Times New Roman" w:hAnsi="Times New Roman"/>
                <w:sz w:val="10"/>
                <w:szCs w:val="10"/>
                <w:b w:val="1"/>
                <w:bCs w:val="1"/>
                <w:color w:val="auto"/>
              </w:rPr>
              <w:t>Intangible assets, net</w:t>
            </w:r>
          </w:p>
        </w:tc>
        <w:tc>
          <w:tcPr>
            <w:tcW w:w="20" w:type="dxa"/>
            <w:vAlign w:val="bottom"/>
            <w:tcBorders>
              <w:top w:val="single" w:sz="8" w:color="auto"/>
              <w:bottom w:val="single" w:sz="8" w:color="auto"/>
            </w:tcBorders>
            <w:shd w:val="clear" w:color="auto" w:fill="CFF0FC"/>
          </w:tcPr>
          <w:p>
            <w:pPr>
              <w:spacing w:after="0"/>
              <w:rPr>
                <w:sz w:val="8"/>
                <w:szCs w:val="8"/>
                <w:color w:val="auto"/>
              </w:rPr>
            </w:pPr>
          </w:p>
        </w:tc>
        <w:tc>
          <w:tcPr>
            <w:tcW w:w="1560" w:type="dxa"/>
            <w:vAlign w:val="bottom"/>
            <w:tcBorders>
              <w:top w:val="single" w:sz="8" w:color="auto"/>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3,396,489</w:t>
            </w:r>
          </w:p>
        </w:tc>
        <w:tc>
          <w:tcPr>
            <w:tcW w:w="120" w:type="dxa"/>
            <w:vAlign w:val="bottom"/>
            <w:tcBorders>
              <w:bottom w:val="single" w:sz="8" w:color="CFF0FC"/>
            </w:tcBorders>
            <w:shd w:val="clear" w:color="auto" w:fill="CFF0FC"/>
          </w:tcPr>
          <w:p>
            <w:pPr>
              <w:spacing w:after="0"/>
              <w:rPr>
                <w:sz w:val="8"/>
                <w:szCs w:val="8"/>
                <w:color w:val="auto"/>
              </w:rPr>
            </w:pPr>
          </w:p>
        </w:tc>
        <w:tc>
          <w:tcPr>
            <w:tcW w:w="20" w:type="dxa"/>
            <w:vAlign w:val="bottom"/>
            <w:tcBorders>
              <w:top w:val="single" w:sz="8" w:color="auto"/>
              <w:bottom w:val="single" w:sz="8" w:color="auto"/>
            </w:tcBorders>
            <w:shd w:val="clear" w:color="auto" w:fill="CFF0FC"/>
          </w:tcPr>
          <w:p>
            <w:pPr>
              <w:spacing w:after="0"/>
              <w:rPr>
                <w:sz w:val="8"/>
                <w:szCs w:val="8"/>
                <w:color w:val="auto"/>
              </w:rPr>
            </w:pPr>
          </w:p>
        </w:tc>
        <w:tc>
          <w:tcPr>
            <w:tcW w:w="1560" w:type="dxa"/>
            <w:vAlign w:val="bottom"/>
            <w:tcBorders>
              <w:top w:val="single" w:sz="8" w:color="auto"/>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2,134,903</w:t>
            </w:r>
          </w:p>
        </w:tc>
        <w:tc>
          <w:tcPr>
            <w:tcW w:w="100" w:type="dxa"/>
            <w:vAlign w:val="bottom"/>
            <w:tcBorders>
              <w:bottom w:val="single" w:sz="8" w:color="CFF0FC"/>
            </w:tcBorders>
            <w:shd w:val="clear" w:color="auto" w:fill="CFF0FC"/>
          </w:tcPr>
          <w:p>
            <w:pPr>
              <w:spacing w:after="0"/>
              <w:rPr>
                <w:sz w:val="8"/>
                <w:szCs w:val="8"/>
                <w:color w:val="auto"/>
              </w:rPr>
            </w:pPr>
          </w:p>
        </w:tc>
      </w:tr>
    </w:tbl>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Amortization expense in each of the six months ended June 30, 2024 and June 30, 2023 was $ $98,940.</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0"/>
          <w:szCs w:val="10"/>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440"/>
          </w:cols>
          <w:pgMar w:left="640" w:top="921" w:right="82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5.Debt and other liabilities</w:t>
      </w:r>
    </w:p>
    <w:p>
      <w:pPr>
        <w:spacing w:after="0" w:line="155"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5040" w:type="dxa"/>
            <w:vAlign w:val="bottom"/>
          </w:tcPr>
          <w:p>
            <w:pPr>
              <w:ind w:left="450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820" w:type="dxa"/>
            <w:vAlign w:val="bottom"/>
          </w:tcPr>
          <w:p>
            <w:pPr>
              <w:spacing w:after="0"/>
              <w:rPr>
                <w:sz w:val="8"/>
                <w:szCs w:val="8"/>
                <w:color w:val="auto"/>
              </w:rPr>
            </w:pPr>
          </w:p>
        </w:tc>
        <w:tc>
          <w:tcPr>
            <w:tcW w:w="1580" w:type="dxa"/>
            <w:vAlign w:val="bottom"/>
          </w:tcPr>
          <w:p>
            <w:pPr>
              <w:jc w:val="right"/>
              <w:ind w:right="513"/>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6"/>
        </w:trPr>
        <w:tc>
          <w:tcPr>
            <w:tcW w:w="5040" w:type="dxa"/>
            <w:vAlign w:val="bottom"/>
          </w:tcPr>
          <w:p>
            <w:pPr>
              <w:ind w:left="4720"/>
              <w:spacing w:after="0"/>
              <w:rPr>
                <w:sz w:val="20"/>
                <w:szCs w:val="20"/>
                <w:color w:val="auto"/>
              </w:rPr>
            </w:pPr>
            <w:r>
              <w:rPr>
                <w:rFonts w:ascii="Times New Roman" w:cs="Times New Roman" w:eastAsia="Times New Roman" w:hAnsi="Times New Roman"/>
                <w:sz w:val="8"/>
                <w:szCs w:val="8"/>
                <w:b w:val="1"/>
                <w:bCs w:val="1"/>
                <w:color w:val="auto"/>
              </w:rPr>
              <w:t>$</w:t>
            </w:r>
          </w:p>
        </w:tc>
        <w:tc>
          <w:tcPr>
            <w:tcW w:w="820" w:type="dxa"/>
            <w:vAlign w:val="bottom"/>
          </w:tcPr>
          <w:p>
            <w:pPr>
              <w:spacing w:after="0"/>
              <w:rPr>
                <w:sz w:val="9"/>
                <w:szCs w:val="9"/>
                <w:color w:val="auto"/>
              </w:rPr>
            </w:pPr>
          </w:p>
        </w:tc>
        <w:tc>
          <w:tcPr>
            <w:tcW w:w="1580" w:type="dxa"/>
            <w:vAlign w:val="bottom"/>
          </w:tcPr>
          <w:p>
            <w:pPr>
              <w:jc w:val="right"/>
              <w:ind w:right="833"/>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50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Short-term debt</w:t>
            </w:r>
          </w:p>
        </w:tc>
        <w:tc>
          <w:tcPr>
            <w:tcW w:w="820" w:type="dxa"/>
            <w:vAlign w:val="bottom"/>
            <w:shd w:val="clear" w:color="auto" w:fill="CFF0FC"/>
          </w:tcPr>
          <w:p>
            <w:pPr>
              <w:spacing w:after="0"/>
              <w:rPr>
                <w:sz w:val="9"/>
                <w:szCs w:val="9"/>
                <w:color w:val="auto"/>
              </w:rPr>
            </w:pPr>
          </w:p>
        </w:tc>
        <w:tc>
          <w:tcPr>
            <w:tcW w:w="1580" w:type="dxa"/>
            <w:vAlign w:val="bottom"/>
            <w:shd w:val="clear" w:color="auto" w:fill="CFF0FC"/>
          </w:tcPr>
          <w:p>
            <w:pPr>
              <w:spacing w:after="0"/>
              <w:rPr>
                <w:sz w:val="9"/>
                <w:szCs w:val="9"/>
                <w:color w:val="auto"/>
              </w:rPr>
            </w:pPr>
          </w:p>
        </w:tc>
      </w:tr>
      <w:tr>
        <w:trPr>
          <w:trHeight w:val="113"/>
        </w:trPr>
        <w:tc>
          <w:tcPr>
            <w:tcW w:w="50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Short-term debt from Related parties (5.1)</w:t>
            </w:r>
          </w:p>
        </w:tc>
        <w:tc>
          <w:tcPr>
            <w:tcW w:w="820" w:type="dxa"/>
            <w:vAlign w:val="bottom"/>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860,778</w:t>
            </w:r>
          </w:p>
        </w:tc>
        <w:tc>
          <w:tcPr>
            <w:tcW w:w="158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6,225,815</w:t>
            </w:r>
          </w:p>
        </w:tc>
      </w:tr>
      <w:tr>
        <w:trPr>
          <w:trHeight w:val="113"/>
        </w:trPr>
        <w:tc>
          <w:tcPr>
            <w:tcW w:w="50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Short-term debt to related party (5.2)</w:t>
            </w:r>
          </w:p>
        </w:tc>
        <w:tc>
          <w:tcPr>
            <w:tcW w:w="820" w:type="dxa"/>
            <w:vAlign w:val="bottom"/>
            <w:shd w:val="clear" w:color="auto" w:fill="CFF0FC"/>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132,269</w:t>
            </w:r>
          </w:p>
        </w:tc>
      </w:tr>
      <w:tr>
        <w:trPr>
          <w:trHeight w:val="113"/>
        </w:trPr>
        <w:tc>
          <w:tcPr>
            <w:tcW w:w="50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debt (5.3)</w:t>
            </w:r>
          </w:p>
        </w:tc>
        <w:tc>
          <w:tcPr>
            <w:tcW w:w="820" w:type="dxa"/>
            <w:vAlign w:val="bottom"/>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31,088,259</w:t>
            </w:r>
          </w:p>
        </w:tc>
      </w:tr>
      <w:tr>
        <w:trPr>
          <w:trHeight w:val="113"/>
        </w:trPr>
        <w:tc>
          <w:tcPr>
            <w:tcW w:w="50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Promissory loan note (5.5)</w:t>
            </w:r>
          </w:p>
        </w:tc>
        <w:tc>
          <w:tcPr>
            <w:tcW w:w="820" w:type="dxa"/>
            <w:vAlign w:val="bottom"/>
            <w:shd w:val="clear" w:color="auto" w:fill="CFF0FC"/>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437,956</w:t>
            </w:r>
          </w:p>
        </w:tc>
        <w:tc>
          <w:tcPr>
            <w:tcW w:w="158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0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Total short-term debt</w:t>
            </w:r>
          </w:p>
        </w:tc>
        <w:tc>
          <w:tcPr>
            <w:tcW w:w="820" w:type="dxa"/>
            <w:vAlign w:val="bottom"/>
          </w:tcPr>
          <w:p>
            <w:pPr>
              <w:jc w:val="right"/>
              <w:ind w:right="291"/>
              <w:spacing w:after="0" w:line="113" w:lineRule="exact"/>
              <w:rPr>
                <w:sz w:val="20"/>
                <w:szCs w:val="20"/>
                <w:color w:val="auto"/>
              </w:rPr>
            </w:pPr>
            <w:r>
              <w:rPr>
                <w:rFonts w:ascii="Times New Roman" w:cs="Times New Roman" w:eastAsia="Times New Roman" w:hAnsi="Times New Roman"/>
                <w:sz w:val="10"/>
                <w:szCs w:val="10"/>
                <w:b w:val="1"/>
                <w:bCs w:val="1"/>
                <w:color w:val="auto"/>
              </w:rPr>
              <w:t>1,298,734</w:t>
            </w:r>
          </w:p>
        </w:tc>
        <w:tc>
          <w:tcPr>
            <w:tcW w:w="158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b w:val="1"/>
                <w:bCs w:val="1"/>
                <w:color w:val="auto"/>
              </w:rPr>
              <w:t>37,446,343</w:t>
            </w:r>
          </w:p>
        </w:tc>
      </w:tr>
      <w:tr>
        <w:trPr>
          <w:trHeight w:val="113"/>
        </w:trPr>
        <w:tc>
          <w:tcPr>
            <w:tcW w:w="50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Long-term debt</w:t>
            </w:r>
          </w:p>
        </w:tc>
        <w:tc>
          <w:tcPr>
            <w:tcW w:w="820" w:type="dxa"/>
            <w:vAlign w:val="bottom"/>
            <w:shd w:val="clear" w:color="auto" w:fill="CFF0FC"/>
          </w:tcPr>
          <w:p>
            <w:pPr>
              <w:spacing w:after="0"/>
              <w:rPr>
                <w:sz w:val="9"/>
                <w:szCs w:val="9"/>
                <w:color w:val="auto"/>
              </w:rPr>
            </w:pPr>
          </w:p>
        </w:tc>
        <w:tc>
          <w:tcPr>
            <w:tcW w:w="1580" w:type="dxa"/>
            <w:vAlign w:val="bottom"/>
            <w:shd w:val="clear" w:color="auto" w:fill="CFF0FC"/>
          </w:tcPr>
          <w:p>
            <w:pPr>
              <w:spacing w:after="0"/>
              <w:rPr>
                <w:sz w:val="9"/>
                <w:szCs w:val="9"/>
                <w:color w:val="auto"/>
              </w:rPr>
            </w:pPr>
          </w:p>
        </w:tc>
      </w:tr>
      <w:tr>
        <w:trPr>
          <w:trHeight w:val="106"/>
        </w:trPr>
        <w:tc>
          <w:tcPr>
            <w:tcW w:w="5040" w:type="dxa"/>
            <w:vAlign w:val="bottom"/>
          </w:tcPr>
          <w:p>
            <w:pPr>
              <w:ind w:left="20"/>
              <w:spacing w:after="0" w:line="106" w:lineRule="exact"/>
              <w:rPr>
                <w:sz w:val="20"/>
                <w:szCs w:val="20"/>
                <w:color w:val="auto"/>
              </w:rPr>
            </w:pPr>
            <w:r>
              <w:rPr>
                <w:rFonts w:ascii="Times New Roman" w:cs="Times New Roman" w:eastAsia="Times New Roman" w:hAnsi="Times New Roman"/>
                <w:sz w:val="10"/>
                <w:szCs w:val="10"/>
                <w:color w:val="auto"/>
              </w:rPr>
              <w:t>Convertible promissory notes (5.4)</w:t>
            </w:r>
          </w:p>
        </w:tc>
        <w:tc>
          <w:tcPr>
            <w:tcW w:w="820" w:type="dxa"/>
            <w:vAlign w:val="bottom"/>
          </w:tcPr>
          <w:p>
            <w:pPr>
              <w:jc w:val="right"/>
              <w:ind w:right="291"/>
              <w:spacing w:after="0" w:line="106" w:lineRule="exact"/>
              <w:rPr>
                <w:sz w:val="20"/>
                <w:szCs w:val="20"/>
                <w:color w:val="auto"/>
              </w:rPr>
            </w:pPr>
            <w:r>
              <w:rPr>
                <w:rFonts w:ascii="Times New Roman" w:cs="Times New Roman" w:eastAsia="Times New Roman" w:hAnsi="Times New Roman"/>
                <w:sz w:val="10"/>
                <w:szCs w:val="10"/>
                <w:color w:val="auto"/>
              </w:rPr>
              <w:t>5,395,702</w:t>
            </w:r>
          </w:p>
        </w:tc>
        <w:tc>
          <w:tcPr>
            <w:tcW w:w="1580" w:type="dxa"/>
            <w:vAlign w:val="bottom"/>
          </w:tcPr>
          <w:p>
            <w:pPr>
              <w:jc w:val="right"/>
              <w:ind w:right="53"/>
              <w:spacing w:after="0" w:line="106" w:lineRule="exact"/>
              <w:rPr>
                <w:sz w:val="20"/>
                <w:szCs w:val="20"/>
                <w:color w:val="auto"/>
              </w:rPr>
            </w:pPr>
            <w:r>
              <w:rPr>
                <w:rFonts w:ascii="Times New Roman" w:cs="Times New Roman" w:eastAsia="Times New Roman" w:hAnsi="Times New Roman"/>
                <w:sz w:val="10"/>
                <w:szCs w:val="10"/>
                <w:color w:val="auto"/>
              </w:rPr>
              <w:t>—</w:t>
            </w:r>
          </w:p>
        </w:tc>
      </w:tr>
      <w:tr>
        <w:trPr>
          <w:trHeight w:val="119"/>
        </w:trPr>
        <w:tc>
          <w:tcPr>
            <w:tcW w:w="5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Convertible loans (5.3)</w:t>
            </w:r>
          </w:p>
        </w:tc>
        <w:tc>
          <w:tcPr>
            <w:tcW w:w="820" w:type="dxa"/>
            <w:vAlign w:val="bottom"/>
          </w:tcPr>
          <w:p>
            <w:pPr>
              <w:jc w:val="right"/>
              <w:ind w:right="291"/>
              <w:spacing w:after="0"/>
              <w:rPr>
                <w:sz w:val="20"/>
                <w:szCs w:val="20"/>
                <w:color w:val="auto"/>
              </w:rPr>
            </w:pPr>
            <w:r>
              <w:rPr>
                <w:rFonts w:ascii="Times New Roman" w:cs="Times New Roman" w:eastAsia="Times New Roman" w:hAnsi="Times New Roman"/>
                <w:sz w:val="10"/>
                <w:szCs w:val="10"/>
                <w:color w:val="auto"/>
              </w:rPr>
              <w:t>38,737,594</w:t>
            </w:r>
          </w:p>
        </w:tc>
        <w:tc>
          <w:tcPr>
            <w:tcW w:w="158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w:t>
            </w:r>
          </w:p>
        </w:tc>
      </w:tr>
      <w:tr>
        <w:trPr>
          <w:trHeight w:val="113"/>
        </w:trPr>
        <w:tc>
          <w:tcPr>
            <w:tcW w:w="50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 long-term debt</w:t>
            </w:r>
          </w:p>
        </w:tc>
        <w:tc>
          <w:tcPr>
            <w:tcW w:w="820" w:type="dxa"/>
            <w:vAlign w:val="bottom"/>
            <w:shd w:val="clear" w:color="auto" w:fill="CFF0FC"/>
          </w:tcPr>
          <w:p>
            <w:pPr>
              <w:jc w:val="right"/>
              <w:ind w:right="291"/>
              <w:spacing w:after="0" w:line="113" w:lineRule="exact"/>
              <w:rPr>
                <w:sz w:val="20"/>
                <w:szCs w:val="20"/>
                <w:color w:val="auto"/>
              </w:rPr>
            </w:pPr>
            <w:r>
              <w:rPr>
                <w:rFonts w:ascii="Times New Roman" w:cs="Times New Roman" w:eastAsia="Times New Roman" w:hAnsi="Times New Roman"/>
                <w:sz w:val="10"/>
                <w:szCs w:val="10"/>
                <w:b w:val="1"/>
                <w:bCs w:val="1"/>
                <w:color w:val="auto"/>
              </w:rPr>
              <w:t>44,133,296</w:t>
            </w:r>
          </w:p>
        </w:tc>
        <w:tc>
          <w:tcPr>
            <w:tcW w:w="158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details of the Company’s debt are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5.1.</w:t>
      </w:r>
      <w:r>
        <w:rPr>
          <w:rFonts w:ascii="Times New Roman" w:cs="Times New Roman" w:eastAsia="Times New Roman" w:hAnsi="Times New Roman"/>
          <w:sz w:val="10"/>
          <w:szCs w:val="10"/>
          <w:color w:val="auto"/>
        </w:rPr>
        <w:t>Short-term debt from Related parties:</w:t>
      </w:r>
    </w:p>
    <w:p>
      <w:pPr>
        <w:spacing w:after="0" w:line="60"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Unsecured interest free loan taken from related party (DBLP Sea Cow Ltd) of $860,778 consists of a $447,067 loan repayable on demand. Additionally, DBLP Sea Cow Ltd is owed $413,711 for amounts to be re-imbursed for expenses incurred on behalf of Rezolve at June 30, 2024 (December 31, 2023, $191,405).</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In March 2023, the Company obtained two unsecured convertible loans from a related party (Igor Lychagov) consisting of $2,000,000 and €2,000,000. Each loan bore a borrowing fee of $660,000 and €660,000, respectively, which has been recorded in interest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expense in the six months ended June 30, 2023. The loans were due to mature on July 31, 2023 or at the option of the investor, can be converted into ordinary shares of the Company including the accrued borrowing fees at a conversion rate of 0.50 to the Company’s share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price at listing after completing any reorganization. The loans were not repaid by the maturity date and therefore the Company was in default of the two unsecured convertible loans and the loans remained repayable on demand at December 31, 2023 for a total of</w:t>
      </w:r>
    </w:p>
    <w:p>
      <w:pPr>
        <w:spacing w:after="0"/>
        <w:rPr>
          <w:sz w:val="20"/>
          <w:szCs w:val="20"/>
          <w:color w:val="auto"/>
        </w:rPr>
      </w:pPr>
      <w:r>
        <w:rPr>
          <w:rFonts w:ascii="Times New Roman" w:cs="Times New Roman" w:eastAsia="Times New Roman" w:hAnsi="Times New Roman"/>
          <w:sz w:val="9"/>
          <w:szCs w:val="9"/>
          <w:color w:val="auto"/>
        </w:rPr>
        <w:t>$5,587,343 including their accrued borrowing fee. On January 26, 2024, the two unsecured convertible loans were added to the Company’s senior secured convertible notes (note 5.3). The loan principal and accrued borrowing fees were rounded to a sum of $8,000,000.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key terms of the loan amendment include that of the senior secured convertible notes, as noted below:</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interest rate was reduced to 7.5% per annum from the date that the amendment was executed.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•Conversion into ordinary shares of the Company at the option of the investor from any date of an IPO or Business Combination with a publicly listed company.</w:t>
      </w:r>
    </w:p>
    <w:p>
      <w:pPr>
        <w:spacing w:after="0" w:line="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0"/>
          <w:szCs w:val="10"/>
          <w:color w:val="auto"/>
        </w:rPr>
        <w:t>•The conversion price has been amended to seventy 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a result of the loan amendment and addition to the Company’s senior secured convertible notes, the default was remediated.</w:t>
      </w:r>
    </w:p>
    <w:p>
      <w:pPr>
        <w:spacing w:after="0" w:line="11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0"/>
          <w:szCs w:val="10"/>
          <w:b w:val="1"/>
          <w:bCs w:val="1"/>
          <w:color w:val="auto"/>
        </w:rPr>
        <w:t xml:space="preserve">5.2. </w:t>
      </w:r>
      <w:r>
        <w:rPr>
          <w:rFonts w:ascii="Times New Roman" w:cs="Times New Roman" w:eastAsia="Times New Roman" w:hAnsi="Times New Roman"/>
          <w:sz w:val="10"/>
          <w:szCs w:val="10"/>
          <w:color w:val="auto"/>
        </w:rPr>
        <w:t>A Short term convertible debt to a related party of $132,269 was also added to the Company’s senior secured convertible note. The loan includes principal of $125,000 and $11,943 of interest. The loan was originally entered into March 2, 2023 and bore interest at 7.5%</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per annum. Upon adding to the Company's senior secured convertible note on January 26, 2024, the note now bears the same terms and conditions as Igor Lychagov's loan discussed above in note 5.2.</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921" w:right="620"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0"/>
          <w:szCs w:val="10"/>
          <w:b w:val="1"/>
          <w:bCs w:val="1"/>
          <w:color w:val="auto"/>
        </w:rPr>
        <w:t>5.3.</w:t>
      </w:r>
      <w:r>
        <w:rPr>
          <w:rFonts w:ascii="Times New Roman" w:cs="Times New Roman" w:eastAsia="Times New Roman" w:hAnsi="Times New Roman"/>
          <w:sz w:val="10"/>
          <w:szCs w:val="10"/>
          <w:color w:val="auto"/>
        </w:rPr>
        <w:t>On December 17, 2021, the Company and Armada Acquisition Corp I, a special purpose acquisition company (“SPAC”) listed on the Nasdaq Capital Market (“NASDAQ”), and certain other parties entered into a definitive agreement for a business combination that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would result in Rezolve becoming a publicly listed company upon completion of the aforementioned transaction. The transaction included a $41 million fully committed private placement of ordinary shares of the combined company (the “PIPE”), $20 million of which has been advanced to Rezolve pursuant to a secured convertible loan note as further described below. The transaction closed on August 15, 2024.</w:t>
      </w:r>
    </w:p>
    <w:p>
      <w:pPr>
        <w:spacing w:after="0" w:line="104"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In accordance with the executed subscription agreements, the investors that pre-funded the PIPE entered into an agreement to purchase secured convertible notes of the Company for a total of $20 million. These notes were due to mature on December 16, 2023, and are redeemable by the noteholder on the occurrence of:</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•On maturity, with interest accrued at 20% per annum, or</w:t>
      </w:r>
    </w:p>
    <w:p>
      <w:pPr>
        <w:spacing w:after="0" w:line="58"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0"/>
          <w:szCs w:val="10"/>
          <w:color w:val="auto"/>
        </w:rPr>
        <w:t>•On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Immediately prior to an IPO or SPAC transaction, the principal amount and accrued interest is converted into ordinary shares at a 30% discount to the pre-close equity value of the Company.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interest rate is 20% per annum, and is reduced in the following events to:</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•10% per annum if the IPO or SPAC transaction occurred prior to December 16, 2022, and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•15% per annum if the IPO or SPAC transaction occurs between December 16, 2022 and June 16, 2023.</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the issuance of the notes, the amount pre-funded by each participating investor reduces their remaining respective commitment in the PIPE.</w:t>
      </w:r>
    </w:p>
    <w:p>
      <w:pPr>
        <w:spacing w:after="0" w:line="118"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On November 21, 2022, the original as well as a new PIPE investor agreed to extend their commitment under the notes, by committing an additional $4 million which was drawn by December 31, 2022. In return for their commitment, the Company granted each investor 850,000 warrants. These warrants have been accounted for as a discount to the convertible debt. The Company also agreed to provide as collateral all buildings, fittings, fixtures and intellectual property.</w:t>
      </w:r>
    </w:p>
    <w:p>
      <w:pPr>
        <w:spacing w:after="0" w:line="101"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secured convertible notes has been accounted for as a liability in accordance with ASC 470–20. The Company has adopted ASU 2020- 06,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not incurred any material debt issuance costs.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May 23, 2023, the Company executed a further amendment to the secured convertible loan notes.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amendments are as follows: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•An additional $15,625,000 commitment has been added to the principal amount of the notes, split between a</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•Conversion of accrued interest of $3,000,000 into loan principal. Additionally $1.5m of Loans for no value , plus $1,040,989 of interest foregone giving total of $4,041,989 of total interest capitalized.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•$1,250,000 of loan principal previously advanced in February 2023</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•$125,000 of loan principal advanced by a director and related party in February 2023</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 additional $2,750,000 of loan notes to be advanced,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•$8,500,000 in notes upon completion of the Demerger, for which no monetary consideration will be received by the Company</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interest rate was reduced to 7.5% per annum from the date that the amendment was executed.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•Conversion into ordinary shares of the Company is at the option of the investor from any date of an IPO or Business Combination with a publicly listed company.</w:t>
      </w:r>
    </w:p>
    <w:p>
      <w:pPr>
        <w:spacing w:after="0" w:line="5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0"/>
          <w:szCs w:val="10"/>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Under the May 23, 2023 amendment terms of the secured convertible notes, Rezolve has given certain covenants to the noteholders which remain in force while the convertible notes are outstanding, including that</w:t>
      </w:r>
    </w:p>
    <w:p>
      <w:pPr>
        <w:spacing w:after="0" w:line="58" w:lineRule="exact"/>
        <w:rPr>
          <w:sz w:val="20"/>
          <w:szCs w:val="20"/>
          <w:color w:val="auto"/>
        </w:rPr>
      </w:pPr>
    </w:p>
    <w:p>
      <w:pPr>
        <w:ind w:left="480" w:right="40"/>
        <w:spacing w:after="0" w:line="255" w:lineRule="auto"/>
        <w:rPr>
          <w:sz w:val="20"/>
          <w:szCs w:val="20"/>
          <w:color w:val="auto"/>
        </w:rPr>
      </w:pPr>
      <w:r>
        <w:rPr>
          <w:rFonts w:ascii="Times New Roman" w:cs="Times New Roman" w:eastAsia="Times New Roman" w:hAnsi="Times New Roman"/>
          <w:sz w:val="10"/>
          <w:szCs w:val="10"/>
          <w:color w:val="auto"/>
        </w:rPr>
        <w:t>(i)the Rezolve group shall not incur any indebtedness that would rank senior to the secured convertible notes without the prior consent of holders of more than two thirds of the aggregate principal amount of the secured convertible notes outstanding from time to time (the "Noteholder Majority"); and</w:t>
      </w:r>
    </w:p>
    <w:p>
      <w:pPr>
        <w:spacing w:after="0" w:line="41" w:lineRule="exact"/>
        <w:rPr>
          <w:sz w:val="20"/>
          <w:szCs w:val="20"/>
          <w:color w:val="auto"/>
        </w:rPr>
      </w:pPr>
    </w:p>
    <w:p>
      <w:pPr>
        <w:ind w:left="480" w:right="380"/>
        <w:spacing w:after="0" w:line="255" w:lineRule="auto"/>
        <w:rPr>
          <w:sz w:val="20"/>
          <w:szCs w:val="20"/>
          <w:color w:val="auto"/>
        </w:rPr>
      </w:pPr>
      <w:r>
        <w:rPr>
          <w:rFonts w:ascii="Times New Roman" w:cs="Times New Roman" w:eastAsia="Times New Roman" w:hAnsi="Times New Roman"/>
          <w:sz w:val="10"/>
          <w:szCs w:val="10"/>
          <w:color w:val="auto"/>
        </w:rPr>
        <w:t>(ii)for so long as one or more of Apeiron Investment Group Ltd, Bradley Wickens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w:t>
      </w:r>
    </w:p>
    <w:p>
      <w:pPr>
        <w:spacing w:after="0" w:line="101"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9"/>
          <w:szCs w:val="9"/>
          <w:color w:val="auto"/>
        </w:rPr>
        <w:t>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w:t>
      </w:r>
    </w:p>
    <w:p>
      <w:pPr>
        <w:spacing w:after="0" w:line="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execution of the amendment the secured convertible notes are then referred to as “the senior secured convertible notes”.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It is the Company’s current intent to settle the principal amount and accrued interest of its outstanding convertible debt in the Company’s ordinary shares.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execution of the senior secured convertible note has been accounted for as troubled debt restructuring since May 23, 2023. No gain has been recognized.</w:t>
      </w:r>
    </w:p>
    <w:p>
      <w:pPr>
        <w:spacing w:after="0" w:line="118"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 carrying value of the convertible debt does not include the $8,500,000 of notes issuable upon completion of the Demerger ("the Demerger notes"). These are contingent upon completion of the Demerger and will only be included in the carrying amount of the convertible debt upon completion of the Demerger. On June 4, 2024 the Demerger was completed and the Demerger notes will be issued. The issuance of the Demerger notes do no result in any further cash to be received by the Company, rather they are treated as interest payable at maturity. The Demerger notes trigger a remeasurement of the senior secured convertible notes and the effective interest rate used to account for the senior secured convertible notes as a troubled debt restructuring.</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Upon execution of the senior secured convertible note on August 16, 2024, and extension to the maturity date to at least August 16, 2027, the Company classified the Convertible debt as non-current as at June 30, 2024 under the guidance in ASC 470-10-45-</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14.</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carrying amount of the convertible debt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158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020" w:type="dxa"/>
            <w:vAlign w:val="bottom"/>
          </w:tcPr>
          <w:p>
            <w:pPr>
              <w:jc w:val="right"/>
              <w:ind w:right="873"/>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1540" w:type="dxa"/>
            <w:vAlign w:val="bottom"/>
          </w:tcPr>
          <w:p>
            <w:pPr>
              <w:ind w:left="320"/>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13"/>
        </w:trPr>
        <w:tc>
          <w:tcPr>
            <w:tcW w:w="1580" w:type="dxa"/>
            <w:vAlign w:val="bottom"/>
          </w:tcPr>
          <w:p>
            <w:pPr>
              <w:spacing w:after="0"/>
              <w:rPr>
                <w:sz w:val="9"/>
                <w:szCs w:val="9"/>
                <w:color w:val="auto"/>
              </w:rPr>
            </w:pPr>
          </w:p>
        </w:tc>
        <w:tc>
          <w:tcPr>
            <w:tcW w:w="3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debt</w:t>
            </w:r>
          </w:p>
        </w:tc>
        <w:tc>
          <w:tcPr>
            <w:tcW w:w="202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r>
      <w:tr>
        <w:trPr>
          <w:trHeight w:val="106"/>
        </w:trPr>
        <w:tc>
          <w:tcPr>
            <w:tcW w:w="1580" w:type="dxa"/>
            <w:vAlign w:val="bottom"/>
          </w:tcPr>
          <w:p>
            <w:pPr>
              <w:spacing w:after="0"/>
              <w:rPr>
                <w:sz w:val="9"/>
                <w:szCs w:val="9"/>
                <w:color w:val="auto"/>
              </w:rPr>
            </w:pPr>
          </w:p>
        </w:tc>
        <w:tc>
          <w:tcPr>
            <w:tcW w:w="3880" w:type="dxa"/>
            <w:vAlign w:val="bottom"/>
          </w:tcPr>
          <w:p>
            <w:pPr>
              <w:ind w:left="20"/>
              <w:spacing w:after="0" w:line="106" w:lineRule="exact"/>
              <w:rPr>
                <w:sz w:val="20"/>
                <w:szCs w:val="20"/>
                <w:color w:val="auto"/>
              </w:rPr>
            </w:pPr>
            <w:r>
              <w:rPr>
                <w:rFonts w:ascii="Times New Roman" w:cs="Times New Roman" w:eastAsia="Times New Roman" w:hAnsi="Times New Roman"/>
                <w:sz w:val="10"/>
                <w:szCs w:val="10"/>
                <w:color w:val="auto"/>
              </w:rPr>
              <w:t>Convertible debt under troubled debt</w:t>
            </w:r>
          </w:p>
        </w:tc>
        <w:tc>
          <w:tcPr>
            <w:tcW w:w="2020" w:type="dxa"/>
            <w:vAlign w:val="bottom"/>
          </w:tcPr>
          <w:p>
            <w:pPr>
              <w:jc w:val="right"/>
              <w:ind w:right="333"/>
              <w:spacing w:after="0" w:line="106" w:lineRule="exact"/>
              <w:rPr>
                <w:sz w:val="20"/>
                <w:szCs w:val="20"/>
                <w:color w:val="auto"/>
              </w:rPr>
            </w:pPr>
            <w:r>
              <w:rPr>
                <w:rFonts w:ascii="Times New Roman" w:cs="Times New Roman" w:eastAsia="Times New Roman" w:hAnsi="Times New Roman"/>
                <w:sz w:val="10"/>
                <w:szCs w:val="10"/>
                <w:color w:val="auto"/>
              </w:rPr>
              <w:t>38,737,594</w:t>
            </w:r>
          </w:p>
        </w:tc>
        <w:tc>
          <w:tcPr>
            <w:tcW w:w="1540" w:type="dxa"/>
            <w:vAlign w:val="bottom"/>
          </w:tcPr>
          <w:p>
            <w:pPr>
              <w:jc w:val="right"/>
              <w:ind w:right="53"/>
              <w:spacing w:after="0" w:line="106" w:lineRule="exact"/>
              <w:rPr>
                <w:sz w:val="20"/>
                <w:szCs w:val="20"/>
                <w:color w:val="auto"/>
              </w:rPr>
            </w:pPr>
            <w:r>
              <w:rPr>
                <w:rFonts w:ascii="Times New Roman" w:cs="Times New Roman" w:eastAsia="Times New Roman" w:hAnsi="Times New Roman"/>
                <w:sz w:val="10"/>
                <w:szCs w:val="10"/>
                <w:color w:val="auto"/>
              </w:rPr>
              <w:t>31,220,528</w:t>
            </w:r>
          </w:p>
        </w:tc>
      </w:tr>
      <w:tr>
        <w:trPr>
          <w:trHeight w:val="119"/>
        </w:trPr>
        <w:tc>
          <w:tcPr>
            <w:tcW w:w="1580" w:type="dxa"/>
            <w:vAlign w:val="bottom"/>
          </w:tcPr>
          <w:p>
            <w:pPr>
              <w:spacing w:after="0"/>
              <w:rPr>
                <w:sz w:val="10"/>
                <w:szCs w:val="10"/>
                <w:color w:val="auto"/>
              </w:rPr>
            </w:pPr>
          </w:p>
        </w:tc>
        <w:tc>
          <w:tcPr>
            <w:tcW w:w="38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restructuring</w:t>
            </w:r>
          </w:p>
        </w:tc>
        <w:tc>
          <w:tcPr>
            <w:tcW w:w="202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113"/>
        </w:trPr>
        <w:tc>
          <w:tcPr>
            <w:tcW w:w="1580" w:type="dxa"/>
            <w:vAlign w:val="bottom"/>
          </w:tcPr>
          <w:p>
            <w:pPr>
              <w:spacing w:after="0"/>
              <w:rPr>
                <w:sz w:val="9"/>
                <w:szCs w:val="9"/>
                <w:color w:val="auto"/>
              </w:rPr>
            </w:pPr>
          </w:p>
        </w:tc>
        <w:tc>
          <w:tcPr>
            <w:tcW w:w="3880" w:type="dxa"/>
            <w:vAlign w:val="bottom"/>
            <w:shd w:val="clear" w:color="auto" w:fill="CFF0FC"/>
          </w:tcPr>
          <w:p>
            <w:pPr>
              <w:spacing w:after="0"/>
              <w:rPr>
                <w:sz w:val="9"/>
                <w:szCs w:val="9"/>
                <w:color w:val="auto"/>
              </w:rPr>
            </w:pPr>
          </w:p>
        </w:tc>
        <w:tc>
          <w:tcPr>
            <w:tcW w:w="2020" w:type="dxa"/>
            <w:vAlign w:val="bottom"/>
            <w:shd w:val="clear" w:color="auto" w:fill="CFF0FC"/>
          </w:tcPr>
          <w:p>
            <w:pPr>
              <w:jc w:val="right"/>
              <w:ind w:right="333"/>
              <w:spacing w:after="0" w:line="113" w:lineRule="exact"/>
              <w:rPr>
                <w:sz w:val="20"/>
                <w:szCs w:val="20"/>
                <w:color w:val="auto"/>
              </w:rPr>
            </w:pPr>
            <w:r>
              <w:rPr>
                <w:rFonts w:ascii="Times New Roman" w:cs="Times New Roman" w:eastAsia="Times New Roman" w:hAnsi="Times New Roman"/>
                <w:sz w:val="10"/>
                <w:szCs w:val="10"/>
                <w:b w:val="1"/>
                <w:bCs w:val="1"/>
                <w:color w:val="auto"/>
              </w:rPr>
              <w:t>38,737,594</w:t>
            </w:r>
          </w:p>
        </w:tc>
        <w:tc>
          <w:tcPr>
            <w:tcW w:w="154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b w:val="1"/>
                <w:bCs w:val="1"/>
                <w:color w:val="auto"/>
              </w:rPr>
              <w:t>31,220,528</w:t>
            </w:r>
          </w:p>
        </w:tc>
      </w:tr>
      <w:tr>
        <w:trPr>
          <w:trHeight w:val="321"/>
        </w:trPr>
        <w:tc>
          <w:tcPr>
            <w:tcW w:w="54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5.4.</w:t>
            </w:r>
            <w:r>
              <w:rPr>
                <w:rFonts w:ascii="Times New Roman" w:cs="Times New Roman" w:eastAsia="Times New Roman" w:hAnsi="Times New Roman"/>
                <w:sz w:val="10"/>
                <w:szCs w:val="10"/>
                <w:color w:val="auto"/>
              </w:rPr>
              <w:t>Convertible promissory notes:</w:t>
            </w:r>
          </w:p>
        </w:tc>
        <w:tc>
          <w:tcPr>
            <w:tcW w:w="20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2"/>
        </w:trPr>
        <w:tc>
          <w:tcPr>
            <w:tcW w:w="15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13"/>
        </w:trPr>
        <w:tc>
          <w:tcPr>
            <w:tcW w:w="1580" w:type="dxa"/>
            <w:vAlign w:val="bottom"/>
          </w:tcPr>
          <w:p>
            <w:pPr>
              <w:spacing w:after="0"/>
              <w:rPr>
                <w:sz w:val="9"/>
                <w:szCs w:val="9"/>
                <w:color w:val="auto"/>
              </w:rPr>
            </w:pPr>
          </w:p>
        </w:tc>
        <w:tc>
          <w:tcPr>
            <w:tcW w:w="3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promissory notes</w:t>
            </w:r>
          </w:p>
        </w:tc>
        <w:tc>
          <w:tcPr>
            <w:tcW w:w="202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3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promissory note</w:t>
            </w:r>
          </w:p>
        </w:tc>
        <w:tc>
          <w:tcPr>
            <w:tcW w:w="2020" w:type="dxa"/>
            <w:vAlign w:val="bottom"/>
          </w:tcPr>
          <w:p>
            <w:pPr>
              <w:jc w:val="right"/>
              <w:ind w:right="273"/>
              <w:spacing w:after="0" w:line="113" w:lineRule="exact"/>
              <w:rPr>
                <w:sz w:val="20"/>
                <w:szCs w:val="20"/>
                <w:color w:val="auto"/>
              </w:rPr>
            </w:pPr>
            <w:r>
              <w:rPr>
                <w:rFonts w:ascii="Times New Roman" w:cs="Times New Roman" w:eastAsia="Times New Roman" w:hAnsi="Times New Roman"/>
                <w:sz w:val="10"/>
                <w:szCs w:val="10"/>
                <w:color w:val="auto"/>
              </w:rPr>
              <w:t>2,508,685</w:t>
            </w:r>
          </w:p>
        </w:tc>
        <w:tc>
          <w:tcPr>
            <w:tcW w:w="1540" w:type="dxa"/>
            <w:vAlign w:val="bottom"/>
          </w:tcPr>
          <w:p>
            <w:pPr>
              <w:ind w:left="1440"/>
              <w:spacing w:after="0" w:line="113" w:lineRule="exact"/>
              <w:rPr>
                <w:sz w:val="20"/>
                <w:szCs w:val="20"/>
                <w:color w:val="auto"/>
              </w:rPr>
            </w:pPr>
            <w:r>
              <w:rPr>
                <w:rFonts w:ascii="Times New Roman" w:cs="Times New Roman" w:eastAsia="Times New Roman" w:hAnsi="Times New Roman"/>
                <w:sz w:val="10"/>
                <w:szCs w:val="10"/>
                <w:color w:val="auto"/>
                <w:w w:val="79"/>
              </w:rPr>
              <w:t>—</w:t>
            </w:r>
          </w:p>
        </w:tc>
      </w:tr>
      <w:tr>
        <w:trPr>
          <w:trHeight w:val="113"/>
        </w:trPr>
        <w:tc>
          <w:tcPr>
            <w:tcW w:w="1580" w:type="dxa"/>
            <w:vAlign w:val="bottom"/>
          </w:tcPr>
          <w:p>
            <w:pPr>
              <w:spacing w:after="0"/>
              <w:rPr>
                <w:sz w:val="9"/>
                <w:szCs w:val="9"/>
                <w:color w:val="auto"/>
              </w:rPr>
            </w:pPr>
          </w:p>
        </w:tc>
        <w:tc>
          <w:tcPr>
            <w:tcW w:w="3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Promissory loan note</w:t>
            </w:r>
          </w:p>
        </w:tc>
        <w:tc>
          <w:tcPr>
            <w:tcW w:w="2020" w:type="dxa"/>
            <w:vAlign w:val="bottom"/>
            <w:shd w:val="clear" w:color="auto" w:fill="CFF0FC"/>
          </w:tcPr>
          <w:p>
            <w:pPr>
              <w:jc w:val="right"/>
              <w:ind w:right="273"/>
              <w:spacing w:after="0" w:line="113" w:lineRule="exact"/>
              <w:rPr>
                <w:sz w:val="20"/>
                <w:szCs w:val="20"/>
                <w:color w:val="auto"/>
              </w:rPr>
            </w:pPr>
            <w:r>
              <w:rPr>
                <w:rFonts w:ascii="Times New Roman" w:cs="Times New Roman" w:eastAsia="Times New Roman" w:hAnsi="Times New Roman"/>
                <w:sz w:val="10"/>
                <w:szCs w:val="10"/>
                <w:color w:val="auto"/>
              </w:rPr>
              <w:t>2,887,017</w:t>
            </w:r>
          </w:p>
        </w:tc>
        <w:tc>
          <w:tcPr>
            <w:tcW w:w="1540" w:type="dxa"/>
            <w:vAlign w:val="bottom"/>
            <w:shd w:val="clear" w:color="auto" w:fill="CFF0FC"/>
          </w:tcPr>
          <w:p>
            <w:pPr>
              <w:ind w:left="1440"/>
              <w:spacing w:after="0" w:line="113" w:lineRule="exact"/>
              <w:rPr>
                <w:sz w:val="20"/>
                <w:szCs w:val="20"/>
                <w:color w:val="auto"/>
              </w:rPr>
            </w:pPr>
            <w:r>
              <w:rPr>
                <w:rFonts w:ascii="Times New Roman" w:cs="Times New Roman" w:eastAsia="Times New Roman" w:hAnsi="Times New Roman"/>
                <w:sz w:val="10"/>
                <w:szCs w:val="10"/>
                <w:color w:val="auto"/>
                <w:w w:val="79"/>
              </w:rPr>
              <w:t>—</w:t>
            </w:r>
          </w:p>
        </w:tc>
      </w:tr>
      <w:tr>
        <w:trPr>
          <w:trHeight w:val="113"/>
        </w:trPr>
        <w:tc>
          <w:tcPr>
            <w:tcW w:w="1580" w:type="dxa"/>
            <w:vAlign w:val="bottom"/>
          </w:tcPr>
          <w:p>
            <w:pPr>
              <w:spacing w:after="0"/>
              <w:rPr>
                <w:sz w:val="9"/>
                <w:szCs w:val="9"/>
                <w:color w:val="auto"/>
              </w:rPr>
            </w:pPr>
          </w:p>
        </w:tc>
        <w:tc>
          <w:tcPr>
            <w:tcW w:w="3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 convertible promissory notes</w:t>
            </w:r>
          </w:p>
        </w:tc>
        <w:tc>
          <w:tcPr>
            <w:tcW w:w="2020" w:type="dxa"/>
            <w:vAlign w:val="bottom"/>
            <w:shd w:val="clear" w:color="auto" w:fill="CFF0FC"/>
          </w:tcPr>
          <w:p>
            <w:pPr>
              <w:jc w:val="right"/>
              <w:ind w:right="273"/>
              <w:spacing w:after="0" w:line="113" w:lineRule="exact"/>
              <w:rPr>
                <w:sz w:val="20"/>
                <w:szCs w:val="20"/>
                <w:color w:val="auto"/>
              </w:rPr>
            </w:pPr>
            <w:r>
              <w:rPr>
                <w:rFonts w:ascii="Times New Roman" w:cs="Times New Roman" w:eastAsia="Times New Roman" w:hAnsi="Times New Roman"/>
                <w:sz w:val="10"/>
                <w:szCs w:val="10"/>
                <w:b w:val="1"/>
                <w:bCs w:val="1"/>
                <w:color w:val="auto"/>
              </w:rPr>
              <w:t>5,395,702</w:t>
            </w:r>
          </w:p>
        </w:tc>
        <w:tc>
          <w:tcPr>
            <w:tcW w:w="1540" w:type="dxa"/>
            <w:vAlign w:val="bottom"/>
            <w:shd w:val="clear" w:color="auto" w:fill="CFF0FC"/>
          </w:tcPr>
          <w:p>
            <w:pPr>
              <w:ind w:left="1440"/>
              <w:spacing w:after="0" w:line="113" w:lineRule="exact"/>
              <w:rPr>
                <w:sz w:val="20"/>
                <w:szCs w:val="20"/>
                <w:color w:val="auto"/>
              </w:rPr>
            </w:pPr>
            <w:r>
              <w:rPr>
                <w:rFonts w:ascii="Times New Roman" w:cs="Times New Roman" w:eastAsia="Times New Roman" w:hAnsi="Times New Roman"/>
                <w:sz w:val="10"/>
                <w:szCs w:val="10"/>
                <w:color w:val="auto"/>
                <w:w w:val="79"/>
              </w:rPr>
              <w:t>—</w:t>
            </w:r>
          </w:p>
        </w:tc>
      </w:tr>
    </w:tbl>
    <w:p>
      <w:pPr>
        <w:spacing w:after="0" w:line="61" w:lineRule="exact"/>
        <w:rPr>
          <w:sz w:val="20"/>
          <w:szCs w:val="20"/>
          <w:color w:val="auto"/>
        </w:rPr>
      </w:pPr>
    </w:p>
    <w:p>
      <w:pPr>
        <w:ind w:right="20" w:firstLine="480"/>
        <w:spacing w:after="0" w:line="221" w:lineRule="auto"/>
        <w:rPr>
          <w:sz w:val="20"/>
          <w:szCs w:val="20"/>
          <w:color w:val="auto"/>
        </w:rPr>
      </w:pPr>
      <w:r>
        <w:rPr>
          <w:rFonts w:ascii="Times New Roman" w:cs="Times New Roman" w:eastAsia="Times New Roman" w:hAnsi="Times New Roman"/>
          <w:sz w:val="10"/>
          <w:szCs w:val="10"/>
          <w:color w:val="auto"/>
        </w:rPr>
        <w:t>On February 2</w:t>
      </w:r>
      <w:r>
        <w:rPr>
          <w:rFonts w:ascii="Times New Roman" w:cs="Times New Roman" w:eastAsia="Times New Roman" w:hAnsi="Times New Roman"/>
          <w:sz w:val="13"/>
          <w:szCs w:val="13"/>
          <w:color w:val="auto"/>
          <w:vertAlign w:val="superscript"/>
        </w:rPr>
        <w:t>nd</w:t>
      </w:r>
      <w:r>
        <w:rPr>
          <w:rFonts w:ascii="Times New Roman" w:cs="Times New Roman" w:eastAsia="Times New Roman" w:hAnsi="Times New Roman"/>
          <w:sz w:val="10"/>
          <w:szCs w:val="10"/>
          <w:color w:val="auto"/>
        </w:rPr>
        <w:t>, 2024, the Company obtained an unsecured loan of $2,000,000 from YA II PN, LTD ( “Yorkville”) with principal amount of $2,500,000. The Yorkville Note was issued at a 20% discount to the principal amount, and has a maturity date falling 6 months from the date of issue (unless extended by Yorkville) subject to acceleration upon the occurrence of an event of default.</w:t>
      </w:r>
    </w:p>
    <w:p>
      <w:pPr>
        <w:spacing w:after="0" w:line="108"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w:t>
      </w:r>
    </w:p>
    <w:p>
      <w:pPr>
        <w:spacing w:after="0" w:line="101" w:lineRule="exact"/>
        <w:rPr>
          <w:sz w:val="20"/>
          <w:szCs w:val="20"/>
          <w:color w:val="auto"/>
        </w:rPr>
      </w:pPr>
    </w:p>
    <w:p>
      <w:pPr>
        <w:ind w:right="180" w:firstLine="480"/>
        <w:spacing w:after="0" w:line="310" w:lineRule="auto"/>
        <w:rPr>
          <w:sz w:val="20"/>
          <w:szCs w:val="20"/>
          <w:color w:val="auto"/>
        </w:rPr>
      </w:pPr>
      <w:r>
        <w:rPr>
          <w:rFonts w:ascii="Times New Roman" w:cs="Times New Roman" w:eastAsia="Times New Roman" w:hAnsi="Times New Roman"/>
          <w:sz w:val="9"/>
          <w:szCs w:val="9"/>
          <w:color w:val="auto"/>
        </w:rPr>
        <w:t>The Yorkville Note is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78" w:lineRule="exact"/>
        <w:rPr>
          <w:sz w:val="20"/>
          <w:szCs w:val="20"/>
          <w:color w:val="auto"/>
        </w:rPr>
      </w:pPr>
    </w:p>
    <w:p>
      <w:pPr>
        <w:ind w:right="120" w:firstLine="480"/>
        <w:spacing w:after="0" w:line="310" w:lineRule="auto"/>
        <w:rPr>
          <w:sz w:val="20"/>
          <w:szCs w:val="20"/>
          <w:color w:val="auto"/>
        </w:rPr>
      </w:pPr>
      <w:r>
        <w:rPr>
          <w:rFonts w:ascii="Times New Roman" w:cs="Times New Roman" w:eastAsia="Times New Roman" w:hAnsi="Times New Roman"/>
          <w:sz w:val="9"/>
          <w:szCs w:val="9"/>
          <w:color w:val="auto"/>
        </w:rPr>
        <w:t>In connection with the Yorkville note, an additional convertible promissory note (“the Other Promissory notes”) was offered to certain other investors on the same terms as the Yorkville Note. The Other Promissory Notes have a face value of $2,877,319 and were issued at a 20% discount. The interest rate was agreed at 10.0% per annum from the date the agreement was executed. Interest increases to 18% upon the occurrence of an event of default. The Other Promissory notes have a maturity date six months from issue.</w:t>
      </w:r>
    </w:p>
    <w:p>
      <w:pPr>
        <w:spacing w:after="0" w:line="78" w:lineRule="exact"/>
        <w:rPr>
          <w:sz w:val="20"/>
          <w:szCs w:val="20"/>
          <w:color w:val="auto"/>
        </w:rPr>
      </w:pPr>
    </w:p>
    <w:p>
      <w:pPr>
        <w:ind w:right="20" w:firstLine="480"/>
        <w:spacing w:after="0" w:line="310" w:lineRule="auto"/>
        <w:rPr>
          <w:sz w:val="20"/>
          <w:szCs w:val="20"/>
          <w:color w:val="auto"/>
        </w:rPr>
      </w:pPr>
      <w:r>
        <w:rPr>
          <w:rFonts w:ascii="Times New Roman" w:cs="Times New Roman" w:eastAsia="Times New Roman" w:hAnsi="Times New Roman"/>
          <w:sz w:val="9"/>
          <w:szCs w:val="9"/>
          <w:color w:val="auto"/>
        </w:rPr>
        <w:t>The Other Promissory Notes are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78"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 $7,500,000), which will be in three tranches, with the first tranche in an original principal amount of Two Million Five Hundred Thousand Dollars ($ 2,500,000) funded upon execution of the Second A&amp;R YA Agreement, the second tranche in an original principal amount of Two Million Five Hundred Thousand Dollars ($ 2,500,000) funded upon filing of the Company’s F-1 registration statement, and the third tranche in an original principal amount of Two Million Five Hundred Thousand Dollars ($2,500,000) to be funded upon the effectiveness of the F-1 registration statement. The Second A&amp;R YA Agreement superseded the YA Agreement. The maturity date of the Yorkville Note and the Other Promissory Notes were extended to September 11th, 2025.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5.5.</w:t>
      </w:r>
      <w:r>
        <w:rPr>
          <w:rFonts w:ascii="Times New Roman" w:cs="Times New Roman" w:eastAsia="Times New Roman" w:hAnsi="Times New Roman"/>
          <w:sz w:val="10"/>
          <w:szCs w:val="10"/>
          <w:color w:val="auto"/>
        </w:rPr>
        <w:t>Promissory note:</w:t>
      </w:r>
    </w:p>
    <w:p>
      <w:pPr>
        <w:spacing w:after="0" w:line="68" w:lineRule="exact"/>
        <w:rPr>
          <w:sz w:val="20"/>
          <w:szCs w:val="20"/>
          <w:color w:val="auto"/>
        </w:rPr>
      </w:pPr>
    </w:p>
    <w:p>
      <w:pPr>
        <w:ind w:right="80" w:firstLine="480"/>
        <w:spacing w:after="0" w:line="221" w:lineRule="auto"/>
        <w:rPr>
          <w:sz w:val="20"/>
          <w:szCs w:val="20"/>
          <w:color w:val="auto"/>
        </w:rPr>
      </w:pPr>
      <w:r>
        <w:rPr>
          <w:rFonts w:ascii="Times New Roman" w:cs="Times New Roman" w:eastAsia="Times New Roman" w:hAnsi="Times New Roman"/>
          <w:sz w:val="10"/>
          <w:szCs w:val="10"/>
          <w:color w:val="auto"/>
        </w:rPr>
        <w:t>On April 30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2024, the Company entered into a promissory note (“the promissory note”) agreement with an investor in the amount of $400,000. The promissory note bears a borrowing fee of $100,000 and matures on November 1st, 2024. The borrowing fee has been recognized in interest expense over the term of the loan using the effective interest rate method.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6.Other current and long-term liabilities</w:t>
      </w:r>
    </w:p>
    <w:p>
      <w:pPr>
        <w:spacing w:after="0" w:line="155"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5020" w:type="dxa"/>
            <w:vAlign w:val="bottom"/>
          </w:tcPr>
          <w:p>
            <w:pPr>
              <w:jc w:val="center"/>
              <w:ind w:left="4374"/>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840" w:type="dxa"/>
            <w:vAlign w:val="bottom"/>
          </w:tcPr>
          <w:p>
            <w:pPr>
              <w:spacing w:after="0"/>
              <w:rPr>
                <w:sz w:val="8"/>
                <w:szCs w:val="8"/>
                <w:color w:val="auto"/>
              </w:rPr>
            </w:pPr>
          </w:p>
        </w:tc>
        <w:tc>
          <w:tcPr>
            <w:tcW w:w="1580" w:type="dxa"/>
            <w:vAlign w:val="bottom"/>
          </w:tcPr>
          <w:p>
            <w:pPr>
              <w:jc w:val="right"/>
              <w:ind w:right="535"/>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6"/>
        </w:trPr>
        <w:tc>
          <w:tcPr>
            <w:tcW w:w="5020" w:type="dxa"/>
            <w:vAlign w:val="bottom"/>
          </w:tcPr>
          <w:p>
            <w:pPr>
              <w:jc w:val="right"/>
              <w:ind w:right="234"/>
              <w:spacing w:after="0"/>
              <w:rPr>
                <w:sz w:val="20"/>
                <w:szCs w:val="20"/>
                <w:color w:val="auto"/>
              </w:rPr>
            </w:pPr>
            <w:r>
              <w:rPr>
                <w:rFonts w:ascii="Times New Roman" w:cs="Times New Roman" w:eastAsia="Times New Roman" w:hAnsi="Times New Roman"/>
                <w:sz w:val="8"/>
                <w:szCs w:val="8"/>
                <w:b w:val="1"/>
                <w:bCs w:val="1"/>
                <w:color w:val="auto"/>
              </w:rPr>
              <w:t>$</w:t>
            </w:r>
          </w:p>
        </w:tc>
        <w:tc>
          <w:tcPr>
            <w:tcW w:w="840" w:type="dxa"/>
            <w:vAlign w:val="bottom"/>
          </w:tcPr>
          <w:p>
            <w:pPr>
              <w:spacing w:after="0"/>
              <w:rPr>
                <w:sz w:val="9"/>
                <w:szCs w:val="9"/>
                <w:color w:val="auto"/>
              </w:rPr>
            </w:pPr>
          </w:p>
        </w:tc>
        <w:tc>
          <w:tcPr>
            <w:tcW w:w="1580" w:type="dxa"/>
            <w:vAlign w:val="bottom"/>
          </w:tcPr>
          <w:p>
            <w:pPr>
              <w:jc w:val="right"/>
              <w:ind w:right="835"/>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50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Other current liabilities</w:t>
            </w:r>
          </w:p>
        </w:tc>
        <w:tc>
          <w:tcPr>
            <w:tcW w:w="840" w:type="dxa"/>
            <w:vAlign w:val="bottom"/>
            <w:shd w:val="clear" w:color="auto" w:fill="CFF0FC"/>
          </w:tcPr>
          <w:p>
            <w:pPr>
              <w:spacing w:after="0"/>
              <w:rPr>
                <w:sz w:val="9"/>
                <w:szCs w:val="9"/>
                <w:color w:val="auto"/>
              </w:rPr>
            </w:pPr>
          </w:p>
        </w:tc>
        <w:tc>
          <w:tcPr>
            <w:tcW w:w="1580" w:type="dxa"/>
            <w:vAlign w:val="bottom"/>
            <w:shd w:val="clear" w:color="auto" w:fill="CFF0FC"/>
          </w:tcPr>
          <w:p>
            <w:pPr>
              <w:spacing w:after="0"/>
              <w:rPr>
                <w:sz w:val="9"/>
                <w:szCs w:val="9"/>
                <w:color w:val="auto"/>
              </w:rPr>
            </w:pPr>
          </w:p>
        </w:tc>
      </w:tr>
      <w:tr>
        <w:trPr>
          <w:trHeight w:val="113"/>
        </w:trPr>
        <w:tc>
          <w:tcPr>
            <w:tcW w:w="50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Ordinary shares payable (6.1)</w:t>
            </w:r>
          </w:p>
        </w:tc>
        <w:tc>
          <w:tcPr>
            <w:tcW w:w="84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10,236,655</w:t>
            </w:r>
          </w:p>
        </w:tc>
        <w:tc>
          <w:tcPr>
            <w:tcW w:w="1580" w:type="dxa"/>
            <w:vAlign w:val="bottom"/>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8,223,928</w:t>
            </w:r>
          </w:p>
        </w:tc>
      </w:tr>
      <w:tr>
        <w:trPr>
          <w:trHeight w:val="113"/>
        </w:trPr>
        <w:tc>
          <w:tcPr>
            <w:tcW w:w="50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 liability (6.2)</w:t>
            </w:r>
          </w:p>
        </w:tc>
        <w:tc>
          <w:tcPr>
            <w:tcW w:w="840" w:type="dxa"/>
            <w:vAlign w:val="bottom"/>
            <w:shd w:val="clear" w:color="auto" w:fill="CFF0FC"/>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1,383,298</w:t>
            </w:r>
          </w:p>
        </w:tc>
        <w:tc>
          <w:tcPr>
            <w:tcW w:w="1580" w:type="dxa"/>
            <w:vAlign w:val="bottom"/>
            <w:shd w:val="clear" w:color="auto" w:fill="CFF0FC"/>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1,311,028</w:t>
            </w:r>
          </w:p>
        </w:tc>
      </w:tr>
    </w:tbl>
    <w:p>
      <w:pPr>
        <w:spacing w:after="0" w:line="13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0"/>
          <w:szCs w:val="10"/>
          <w:b w:val="1"/>
          <w:bCs w:val="1"/>
          <w:color w:val="auto"/>
        </w:rPr>
        <w:t>6.1.</w:t>
      </w:r>
      <w:r>
        <w:rPr>
          <w:rFonts w:ascii="Times New Roman" w:cs="Times New Roman" w:eastAsia="Times New Roman" w:hAnsi="Times New Roman"/>
          <w:sz w:val="10"/>
          <w:szCs w:val="10"/>
          <w:color w:val="auto"/>
        </w:rPr>
        <w:t>On May 25, 2023, the Company offered to all existing investors and employees of the Company an advanced subscription agreement for ordinary shares of the Company at a discount from the pre-close equity value of the Company per share (“the Rights Issue”) in</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connection with its business combination with Armada Acquisition Corp I (refer to note 5.3). The Company expects prior to the close of the business combination to complete a reorganization under the Demerger, such that the existing shares transferred from Rezolve Limited to Rezolve AI Limited would result in a transfer of shares of approximately 6.13 ordinary shares of Rezolve Limited for one share of Rezolve AI Limited. In connection with the funding received through advanced subscription agreements as of June 30, 2023, the number of ordinary shares to be issued as part of the Rights Issue post re-organization is fixed at 1,115,217 and will not fluctuate with the Company’s pre-close equity value of the Company or that of Armada Acquisition Corp I. The Company may received additional funding under advanced subscription agreements which would increase the number of Ordinary shares to issue post-reorganization.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b w:val="1"/>
          <w:bCs w:val="1"/>
          <w:color w:val="auto"/>
        </w:rPr>
        <w:t>6.2.</w:t>
      </w:r>
      <w:r>
        <w:rPr>
          <w:rFonts w:ascii="Times New Roman" w:cs="Times New Roman" w:eastAsia="Times New Roman" w:hAnsi="Times New Roman"/>
          <w:sz w:val="9"/>
          <w:szCs w:val="9"/>
          <w:color w:val="auto"/>
        </w:rPr>
        <w:t>On October 7th, 2021, the Group acquired Jaymax International Service Inc. (“Jaymax”) (later renamed to “Rezolve Taiwan Limited”). As part of the acquisition of Jaymax, the Company agreed to issue $1,400,000 in Rezolve common stock to Jaymax’s former owner</w:t>
      </w:r>
    </w:p>
    <w:p>
      <w:pPr>
        <w:spacing w:after="0" w:line="23"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0"/>
          <w:szCs w:val="10"/>
          <w:color w:val="auto"/>
        </w:rPr>
        <w:t>for completion of a 3-year noncompete period which began on the October 7</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2021. The share-based payment is to be settled by a fixed dollar amount of shares and therefore represents a liability in accordance with ASC 480. The liability was been measured at fair value using a discounted cash-flow model using the Company’s cost of capital of 10.8%.</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7.Other Non-operating (income)/ expenses,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Six months ended</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Six months ended</w:t>
            </w:r>
          </w:p>
        </w:tc>
      </w:tr>
      <w:tr>
        <w:trPr>
          <w:trHeight w:val="98"/>
        </w:trPr>
        <w:tc>
          <w:tcPr>
            <w:tcW w:w="1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June 30, 2023</w:t>
            </w:r>
          </w:p>
        </w:tc>
      </w:tr>
      <w:tr>
        <w:trPr>
          <w:trHeight w:val="106"/>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920" w:type="dxa"/>
            <w:vAlign w:val="bottom"/>
            <w:gridSpan w:val="2"/>
          </w:tcPr>
          <w:p>
            <w:pPr>
              <w:jc w:val="center"/>
              <w:ind w:left="2392"/>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260" w:type="dxa"/>
            <w:vAlign w:val="bottom"/>
          </w:tcPr>
          <w:p>
            <w:pPr>
              <w:spacing w:after="0"/>
              <w:rPr>
                <w:sz w:val="9"/>
                <w:szCs w:val="9"/>
                <w:color w:val="auto"/>
              </w:rPr>
            </w:pPr>
          </w:p>
        </w:tc>
        <w:tc>
          <w:tcPr>
            <w:tcW w:w="880" w:type="dxa"/>
            <w:vAlign w:val="bottom"/>
          </w:tcPr>
          <w:p>
            <w:pPr>
              <w:jc w:val="center"/>
              <w:ind w:left="354"/>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1860" w:type="dxa"/>
            <w:vAlign w:val="bottom"/>
            <w:gridSpan w:val="3"/>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Foreign exchange (gain) loss</w:t>
            </w:r>
          </w:p>
        </w:tc>
        <w:tc>
          <w:tcPr>
            <w:tcW w:w="39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108,224</w:t>
            </w:r>
          </w:p>
        </w:tc>
        <w:tc>
          <w:tcPr>
            <w:tcW w:w="260" w:type="dxa"/>
            <w:vAlign w:val="bottom"/>
            <w:shd w:val="clear" w:color="auto" w:fill="CFF0FC"/>
          </w:tcPr>
          <w:p>
            <w:pPr>
              <w:spacing w:after="0"/>
              <w:rPr>
                <w:sz w:val="9"/>
                <w:szCs w:val="9"/>
                <w:color w:val="auto"/>
              </w:rPr>
            </w:pPr>
          </w:p>
        </w:tc>
        <w:tc>
          <w:tcPr>
            <w:tcW w:w="1400" w:type="dxa"/>
            <w:vAlign w:val="bottom"/>
            <w:gridSpan w:val="2"/>
            <w:shd w:val="clear" w:color="auto" w:fill="CFF0FC"/>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327,383</w:t>
            </w:r>
          </w:p>
        </w:tc>
      </w:tr>
      <w:tr>
        <w:trPr>
          <w:trHeight w:val="113"/>
        </w:trPr>
        <w:tc>
          <w:tcPr>
            <w:tcW w:w="1580" w:type="dxa"/>
            <w:vAlign w:val="bottom"/>
          </w:tcPr>
          <w:p>
            <w:pPr>
              <w:spacing w:after="0"/>
              <w:rPr>
                <w:sz w:val="9"/>
                <w:szCs w:val="9"/>
                <w:color w:val="auto"/>
              </w:rPr>
            </w:pPr>
          </w:p>
        </w:tc>
        <w:tc>
          <w:tcPr>
            <w:tcW w:w="1860" w:type="dxa"/>
            <w:vAlign w:val="bottom"/>
            <w:gridSpan w:val="3"/>
          </w:tcPr>
          <w:p>
            <w:pPr>
              <w:ind w:left="20"/>
              <w:spacing w:after="0" w:line="113" w:lineRule="exact"/>
              <w:rPr>
                <w:sz w:val="20"/>
                <w:szCs w:val="20"/>
                <w:color w:val="auto"/>
              </w:rPr>
            </w:pPr>
            <w:r>
              <w:rPr>
                <w:rFonts w:ascii="Times New Roman" w:cs="Times New Roman" w:eastAsia="Times New Roman" w:hAnsi="Times New Roman"/>
                <w:sz w:val="10"/>
                <w:szCs w:val="10"/>
                <w:color w:val="auto"/>
              </w:rPr>
              <w:t>R&amp;D credits</w:t>
            </w:r>
          </w:p>
        </w:tc>
        <w:tc>
          <w:tcPr>
            <w:tcW w:w="2420" w:type="dxa"/>
            <w:vAlign w:val="bottom"/>
          </w:tcPr>
          <w:p>
            <w:pPr>
              <w:spacing w:after="0"/>
              <w:rPr>
                <w:sz w:val="9"/>
                <w:szCs w:val="9"/>
                <w:color w:val="auto"/>
              </w:rPr>
            </w:pPr>
          </w:p>
        </w:tc>
        <w:tc>
          <w:tcPr>
            <w:tcW w:w="1760" w:type="dxa"/>
            <w:vAlign w:val="bottom"/>
            <w:gridSpan w:val="2"/>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0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(496,448 )</w:t>
            </w:r>
          </w:p>
        </w:tc>
      </w:tr>
      <w:tr>
        <w:trPr>
          <w:trHeight w:val="113"/>
        </w:trPr>
        <w:tc>
          <w:tcPr>
            <w:tcW w:w="1580" w:type="dxa"/>
            <w:vAlign w:val="bottom"/>
          </w:tcPr>
          <w:p>
            <w:pPr>
              <w:spacing w:after="0"/>
              <w:rPr>
                <w:sz w:val="9"/>
                <w:szCs w:val="9"/>
                <w:color w:val="auto"/>
              </w:rPr>
            </w:pPr>
          </w:p>
        </w:tc>
        <w:tc>
          <w:tcPr>
            <w:tcW w:w="1860" w:type="dxa"/>
            <w:vAlign w:val="bottom"/>
            <w:gridSpan w:val="3"/>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net</w:t>
            </w:r>
          </w:p>
        </w:tc>
        <w:tc>
          <w:tcPr>
            <w:tcW w:w="4180" w:type="dxa"/>
            <w:vAlign w:val="bottom"/>
            <w:gridSpan w:val="3"/>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(408 )</w:t>
            </w:r>
          </w:p>
        </w:tc>
        <w:tc>
          <w:tcPr>
            <w:tcW w:w="1400" w:type="dxa"/>
            <w:vAlign w:val="bottom"/>
            <w:gridSpan w:val="2"/>
            <w:shd w:val="clear" w:color="auto" w:fill="CFF0FC"/>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(2,686)</w:t>
            </w:r>
          </w:p>
        </w:tc>
      </w:tr>
      <w:tr>
        <w:trPr>
          <w:trHeight w:val="113"/>
        </w:trPr>
        <w:tc>
          <w:tcPr>
            <w:tcW w:w="1580" w:type="dxa"/>
            <w:vAlign w:val="bottom"/>
          </w:tcPr>
          <w:p>
            <w:pPr>
              <w:spacing w:after="0"/>
              <w:rPr>
                <w:sz w:val="9"/>
                <w:szCs w:val="9"/>
                <w:color w:val="auto"/>
              </w:rPr>
            </w:pPr>
          </w:p>
        </w:tc>
        <w:tc>
          <w:tcPr>
            <w:tcW w:w="1860" w:type="dxa"/>
            <w:vAlign w:val="bottom"/>
            <w:gridSpan w:val="3"/>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39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107,816</w:t>
            </w:r>
          </w:p>
        </w:tc>
        <w:tc>
          <w:tcPr>
            <w:tcW w:w="260" w:type="dxa"/>
            <w:vAlign w:val="bottom"/>
          </w:tcPr>
          <w:p>
            <w:pPr>
              <w:spacing w:after="0"/>
              <w:rPr>
                <w:sz w:val="9"/>
                <w:szCs w:val="9"/>
                <w:color w:val="auto"/>
              </w:rPr>
            </w:pPr>
          </w:p>
        </w:tc>
        <w:tc>
          <w:tcPr>
            <w:tcW w:w="140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0"/>
                <w:szCs w:val="10"/>
                <w:b w:val="1"/>
                <w:bCs w:val="1"/>
                <w:color w:val="auto"/>
              </w:rPr>
              <w:t>(171,751 )</w:t>
            </w:r>
          </w:p>
        </w:tc>
      </w:tr>
      <w:tr>
        <w:trPr>
          <w:trHeight w:val="316"/>
        </w:trPr>
        <w:tc>
          <w:tcPr>
            <w:tcW w:w="344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8.Related party disclosures</w:t>
            </w:r>
          </w:p>
        </w:tc>
        <w:tc>
          <w:tcPr>
            <w:tcW w:w="242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r>
      <w:tr>
        <w:trPr>
          <w:trHeight w:val="152"/>
        </w:trPr>
        <w:tc>
          <w:tcPr>
            <w:tcW w:w="344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Key managerial personnel (KMP) and Members of their immediate families</w:t>
            </w:r>
          </w:p>
        </w:tc>
        <w:tc>
          <w:tcPr>
            <w:tcW w:w="24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3"/>
        </w:trPr>
        <w:tc>
          <w:tcPr>
            <w:tcW w:w="15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4180" w:type="dxa"/>
            <w:vAlign w:val="bottom"/>
            <w:gridSpan w:val="3"/>
            <w:shd w:val="clear" w:color="auto" w:fill="CFF0FC"/>
          </w:tcPr>
          <w:p>
            <w:pPr>
              <w:ind w:left="280"/>
              <w:spacing w:after="0" w:line="113" w:lineRule="exact"/>
              <w:rPr>
                <w:sz w:val="20"/>
                <w:szCs w:val="20"/>
                <w:color w:val="auto"/>
              </w:rPr>
            </w:pPr>
            <w:r>
              <w:rPr>
                <w:rFonts w:ascii="Times New Roman" w:cs="Times New Roman" w:eastAsia="Times New Roman" w:hAnsi="Times New Roman"/>
                <w:sz w:val="10"/>
                <w:szCs w:val="10"/>
                <w:color w:val="auto"/>
              </w:rPr>
              <w:t>Director and chief executive officer</w:t>
            </w:r>
          </w:p>
        </w:tc>
        <w:tc>
          <w:tcPr>
            <w:tcW w:w="880" w:type="dxa"/>
            <w:vAlign w:val="bottom"/>
            <w:shd w:val="clear" w:color="auto" w:fill="CFF0FC"/>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4180" w:type="dxa"/>
            <w:vAlign w:val="bottom"/>
            <w:gridSpan w:val="3"/>
          </w:tcPr>
          <w:p>
            <w:pPr>
              <w:ind w:left="280"/>
              <w:spacing w:after="0" w:line="113" w:lineRule="exact"/>
              <w:rPr>
                <w:sz w:val="20"/>
                <w:szCs w:val="20"/>
                <w:color w:val="auto"/>
              </w:rPr>
            </w:pPr>
            <w:r>
              <w:rPr>
                <w:rFonts w:ascii="Times New Roman" w:cs="Times New Roman" w:eastAsia="Times New Roman" w:hAnsi="Times New Roman"/>
                <w:sz w:val="10"/>
                <w:szCs w:val="10"/>
                <w:color w:val="auto"/>
              </w:rPr>
              <w:t>Chief financial officer</w:t>
            </w: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Sauvik Banerjjee</w:t>
            </w:r>
          </w:p>
        </w:tc>
        <w:tc>
          <w:tcPr>
            <w:tcW w:w="4180" w:type="dxa"/>
            <w:vAlign w:val="bottom"/>
            <w:gridSpan w:val="3"/>
            <w:shd w:val="clear" w:color="auto" w:fill="CFF0FC"/>
          </w:tcPr>
          <w:p>
            <w:pPr>
              <w:ind w:left="280"/>
              <w:spacing w:after="0" w:line="113" w:lineRule="exact"/>
              <w:rPr>
                <w:sz w:val="20"/>
                <w:szCs w:val="20"/>
                <w:color w:val="auto"/>
              </w:rPr>
            </w:pPr>
            <w:r>
              <w:rPr>
                <w:rFonts w:ascii="Times New Roman" w:cs="Times New Roman" w:eastAsia="Times New Roman" w:hAnsi="Times New Roman"/>
                <w:sz w:val="10"/>
                <w:szCs w:val="10"/>
                <w:color w:val="auto"/>
              </w:rPr>
              <w:t>Chief executive officer, products, technology and digital services</w:t>
            </w:r>
          </w:p>
        </w:tc>
        <w:tc>
          <w:tcPr>
            <w:tcW w:w="880" w:type="dxa"/>
            <w:vAlign w:val="bottom"/>
            <w:shd w:val="clear" w:color="auto" w:fill="CFF0FC"/>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Salman Ahmad</w:t>
            </w:r>
          </w:p>
        </w:tc>
        <w:tc>
          <w:tcPr>
            <w:tcW w:w="4180" w:type="dxa"/>
            <w:vAlign w:val="bottom"/>
            <w:gridSpan w:val="3"/>
          </w:tcPr>
          <w:p>
            <w:pPr>
              <w:ind w:left="280"/>
              <w:spacing w:after="0" w:line="113" w:lineRule="exact"/>
              <w:rPr>
                <w:sz w:val="20"/>
                <w:szCs w:val="20"/>
                <w:color w:val="auto"/>
              </w:rPr>
            </w:pPr>
            <w:r>
              <w:rPr>
                <w:rFonts w:ascii="Times New Roman" w:cs="Times New Roman" w:eastAsia="Times New Roman" w:hAnsi="Times New Roman"/>
                <w:sz w:val="10"/>
                <w:szCs w:val="10"/>
                <w:color w:val="auto"/>
              </w:rPr>
              <w:t>Chief technical officer</w:t>
            </w: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4180" w:type="dxa"/>
            <w:vAlign w:val="bottom"/>
            <w:gridSpan w:val="3"/>
            <w:shd w:val="clear" w:color="auto" w:fill="CFF0FC"/>
          </w:tcPr>
          <w:p>
            <w:pPr>
              <w:ind w:left="280"/>
              <w:spacing w:after="0" w:line="113" w:lineRule="exact"/>
              <w:rPr>
                <w:sz w:val="20"/>
                <w:szCs w:val="20"/>
                <w:color w:val="auto"/>
              </w:rPr>
            </w:pPr>
            <w:r>
              <w:rPr>
                <w:rFonts w:ascii="Times New Roman" w:cs="Times New Roman" w:eastAsia="Times New Roman" w:hAnsi="Times New Roman"/>
                <w:sz w:val="10"/>
                <w:szCs w:val="10"/>
                <w:color w:val="auto"/>
              </w:rPr>
              <w:t>Chief commercial officer</w:t>
            </w:r>
          </w:p>
        </w:tc>
        <w:tc>
          <w:tcPr>
            <w:tcW w:w="880" w:type="dxa"/>
            <w:vAlign w:val="bottom"/>
            <w:shd w:val="clear" w:color="auto" w:fill="CFF0FC"/>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Arthur Yao (1)</w:t>
            </w:r>
          </w:p>
        </w:tc>
        <w:tc>
          <w:tcPr>
            <w:tcW w:w="4180" w:type="dxa"/>
            <w:vAlign w:val="bottom"/>
            <w:gridSpan w:val="3"/>
          </w:tcPr>
          <w:p>
            <w:pPr>
              <w:ind w:left="280"/>
              <w:spacing w:after="0" w:line="113" w:lineRule="exact"/>
              <w:rPr>
                <w:sz w:val="20"/>
                <w:szCs w:val="20"/>
                <w:color w:val="auto"/>
              </w:rPr>
            </w:pPr>
            <w:r>
              <w:rPr>
                <w:rFonts w:ascii="Times New Roman" w:cs="Times New Roman" w:eastAsia="Times New Roman" w:hAnsi="Times New Roman"/>
                <w:sz w:val="10"/>
                <w:szCs w:val="10"/>
                <w:color w:val="auto"/>
              </w:rPr>
              <w:t>Chief executive officer, Rezolve China</w:t>
            </w: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4180" w:type="dxa"/>
            <w:vAlign w:val="bottom"/>
            <w:gridSpan w:val="3"/>
            <w:shd w:val="clear" w:color="auto" w:fill="CFF0FC"/>
          </w:tcPr>
          <w:p>
            <w:pPr>
              <w:ind w:left="280"/>
              <w:spacing w:after="0" w:line="113" w:lineRule="exact"/>
              <w:rPr>
                <w:sz w:val="20"/>
                <w:szCs w:val="20"/>
                <w:color w:val="auto"/>
              </w:rPr>
            </w:pPr>
            <w:r>
              <w:rPr>
                <w:rFonts w:ascii="Times New Roman" w:cs="Times New Roman" w:eastAsia="Times New Roman" w:hAnsi="Times New Roman"/>
                <w:sz w:val="10"/>
                <w:szCs w:val="10"/>
                <w:color w:val="auto"/>
              </w:rPr>
              <w:t>Non-executive deputy chairman</w:t>
            </w:r>
          </w:p>
        </w:tc>
        <w:tc>
          <w:tcPr>
            <w:tcW w:w="880" w:type="dxa"/>
            <w:vAlign w:val="bottom"/>
            <w:shd w:val="clear" w:color="auto" w:fill="CFF0FC"/>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Sir David Wright</w:t>
            </w:r>
          </w:p>
        </w:tc>
        <w:tc>
          <w:tcPr>
            <w:tcW w:w="4180" w:type="dxa"/>
            <w:vAlign w:val="bottom"/>
            <w:gridSpan w:val="3"/>
          </w:tcPr>
          <w:p>
            <w:pPr>
              <w:ind w:left="280"/>
              <w:spacing w:after="0" w:line="113" w:lineRule="exact"/>
              <w:rPr>
                <w:sz w:val="20"/>
                <w:szCs w:val="20"/>
                <w:color w:val="auto"/>
              </w:rPr>
            </w:pPr>
            <w:r>
              <w:rPr>
                <w:rFonts w:ascii="Times New Roman" w:cs="Times New Roman" w:eastAsia="Times New Roman" w:hAnsi="Times New Roman"/>
                <w:sz w:val="10"/>
                <w:szCs w:val="10"/>
                <w:color w:val="auto"/>
              </w:rPr>
              <w:t>Non-executive director</w:t>
            </w: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4180" w:type="dxa"/>
            <w:vAlign w:val="bottom"/>
            <w:gridSpan w:val="3"/>
            <w:shd w:val="clear" w:color="auto" w:fill="CFF0FC"/>
          </w:tcPr>
          <w:p>
            <w:pPr>
              <w:ind w:left="280"/>
              <w:spacing w:after="0" w:line="113" w:lineRule="exact"/>
              <w:rPr>
                <w:sz w:val="20"/>
                <w:szCs w:val="20"/>
                <w:color w:val="auto"/>
              </w:rPr>
            </w:pPr>
            <w:r>
              <w:rPr>
                <w:rFonts w:ascii="Times New Roman" w:cs="Times New Roman" w:eastAsia="Times New Roman" w:hAnsi="Times New Roman"/>
                <w:sz w:val="10"/>
                <w:szCs w:val="10"/>
                <w:color w:val="auto"/>
              </w:rPr>
              <w:t>Non-executive director</w:t>
            </w:r>
          </w:p>
        </w:tc>
        <w:tc>
          <w:tcPr>
            <w:tcW w:w="880" w:type="dxa"/>
            <w:vAlign w:val="bottom"/>
            <w:shd w:val="clear" w:color="auto" w:fill="CFF0FC"/>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Derek Smith</w:t>
            </w:r>
          </w:p>
        </w:tc>
        <w:tc>
          <w:tcPr>
            <w:tcW w:w="4180" w:type="dxa"/>
            <w:vAlign w:val="bottom"/>
            <w:gridSpan w:val="3"/>
          </w:tcPr>
          <w:p>
            <w:pPr>
              <w:ind w:left="280"/>
              <w:spacing w:after="0" w:line="113" w:lineRule="exact"/>
              <w:rPr>
                <w:sz w:val="20"/>
                <w:szCs w:val="20"/>
                <w:color w:val="auto"/>
              </w:rPr>
            </w:pPr>
            <w:r>
              <w:rPr>
                <w:rFonts w:ascii="Times New Roman" w:cs="Times New Roman" w:eastAsia="Times New Roman" w:hAnsi="Times New Roman"/>
                <w:sz w:val="10"/>
                <w:szCs w:val="10"/>
                <w:color w:val="auto"/>
              </w:rPr>
              <w:t>Non-executive director</w:t>
            </w: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Susan Wagner</w:t>
            </w:r>
          </w:p>
        </w:tc>
        <w:tc>
          <w:tcPr>
            <w:tcW w:w="4180" w:type="dxa"/>
            <w:vAlign w:val="bottom"/>
            <w:gridSpan w:val="3"/>
            <w:shd w:val="clear" w:color="auto" w:fill="CFF0FC"/>
          </w:tcPr>
          <w:p>
            <w:pPr>
              <w:ind w:left="280"/>
              <w:spacing w:after="0" w:line="113" w:lineRule="exact"/>
              <w:rPr>
                <w:sz w:val="20"/>
                <w:szCs w:val="20"/>
                <w:color w:val="auto"/>
              </w:rPr>
            </w:pPr>
            <w:r>
              <w:rPr>
                <w:rFonts w:ascii="Times New Roman" w:cs="Times New Roman" w:eastAsia="Times New Roman" w:hAnsi="Times New Roman"/>
                <w:sz w:val="10"/>
                <w:szCs w:val="10"/>
                <w:color w:val="auto"/>
              </w:rPr>
              <w:t>Member</w:t>
            </w:r>
          </w:p>
        </w:tc>
        <w:tc>
          <w:tcPr>
            <w:tcW w:w="880" w:type="dxa"/>
            <w:vAlign w:val="bottom"/>
            <w:shd w:val="clear" w:color="auto" w:fill="CFF0FC"/>
          </w:tcPr>
          <w:p>
            <w:pPr>
              <w:spacing w:after="0"/>
              <w:rPr>
                <w:sz w:val="9"/>
                <w:szCs w:val="9"/>
                <w:color w:val="auto"/>
              </w:rPr>
            </w:pPr>
          </w:p>
        </w:tc>
        <w:tc>
          <w:tcPr>
            <w:tcW w:w="520" w:type="dxa"/>
            <w:vAlign w:val="bottom"/>
          </w:tcPr>
          <w:p>
            <w:pPr>
              <w:spacing w:after="0"/>
              <w:rPr>
                <w:sz w:val="9"/>
                <w:szCs w:val="9"/>
                <w:color w:val="auto"/>
              </w:rPr>
            </w:pP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(1)Amounts paid to Arthur Yao were paid out of Rezolve Limited in the UK. The Company’s operations in China have since been approved for a planned liquidation through the Demerger (Refer to Note 2.1 – Basis of presentation).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Transactions with and outstanding balances with related parties were as follows: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u w:val="single" w:color="auto"/>
          <w:color w:val="auto"/>
        </w:rPr>
        <w:t>Transactions during the period</w:t>
      </w:r>
    </w:p>
    <w:p>
      <w:pPr>
        <w:spacing w:after="0" w:line="155" w:lineRule="exact"/>
        <w:rPr>
          <w:sz w:val="20"/>
          <w:szCs w:val="20"/>
          <w:color w:val="auto"/>
        </w:rPr>
      </w:pPr>
    </w:p>
    <w:tbl>
      <w:tblPr>
        <w:tblLayout w:type="fixed"/>
        <w:tblInd w:w="1580" w:type="dxa"/>
        <w:tblCellMar>
          <w:top w:w="0" w:type="dxa"/>
          <w:left w:w="0" w:type="dxa"/>
          <w:bottom w:w="0" w:type="dxa"/>
          <w:right w:w="0" w:type="dxa"/>
        </w:tblCellMar>
      </w:tblPr>
      <w:tr>
        <w:trPr>
          <w:trHeight w:val="106"/>
        </w:trPr>
        <w:tc>
          <w:tcPr>
            <w:tcW w:w="5200" w:type="dxa"/>
            <w:vAlign w:val="bottom"/>
          </w:tcPr>
          <w:p>
            <w:pPr>
              <w:ind w:left="466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800" w:type="dxa"/>
            <w:vAlign w:val="bottom"/>
          </w:tcPr>
          <w:p>
            <w:pPr>
              <w:spacing w:after="0"/>
              <w:rPr>
                <w:sz w:val="9"/>
                <w:szCs w:val="9"/>
                <w:color w:val="auto"/>
              </w:rPr>
            </w:pPr>
          </w:p>
        </w:tc>
        <w:tc>
          <w:tcPr>
            <w:tcW w:w="1440" w:type="dxa"/>
            <w:vAlign w:val="bottom"/>
          </w:tcPr>
          <w:p>
            <w:pPr>
              <w:jc w:val="right"/>
              <w:ind w:right="572"/>
              <w:spacing w:after="0"/>
              <w:rPr>
                <w:sz w:val="20"/>
                <w:szCs w:val="20"/>
                <w:color w:val="auto"/>
              </w:rPr>
            </w:pPr>
            <w:r>
              <w:rPr>
                <w:rFonts w:ascii="Times New Roman" w:cs="Times New Roman" w:eastAsia="Times New Roman" w:hAnsi="Times New Roman"/>
                <w:sz w:val="8"/>
                <w:szCs w:val="8"/>
                <w:b w:val="1"/>
                <w:bCs w:val="1"/>
                <w:color w:val="auto"/>
              </w:rPr>
              <w:t>June 30, 2023</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Share Capital Issued at nominal value</w:t>
            </w:r>
          </w:p>
        </w:tc>
        <w:tc>
          <w:tcPr>
            <w:tcW w:w="80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Igor Lychagov (number of Ordinary shares issued in 2023 - 163,265)</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20</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Loans repaid</w:t>
            </w:r>
          </w:p>
        </w:tc>
        <w:tc>
          <w:tcPr>
            <w:tcW w:w="80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Ltd.</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250,000</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Loans taken</w:t>
            </w:r>
          </w:p>
        </w:tc>
        <w:tc>
          <w:tcPr>
            <w:tcW w:w="80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125,000</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Igor Lychagov</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4,000,000</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promissory notes</w:t>
            </w:r>
          </w:p>
        </w:tc>
        <w:tc>
          <w:tcPr>
            <w:tcW w:w="80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Limited</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1,250,000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93,750</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Adam Wagner</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31,250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John Wagner</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19,844</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Stephen Perry</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63,500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Banerjee</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27,413</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79,250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Reimbursement of expenses</w:t>
            </w:r>
          </w:p>
        </w:tc>
        <w:tc>
          <w:tcPr>
            <w:tcW w:w="80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50,000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79,180</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Managerial remuneration</w:t>
            </w:r>
          </w:p>
        </w:tc>
        <w:tc>
          <w:tcPr>
            <w:tcW w:w="80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Key Management Personnel</w:t>
            </w:r>
          </w:p>
        </w:tc>
        <w:tc>
          <w:tcPr>
            <w:tcW w:w="80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151,799</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147,702</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Salman Ahmad</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113,849</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110,776</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139,149</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135,393</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Banerjjee</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195,075</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115,682</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Share-based compensation</w:t>
            </w:r>
          </w:p>
        </w:tc>
        <w:tc>
          <w:tcPr>
            <w:tcW w:w="80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Ltd</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1,250,000</w:t>
            </w:r>
          </w:p>
        </w:tc>
        <w:tc>
          <w:tcPr>
            <w:tcW w:w="144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673,282</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673,282</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Banerjjee</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345,896</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345,896</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100,000</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100,000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Consulting fees</w:t>
            </w:r>
          </w:p>
        </w:tc>
        <w:tc>
          <w:tcPr>
            <w:tcW w:w="80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150,000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150,000</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189,749</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184,627</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150,000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150,000</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Director remuneration</w:t>
            </w:r>
          </w:p>
        </w:tc>
        <w:tc>
          <w:tcPr>
            <w:tcW w:w="80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184,627</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200,129</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Sir David Wright</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46,157</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49,212</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46,157</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49,212</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Derek Smith</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46,157</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49,212</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Business development expenses</w:t>
            </w:r>
          </w:p>
        </w:tc>
        <w:tc>
          <w:tcPr>
            <w:tcW w:w="80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r>
      <w:tr>
        <w:trPr>
          <w:trHeight w:val="125"/>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Rezolve China (2)</w:t>
            </w: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570,917</w:t>
            </w:r>
          </w:p>
        </w:tc>
      </w:tr>
    </w:tbl>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(1)DBLP Sea Cow Ltd. (a company incorporated in the Seychelles) (“DBLP Sea Cow”) is wholly legally owned by Dan Wagner, Chief Executive Officer of Rezolve.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(2)The Company has expensed all cash transferred to its subsidiary Rezolve China. Please refer to the basis of presentation discussed in note 2.1.</w:t>
      </w:r>
    </w:p>
    <w:p>
      <w:pPr>
        <w:spacing w:after="0" w:line="10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0"/>
          <w:szCs w:val="10"/>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820"/>
          </w:cols>
          <w:pgMar w:left="640" w:top="921" w:right="14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u w:val="single" w:color="auto"/>
          <w:color w:val="auto"/>
        </w:rPr>
        <w:t>Outstanding balances as at reporting date</w:t>
      </w:r>
    </w:p>
    <w:p>
      <w:pPr>
        <w:spacing w:after="0" w:line="155"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5200" w:type="dxa"/>
            <w:vAlign w:val="bottom"/>
          </w:tcPr>
          <w:p>
            <w:pPr>
              <w:ind w:left="466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760" w:type="dxa"/>
            <w:vAlign w:val="bottom"/>
          </w:tcPr>
          <w:p>
            <w:pPr>
              <w:spacing w:after="0"/>
              <w:rPr>
                <w:sz w:val="8"/>
                <w:szCs w:val="8"/>
                <w:color w:val="auto"/>
              </w:rPr>
            </w:pPr>
          </w:p>
        </w:tc>
        <w:tc>
          <w:tcPr>
            <w:tcW w:w="1480" w:type="dxa"/>
            <w:vAlign w:val="bottom"/>
          </w:tcPr>
          <w:p>
            <w:pPr>
              <w:jc w:val="right"/>
              <w:ind w:right="472"/>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6"/>
        </w:trPr>
        <w:tc>
          <w:tcPr>
            <w:tcW w:w="5200" w:type="dxa"/>
            <w:vAlign w:val="bottom"/>
          </w:tcPr>
          <w:p>
            <w:pPr>
              <w:ind w:left="4880"/>
              <w:spacing w:after="0"/>
              <w:rPr>
                <w:sz w:val="20"/>
                <w:szCs w:val="20"/>
                <w:color w:val="auto"/>
              </w:rPr>
            </w:pPr>
            <w:r>
              <w:rPr>
                <w:rFonts w:ascii="Times New Roman" w:cs="Times New Roman" w:eastAsia="Times New Roman" w:hAnsi="Times New Roman"/>
                <w:sz w:val="8"/>
                <w:szCs w:val="8"/>
                <w:b w:val="1"/>
                <w:bCs w:val="1"/>
                <w:color w:val="auto"/>
              </w:rPr>
              <w:t>$</w:t>
            </w:r>
          </w:p>
        </w:tc>
        <w:tc>
          <w:tcPr>
            <w:tcW w:w="760" w:type="dxa"/>
            <w:vAlign w:val="bottom"/>
          </w:tcPr>
          <w:p>
            <w:pPr>
              <w:spacing w:after="0"/>
              <w:rPr>
                <w:sz w:val="9"/>
                <w:szCs w:val="9"/>
                <w:color w:val="auto"/>
              </w:rPr>
            </w:pPr>
          </w:p>
        </w:tc>
        <w:tc>
          <w:tcPr>
            <w:tcW w:w="1480" w:type="dxa"/>
            <w:vAlign w:val="bottom"/>
          </w:tcPr>
          <w:p>
            <w:pPr>
              <w:jc w:val="right"/>
              <w:ind w:right="792"/>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Unsecured Loans payable</w:t>
            </w:r>
          </w:p>
        </w:tc>
        <w:tc>
          <w:tcPr>
            <w:tcW w:w="760" w:type="dxa"/>
            <w:vAlign w:val="bottom"/>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447,067</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447,067</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Trade and other payables</w:t>
            </w:r>
          </w:p>
        </w:tc>
        <w:tc>
          <w:tcPr>
            <w:tcW w:w="760" w:type="dxa"/>
            <w:vAlign w:val="bottom"/>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450,000</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350,000</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334,725</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147,485</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151,105</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61,495</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30,407</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31,248</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Banerjjee</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58,320</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126,223</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127,325</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1,133</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Share Subscription Receivables</w:t>
            </w:r>
          </w:p>
        </w:tc>
        <w:tc>
          <w:tcPr>
            <w:tcW w:w="760" w:type="dxa"/>
            <w:vAlign w:val="bottom"/>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111,845</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111,845</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7,999</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7,999</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debt</w:t>
            </w:r>
          </w:p>
        </w:tc>
        <w:tc>
          <w:tcPr>
            <w:tcW w:w="760" w:type="dxa"/>
            <w:vAlign w:val="bottom"/>
          </w:tcPr>
          <w:p>
            <w:pPr>
              <w:spacing w:after="0"/>
              <w:rPr>
                <w:sz w:val="9"/>
                <w:szCs w:val="9"/>
                <w:color w:val="auto"/>
              </w:rPr>
            </w:pPr>
          </w:p>
        </w:tc>
        <w:tc>
          <w:tcPr>
            <w:tcW w:w="1480" w:type="dxa"/>
            <w:vAlign w:val="bottom"/>
          </w:tcPr>
          <w:p>
            <w:pPr>
              <w:spacing w:after="0"/>
              <w:rPr>
                <w:sz w:val="9"/>
                <w:szCs w:val="9"/>
                <w:color w:val="auto"/>
              </w:rPr>
            </w:pP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 (note 5.2)</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136,943</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125,000</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Igor Lychagov (note 5.3)</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6,028,177</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5,587,343</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promissory notes</w:t>
            </w:r>
          </w:p>
        </w:tc>
        <w:tc>
          <w:tcPr>
            <w:tcW w:w="760" w:type="dxa"/>
            <w:vAlign w:val="bottom"/>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Limited</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1,260,417</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94,531</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Adam Wagner</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31,510</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John Wagner</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20,009</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Stephen Perry</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64,029</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Banerjee</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27,641</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25"/>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Anthony Sharp</w:t>
            </w:r>
          </w:p>
        </w:tc>
        <w:tc>
          <w:tcPr>
            <w:tcW w:w="760" w:type="dxa"/>
            <w:vAlign w:val="bottom"/>
          </w:tcPr>
          <w:p>
            <w:pPr>
              <w:jc w:val="right"/>
              <w:ind w:right="271"/>
              <w:spacing w:after="0"/>
              <w:rPr>
                <w:sz w:val="20"/>
                <w:szCs w:val="20"/>
                <w:color w:val="auto"/>
              </w:rPr>
            </w:pPr>
            <w:r>
              <w:rPr>
                <w:rFonts w:ascii="Times New Roman" w:cs="Times New Roman" w:eastAsia="Times New Roman" w:hAnsi="Times New Roman"/>
                <w:sz w:val="10"/>
                <w:szCs w:val="10"/>
                <w:color w:val="auto"/>
              </w:rPr>
              <w:t>79,910</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9.Income taxes</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Provision for income taxes in the six months ended June 30, 2024 and 2023 was not material. The effective tax rate was 0.5% and 0.4% for the six months ended June 30, 2024 and 2023, respectively. The effective tax rates differ significantly from the statutory tax rate of 25%, primarily due to the Company’s valuation allowance movement in each period presented.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10.Subsequent events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For the condensed interim carve-out financial statements as of June 30, 2024, we have evaluated the following subsequent events through October 1, 2024 which is the date such financial statements are available to be issued:</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Close of business combination with Armada Acquisition Corp I. (“Armada”)</w:t>
      </w:r>
    </w:p>
    <w:p>
      <w:pPr>
        <w:spacing w:after="0" w:line="120" w:lineRule="exact"/>
        <w:rPr>
          <w:sz w:val="20"/>
          <w:szCs w:val="20"/>
          <w:color w:val="auto"/>
        </w:rPr>
      </w:pPr>
    </w:p>
    <w:p>
      <w:pPr>
        <w:jc w:val="both"/>
        <w:ind w:right="120" w:firstLine="480"/>
        <w:spacing w:after="0" w:line="245" w:lineRule="auto"/>
        <w:rPr>
          <w:sz w:val="20"/>
          <w:szCs w:val="20"/>
          <w:color w:val="auto"/>
        </w:rPr>
      </w:pPr>
      <w:r>
        <w:rPr>
          <w:rFonts w:ascii="Times New Roman" w:cs="Times New Roman" w:eastAsia="Times New Roman" w:hAnsi="Times New Roman"/>
          <w:sz w:val="10"/>
          <w:szCs w:val="10"/>
          <w:color w:val="auto"/>
        </w:rPr>
        <w:t>On August 15, 2024, Armada Acquisition Corp. I, a Delaware corporation (“Armada”), a special acquisition corporation, the Company and Rezolve Merger Sub, Inc., a Delaware corporation (“Rezolve Merger Sub”), consummated the business combination pursuant to the terms of the Business Combination Agreement, dated as of December 17th, 2021 (as amended or supplemented from time to time, the “Business Combination Agreement”). The consummation of the acquisition of Armada resulted in Rezolve AI Limited becoming a publicly traded company with it’s shares trading on the NASDAQ from August 20, 2024.</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Amendment restatement and conversions to the Yorkville Note</w:t>
      </w:r>
    </w:p>
    <w:p>
      <w:pPr>
        <w:spacing w:after="0" w:line="120" w:lineRule="exact"/>
        <w:rPr>
          <w:sz w:val="20"/>
          <w:szCs w:val="20"/>
          <w:color w:val="auto"/>
        </w:rPr>
      </w:pPr>
    </w:p>
    <w:p>
      <w:pPr>
        <w:jc w:val="both"/>
        <w:ind w:right="40" w:firstLine="480"/>
        <w:spacing w:after="0" w:line="245" w:lineRule="auto"/>
        <w:rPr>
          <w:sz w:val="20"/>
          <w:szCs w:val="20"/>
          <w:color w:val="auto"/>
        </w:rPr>
      </w:pPr>
      <w:r>
        <w:rPr>
          <w:rFonts w:ascii="Times New Roman" w:cs="Times New Roman" w:eastAsia="Times New Roman" w:hAnsi="Times New Roman"/>
          <w:sz w:val="10"/>
          <w:szCs w:val="10"/>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($7,500,000), which will be in three tranches, with the first tranche in an original principal amount of Two Million Five Hundred Thousand Dollars ($2,500,000) (the "</w:t>
      </w:r>
      <w:r>
        <w:rPr>
          <w:rFonts w:ascii="Times New Roman" w:cs="Times New Roman" w:eastAsia="Times New Roman" w:hAnsi="Times New Roman"/>
          <w:sz w:val="10"/>
          <w:szCs w:val="10"/>
          <w:b w:val="1"/>
          <w:bCs w:val="1"/>
          <w:i w:val="1"/>
          <w:iCs w:val="1"/>
          <w:color w:val="auto"/>
        </w:rPr>
        <w:t>First YA Note</w:t>
      </w:r>
      <w:r>
        <w:rPr>
          <w:rFonts w:ascii="Times New Roman" w:cs="Times New Roman" w:eastAsia="Times New Roman" w:hAnsi="Times New Roman"/>
          <w:sz w:val="10"/>
          <w:szCs w:val="10"/>
          <w:color w:val="auto"/>
        </w:rPr>
        <w:t>") funded upon execution of the Second A&amp;R YA Agreement, the second tranche in an original principal amount of Two Million Five Hundred Thousand Dollars ($2,500,000) funded upon filing of the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jc w:val="both"/>
        <w:ind w:right="80"/>
        <w:spacing w:after="0" w:line="245" w:lineRule="auto"/>
        <w:rPr>
          <w:sz w:val="20"/>
          <w:szCs w:val="20"/>
          <w:color w:val="auto"/>
        </w:rPr>
      </w:pPr>
      <w:r>
        <w:rPr>
          <w:rFonts w:ascii="Times New Roman" w:cs="Times New Roman" w:eastAsia="Times New Roman" w:hAnsi="Times New Roman"/>
          <w:sz w:val="10"/>
          <w:szCs w:val="10"/>
          <w:color w:val="auto"/>
        </w:rPr>
        <w:t>Company’s F-1 registration statement, and the third tranche in an original principal amount of Two Million Five Hundred Thousand Dollars ($ 2,500,000) to be funded upon the effectiveness of the F-1 registration statement. The Second A&amp;R YA Agreement superseded the YA Agreement. The maturity date of the Yorkville Note and the Other Promissory Notes were extended to September 11th, 2025. The first two tranches, each equal to $2,500,000 (the "</w:t>
      </w:r>
      <w:r>
        <w:rPr>
          <w:rFonts w:ascii="Times New Roman" w:cs="Times New Roman" w:eastAsia="Times New Roman" w:hAnsi="Times New Roman"/>
          <w:sz w:val="10"/>
          <w:szCs w:val="10"/>
          <w:b w:val="1"/>
          <w:bCs w:val="1"/>
          <w:i w:val="1"/>
          <w:iCs w:val="1"/>
          <w:color w:val="auto"/>
        </w:rPr>
        <w:t>Second YA Note</w:t>
      </w:r>
      <w:r>
        <w:rPr>
          <w:rFonts w:ascii="Times New Roman" w:cs="Times New Roman" w:eastAsia="Times New Roman" w:hAnsi="Times New Roman"/>
          <w:sz w:val="10"/>
          <w:szCs w:val="10"/>
          <w:color w:val="auto"/>
        </w:rPr>
        <w:t>"), were funded as part of a promissory note, dated September 9, 2024.</w:t>
      </w:r>
    </w:p>
    <w:p>
      <w:pPr>
        <w:spacing w:after="0" w:line="105" w:lineRule="exact"/>
        <w:rPr>
          <w:sz w:val="20"/>
          <w:szCs w:val="20"/>
          <w:color w:val="auto"/>
        </w:rPr>
      </w:pPr>
    </w:p>
    <w:p>
      <w:pPr>
        <w:ind w:firstLine="615"/>
        <w:spacing w:after="0" w:line="241" w:lineRule="auto"/>
        <w:rPr>
          <w:sz w:val="20"/>
          <w:szCs w:val="20"/>
          <w:color w:val="auto"/>
        </w:rPr>
      </w:pPr>
      <w:r>
        <w:rPr>
          <w:rFonts w:ascii="Times New Roman" w:cs="Times New Roman" w:eastAsia="Times New Roman" w:hAnsi="Times New Roman"/>
          <w:sz w:val="10"/>
          <w:szCs w:val="10"/>
          <w:color w:val="auto"/>
        </w:rPr>
        <w:t>In connection with the Second A&amp;R YA Agreement and upon effectiveness of the F-1 Registration Statement originally filed with U.S. Securities and Exchange Commission on September 6, 2024, and declared effective on November 27, 2024, on November 29, 2024, Rezolve issued YA a promissory note in the principal amount of $2,500,000 (the “</w:t>
      </w:r>
      <w:r>
        <w:rPr>
          <w:rFonts w:ascii="Times New Roman" w:cs="Times New Roman" w:eastAsia="Times New Roman" w:hAnsi="Times New Roman"/>
          <w:sz w:val="10"/>
          <w:szCs w:val="10"/>
          <w:b w:val="1"/>
          <w:bCs w:val="1"/>
          <w:i w:val="1"/>
          <w:iCs w:val="1"/>
          <w:color w:val="auto"/>
        </w:rPr>
        <w:t>Third YA Note</w:t>
      </w:r>
      <w:r>
        <w:rPr>
          <w:rFonts w:ascii="Times New Roman" w:cs="Times New Roman" w:eastAsia="Times New Roman" w:hAnsi="Times New Roman"/>
          <w:sz w:val="10"/>
          <w:szCs w:val="10"/>
          <w:color w:val="auto"/>
        </w:rPr>
        <w:t xml:space="preserve">”), and together with the </w:t>
      </w:r>
      <w:r>
        <w:rPr>
          <w:rFonts w:ascii="Times New Roman" w:cs="Times New Roman" w:eastAsia="Times New Roman" w:hAnsi="Times New Roman"/>
          <w:sz w:val="10"/>
          <w:szCs w:val="10"/>
          <w:b w:val="1"/>
          <w:bCs w:val="1"/>
          <w:i w:val="1"/>
          <w:iCs w:val="1"/>
          <w:color w:val="auto"/>
        </w:rPr>
        <w:t>First YA Note</w:t>
      </w:r>
      <w:r>
        <w:rPr>
          <w:rFonts w:ascii="Times New Roman" w:cs="Times New Roman" w:eastAsia="Times New Roman" w:hAnsi="Times New Roman"/>
          <w:sz w:val="10"/>
          <w:szCs w:val="10"/>
          <w:color w:val="auto"/>
        </w:rPr>
        <w:t xml:space="preserve"> and </w:t>
      </w:r>
      <w:r>
        <w:rPr>
          <w:rFonts w:ascii="Times New Roman" w:cs="Times New Roman" w:eastAsia="Times New Roman" w:hAnsi="Times New Roman"/>
          <w:sz w:val="10"/>
          <w:szCs w:val="10"/>
          <w:b w:val="1"/>
          <w:bCs w:val="1"/>
          <w:i w:val="1"/>
          <w:iCs w:val="1"/>
          <w:color w:val="auto"/>
        </w:rPr>
        <w:t>Second YA Note</w:t>
      </w:r>
      <w:r>
        <w:rPr>
          <w:rFonts w:ascii="Times New Roman" w:cs="Times New Roman" w:eastAsia="Times New Roman" w:hAnsi="Times New Roman"/>
          <w:sz w:val="10"/>
          <w:szCs w:val="10"/>
          <w:color w:val="auto"/>
        </w:rPr>
        <w:t>, the "</w:t>
      </w:r>
      <w:r>
        <w:rPr>
          <w:rFonts w:ascii="Times New Roman" w:cs="Times New Roman" w:eastAsia="Times New Roman" w:hAnsi="Times New Roman"/>
          <w:sz w:val="10"/>
          <w:szCs w:val="10"/>
          <w:b w:val="1"/>
          <w:bCs w:val="1"/>
          <w:i w:val="1"/>
          <w:iCs w:val="1"/>
          <w:color w:val="auto"/>
        </w:rPr>
        <w:t>YA Notes</w:t>
      </w:r>
      <w:r>
        <w:rPr>
          <w:rFonts w:ascii="Times New Roman" w:cs="Times New Roman" w:eastAsia="Times New Roman" w:hAnsi="Times New Roman"/>
          <w:sz w:val="10"/>
          <w:szCs w:val="10"/>
          <w:color w:val="auto"/>
        </w:rPr>
        <w:t>"), reflecting the third tranche of the prepaid advances. The YA Notes bear interest at an annual rate of 10% of the outstanding principal balance of the YA Notes and mature on September 11, 2025. Under the YA Notes, YA may elect to convert all or part of the amount outstanding under the Note into ordinary shares of Rezolve at the Conversion Price (as defined in the Note), subject to certain limitations. Rezolve has the right to redeem early a portion or all amounts outstanding under the Note upon 10 days written notice upon the occurrence of certain events.</w:t>
      </w:r>
    </w:p>
    <w:p>
      <w:pPr>
        <w:spacing w:after="0" w:line="101" w:lineRule="exact"/>
        <w:rPr>
          <w:sz w:val="20"/>
          <w:szCs w:val="20"/>
          <w:color w:val="auto"/>
        </w:rPr>
      </w:pPr>
    </w:p>
    <w:p>
      <w:pPr>
        <w:ind w:right="60" w:firstLine="705"/>
        <w:spacing w:after="0" w:line="255" w:lineRule="auto"/>
        <w:rPr>
          <w:sz w:val="20"/>
          <w:szCs w:val="20"/>
          <w:color w:val="auto"/>
        </w:rPr>
      </w:pPr>
      <w:r>
        <w:rPr>
          <w:rFonts w:ascii="Times New Roman" w:cs="Times New Roman" w:eastAsia="Times New Roman" w:hAnsi="Times New Roman"/>
          <w:sz w:val="10"/>
          <w:szCs w:val="10"/>
          <w:color w:val="auto"/>
        </w:rPr>
        <w:t>As of December 30, 2024, the Company satisfied all of the the principal and interest outstanding under the YA Notes. In connection therewith, the Company issued an aggregate of 5,724,154 Ordinary Shares (including in payment of a fee to YA). As of the date hereof, no amount remains outstanding under the YA Notes.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Conversion of Senior Secured Convertible Notes</w:t>
      </w:r>
    </w:p>
    <w:p>
      <w:pPr>
        <w:spacing w:after="0" w:line="2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On December 5, 2024, pursuant to the terms of the Loan Note Instrument, one of the holders of the Senior Secured Convertible Notes converted all of their $8,000,000 outstanding Convertible Notes at a conversion price of $7 per ordinary share.</w:t>
      </w:r>
    </w:p>
    <w:p>
      <w:pPr>
        <w:spacing w:after="0" w:line="108" w:lineRule="exact"/>
        <w:rPr>
          <w:sz w:val="20"/>
          <w:szCs w:val="20"/>
          <w:color w:val="auto"/>
        </w:rPr>
      </w:pPr>
    </w:p>
    <w:p>
      <w:pPr>
        <w:jc w:val="both"/>
        <w:ind w:right="200" w:firstLine="705"/>
        <w:spacing w:after="0" w:line="247" w:lineRule="auto"/>
        <w:rPr>
          <w:sz w:val="20"/>
          <w:szCs w:val="20"/>
          <w:color w:val="auto"/>
        </w:rPr>
      </w:pPr>
      <w:r>
        <w:rPr>
          <w:rFonts w:ascii="Times New Roman" w:cs="Times New Roman" w:eastAsia="Times New Roman" w:hAnsi="Times New Roman"/>
          <w:sz w:val="10"/>
          <w:szCs w:val="10"/>
          <w:color w:val="auto"/>
        </w:rPr>
        <w:t>On December 17, the Company, Apeiron Investment Group Ltd. and Bradley Wickens, the beneficial holders of the majority of Senior Secured Convertible Notes entered into an agreement (the “</w:t>
      </w:r>
      <w:r>
        <w:rPr>
          <w:rFonts w:ascii="Times New Roman" w:cs="Times New Roman" w:eastAsia="Times New Roman" w:hAnsi="Times New Roman"/>
          <w:sz w:val="10"/>
          <w:szCs w:val="10"/>
          <w:b w:val="1"/>
          <w:bCs w:val="1"/>
          <w:i w:val="1"/>
          <w:iCs w:val="1"/>
          <w:color w:val="auto"/>
        </w:rPr>
        <w:t>Agreement</w:t>
      </w:r>
      <w:r>
        <w:rPr>
          <w:rFonts w:ascii="Times New Roman" w:cs="Times New Roman" w:eastAsia="Times New Roman" w:hAnsi="Times New Roman"/>
          <w:sz w:val="10"/>
          <w:szCs w:val="10"/>
          <w:color w:val="auto"/>
        </w:rPr>
        <w:t>”) to amend the Loan Note Instrument (the “</w:t>
      </w:r>
      <w:r>
        <w:rPr>
          <w:rFonts w:ascii="Times New Roman" w:cs="Times New Roman" w:eastAsia="Times New Roman" w:hAnsi="Times New Roman"/>
          <w:sz w:val="10"/>
          <w:szCs w:val="10"/>
          <w:b w:val="1"/>
          <w:bCs w:val="1"/>
          <w:i w:val="1"/>
          <w:iCs w:val="1"/>
          <w:color w:val="auto"/>
        </w:rPr>
        <w:t>Amendment</w:t>
      </w:r>
      <w:r>
        <w:rPr>
          <w:rFonts w:ascii="Times New Roman" w:cs="Times New Roman" w:eastAsia="Times New Roman" w:hAnsi="Times New Roman"/>
          <w:sz w:val="10"/>
          <w:szCs w:val="10"/>
          <w:color w:val="auto"/>
        </w:rPr>
        <w:t>”) and that the beneficial holders shall procure that the registered nominees holding their Convertible Notes provide the necessary consents to the Amendment. Pursuant to the Amendment, the conversion price with respect to approximately $41,000,000 million of outstanding Senior Secured Convertible Notes was revised to equal $2 per ordinary share.</w:t>
      </w:r>
    </w:p>
    <w:p>
      <w:pPr>
        <w:spacing w:after="0" w:line="209" w:lineRule="exact"/>
        <w:rPr>
          <w:sz w:val="20"/>
          <w:szCs w:val="20"/>
          <w:color w:val="auto"/>
        </w:rPr>
      </w:pPr>
    </w:p>
    <w:p>
      <w:pPr>
        <w:ind w:right="40" w:firstLine="705"/>
        <w:spacing w:after="0" w:line="245" w:lineRule="auto"/>
        <w:rPr>
          <w:sz w:val="20"/>
          <w:szCs w:val="20"/>
          <w:color w:val="auto"/>
        </w:rPr>
      </w:pPr>
      <w:r>
        <w:rPr>
          <w:rFonts w:ascii="Times New Roman" w:cs="Times New Roman" w:eastAsia="Times New Roman" w:hAnsi="Times New Roman"/>
          <w:sz w:val="10"/>
          <w:szCs w:val="10"/>
          <w:color w:val="auto"/>
        </w:rPr>
        <w:t>Pursuant to the Agreement, Apeiron Investment Group and Bradley Wickens will also procure that the registered nominees holding approximately $41,000,000 million of outstanding Convertible Notes (on behalf of Apeiron Investment Group Ltd. and Bradley Wickens) will exercise their option to convert all such outstanding Convertible Notes, at a conversion price of $2 per ordinary share. Following such conversions, there will be approximately $0.4 million of Senior Secured Convertible Notes outstanding under the Loan Note Instrument.</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0"/>
          <w:szCs w:val="10"/>
          <w:b w:val="1"/>
          <w:bCs w:val="1"/>
          <w:color w:val="auto"/>
        </w:rPr>
        <w:t>REPORT OF INDEPENDENT REGISTERED PUBLIC ACCOUNTING FIRM</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To the Board of Directors and Stockholders of Rezolve AI Limited and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Opinion on the Financial Statements</w:t>
      </w:r>
    </w:p>
    <w:p>
      <w:pPr>
        <w:spacing w:after="0" w:line="60"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0"/>
          <w:szCs w:val="10"/>
          <w:color w:val="auto"/>
        </w:rPr>
        <w:t>We have audited the accompanying carve-out consolidated balance sheets of Rezolve AI Limited and Subsidiaries (the Company) as of December 31, 2023 (restated) and 2022 (restated), and the related carve-out consolidated statements of operations, comprehensive loss, stockholders’ deficit and cash flows for each of the years in the two year period ended December 31, 2023 (restated), and the related notes (collectively referred to as the carve-out consolidated financial statements). In our opinion, the carve-out consolidated financial statements present fairly, in all material respects, the financial position of the Company as December 31, 2023 (restated) and 2022 (restated), and the results of its operations and its cash flows for each of the years in the two – year period ended December 31, 2023 (restated), in conformity with accounting principles generally accepted in the United States of America.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Restatement of the 2023 and 2022 Financial Statements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As discussed in Note 2, the accompanying 2023 and 2022 carve-out consolidated financial statements have been restated.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Substantial Doubt about the Company’s Ability to Continue as a Going Concern</w:t>
      </w:r>
    </w:p>
    <w:p>
      <w:pPr>
        <w:spacing w:after="0" w:line="60"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0"/>
          <w:szCs w:val="10"/>
          <w:color w:val="auto"/>
        </w:rPr>
        <w:t>The accompanying carve-out consolidated financial statements have been prepared assuming that the Company will continue as a going concern. As discussed in Note 2 to the carve- out consolidated financial statements, the Company has incurred losses since inception, has negative cash flows from operations, and has negative working capital, that raise substantial doubt about its ability to continue as a going concern. Management’s plans in regard to these matters are also described in Note 2. The carve-out consolidated financial statements do not include any adjustments that might result from the outcome of this uncertainty.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Basis for Opinion</w:t>
      </w:r>
    </w:p>
    <w:p>
      <w:pPr>
        <w:spacing w:after="0" w:line="60"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0"/>
          <w:szCs w:val="10"/>
          <w:color w:val="auto"/>
        </w:rPr>
        <w:t>These carve-out consolidated financial statements are the responsibility of the Company’s management. Our responsibility is to express an opinion on the Company’s carve-out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0"/>
          <w:szCs w:val="10"/>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carve-out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0"/>
          <w:szCs w:val="10"/>
          <w:color w:val="auto"/>
        </w:rPr>
        <w:t>Our audits included performing procedures to assess the risks of material misstatement of the carve-out consolidated financial statements, whether due to error or fraud, and performing procedures that respond to those risks. Such procedures included examining, on a test basis, evidence regarding the amounts and disclosures in the carve-out consolidated financial statements. Our audits also included evaluating the accounting principles used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and significant estimates made by management, as well as evaluating the overall presentation of the carve-out consolidated financial statements. We believe that our audits provide a reasonable basis for our opinion.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/s/ Grassi &amp; Co., CPAs, P.C.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We have served as the Company’s auditor since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Jericho, New York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May 20, 2024, except for Notes 2.20, 13 and 14, as to which the date is June 11, 2023, except Note 17 as to which the date is January 10, 2025.</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Carve-out Consolidated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20" w:type="dxa"/>
            <w:vAlign w:val="bottom"/>
          </w:tcPr>
          <w:p>
            <w:pPr>
              <w:spacing w:after="0"/>
              <w:rPr>
                <w:sz w:val="8"/>
                <w:szCs w:val="8"/>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7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gridSpan w:val="2"/>
          </w:tcPr>
          <w:p>
            <w:pPr>
              <w:jc w:val="right"/>
              <w:ind w:right="820"/>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20" w:type="dxa"/>
            <w:vAlign w:val="bottom"/>
          </w:tcPr>
          <w:p>
            <w:pPr>
              <w:spacing w:after="0"/>
              <w:rPr>
                <w:sz w:val="9"/>
                <w:szCs w:val="9"/>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assets</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24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10,441</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39,380</w:t>
            </w: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Accounts receivable</w:t>
            </w:r>
          </w:p>
        </w:tc>
        <w:tc>
          <w:tcPr>
            <w:tcW w:w="24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12,534</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8,855</w:t>
            </w: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Prepayments and other current assets</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299,013</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440,846</w:t>
            </w:r>
          </w:p>
        </w:tc>
        <w:tc>
          <w:tcPr>
            <w:tcW w:w="100" w:type="dxa"/>
            <w:vAlign w:val="bottom"/>
            <w:shd w:val="clear" w:color="auto" w:fill="CFF0FC"/>
          </w:tcPr>
          <w:p>
            <w:pPr>
              <w:spacing w:after="0"/>
              <w:rPr>
                <w:sz w:val="9"/>
                <w:szCs w:val="9"/>
                <w:color w:val="auto"/>
              </w:rPr>
            </w:pPr>
          </w:p>
        </w:tc>
      </w:tr>
      <w:tr>
        <w:trPr>
          <w:trHeight w:val="106"/>
        </w:trPr>
        <w:tc>
          <w:tcPr>
            <w:tcW w:w="7280" w:type="dxa"/>
            <w:vAlign w:val="bottom"/>
          </w:tcPr>
          <w:p>
            <w:pPr>
              <w:ind w:left="100"/>
              <w:spacing w:after="0" w:line="106" w:lineRule="exact"/>
              <w:rPr>
                <w:sz w:val="20"/>
                <w:szCs w:val="20"/>
                <w:color w:val="auto"/>
              </w:rPr>
            </w:pPr>
            <w:r>
              <w:rPr>
                <w:rFonts w:ascii="Times New Roman" w:cs="Times New Roman" w:eastAsia="Times New Roman" w:hAnsi="Times New Roman"/>
                <w:sz w:val="10"/>
                <w:szCs w:val="10"/>
                <w:color w:val="auto"/>
              </w:rPr>
              <w:t>Loans receivable (net of credit loss provision of $785,000 and nil as at</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728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December 31, 2023 and 2022)</w:t>
            </w:r>
          </w:p>
        </w:tc>
        <w:tc>
          <w:tcPr>
            <w:tcW w:w="240" w:type="dxa"/>
            <w:vAlign w:val="bottom"/>
          </w:tcPr>
          <w:p>
            <w:pPr>
              <w:spacing w:after="0"/>
              <w:rPr>
                <w:sz w:val="10"/>
                <w:szCs w:val="10"/>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598,414</w:t>
            </w:r>
          </w:p>
        </w:tc>
        <w:tc>
          <w:tcPr>
            <w:tcW w:w="100" w:type="dxa"/>
            <w:vAlign w:val="bottom"/>
          </w:tcPr>
          <w:p>
            <w:pPr>
              <w:spacing w:after="0"/>
              <w:rPr>
                <w:sz w:val="10"/>
                <w:szCs w:val="10"/>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321,988</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1,087,495</w:t>
            </w: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Non-current assets</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Property and equipment, net</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79,593</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110,998</w:t>
            </w: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Intangible assets</w:t>
            </w:r>
          </w:p>
        </w:tc>
        <w:tc>
          <w:tcPr>
            <w:tcW w:w="24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2,134,903</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450,446</w:t>
            </w: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non-current assets</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2,214,496</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561,444</w:t>
            </w:r>
          </w:p>
        </w:tc>
        <w:tc>
          <w:tcPr>
            <w:tcW w:w="100" w:type="dxa"/>
            <w:vAlign w:val="bottom"/>
            <w:shd w:val="clear" w:color="auto" w:fill="CFF0FC"/>
          </w:tcPr>
          <w:p>
            <w:pPr>
              <w:spacing w:after="0"/>
              <w:rPr>
                <w:sz w:val="9"/>
                <w:szCs w:val="9"/>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2,536,484</w:t>
            </w:r>
          </w:p>
        </w:tc>
        <w:tc>
          <w:tcPr>
            <w:tcW w:w="2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1,648,939</w:t>
            </w:r>
          </w:p>
        </w:tc>
        <w:tc>
          <w:tcPr>
            <w:tcW w:w="100" w:type="dxa"/>
            <w:vAlign w:val="bottom"/>
          </w:tcPr>
          <w:p>
            <w:pPr>
              <w:spacing w:after="0"/>
              <w:rPr>
                <w:sz w:val="10"/>
                <w:szCs w:val="10"/>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Liabilities and Shareholders’ deficit</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liabilities</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24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4,569,703</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3,728,974</w:t>
            </w: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Due to related party (refer to note 14)</w:t>
            </w:r>
          </w:p>
        </w:tc>
        <w:tc>
          <w:tcPr>
            <w:tcW w:w="24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777,576</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621,791</w:t>
            </w: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Accrued expenses and other payables</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4,492,790</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2,640,384</w:t>
            </w: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Ordinary shares payable</w:t>
            </w:r>
          </w:p>
        </w:tc>
        <w:tc>
          <w:tcPr>
            <w:tcW w:w="24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8,223,928</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Short term convertible debt to related party (refer to note 14)</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132,269</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Short term debt to related party (refer to note 2.20 and note 14)</w:t>
            </w:r>
          </w:p>
        </w:tc>
        <w:tc>
          <w:tcPr>
            <w:tcW w:w="24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6,225,815</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697,067</w:t>
            </w: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Share-based payment liability</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1,311,028</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34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Convertible debt (current)</w:t>
            </w:r>
          </w:p>
        </w:tc>
        <w:tc>
          <w:tcPr>
            <w:tcW w:w="24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31,088,259</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56,821,368</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7,688,216</w:t>
            </w: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Non-current liabilities</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Convertible debt (long-term)</w:t>
            </w:r>
          </w:p>
        </w:tc>
        <w:tc>
          <w:tcPr>
            <w:tcW w:w="240" w:type="dxa"/>
            <w:vAlign w:val="bottom"/>
            <w:shd w:val="clear" w:color="auto" w:fill="CFF0FC"/>
          </w:tcPr>
          <w:p>
            <w:pPr>
              <w:spacing w:after="0"/>
              <w:rPr>
                <w:sz w:val="9"/>
                <w:szCs w:val="9"/>
                <w:color w:val="auto"/>
              </w:rPr>
            </w:pPr>
          </w:p>
        </w:tc>
        <w:tc>
          <w:tcPr>
            <w:tcW w:w="1540" w:type="dxa"/>
            <w:vAlign w:val="bottom"/>
            <w:gridSpan w:val="2"/>
            <w:shd w:val="clear" w:color="auto" w:fill="CFF0FC"/>
          </w:tcPr>
          <w:p>
            <w:pPr>
              <w:jc w:val="right"/>
              <w:ind w:right="3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25,302,709</w:t>
            </w: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Share-based payment liability (long-term)</w:t>
            </w:r>
          </w:p>
        </w:tc>
        <w:tc>
          <w:tcPr>
            <w:tcW w:w="240" w:type="dxa"/>
            <w:vAlign w:val="bottom"/>
          </w:tcPr>
          <w:p>
            <w:pPr>
              <w:spacing w:after="0"/>
              <w:rPr>
                <w:sz w:val="9"/>
                <w:szCs w:val="9"/>
                <w:color w:val="auto"/>
              </w:rPr>
            </w:pPr>
          </w:p>
        </w:tc>
        <w:tc>
          <w:tcPr>
            <w:tcW w:w="1540" w:type="dxa"/>
            <w:vAlign w:val="bottom"/>
            <w:gridSpan w:val="2"/>
          </w:tcPr>
          <w:p>
            <w:pPr>
              <w:jc w:val="right"/>
              <w:ind w:right="3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2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1,177,617</w:t>
            </w: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non-current liabilities</w:t>
            </w:r>
          </w:p>
        </w:tc>
        <w:tc>
          <w:tcPr>
            <w:tcW w:w="240" w:type="dxa"/>
            <w:vAlign w:val="bottom"/>
            <w:shd w:val="clear" w:color="auto" w:fill="CFF0FC"/>
          </w:tcPr>
          <w:p>
            <w:pPr>
              <w:spacing w:after="0"/>
              <w:rPr>
                <w:sz w:val="9"/>
                <w:szCs w:val="9"/>
                <w:color w:val="auto"/>
              </w:rPr>
            </w:pPr>
          </w:p>
        </w:tc>
        <w:tc>
          <w:tcPr>
            <w:tcW w:w="1540" w:type="dxa"/>
            <w:vAlign w:val="bottom"/>
            <w:gridSpan w:val="2"/>
            <w:shd w:val="clear" w:color="auto" w:fill="CFF0FC"/>
          </w:tcPr>
          <w:p>
            <w:pPr>
              <w:jc w:val="right"/>
              <w:ind w:right="30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26,480,326</w:t>
            </w:r>
          </w:p>
        </w:tc>
        <w:tc>
          <w:tcPr>
            <w:tcW w:w="100" w:type="dxa"/>
            <w:vAlign w:val="bottom"/>
            <w:shd w:val="clear" w:color="auto" w:fill="CFF0FC"/>
          </w:tcPr>
          <w:p>
            <w:pPr>
              <w:spacing w:after="0"/>
              <w:rPr>
                <w:sz w:val="9"/>
                <w:szCs w:val="9"/>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liabilities</w:t>
            </w: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56,821,368</w:t>
            </w:r>
          </w:p>
        </w:tc>
        <w:tc>
          <w:tcPr>
            <w:tcW w:w="2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34,168,542</w:t>
            </w:r>
          </w:p>
        </w:tc>
        <w:tc>
          <w:tcPr>
            <w:tcW w:w="100" w:type="dxa"/>
            <w:vAlign w:val="bottom"/>
          </w:tcPr>
          <w:p>
            <w:pPr>
              <w:spacing w:after="0"/>
              <w:rPr>
                <w:sz w:val="10"/>
                <w:szCs w:val="10"/>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Shareholders’ deficit</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6"/>
        </w:trPr>
        <w:tc>
          <w:tcPr>
            <w:tcW w:w="7280" w:type="dxa"/>
            <w:vAlign w:val="bottom"/>
          </w:tcPr>
          <w:p>
            <w:pPr>
              <w:ind w:left="100"/>
              <w:spacing w:after="0" w:line="106" w:lineRule="exact"/>
              <w:rPr>
                <w:sz w:val="20"/>
                <w:szCs w:val="20"/>
                <w:color w:val="auto"/>
              </w:rPr>
            </w:pPr>
            <w:r>
              <w:rPr>
                <w:rFonts w:ascii="Times New Roman" w:cs="Times New Roman" w:eastAsia="Times New Roman" w:hAnsi="Times New Roman"/>
                <w:sz w:val="10"/>
                <w:szCs w:val="10"/>
                <w:color w:val="auto"/>
              </w:rPr>
              <w:t>Ordinary shares, £0.0001 nominal value 932,969,424 shares issued and outstanding</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280" w:type="dxa"/>
            <w:vAlign w:val="bottom"/>
          </w:tcPr>
          <w:p>
            <w:pPr>
              <w:ind w:left="160"/>
              <w:spacing w:after="0" w:line="113" w:lineRule="exact"/>
              <w:rPr>
                <w:sz w:val="20"/>
                <w:szCs w:val="20"/>
                <w:color w:val="auto"/>
              </w:rPr>
            </w:pPr>
            <w:r>
              <w:rPr>
                <w:rFonts w:ascii="Times New Roman" w:cs="Times New Roman" w:eastAsia="Times New Roman" w:hAnsi="Times New Roman"/>
                <w:sz w:val="10"/>
                <w:szCs w:val="10"/>
                <w:color w:val="auto"/>
              </w:rPr>
              <w:t>as of December 31, 2023 927,806,159 shares issued and outstanding as of</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280" w:type="dxa"/>
            <w:vAlign w:val="bottom"/>
          </w:tcPr>
          <w:p>
            <w:pPr>
              <w:ind w:left="160"/>
              <w:spacing w:after="0" w:line="113" w:lineRule="exact"/>
              <w:rPr>
                <w:sz w:val="20"/>
                <w:szCs w:val="20"/>
                <w:color w:val="auto"/>
              </w:rPr>
            </w:pPr>
            <w:r>
              <w:rPr>
                <w:rFonts w:ascii="Times New Roman" w:cs="Times New Roman" w:eastAsia="Times New Roman" w:hAnsi="Times New Roman"/>
                <w:sz w:val="10"/>
                <w:szCs w:val="10"/>
                <w:color w:val="auto"/>
              </w:rPr>
              <w:t>December 31, 2022 991,285,244 and 986,121,959 shares authorized as of</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728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December 31, 2023 and 2022</w:t>
            </w:r>
          </w:p>
        </w:tc>
        <w:tc>
          <w:tcPr>
            <w:tcW w:w="24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127,310</w:t>
            </w:r>
          </w:p>
        </w:tc>
        <w:tc>
          <w:tcPr>
            <w:tcW w:w="280" w:type="dxa"/>
            <w:vAlign w:val="bottom"/>
          </w:tcPr>
          <w:p>
            <w:pPr>
              <w:spacing w:after="0"/>
              <w:rPr>
                <w:sz w:val="10"/>
                <w:szCs w:val="10"/>
                <w:color w:val="auto"/>
              </w:rPr>
            </w:pPr>
          </w:p>
        </w:tc>
        <w:tc>
          <w:tcPr>
            <w:tcW w:w="220" w:type="dxa"/>
            <w:vAlign w:val="bottom"/>
          </w:tcPr>
          <w:p>
            <w:pPr>
              <w:jc w:val="right"/>
              <w:ind w:right="156"/>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126,677</w:t>
            </w:r>
          </w:p>
        </w:tc>
        <w:tc>
          <w:tcPr>
            <w:tcW w:w="100" w:type="dxa"/>
            <w:vAlign w:val="bottom"/>
          </w:tcPr>
          <w:p>
            <w:pPr>
              <w:spacing w:after="0"/>
              <w:rPr>
                <w:sz w:val="10"/>
                <w:szCs w:val="10"/>
                <w:color w:val="auto"/>
              </w:rPr>
            </w:pPr>
          </w:p>
        </w:tc>
      </w:tr>
      <w:tr>
        <w:trPr>
          <w:trHeight w:val="106"/>
        </w:trPr>
        <w:tc>
          <w:tcPr>
            <w:tcW w:w="7280" w:type="dxa"/>
            <w:vAlign w:val="bottom"/>
            <w:shd w:val="clear" w:color="auto" w:fill="CFF0FC"/>
          </w:tcPr>
          <w:p>
            <w:pPr>
              <w:ind w:left="100"/>
              <w:spacing w:after="0" w:line="106" w:lineRule="exact"/>
              <w:rPr>
                <w:sz w:val="20"/>
                <w:szCs w:val="20"/>
                <w:color w:val="auto"/>
              </w:rPr>
            </w:pPr>
            <w:r>
              <w:rPr>
                <w:rFonts w:ascii="Times New Roman" w:cs="Times New Roman" w:eastAsia="Times New Roman" w:hAnsi="Times New Roman"/>
                <w:sz w:val="10"/>
                <w:szCs w:val="10"/>
                <w:color w:val="auto"/>
              </w:rPr>
              <w:t>Series A shares, £0.0001 nominal value 28,039,517 shares issued, authorized and</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7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0"/>
                <w:szCs w:val="10"/>
                <w:color w:val="auto"/>
              </w:rPr>
              <w:t>outstanding as of December 31, 2023 and 2022</w:t>
            </w:r>
          </w:p>
        </w:tc>
        <w:tc>
          <w:tcPr>
            <w:tcW w:w="240" w:type="dxa"/>
            <w:vAlign w:val="bottom"/>
            <w:shd w:val="clear" w:color="auto" w:fill="CFF0FC"/>
          </w:tcPr>
          <w:p>
            <w:pPr>
              <w:spacing w:after="0"/>
              <w:rPr>
                <w:sz w:val="10"/>
                <w:szCs w:val="1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3,868</w:t>
            </w: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3,868</w:t>
            </w:r>
          </w:p>
        </w:tc>
        <w:tc>
          <w:tcPr>
            <w:tcW w:w="100" w:type="dxa"/>
            <w:vAlign w:val="bottom"/>
            <w:shd w:val="clear" w:color="auto" w:fill="CFF0FC"/>
          </w:tcPr>
          <w:p>
            <w:pPr>
              <w:spacing w:after="0"/>
              <w:rPr>
                <w:sz w:val="10"/>
                <w:szCs w:val="10"/>
                <w:color w:val="auto"/>
              </w:rPr>
            </w:pP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24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172,204,832</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163,165,083</w:t>
            </w: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Share subscription receivable (1)</w:t>
            </w:r>
          </w:p>
        </w:tc>
        <w:tc>
          <w:tcPr>
            <w:tcW w:w="240" w:type="dxa"/>
            <w:vAlign w:val="bottom"/>
            <w:shd w:val="clear" w:color="auto" w:fill="CFF0FC"/>
          </w:tcPr>
          <w:p>
            <w:pPr>
              <w:spacing w:after="0"/>
              <w:rPr>
                <w:sz w:val="9"/>
                <w:szCs w:val="9"/>
                <w:color w:val="auto"/>
              </w:rPr>
            </w:pPr>
          </w:p>
        </w:tc>
        <w:tc>
          <w:tcPr>
            <w:tcW w:w="154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(178,720 )</w:t>
            </w:r>
          </w:p>
        </w:tc>
        <w:tc>
          <w:tcPr>
            <w:tcW w:w="220" w:type="dxa"/>
            <w:vAlign w:val="bottom"/>
            <w:shd w:val="clear" w:color="auto" w:fill="CFF0FC"/>
          </w:tcPr>
          <w:p>
            <w:pPr>
              <w:spacing w:after="0"/>
              <w:rPr>
                <w:sz w:val="9"/>
                <w:szCs w:val="9"/>
                <w:color w:val="auto"/>
              </w:rPr>
            </w:pPr>
          </w:p>
        </w:tc>
        <w:tc>
          <w:tcPr>
            <w:tcW w:w="13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(178,720 )</w:t>
            </w: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240" w:type="dxa"/>
            <w:vAlign w:val="bottom"/>
          </w:tcPr>
          <w:p>
            <w:pPr>
              <w:spacing w:after="0"/>
              <w:rPr>
                <w:sz w:val="9"/>
                <w:szCs w:val="9"/>
                <w:color w:val="auto"/>
              </w:rPr>
            </w:pPr>
          </w:p>
        </w:tc>
        <w:tc>
          <w:tcPr>
            <w:tcW w:w="154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(226,291,430 )</w:t>
            </w:r>
          </w:p>
        </w:tc>
        <w:tc>
          <w:tcPr>
            <w:tcW w:w="220" w:type="dxa"/>
            <w:vAlign w:val="bottom"/>
          </w:tcPr>
          <w:p>
            <w:pPr>
              <w:spacing w:after="0"/>
              <w:rPr>
                <w:sz w:val="9"/>
                <w:szCs w:val="9"/>
                <w:color w:val="auto"/>
              </w:rPr>
            </w:pPr>
          </w:p>
        </w:tc>
        <w:tc>
          <w:tcPr>
            <w:tcW w:w="13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(195,555,332 )</w:t>
            </w: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Accumulated other comprehensive loss</w:t>
            </w:r>
          </w:p>
        </w:tc>
        <w:tc>
          <w:tcPr>
            <w:tcW w:w="240" w:type="dxa"/>
            <w:vAlign w:val="bottom"/>
            <w:shd w:val="clear" w:color="auto" w:fill="CFF0FC"/>
          </w:tcPr>
          <w:p>
            <w:pPr>
              <w:spacing w:after="0"/>
              <w:rPr>
                <w:sz w:val="9"/>
                <w:szCs w:val="9"/>
                <w:color w:val="auto"/>
              </w:rPr>
            </w:pPr>
          </w:p>
        </w:tc>
        <w:tc>
          <w:tcPr>
            <w:tcW w:w="154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(150,744 )</w:t>
            </w:r>
          </w:p>
        </w:tc>
        <w:tc>
          <w:tcPr>
            <w:tcW w:w="220" w:type="dxa"/>
            <w:vAlign w:val="bottom"/>
            <w:shd w:val="clear" w:color="auto" w:fill="CFF0FC"/>
          </w:tcPr>
          <w:p>
            <w:pPr>
              <w:spacing w:after="0"/>
              <w:rPr>
                <w:sz w:val="9"/>
                <w:szCs w:val="9"/>
                <w:color w:val="auto"/>
              </w:rPr>
            </w:pPr>
          </w:p>
        </w:tc>
        <w:tc>
          <w:tcPr>
            <w:tcW w:w="13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(81,179 )</w:t>
            </w: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shareholders’ deficit</w:t>
            </w:r>
          </w:p>
        </w:tc>
        <w:tc>
          <w:tcPr>
            <w:tcW w:w="240" w:type="dxa"/>
            <w:vAlign w:val="bottom"/>
          </w:tcPr>
          <w:p>
            <w:pPr>
              <w:spacing w:after="0"/>
              <w:rPr>
                <w:sz w:val="9"/>
                <w:szCs w:val="9"/>
                <w:color w:val="auto"/>
              </w:rPr>
            </w:pPr>
          </w:p>
        </w:tc>
        <w:tc>
          <w:tcPr>
            <w:tcW w:w="154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(54,284,884 )</w:t>
            </w:r>
          </w:p>
        </w:tc>
        <w:tc>
          <w:tcPr>
            <w:tcW w:w="220" w:type="dxa"/>
            <w:vAlign w:val="bottom"/>
          </w:tcPr>
          <w:p>
            <w:pPr>
              <w:spacing w:after="0"/>
              <w:rPr>
                <w:sz w:val="9"/>
                <w:szCs w:val="9"/>
                <w:color w:val="auto"/>
              </w:rPr>
            </w:pPr>
          </w:p>
        </w:tc>
        <w:tc>
          <w:tcPr>
            <w:tcW w:w="13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(32,519,603 )</w:t>
            </w: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liabilities and shareholders’ deficit</w:t>
            </w:r>
          </w:p>
        </w:tc>
        <w:tc>
          <w:tcPr>
            <w:tcW w:w="240" w:type="dxa"/>
            <w:vAlign w:val="bottom"/>
            <w:tcBorders>
              <w:bottom w:val="single" w:sz="8" w:color="auto"/>
            </w:tcBorders>
            <w:shd w:val="clear" w:color="auto" w:fill="CFF0FC"/>
          </w:tcPr>
          <w:p>
            <w:pPr>
              <w:spacing w:after="0"/>
              <w:rPr>
                <w:sz w:val="10"/>
                <w:szCs w:val="10"/>
                <w:color w:val="auto"/>
              </w:rPr>
            </w:pPr>
          </w:p>
        </w:tc>
        <w:tc>
          <w:tcPr>
            <w:tcW w:w="126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2,536,484</w:t>
            </w:r>
          </w:p>
        </w:tc>
        <w:tc>
          <w:tcPr>
            <w:tcW w:w="28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spacing w:after="0"/>
              <w:rPr>
                <w:sz w:val="10"/>
                <w:szCs w:val="10"/>
                <w:color w:val="auto"/>
              </w:rPr>
            </w:pPr>
          </w:p>
        </w:tc>
        <w:tc>
          <w:tcPr>
            <w:tcW w:w="124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1,648,939</w:t>
            </w:r>
          </w:p>
        </w:tc>
        <w:tc>
          <w:tcPr>
            <w:tcW w:w="100" w:type="dxa"/>
            <w:vAlign w:val="bottom"/>
            <w:tcBorders>
              <w:bottom w:val="single" w:sz="8" w:color="CFF0FC"/>
            </w:tcBorders>
            <w:shd w:val="clear" w:color="auto" w:fill="CFF0FC"/>
          </w:tcPr>
          <w:p>
            <w:pPr>
              <w:spacing w:after="0"/>
              <w:rPr>
                <w:sz w:val="10"/>
                <w:szCs w:val="10"/>
                <w:color w:val="auto"/>
              </w:rPr>
            </w:pP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(1)Includes related party balances of $(119,844) as at December 31, 2023 and 2022, refer to note 14.</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Carve-out Consolidated Statement of Operations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2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420" w:type="dxa"/>
            <w:vAlign w:val="bottom"/>
          </w:tcPr>
          <w:p>
            <w:pPr>
              <w:jc w:val="center"/>
              <w:ind w:right="352"/>
              <w:spacing w:after="0"/>
              <w:rPr>
                <w:sz w:val="20"/>
                <w:szCs w:val="20"/>
                <w:color w:val="auto"/>
              </w:rPr>
            </w:pPr>
            <w:r>
              <w:rPr>
                <w:rFonts w:ascii="Times New Roman" w:cs="Times New Roman" w:eastAsia="Times New Roman" w:hAnsi="Times New Roman"/>
                <w:sz w:val="8"/>
                <w:szCs w:val="8"/>
                <w:b w:val="1"/>
                <w:bCs w:val="1"/>
                <w:color w:val="auto"/>
              </w:rPr>
              <w:t>Year ended</w:t>
            </w:r>
          </w:p>
        </w:tc>
        <w:tc>
          <w:tcPr>
            <w:tcW w:w="340" w:type="dxa"/>
            <w:vAlign w:val="bottom"/>
          </w:tcPr>
          <w:p>
            <w:pPr>
              <w:spacing w:after="0"/>
              <w:rPr>
                <w:sz w:val="8"/>
                <w:szCs w:val="8"/>
                <w:color w:val="auto"/>
              </w:rPr>
            </w:pPr>
          </w:p>
        </w:tc>
        <w:tc>
          <w:tcPr>
            <w:tcW w:w="1340" w:type="dxa"/>
            <w:vAlign w:val="bottom"/>
          </w:tcPr>
          <w:p>
            <w:pPr>
              <w:jc w:val="center"/>
              <w:ind w:right="292"/>
              <w:spacing w:after="0"/>
              <w:rPr>
                <w:sz w:val="20"/>
                <w:szCs w:val="20"/>
                <w:color w:val="auto"/>
              </w:rPr>
            </w:pPr>
            <w:r>
              <w:rPr>
                <w:rFonts w:ascii="Times New Roman" w:cs="Times New Roman" w:eastAsia="Times New Roman" w:hAnsi="Times New Roman"/>
                <w:sz w:val="8"/>
                <w:szCs w:val="8"/>
                <w:b w:val="1"/>
                <w:bCs w:val="1"/>
                <w:color w:val="auto"/>
              </w:rPr>
              <w:t>Year ended</w:t>
            </w:r>
          </w:p>
        </w:tc>
      </w:tr>
      <w:tr>
        <w:trPr>
          <w:trHeight w:val="98"/>
        </w:trPr>
        <w:tc>
          <w:tcPr>
            <w:tcW w:w="52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420" w:type="dxa"/>
            <w:vAlign w:val="bottom"/>
          </w:tcPr>
          <w:p>
            <w:pPr>
              <w:jc w:val="center"/>
              <w:ind w:right="352"/>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340" w:type="dxa"/>
            <w:vAlign w:val="bottom"/>
          </w:tcPr>
          <w:p>
            <w:pPr>
              <w:spacing w:after="0"/>
              <w:rPr>
                <w:sz w:val="8"/>
                <w:szCs w:val="8"/>
                <w:color w:val="auto"/>
              </w:rPr>
            </w:pPr>
          </w:p>
        </w:tc>
        <w:tc>
          <w:tcPr>
            <w:tcW w:w="1340" w:type="dxa"/>
            <w:vAlign w:val="bottom"/>
          </w:tcPr>
          <w:p>
            <w:pPr>
              <w:jc w:val="center"/>
              <w:ind w:right="272"/>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52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420" w:type="dxa"/>
            <w:vAlign w:val="bottom"/>
          </w:tcPr>
          <w:p>
            <w:pPr>
              <w:jc w:val="center"/>
              <w:ind w:right="352"/>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340" w:type="dxa"/>
            <w:vAlign w:val="bottom"/>
          </w:tcPr>
          <w:p>
            <w:pPr>
              <w:spacing w:after="0"/>
              <w:rPr>
                <w:sz w:val="9"/>
                <w:szCs w:val="9"/>
                <w:color w:val="auto"/>
              </w:rPr>
            </w:pPr>
          </w:p>
        </w:tc>
        <w:tc>
          <w:tcPr>
            <w:tcW w:w="1340" w:type="dxa"/>
            <w:vAlign w:val="bottom"/>
          </w:tcPr>
          <w:p>
            <w:pPr>
              <w:jc w:val="center"/>
              <w:ind w:right="29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5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Revenue</w:t>
            </w:r>
          </w:p>
        </w:tc>
        <w:tc>
          <w:tcPr>
            <w:tcW w:w="232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20" w:type="dxa"/>
            <w:vAlign w:val="bottom"/>
            <w:shd w:val="clear" w:color="auto" w:fill="CFF0FC"/>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145,051</w:t>
            </w:r>
          </w:p>
        </w:tc>
        <w:tc>
          <w:tcPr>
            <w:tcW w:w="34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115,159</w:t>
            </w:r>
          </w:p>
        </w:tc>
      </w:tr>
      <w:tr>
        <w:trPr>
          <w:trHeight w:val="113"/>
        </w:trPr>
        <w:tc>
          <w:tcPr>
            <w:tcW w:w="52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Operating expenses</w:t>
            </w:r>
          </w:p>
        </w:tc>
        <w:tc>
          <w:tcPr>
            <w:tcW w:w="2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3"/>
        </w:trPr>
        <w:tc>
          <w:tcPr>
            <w:tcW w:w="52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Cost of revenue (refer to note 2.11)</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34,791</w:t>
            </w: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745,040</w:t>
            </w:r>
          </w:p>
        </w:tc>
      </w:tr>
      <w:tr>
        <w:trPr>
          <w:trHeight w:val="104"/>
        </w:trPr>
        <w:tc>
          <w:tcPr>
            <w:tcW w:w="5200" w:type="dxa"/>
            <w:vAlign w:val="bottom"/>
          </w:tcPr>
          <w:p>
            <w:pPr>
              <w:ind w:left="100"/>
              <w:spacing w:after="0" w:line="104" w:lineRule="exact"/>
              <w:rPr>
                <w:sz w:val="20"/>
                <w:szCs w:val="20"/>
                <w:color w:val="auto"/>
              </w:rPr>
            </w:pPr>
            <w:r>
              <w:rPr>
                <w:rFonts w:ascii="Times New Roman" w:cs="Times New Roman" w:eastAsia="Times New Roman" w:hAnsi="Times New Roman"/>
                <w:sz w:val="10"/>
                <w:szCs w:val="10"/>
                <w:color w:val="auto"/>
              </w:rPr>
              <w:t xml:space="preserve">Sales and marketing expenses </w:t>
            </w:r>
            <w:r>
              <w:rPr>
                <w:rFonts w:ascii="Times New Roman" w:cs="Times New Roman" w:eastAsia="Times New Roman" w:hAnsi="Times New Roman"/>
                <w:sz w:val="10"/>
                <w:szCs w:val="10"/>
                <w:i w:val="1"/>
                <w:iCs w:val="1"/>
                <w:color w:val="auto"/>
              </w:rPr>
              <w:t>(Including related party transactions of</w:t>
            </w:r>
          </w:p>
        </w:tc>
        <w:tc>
          <w:tcPr>
            <w:tcW w:w="2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21"/>
        </w:trPr>
        <w:tc>
          <w:tcPr>
            <w:tcW w:w="5200" w:type="dxa"/>
            <w:vAlign w:val="bottom"/>
          </w:tcPr>
          <w:p>
            <w:pPr>
              <w:ind w:left="180"/>
              <w:spacing w:after="0"/>
              <w:rPr>
                <w:sz w:val="20"/>
                <w:szCs w:val="20"/>
                <w:color w:val="auto"/>
              </w:rPr>
            </w:pPr>
            <w:r>
              <w:rPr>
                <w:rFonts w:ascii="Times New Roman" w:cs="Times New Roman" w:eastAsia="Times New Roman" w:hAnsi="Times New Roman"/>
                <w:sz w:val="10"/>
                <w:szCs w:val="10"/>
                <w:i w:val="1"/>
                <w:iCs w:val="1"/>
                <w:color w:val="auto"/>
              </w:rPr>
              <w:t>2,072,224 and 869,777 refer to Note 14)</w:t>
            </w:r>
          </w:p>
        </w:tc>
        <w:tc>
          <w:tcPr>
            <w:tcW w:w="2320" w:type="dxa"/>
            <w:vAlign w:val="bottom"/>
          </w:tcPr>
          <w:p>
            <w:pPr>
              <w:spacing w:after="0"/>
              <w:rPr>
                <w:sz w:val="10"/>
                <w:szCs w:val="10"/>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6,731,254</w:t>
            </w:r>
          </w:p>
        </w:tc>
        <w:tc>
          <w:tcPr>
            <w:tcW w:w="340" w:type="dxa"/>
            <w:vAlign w:val="bottom"/>
          </w:tcPr>
          <w:p>
            <w:pPr>
              <w:spacing w:after="0"/>
              <w:rPr>
                <w:sz w:val="10"/>
                <w:szCs w:val="10"/>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4,338,557</w:t>
            </w:r>
          </w:p>
        </w:tc>
      </w:tr>
      <w:tr>
        <w:trPr>
          <w:trHeight w:val="104"/>
        </w:trPr>
        <w:tc>
          <w:tcPr>
            <w:tcW w:w="5200" w:type="dxa"/>
            <w:vAlign w:val="bottom"/>
            <w:shd w:val="clear" w:color="auto" w:fill="CFF0FC"/>
          </w:tcPr>
          <w:p>
            <w:pPr>
              <w:ind w:left="100"/>
              <w:spacing w:after="0" w:line="104" w:lineRule="exact"/>
              <w:rPr>
                <w:sz w:val="20"/>
                <w:szCs w:val="20"/>
                <w:color w:val="auto"/>
              </w:rPr>
            </w:pPr>
            <w:r>
              <w:rPr>
                <w:rFonts w:ascii="Times New Roman" w:cs="Times New Roman" w:eastAsia="Times New Roman" w:hAnsi="Times New Roman"/>
                <w:sz w:val="10"/>
                <w:szCs w:val="10"/>
                <w:color w:val="auto"/>
              </w:rPr>
              <w:t xml:space="preserve">General and administrative expenses </w:t>
            </w:r>
            <w:r>
              <w:rPr>
                <w:rFonts w:ascii="Times New Roman" w:cs="Times New Roman" w:eastAsia="Times New Roman" w:hAnsi="Times New Roman"/>
                <w:sz w:val="10"/>
                <w:szCs w:val="10"/>
                <w:i w:val="1"/>
                <w:iCs w:val="1"/>
                <w:color w:val="auto"/>
              </w:rPr>
              <w:t>(Including related party transactions of</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r>
      <w:tr>
        <w:trPr>
          <w:trHeight w:val="121"/>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0"/>
                <w:szCs w:val="10"/>
                <w:i w:val="1"/>
                <w:iCs w:val="1"/>
                <w:color w:val="auto"/>
              </w:rPr>
              <w:t>3,831,291 and 41,231,704, refer to Note 14)</w:t>
            </w:r>
          </w:p>
        </w:tc>
        <w:tc>
          <w:tcPr>
            <w:tcW w:w="2320" w:type="dxa"/>
            <w:vAlign w:val="bottom"/>
            <w:shd w:val="clear" w:color="auto" w:fill="CFF0FC"/>
          </w:tcPr>
          <w:p>
            <w:pPr>
              <w:spacing w:after="0"/>
              <w:rPr>
                <w:sz w:val="10"/>
                <w:szCs w:val="10"/>
                <w:color w:val="auto"/>
              </w:rPr>
            </w:pPr>
          </w:p>
        </w:tc>
        <w:tc>
          <w:tcPr>
            <w:tcW w:w="14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17,986,528</w:t>
            </w:r>
          </w:p>
        </w:tc>
        <w:tc>
          <w:tcPr>
            <w:tcW w:w="340" w:type="dxa"/>
            <w:vAlign w:val="bottom"/>
            <w:shd w:val="clear" w:color="auto" w:fill="CFF0FC"/>
          </w:tcPr>
          <w:p>
            <w:pPr>
              <w:spacing w:after="0"/>
              <w:rPr>
                <w:sz w:val="10"/>
                <w:szCs w:val="10"/>
                <w:color w:val="auto"/>
              </w:rPr>
            </w:pPr>
          </w:p>
        </w:tc>
        <w:tc>
          <w:tcPr>
            <w:tcW w:w="13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86,640,500</w:t>
            </w:r>
          </w:p>
        </w:tc>
      </w:tr>
      <w:tr>
        <w:trPr>
          <w:trHeight w:val="113"/>
        </w:trPr>
        <w:tc>
          <w:tcPr>
            <w:tcW w:w="52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Other operating expenses</w:t>
            </w:r>
          </w:p>
        </w:tc>
        <w:tc>
          <w:tcPr>
            <w:tcW w:w="2320" w:type="dxa"/>
            <w:vAlign w:val="bottom"/>
          </w:tcPr>
          <w:p>
            <w:pPr>
              <w:spacing w:after="0"/>
              <w:rPr>
                <w:sz w:val="9"/>
                <w:szCs w:val="9"/>
                <w:color w:val="auto"/>
              </w:rPr>
            </w:pPr>
          </w:p>
        </w:tc>
        <w:tc>
          <w:tcPr>
            <w:tcW w:w="1420" w:type="dxa"/>
            <w:vAlign w:val="bottom"/>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1,156,316</w:t>
            </w:r>
          </w:p>
        </w:tc>
        <w:tc>
          <w:tcPr>
            <w:tcW w:w="34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334,952</w:t>
            </w:r>
          </w:p>
        </w:tc>
      </w:tr>
      <w:tr>
        <w:trPr>
          <w:trHeight w:val="113"/>
        </w:trPr>
        <w:tc>
          <w:tcPr>
            <w:tcW w:w="52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Depreciation and amortization expenses</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242,436</w:t>
            </w: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235,797</w:t>
            </w:r>
          </w:p>
        </w:tc>
      </w:tr>
      <w:tr>
        <w:trPr>
          <w:trHeight w:val="113"/>
        </w:trPr>
        <w:tc>
          <w:tcPr>
            <w:tcW w:w="52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Impairment of investment in ANY</w:t>
            </w:r>
          </w:p>
        </w:tc>
        <w:tc>
          <w:tcPr>
            <w:tcW w:w="2320" w:type="dxa"/>
            <w:vAlign w:val="bottom"/>
          </w:tcPr>
          <w:p>
            <w:pPr>
              <w:spacing w:after="0"/>
              <w:rPr>
                <w:sz w:val="9"/>
                <w:szCs w:val="9"/>
                <w:color w:val="auto"/>
              </w:rPr>
            </w:pPr>
          </w:p>
        </w:tc>
        <w:tc>
          <w:tcPr>
            <w:tcW w:w="1420" w:type="dxa"/>
            <w:vAlign w:val="bottom"/>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spacing w:after="0"/>
              <w:rPr>
                <w:sz w:val="9"/>
                <w:szCs w:val="9"/>
                <w:color w:val="auto"/>
              </w:rPr>
            </w:pPr>
          </w:p>
        </w:tc>
        <w:tc>
          <w:tcPr>
            <w:tcW w:w="134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14,822,022</w:t>
            </w:r>
          </w:p>
        </w:tc>
      </w:tr>
      <w:tr>
        <w:trPr>
          <w:trHeight w:val="113"/>
        </w:trPr>
        <w:tc>
          <w:tcPr>
            <w:tcW w:w="52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Impairment of goodwill</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44,438</w:t>
            </w:r>
          </w:p>
        </w:tc>
      </w:tr>
      <w:tr>
        <w:trPr>
          <w:trHeight w:val="113"/>
        </w:trPr>
        <w:tc>
          <w:tcPr>
            <w:tcW w:w="52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operating expenses</w:t>
            </w:r>
          </w:p>
        </w:tc>
        <w:tc>
          <w:tcPr>
            <w:tcW w:w="2320" w:type="dxa"/>
            <w:vAlign w:val="bottom"/>
          </w:tcPr>
          <w:p>
            <w:pPr>
              <w:spacing w:after="0"/>
              <w:rPr>
                <w:sz w:val="9"/>
                <w:szCs w:val="9"/>
                <w:color w:val="auto"/>
              </w:rPr>
            </w:pPr>
          </w:p>
        </w:tc>
        <w:tc>
          <w:tcPr>
            <w:tcW w:w="1420" w:type="dxa"/>
            <w:vAlign w:val="bottom"/>
          </w:tcPr>
          <w:p>
            <w:pPr>
              <w:jc w:val="right"/>
              <w:ind w:right="132"/>
              <w:spacing w:after="0" w:line="113" w:lineRule="exact"/>
              <w:rPr>
                <w:sz w:val="20"/>
                <w:szCs w:val="20"/>
                <w:color w:val="auto"/>
              </w:rPr>
            </w:pPr>
            <w:r>
              <w:rPr>
                <w:rFonts w:ascii="Times New Roman" w:cs="Times New Roman" w:eastAsia="Times New Roman" w:hAnsi="Times New Roman"/>
                <w:sz w:val="10"/>
                <w:szCs w:val="10"/>
                <w:b w:val="1"/>
                <w:bCs w:val="1"/>
                <w:color w:val="auto"/>
              </w:rPr>
              <w:t>26,151,325</w:t>
            </w:r>
          </w:p>
        </w:tc>
        <w:tc>
          <w:tcPr>
            <w:tcW w:w="34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107,161,306</w:t>
            </w:r>
          </w:p>
        </w:tc>
      </w:tr>
      <w:tr>
        <w:trPr>
          <w:trHeight w:val="113"/>
        </w:trPr>
        <w:tc>
          <w:tcPr>
            <w:tcW w:w="5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Operating loss</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(26,006,274 )</w:t>
            </w: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(107,046,147 )</w:t>
            </w:r>
          </w:p>
        </w:tc>
      </w:tr>
      <w:tr>
        <w:trPr>
          <w:trHeight w:val="113"/>
        </w:trPr>
        <w:tc>
          <w:tcPr>
            <w:tcW w:w="52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Other expenses</w:t>
            </w:r>
          </w:p>
        </w:tc>
        <w:tc>
          <w:tcPr>
            <w:tcW w:w="2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3"/>
        </w:trPr>
        <w:tc>
          <w:tcPr>
            <w:tcW w:w="5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(4,791,782 )</w:t>
            </w: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(3,884,695 )</w:t>
            </w:r>
          </w:p>
        </w:tc>
      </w:tr>
      <w:tr>
        <w:trPr>
          <w:trHeight w:val="113"/>
        </w:trPr>
        <w:tc>
          <w:tcPr>
            <w:tcW w:w="52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Other non-operating income (expense), net</w:t>
            </w:r>
          </w:p>
        </w:tc>
        <w:tc>
          <w:tcPr>
            <w:tcW w:w="2320" w:type="dxa"/>
            <w:vAlign w:val="bottom"/>
          </w:tcPr>
          <w:p>
            <w:pPr>
              <w:spacing w:after="0"/>
              <w:rPr>
                <w:sz w:val="9"/>
                <w:szCs w:val="9"/>
                <w:color w:val="auto"/>
              </w:rPr>
            </w:pPr>
          </w:p>
        </w:tc>
        <w:tc>
          <w:tcPr>
            <w:tcW w:w="1420" w:type="dxa"/>
            <w:vAlign w:val="bottom"/>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125,366</w:t>
            </w:r>
          </w:p>
        </w:tc>
        <w:tc>
          <w:tcPr>
            <w:tcW w:w="34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256,659</w:t>
            </w:r>
          </w:p>
        </w:tc>
      </w:tr>
      <w:tr>
        <w:trPr>
          <w:trHeight w:val="113"/>
        </w:trPr>
        <w:tc>
          <w:tcPr>
            <w:tcW w:w="5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other expenses, net</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(4,666,416 )</w:t>
            </w: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(3,628,036 )</w:t>
            </w:r>
          </w:p>
        </w:tc>
      </w:tr>
      <w:tr>
        <w:trPr>
          <w:trHeight w:val="113"/>
        </w:trPr>
        <w:tc>
          <w:tcPr>
            <w:tcW w:w="52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Loss before taxes</w:t>
            </w:r>
          </w:p>
        </w:tc>
        <w:tc>
          <w:tcPr>
            <w:tcW w:w="2320" w:type="dxa"/>
            <w:vAlign w:val="bottom"/>
          </w:tcPr>
          <w:p>
            <w:pPr>
              <w:spacing w:after="0"/>
              <w:rPr>
                <w:sz w:val="9"/>
                <w:szCs w:val="9"/>
                <w:color w:val="auto"/>
              </w:rPr>
            </w:pPr>
          </w:p>
        </w:tc>
        <w:tc>
          <w:tcPr>
            <w:tcW w:w="142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(30,672,690 )</w:t>
            </w:r>
          </w:p>
        </w:tc>
        <w:tc>
          <w:tcPr>
            <w:tcW w:w="340" w:type="dxa"/>
            <w:vAlign w:val="bottom"/>
          </w:tcPr>
          <w:p>
            <w:pPr>
              <w:spacing w:after="0"/>
              <w:rPr>
                <w:sz w:val="9"/>
                <w:szCs w:val="9"/>
                <w:color w:val="auto"/>
              </w:rPr>
            </w:pPr>
          </w:p>
        </w:tc>
        <w:tc>
          <w:tcPr>
            <w:tcW w:w="13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(110,674,183 )</w:t>
            </w:r>
          </w:p>
        </w:tc>
      </w:tr>
      <w:tr>
        <w:trPr>
          <w:trHeight w:val="113"/>
        </w:trPr>
        <w:tc>
          <w:tcPr>
            <w:tcW w:w="5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 expense</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(63,408 )</w:t>
            </w: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(38,765 )</w:t>
            </w:r>
          </w:p>
        </w:tc>
      </w:tr>
      <w:tr>
        <w:trPr>
          <w:trHeight w:val="113"/>
        </w:trPr>
        <w:tc>
          <w:tcPr>
            <w:tcW w:w="52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 for the year</w:t>
            </w:r>
          </w:p>
        </w:tc>
        <w:tc>
          <w:tcPr>
            <w:tcW w:w="232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42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(30,736,098 )</w:t>
            </w:r>
          </w:p>
        </w:tc>
        <w:tc>
          <w:tcPr>
            <w:tcW w:w="34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3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(110,712,948 )</w:t>
            </w:r>
          </w:p>
        </w:tc>
      </w:tr>
      <w:tr>
        <w:trPr>
          <w:trHeight w:val="113"/>
        </w:trPr>
        <w:tc>
          <w:tcPr>
            <w:tcW w:w="5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 per share – Basic and diluted</w:t>
            </w:r>
          </w:p>
        </w:tc>
        <w:tc>
          <w:tcPr>
            <w:tcW w:w="232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2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(0.03 )</w:t>
            </w:r>
          </w:p>
        </w:tc>
        <w:tc>
          <w:tcPr>
            <w:tcW w:w="34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(0.12 )</w:t>
            </w:r>
          </w:p>
        </w:tc>
      </w:tr>
      <w:tr>
        <w:trPr>
          <w:trHeight w:val="125"/>
        </w:trPr>
        <w:tc>
          <w:tcPr>
            <w:tcW w:w="5200" w:type="dxa"/>
            <w:vAlign w:val="bottom"/>
          </w:tcPr>
          <w:p>
            <w:pPr>
              <w:spacing w:after="0"/>
              <w:rPr>
                <w:sz w:val="20"/>
                <w:szCs w:val="20"/>
                <w:color w:val="auto"/>
              </w:rPr>
            </w:pPr>
            <w:r>
              <w:rPr>
                <w:rFonts w:ascii="Times New Roman" w:cs="Times New Roman" w:eastAsia="Times New Roman" w:hAnsi="Times New Roman"/>
                <w:sz w:val="10"/>
                <w:szCs w:val="10"/>
                <w:color w:val="auto"/>
              </w:rPr>
              <w:t>Weighted average number of shares – Basic and diluted</w:t>
            </w:r>
          </w:p>
        </w:tc>
        <w:tc>
          <w:tcPr>
            <w:tcW w:w="2320" w:type="dxa"/>
            <w:vAlign w:val="bottom"/>
          </w:tcPr>
          <w:p>
            <w:pPr>
              <w:spacing w:after="0"/>
              <w:rPr>
                <w:sz w:val="10"/>
                <w:szCs w:val="10"/>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927,204,508</w:t>
            </w:r>
          </w:p>
        </w:tc>
        <w:tc>
          <w:tcPr>
            <w:tcW w:w="340" w:type="dxa"/>
            <w:vAlign w:val="bottom"/>
          </w:tcPr>
          <w:p>
            <w:pPr>
              <w:spacing w:after="0"/>
              <w:rPr>
                <w:sz w:val="10"/>
                <w:szCs w:val="10"/>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913,109,577</w:t>
            </w:r>
          </w:p>
        </w:tc>
      </w:tr>
    </w:tbl>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Carve-out Consolidated Statements of Comprehensive Loss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2400" w:type="dxa"/>
            <w:vAlign w:val="bottom"/>
          </w:tcPr>
          <w:p>
            <w:pPr>
              <w:spacing w:after="0"/>
              <w:rPr>
                <w:sz w:val="8"/>
                <w:szCs w:val="8"/>
                <w:color w:val="auto"/>
              </w:rPr>
            </w:pPr>
          </w:p>
        </w:tc>
        <w:tc>
          <w:tcPr>
            <w:tcW w:w="4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8"/>
                <w:szCs w:val="8"/>
                <w:b w:val="1"/>
                <w:bCs w:val="1"/>
                <w:color w:val="auto"/>
              </w:rPr>
              <w:t>Year ended</w:t>
            </w:r>
          </w:p>
        </w:tc>
        <w:tc>
          <w:tcPr>
            <w:tcW w:w="220" w:type="dxa"/>
            <w:vAlign w:val="bottom"/>
          </w:tcPr>
          <w:p>
            <w:pPr>
              <w:spacing w:after="0"/>
              <w:rPr>
                <w:sz w:val="8"/>
                <w:szCs w:val="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Year ended</w:t>
            </w:r>
          </w:p>
        </w:tc>
      </w:tr>
      <w:tr>
        <w:trPr>
          <w:trHeight w:val="98"/>
        </w:trPr>
        <w:tc>
          <w:tcPr>
            <w:tcW w:w="2400" w:type="dxa"/>
            <w:vAlign w:val="bottom"/>
          </w:tcPr>
          <w:p>
            <w:pPr>
              <w:spacing w:after="0"/>
              <w:rPr>
                <w:sz w:val="8"/>
                <w:szCs w:val="8"/>
                <w:color w:val="auto"/>
              </w:rPr>
            </w:pPr>
          </w:p>
        </w:tc>
        <w:tc>
          <w:tcPr>
            <w:tcW w:w="4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20" w:type="dxa"/>
            <w:vAlign w:val="bottom"/>
          </w:tcPr>
          <w:p>
            <w:pPr>
              <w:spacing w:after="0"/>
              <w:rPr>
                <w:sz w:val="8"/>
                <w:szCs w:val="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2400" w:type="dxa"/>
            <w:vAlign w:val="bottom"/>
          </w:tcPr>
          <w:p>
            <w:pPr>
              <w:spacing w:after="0"/>
              <w:rPr>
                <w:sz w:val="9"/>
                <w:szCs w:val="9"/>
                <w:color w:val="auto"/>
              </w:rPr>
            </w:pPr>
          </w:p>
        </w:tc>
        <w:tc>
          <w:tcPr>
            <w:tcW w:w="4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220" w:type="dxa"/>
            <w:vAlign w:val="bottom"/>
          </w:tcPr>
          <w:p>
            <w:pPr>
              <w:spacing w:after="0"/>
              <w:rPr>
                <w:sz w:val="9"/>
                <w:szCs w:val="9"/>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2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w:t>
            </w:r>
          </w:p>
        </w:tc>
        <w:tc>
          <w:tcPr>
            <w:tcW w:w="5120" w:type="dxa"/>
            <w:vAlign w:val="bottom"/>
            <w:gridSpan w:val="2"/>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54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(30,736,098 )</w:t>
            </w:r>
          </w:p>
        </w:tc>
        <w:tc>
          <w:tcPr>
            <w:tcW w:w="2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(110,712,948 )</w:t>
            </w:r>
          </w:p>
        </w:tc>
      </w:tr>
      <w:tr>
        <w:trPr>
          <w:trHeight w:val="113"/>
        </w:trPr>
        <w:tc>
          <w:tcPr>
            <w:tcW w:w="24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Other comprehensive loss, net of tax</w:t>
            </w:r>
          </w:p>
        </w:tc>
        <w:tc>
          <w:tcPr>
            <w:tcW w:w="4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2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Foreign currency translation loss</w:t>
            </w:r>
          </w:p>
        </w:tc>
        <w:tc>
          <w:tcPr>
            <w:tcW w:w="48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54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(69,565 )</w:t>
            </w:r>
          </w:p>
        </w:tc>
        <w:tc>
          <w:tcPr>
            <w:tcW w:w="220" w:type="dxa"/>
            <w:vAlign w:val="bottom"/>
            <w:shd w:val="clear" w:color="auto" w:fill="CFF0FC"/>
          </w:tcPr>
          <w:p>
            <w:pPr>
              <w:spacing w:after="0"/>
              <w:rPr>
                <w:sz w:val="9"/>
                <w:szCs w:val="9"/>
                <w:color w:val="auto"/>
              </w:rPr>
            </w:pPr>
          </w:p>
        </w:tc>
        <w:tc>
          <w:tcPr>
            <w:tcW w:w="13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(87,941 )</w:t>
            </w:r>
          </w:p>
        </w:tc>
      </w:tr>
      <w:tr>
        <w:trPr>
          <w:trHeight w:val="115"/>
        </w:trPr>
        <w:tc>
          <w:tcPr>
            <w:tcW w:w="240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Total comprehensive loss</w:t>
            </w:r>
          </w:p>
        </w:tc>
        <w:tc>
          <w:tcPr>
            <w:tcW w:w="4880" w:type="dxa"/>
            <w:vAlign w:val="bottom"/>
          </w:tcPr>
          <w:p>
            <w:pPr>
              <w:spacing w:after="0"/>
              <w:rPr>
                <w:sz w:val="10"/>
                <w:szCs w:val="10"/>
                <w:color w:val="auto"/>
              </w:rPr>
            </w:pPr>
          </w:p>
        </w:tc>
        <w:tc>
          <w:tcPr>
            <w:tcW w:w="240" w:type="dxa"/>
            <w:vAlign w:val="bottom"/>
          </w:tcPr>
          <w:p>
            <w:pPr>
              <w:jc w:val="right"/>
              <w:ind w:right="13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540" w:type="dxa"/>
            <w:vAlign w:val="bottom"/>
            <w:gridSpan w:val="2"/>
          </w:tcPr>
          <w:p>
            <w:pPr>
              <w:jc w:val="right"/>
              <w:ind w:right="24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(30,805,663 </w:t>
            </w:r>
            <w:r>
              <w:rPr>
                <w:rFonts w:ascii="Times New Roman" w:cs="Times New Roman" w:eastAsia="Times New Roman" w:hAnsi="Times New Roman"/>
                <w:sz w:val="10"/>
                <w:szCs w:val="10"/>
                <w:b w:val="1"/>
                <w:bCs w:val="1"/>
                <w:color w:val="auto"/>
                <w:vertAlign w:val="subscript"/>
              </w:rPr>
              <w:t>)</w:t>
            </w:r>
          </w:p>
        </w:tc>
        <w:tc>
          <w:tcPr>
            <w:tcW w:w="220" w:type="dxa"/>
            <w:vAlign w:val="bottom"/>
          </w:tcPr>
          <w:p>
            <w:pPr>
              <w:jc w:val="right"/>
              <w:ind w:right="1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40" w:type="dxa"/>
            <w:vAlign w:val="bottom"/>
            <w:gridSpan w:val="2"/>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(110,800,889 </w:t>
            </w:r>
            <w:r>
              <w:rPr>
                <w:rFonts w:ascii="Times New Roman" w:cs="Times New Roman" w:eastAsia="Times New Roman" w:hAnsi="Times New Roman"/>
                <w:sz w:val="10"/>
                <w:szCs w:val="10"/>
                <w:b w:val="1"/>
                <w:bCs w:val="1"/>
                <w:color w:val="auto"/>
                <w:vertAlign w:val="subscript"/>
              </w:rPr>
              <w:t>)</w:t>
            </w:r>
          </w:p>
        </w:tc>
      </w:tr>
      <w:tr>
        <w:trPr>
          <w:trHeight w:val="261"/>
        </w:trPr>
        <w:tc>
          <w:tcPr>
            <w:tcW w:w="2400" w:type="dxa"/>
            <w:vAlign w:val="bottom"/>
          </w:tcPr>
          <w:p>
            <w:pPr>
              <w:spacing w:after="0"/>
              <w:rPr>
                <w:sz w:val="22"/>
                <w:szCs w:val="22"/>
                <w:color w:val="auto"/>
              </w:rPr>
            </w:pPr>
          </w:p>
        </w:tc>
        <w:tc>
          <w:tcPr>
            <w:tcW w:w="4880" w:type="dxa"/>
            <w:vAlign w:val="bottom"/>
          </w:tcPr>
          <w:p>
            <w:pPr>
              <w:jc w:val="right"/>
              <w:ind w:right="11"/>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carve-out consolidated financial statements.</w:t>
            </w:r>
          </w:p>
        </w:tc>
        <w:tc>
          <w:tcPr>
            <w:tcW w:w="2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3"/>
        </w:trPr>
        <w:tc>
          <w:tcPr>
            <w:tcW w:w="2400" w:type="dxa"/>
            <w:vAlign w:val="bottom"/>
          </w:tcPr>
          <w:p>
            <w:pPr>
              <w:spacing w:after="0"/>
              <w:rPr>
                <w:sz w:val="20"/>
                <w:szCs w:val="20"/>
                <w:color w:val="auto"/>
              </w:rPr>
            </w:pPr>
          </w:p>
        </w:tc>
        <w:tc>
          <w:tcPr>
            <w:tcW w:w="5120" w:type="dxa"/>
            <w:vAlign w:val="bottom"/>
            <w:gridSpan w:val="2"/>
          </w:tcPr>
          <w:p>
            <w:pPr>
              <w:jc w:val="right"/>
              <w:ind w:right="2071"/>
              <w:spacing w:after="0"/>
              <w:rPr>
                <w:sz w:val="20"/>
                <w:szCs w:val="20"/>
                <w:color w:val="auto"/>
              </w:rPr>
            </w:pPr>
            <w:r>
              <w:rPr>
                <w:rFonts w:ascii="Times New Roman" w:cs="Times New Roman" w:eastAsia="Times New Roman" w:hAnsi="Times New Roman"/>
                <w:sz w:val="10"/>
                <w:szCs w:val="10"/>
                <w:color w:val="auto"/>
              </w:rPr>
              <w:t>F-30</w:t>
            </w: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2"/>
        </w:trPr>
        <w:tc>
          <w:tcPr>
            <w:tcW w:w="2400" w:type="dxa"/>
            <w:vAlign w:val="bottom"/>
            <w:tcBorders>
              <w:bottom w:val="single" w:sz="8" w:color="EEEEEE"/>
            </w:tcBorders>
          </w:tcPr>
          <w:p>
            <w:pPr>
              <w:spacing w:after="0"/>
              <w:rPr>
                <w:sz w:val="24"/>
                <w:szCs w:val="24"/>
                <w:color w:val="auto"/>
              </w:rPr>
            </w:pPr>
          </w:p>
        </w:tc>
        <w:tc>
          <w:tcPr>
            <w:tcW w:w="488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2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Carve-out Consolidated Statements of Changes in Shareholders’ Deficit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83"/>
        </w:trPr>
        <w:tc>
          <w:tcPr>
            <w:tcW w:w="2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gridSpan w:val="2"/>
          </w:tcPr>
          <w:p>
            <w:pPr>
              <w:jc w:val="center"/>
              <w:ind w:right="214"/>
              <w:spacing w:after="0"/>
              <w:rPr>
                <w:sz w:val="20"/>
                <w:szCs w:val="20"/>
                <w:color w:val="auto"/>
              </w:rPr>
            </w:pPr>
            <w:r>
              <w:rPr>
                <w:rFonts w:ascii="Times New Roman" w:cs="Times New Roman" w:eastAsia="Times New Roman" w:hAnsi="Times New Roman"/>
                <w:sz w:val="7"/>
                <w:szCs w:val="7"/>
                <w:b w:val="1"/>
                <w:bCs w:val="1"/>
                <w:color w:val="auto"/>
                <w:w w:val="95"/>
              </w:rPr>
              <w:t>Accumulated</w:t>
            </w: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3"/>
        </w:trPr>
        <w:tc>
          <w:tcPr>
            <w:tcW w:w="2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rPr>
              <w:t>Additional</w:t>
            </w: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gridSpan w:val="2"/>
          </w:tcPr>
          <w:p>
            <w:pPr>
              <w:jc w:val="center"/>
              <w:ind w:right="166"/>
              <w:spacing w:after="0"/>
              <w:rPr>
                <w:sz w:val="20"/>
                <w:szCs w:val="20"/>
                <w:color w:val="auto"/>
              </w:rPr>
            </w:pPr>
            <w:r>
              <w:rPr>
                <w:rFonts w:ascii="Times New Roman" w:cs="Times New Roman" w:eastAsia="Times New Roman" w:hAnsi="Times New Roman"/>
                <w:sz w:val="7"/>
                <w:szCs w:val="7"/>
                <w:b w:val="1"/>
                <w:bCs w:val="1"/>
                <w:color w:val="auto"/>
                <w:w w:val="91"/>
              </w:rPr>
              <w:t>Share</w:t>
            </w:r>
          </w:p>
        </w:tc>
        <w:tc>
          <w:tcPr>
            <w:tcW w:w="1120" w:type="dxa"/>
            <w:vAlign w:val="bottom"/>
            <w:gridSpan w:val="2"/>
          </w:tcPr>
          <w:p>
            <w:pPr>
              <w:jc w:val="center"/>
              <w:ind w:right="194"/>
              <w:spacing w:after="0"/>
              <w:rPr>
                <w:sz w:val="20"/>
                <w:szCs w:val="20"/>
                <w:color w:val="auto"/>
              </w:rPr>
            </w:pPr>
            <w:r>
              <w:rPr>
                <w:rFonts w:ascii="Times New Roman" w:cs="Times New Roman" w:eastAsia="Times New Roman" w:hAnsi="Times New Roman"/>
                <w:sz w:val="7"/>
                <w:szCs w:val="7"/>
                <w:b w:val="1"/>
                <w:bCs w:val="1"/>
                <w:color w:val="auto"/>
              </w:rPr>
              <w:t>other</w:t>
            </w:r>
          </w:p>
        </w:tc>
        <w:tc>
          <w:tcPr>
            <w:tcW w:w="1040" w:type="dxa"/>
            <w:vAlign w:val="bottom"/>
            <w:gridSpan w:val="2"/>
          </w:tcPr>
          <w:p>
            <w:pPr>
              <w:jc w:val="center"/>
              <w:ind w:right="94"/>
              <w:spacing w:after="0"/>
              <w:rPr>
                <w:sz w:val="20"/>
                <w:szCs w:val="20"/>
                <w:color w:val="auto"/>
              </w:rPr>
            </w:pPr>
            <w:r>
              <w:rPr>
                <w:rFonts w:ascii="Times New Roman" w:cs="Times New Roman" w:eastAsia="Times New Roman" w:hAnsi="Times New Roman"/>
                <w:sz w:val="7"/>
                <w:szCs w:val="7"/>
                <w:b w:val="1"/>
                <w:bCs w:val="1"/>
                <w:color w:val="auto"/>
                <w:w w:val="87"/>
              </w:rPr>
              <w:t>Total</w:t>
            </w:r>
          </w:p>
        </w:tc>
      </w:tr>
      <w:tr>
        <w:trPr>
          <w:trHeight w:val="83"/>
        </w:trPr>
        <w:tc>
          <w:tcPr>
            <w:tcW w:w="2200" w:type="dxa"/>
            <w:vAlign w:val="bottom"/>
          </w:tcPr>
          <w:p>
            <w:pPr>
              <w:spacing w:after="0"/>
              <w:rPr>
                <w:sz w:val="7"/>
                <w:szCs w:val="7"/>
                <w:color w:val="auto"/>
              </w:rPr>
            </w:pPr>
          </w:p>
        </w:tc>
        <w:tc>
          <w:tcPr>
            <w:tcW w:w="1100" w:type="dxa"/>
            <w:vAlign w:val="bottom"/>
            <w:gridSpan w:val="3"/>
          </w:tcPr>
          <w:p>
            <w:pPr>
              <w:ind w:left="580"/>
              <w:spacing w:after="0"/>
              <w:rPr>
                <w:sz w:val="20"/>
                <w:szCs w:val="20"/>
                <w:color w:val="auto"/>
              </w:rPr>
            </w:pPr>
            <w:r>
              <w:rPr>
                <w:rFonts w:ascii="Times New Roman" w:cs="Times New Roman" w:eastAsia="Times New Roman" w:hAnsi="Times New Roman"/>
                <w:sz w:val="7"/>
                <w:szCs w:val="7"/>
                <w:b w:val="1"/>
                <w:bCs w:val="1"/>
                <w:color w:val="auto"/>
              </w:rPr>
              <w:t>Ordinary shares</w:t>
            </w: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gridSpan w:val="3"/>
          </w:tcPr>
          <w:p>
            <w:pPr>
              <w:ind w:left="480"/>
              <w:spacing w:after="0"/>
              <w:rPr>
                <w:sz w:val="20"/>
                <w:szCs w:val="20"/>
                <w:color w:val="auto"/>
              </w:rPr>
            </w:pPr>
            <w:r>
              <w:rPr>
                <w:rFonts w:ascii="Times New Roman" w:cs="Times New Roman" w:eastAsia="Times New Roman" w:hAnsi="Times New Roman"/>
                <w:sz w:val="7"/>
                <w:szCs w:val="7"/>
                <w:b w:val="1"/>
                <w:bCs w:val="1"/>
                <w:color w:val="auto"/>
              </w:rPr>
              <w:t>Series A shares</w:t>
            </w: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w w:val="93"/>
              </w:rPr>
              <w:t>paid-in</w:t>
            </w:r>
          </w:p>
        </w:tc>
        <w:tc>
          <w:tcPr>
            <w:tcW w:w="940" w:type="dxa"/>
            <w:vAlign w:val="bottom"/>
            <w:gridSpan w:val="2"/>
          </w:tcPr>
          <w:p>
            <w:pPr>
              <w:jc w:val="right"/>
              <w:ind w:right="374"/>
              <w:spacing w:after="0"/>
              <w:rPr>
                <w:sz w:val="20"/>
                <w:szCs w:val="20"/>
                <w:color w:val="auto"/>
              </w:rPr>
            </w:pPr>
            <w:r>
              <w:rPr>
                <w:rFonts w:ascii="Times New Roman" w:cs="Times New Roman" w:eastAsia="Times New Roman" w:hAnsi="Times New Roman"/>
                <w:sz w:val="7"/>
                <w:szCs w:val="7"/>
                <w:b w:val="1"/>
                <w:bCs w:val="1"/>
                <w:color w:val="auto"/>
              </w:rPr>
              <w:t>Accumulated</w:t>
            </w:r>
          </w:p>
        </w:tc>
        <w:tc>
          <w:tcPr>
            <w:tcW w:w="960" w:type="dxa"/>
            <w:vAlign w:val="bottom"/>
            <w:gridSpan w:val="2"/>
          </w:tcPr>
          <w:p>
            <w:pPr>
              <w:jc w:val="center"/>
              <w:ind w:right="166"/>
              <w:spacing w:after="0"/>
              <w:rPr>
                <w:sz w:val="20"/>
                <w:szCs w:val="20"/>
                <w:color w:val="auto"/>
              </w:rPr>
            </w:pPr>
            <w:r>
              <w:rPr>
                <w:rFonts w:ascii="Times New Roman" w:cs="Times New Roman" w:eastAsia="Times New Roman" w:hAnsi="Times New Roman"/>
                <w:sz w:val="7"/>
                <w:szCs w:val="7"/>
                <w:b w:val="1"/>
                <w:bCs w:val="1"/>
                <w:color w:val="auto"/>
                <w:w w:val="97"/>
              </w:rPr>
              <w:t>subscription</w:t>
            </w:r>
          </w:p>
        </w:tc>
        <w:tc>
          <w:tcPr>
            <w:tcW w:w="1120" w:type="dxa"/>
            <w:vAlign w:val="bottom"/>
            <w:gridSpan w:val="2"/>
          </w:tcPr>
          <w:p>
            <w:pPr>
              <w:jc w:val="center"/>
              <w:ind w:right="194"/>
              <w:spacing w:after="0"/>
              <w:rPr>
                <w:sz w:val="20"/>
                <w:szCs w:val="20"/>
                <w:color w:val="auto"/>
              </w:rPr>
            </w:pPr>
            <w:r>
              <w:rPr>
                <w:rFonts w:ascii="Times New Roman" w:cs="Times New Roman" w:eastAsia="Times New Roman" w:hAnsi="Times New Roman"/>
                <w:sz w:val="7"/>
                <w:szCs w:val="7"/>
                <w:b w:val="1"/>
                <w:bCs w:val="1"/>
                <w:color w:val="auto"/>
                <w:w w:val="98"/>
              </w:rPr>
              <w:t>comprehensive</w:t>
            </w:r>
          </w:p>
        </w:tc>
        <w:tc>
          <w:tcPr>
            <w:tcW w:w="1040" w:type="dxa"/>
            <w:vAlign w:val="bottom"/>
            <w:gridSpan w:val="2"/>
          </w:tcPr>
          <w:p>
            <w:pPr>
              <w:jc w:val="center"/>
              <w:ind w:right="94"/>
              <w:spacing w:after="0"/>
              <w:rPr>
                <w:sz w:val="20"/>
                <w:szCs w:val="20"/>
                <w:color w:val="auto"/>
              </w:rPr>
            </w:pPr>
            <w:r>
              <w:rPr>
                <w:rFonts w:ascii="Times New Roman" w:cs="Times New Roman" w:eastAsia="Times New Roman" w:hAnsi="Times New Roman"/>
                <w:sz w:val="7"/>
                <w:szCs w:val="7"/>
                <w:b w:val="1"/>
                <w:bCs w:val="1"/>
                <w:color w:val="auto"/>
                <w:w w:val="95"/>
              </w:rPr>
              <w:t>Shareholders</w:t>
            </w:r>
          </w:p>
        </w:tc>
      </w:tr>
      <w:tr>
        <w:trPr>
          <w:trHeight w:val="83"/>
        </w:trPr>
        <w:tc>
          <w:tcPr>
            <w:tcW w:w="2200" w:type="dxa"/>
            <w:vAlign w:val="bottom"/>
          </w:tcPr>
          <w:p>
            <w:pPr>
              <w:spacing w:after="0"/>
              <w:rPr>
                <w:sz w:val="7"/>
                <w:szCs w:val="7"/>
                <w:color w:val="auto"/>
              </w:rPr>
            </w:pPr>
          </w:p>
        </w:tc>
        <w:tc>
          <w:tcPr>
            <w:tcW w:w="1100" w:type="dxa"/>
            <w:vAlign w:val="bottom"/>
            <w:gridSpan w:val="3"/>
          </w:tcPr>
          <w:p>
            <w:pPr>
              <w:ind w:left="260"/>
              <w:spacing w:after="0"/>
              <w:rPr>
                <w:sz w:val="20"/>
                <w:szCs w:val="20"/>
                <w:color w:val="auto"/>
              </w:rPr>
            </w:pPr>
            <w:r>
              <w:rPr>
                <w:rFonts w:ascii="Times New Roman" w:cs="Times New Roman" w:eastAsia="Times New Roman" w:hAnsi="Times New Roman"/>
                <w:sz w:val="7"/>
                <w:szCs w:val="7"/>
                <w:b w:val="1"/>
                <w:bCs w:val="1"/>
                <w:color w:val="auto"/>
              </w:rPr>
              <w:t>Shares</w:t>
            </w:r>
          </w:p>
        </w:tc>
        <w:tc>
          <w:tcPr>
            <w:tcW w:w="740" w:type="dxa"/>
            <w:vAlign w:val="bottom"/>
            <w:gridSpan w:val="2"/>
          </w:tcPr>
          <w:p>
            <w:pPr>
              <w:jc w:val="right"/>
              <w:ind w:right="440"/>
              <w:spacing w:after="0"/>
              <w:rPr>
                <w:sz w:val="20"/>
                <w:szCs w:val="20"/>
                <w:color w:val="auto"/>
              </w:rPr>
            </w:pPr>
            <w:r>
              <w:rPr>
                <w:rFonts w:ascii="Times New Roman" w:cs="Times New Roman" w:eastAsia="Times New Roman" w:hAnsi="Times New Roman"/>
                <w:sz w:val="7"/>
                <w:szCs w:val="7"/>
                <w:b w:val="1"/>
                <w:bCs w:val="1"/>
                <w:color w:val="auto"/>
              </w:rPr>
              <w:t>Amount</w:t>
            </w:r>
          </w:p>
        </w:tc>
        <w:tc>
          <w:tcPr>
            <w:tcW w:w="980" w:type="dxa"/>
            <w:vAlign w:val="bottom"/>
            <w:gridSpan w:val="3"/>
          </w:tcPr>
          <w:p>
            <w:pPr>
              <w:ind w:left="240"/>
              <w:spacing w:after="0"/>
              <w:rPr>
                <w:sz w:val="20"/>
                <w:szCs w:val="20"/>
                <w:color w:val="auto"/>
              </w:rPr>
            </w:pPr>
            <w:r>
              <w:rPr>
                <w:rFonts w:ascii="Times New Roman" w:cs="Times New Roman" w:eastAsia="Times New Roman" w:hAnsi="Times New Roman"/>
                <w:sz w:val="7"/>
                <w:szCs w:val="7"/>
                <w:b w:val="1"/>
                <w:bCs w:val="1"/>
                <w:color w:val="auto"/>
              </w:rPr>
              <w:t>Shares</w:t>
            </w:r>
          </w:p>
        </w:tc>
        <w:tc>
          <w:tcPr>
            <w:tcW w:w="420" w:type="dxa"/>
            <w:vAlign w:val="bottom"/>
          </w:tcPr>
          <w:p>
            <w:pPr>
              <w:jc w:val="right"/>
              <w:ind w:right="106"/>
              <w:spacing w:after="0"/>
              <w:rPr>
                <w:sz w:val="20"/>
                <w:szCs w:val="20"/>
                <w:color w:val="auto"/>
              </w:rPr>
            </w:pPr>
            <w:r>
              <w:rPr>
                <w:rFonts w:ascii="Times New Roman" w:cs="Times New Roman" w:eastAsia="Times New Roman" w:hAnsi="Times New Roman"/>
                <w:sz w:val="7"/>
                <w:szCs w:val="7"/>
                <w:b w:val="1"/>
                <w:bCs w:val="1"/>
                <w:color w:val="auto"/>
              </w:rPr>
              <w:t>Amount</w:t>
            </w:r>
          </w:p>
        </w:tc>
        <w:tc>
          <w:tcPr>
            <w:tcW w:w="220" w:type="dxa"/>
            <w:vAlign w:val="bottom"/>
          </w:tcPr>
          <w:p>
            <w:pPr>
              <w:spacing w:after="0"/>
              <w:rPr>
                <w:sz w:val="7"/>
                <w:szCs w:val="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w w:val="98"/>
              </w:rPr>
              <w:t>capital</w:t>
            </w:r>
          </w:p>
        </w:tc>
        <w:tc>
          <w:tcPr>
            <w:tcW w:w="940" w:type="dxa"/>
            <w:vAlign w:val="bottom"/>
            <w:gridSpan w:val="2"/>
          </w:tcPr>
          <w:p>
            <w:pPr>
              <w:jc w:val="right"/>
              <w:ind w:right="474"/>
              <w:spacing w:after="0"/>
              <w:rPr>
                <w:sz w:val="20"/>
                <w:szCs w:val="20"/>
                <w:color w:val="auto"/>
              </w:rPr>
            </w:pPr>
            <w:r>
              <w:rPr>
                <w:rFonts w:ascii="Times New Roman" w:cs="Times New Roman" w:eastAsia="Times New Roman" w:hAnsi="Times New Roman"/>
                <w:sz w:val="7"/>
                <w:szCs w:val="7"/>
                <w:b w:val="1"/>
                <w:bCs w:val="1"/>
                <w:color w:val="auto"/>
              </w:rPr>
              <w:t>deficit</w:t>
            </w:r>
          </w:p>
        </w:tc>
        <w:tc>
          <w:tcPr>
            <w:tcW w:w="960" w:type="dxa"/>
            <w:vAlign w:val="bottom"/>
            <w:gridSpan w:val="2"/>
          </w:tcPr>
          <w:p>
            <w:pPr>
              <w:jc w:val="center"/>
              <w:ind w:right="166"/>
              <w:spacing w:after="0"/>
              <w:rPr>
                <w:sz w:val="20"/>
                <w:szCs w:val="20"/>
                <w:color w:val="auto"/>
              </w:rPr>
            </w:pPr>
            <w:r>
              <w:rPr>
                <w:rFonts w:ascii="Times New Roman" w:cs="Times New Roman" w:eastAsia="Times New Roman" w:hAnsi="Times New Roman"/>
                <w:sz w:val="7"/>
                <w:szCs w:val="7"/>
                <w:b w:val="1"/>
                <w:bCs w:val="1"/>
                <w:color w:val="auto"/>
                <w:w w:val="92"/>
              </w:rPr>
              <w:t>receivable</w:t>
            </w:r>
          </w:p>
        </w:tc>
        <w:tc>
          <w:tcPr>
            <w:tcW w:w="1120" w:type="dxa"/>
            <w:vAlign w:val="bottom"/>
            <w:gridSpan w:val="2"/>
          </w:tcPr>
          <w:p>
            <w:pPr>
              <w:jc w:val="center"/>
              <w:ind w:right="194"/>
              <w:spacing w:after="0"/>
              <w:rPr>
                <w:sz w:val="20"/>
                <w:szCs w:val="20"/>
                <w:color w:val="auto"/>
              </w:rPr>
            </w:pPr>
            <w:r>
              <w:rPr>
                <w:rFonts w:ascii="Times New Roman" w:cs="Times New Roman" w:eastAsia="Times New Roman" w:hAnsi="Times New Roman"/>
                <w:sz w:val="7"/>
                <w:szCs w:val="7"/>
                <w:b w:val="1"/>
                <w:bCs w:val="1"/>
                <w:color w:val="auto"/>
                <w:w w:val="93"/>
              </w:rPr>
              <w:t>income</w:t>
            </w:r>
          </w:p>
        </w:tc>
        <w:tc>
          <w:tcPr>
            <w:tcW w:w="1040" w:type="dxa"/>
            <w:vAlign w:val="bottom"/>
            <w:gridSpan w:val="2"/>
          </w:tcPr>
          <w:p>
            <w:pPr>
              <w:jc w:val="center"/>
              <w:ind w:right="94"/>
              <w:spacing w:after="0"/>
              <w:rPr>
                <w:sz w:val="20"/>
                <w:szCs w:val="20"/>
                <w:color w:val="auto"/>
              </w:rPr>
            </w:pPr>
            <w:r>
              <w:rPr>
                <w:rFonts w:ascii="Times New Roman" w:cs="Times New Roman" w:eastAsia="Times New Roman" w:hAnsi="Times New Roman"/>
                <w:sz w:val="7"/>
                <w:szCs w:val="7"/>
                <w:b w:val="1"/>
                <w:bCs w:val="1"/>
                <w:color w:val="auto"/>
                <w:w w:val="96"/>
              </w:rPr>
              <w:t>deficit</w:t>
            </w:r>
          </w:p>
        </w:tc>
      </w:tr>
      <w:tr>
        <w:trPr>
          <w:trHeight w:val="83"/>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b w:val="1"/>
                <w:bCs w:val="1"/>
                <w:color w:val="auto"/>
              </w:rPr>
              <w:t>Balance as at January 1, 2022</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891,818,882</w:t>
            </w: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122,427</w:t>
            </w: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28,039,517</w:t>
            </w: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3,868</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83,692,381</w:t>
            </w:r>
          </w:p>
        </w:tc>
        <w:tc>
          <w:tcPr>
            <w:tcW w:w="220" w:type="dxa"/>
            <w:vAlign w:val="bottom"/>
            <w:shd w:val="clear" w:color="auto" w:fill="CFF0FC"/>
          </w:tcPr>
          <w:p>
            <w:pPr>
              <w:spacing w:after="0"/>
              <w:rPr>
                <w:sz w:val="7"/>
                <w:szCs w:val="7"/>
                <w:color w:val="auto"/>
              </w:rPr>
            </w:pPr>
          </w:p>
        </w:tc>
        <w:tc>
          <w:tcPr>
            <w:tcW w:w="940" w:type="dxa"/>
            <w:vAlign w:val="bottom"/>
            <w:gridSpan w:val="2"/>
            <w:shd w:val="clear" w:color="auto" w:fill="CFF0FC"/>
          </w:tcPr>
          <w:p>
            <w:pPr>
              <w:jc w:val="right"/>
              <w:ind w:right="174"/>
              <w:spacing w:after="0"/>
              <w:rPr>
                <w:sz w:val="20"/>
                <w:szCs w:val="20"/>
                <w:color w:val="auto"/>
              </w:rPr>
            </w:pPr>
            <w:r>
              <w:rPr>
                <w:rFonts w:ascii="Times New Roman" w:cs="Times New Roman" w:eastAsia="Times New Roman" w:hAnsi="Times New Roman"/>
                <w:sz w:val="7"/>
                <w:szCs w:val="7"/>
                <w:b w:val="1"/>
                <w:bCs w:val="1"/>
                <w:color w:val="auto"/>
              </w:rPr>
              <w:t>(84,842,384 )</w:t>
            </w:r>
          </w:p>
        </w:tc>
        <w:tc>
          <w:tcPr>
            <w:tcW w:w="960" w:type="dxa"/>
            <w:vAlign w:val="bottom"/>
            <w:gridSpan w:val="2"/>
            <w:shd w:val="clear" w:color="auto" w:fill="CFF0FC"/>
          </w:tcPr>
          <w:p>
            <w:pPr>
              <w:jc w:val="right"/>
              <w:ind w:right="146"/>
              <w:spacing w:after="0"/>
              <w:rPr>
                <w:sz w:val="20"/>
                <w:szCs w:val="20"/>
                <w:color w:val="auto"/>
              </w:rPr>
            </w:pPr>
            <w:r>
              <w:rPr>
                <w:rFonts w:ascii="Times New Roman" w:cs="Times New Roman" w:eastAsia="Times New Roman" w:hAnsi="Times New Roman"/>
                <w:sz w:val="7"/>
                <w:szCs w:val="7"/>
                <w:b w:val="1"/>
                <w:bCs w:val="1"/>
                <w:color w:val="auto"/>
              </w:rPr>
              <w:t>(175,505 )</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6,762</w:t>
            </w:r>
          </w:p>
        </w:tc>
        <w:tc>
          <w:tcPr>
            <w:tcW w:w="200" w:type="dxa"/>
            <w:vAlign w:val="bottom"/>
            <w:shd w:val="clear" w:color="auto" w:fill="CFF0FC"/>
          </w:tcPr>
          <w:p>
            <w:pPr>
              <w:spacing w:after="0"/>
              <w:rPr>
                <w:sz w:val="7"/>
                <w:szCs w:val="7"/>
                <w:color w:val="auto"/>
              </w:rPr>
            </w:pPr>
          </w:p>
        </w:tc>
        <w:tc>
          <w:tcPr>
            <w:tcW w:w="104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7"/>
                <w:szCs w:val="7"/>
                <w:b w:val="1"/>
                <w:bCs w:val="1"/>
                <w:color w:val="auto"/>
              </w:rPr>
              <w:t>(1,192,451 )</w:t>
            </w:r>
          </w:p>
        </w:tc>
      </w:tr>
      <w:tr>
        <w:trPr>
          <w:trHeight w:val="83"/>
        </w:trPr>
        <w:tc>
          <w:tcPr>
            <w:tcW w:w="2200" w:type="dxa"/>
            <w:vAlign w:val="bottom"/>
          </w:tcPr>
          <w:p>
            <w:pPr>
              <w:spacing w:after="0"/>
              <w:rPr>
                <w:sz w:val="20"/>
                <w:szCs w:val="20"/>
                <w:color w:val="auto"/>
              </w:rPr>
            </w:pPr>
            <w:r>
              <w:rPr>
                <w:rFonts w:ascii="Times New Roman" w:cs="Times New Roman" w:eastAsia="Times New Roman" w:hAnsi="Times New Roman"/>
                <w:sz w:val="7"/>
                <w:szCs w:val="7"/>
                <w:color w:val="auto"/>
              </w:rPr>
              <w:t>Ordinary shares issued</w:t>
            </w:r>
          </w:p>
        </w:tc>
        <w:tc>
          <w:tcPr>
            <w:tcW w:w="7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2,040,816</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166</w:t>
            </w:r>
          </w:p>
        </w:tc>
        <w:tc>
          <w:tcPr>
            <w:tcW w:w="220" w:type="dxa"/>
            <w:vAlign w:val="bottom"/>
          </w:tcPr>
          <w:p>
            <w:pPr>
              <w:spacing w:after="0"/>
              <w:rPr>
                <w:sz w:val="7"/>
                <w:szCs w:val="7"/>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2,499,754</w:t>
            </w:r>
          </w:p>
        </w:tc>
        <w:tc>
          <w:tcPr>
            <w:tcW w:w="220" w:type="dxa"/>
            <w:vAlign w:val="bottom"/>
          </w:tcPr>
          <w:p>
            <w:pPr>
              <w:spacing w:after="0"/>
              <w:rPr>
                <w:sz w:val="7"/>
                <w:szCs w:val="7"/>
                <w:color w:val="auto"/>
              </w:rPr>
            </w:pPr>
          </w:p>
        </w:tc>
        <w:tc>
          <w:tcPr>
            <w:tcW w:w="94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2,499,920</w:t>
            </w:r>
          </w:p>
        </w:tc>
        <w:tc>
          <w:tcPr>
            <w:tcW w:w="100" w:type="dxa"/>
            <w:vAlign w:val="bottom"/>
          </w:tcPr>
          <w:p>
            <w:pPr>
              <w:spacing w:after="0"/>
              <w:rPr>
                <w:sz w:val="7"/>
                <w:szCs w:val="7"/>
                <w:color w:val="auto"/>
              </w:rPr>
            </w:pPr>
          </w:p>
        </w:tc>
      </w:tr>
      <w:tr>
        <w:trPr>
          <w:trHeight w:val="84"/>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Ordinary shares issued for ANY</w:t>
            </w: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r>
      <w:tr>
        <w:trPr>
          <w:trHeight w:val="81"/>
        </w:trPr>
        <w:tc>
          <w:tcPr>
            <w:tcW w:w="2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7"/>
                <w:szCs w:val="7"/>
                <w:color w:val="auto"/>
              </w:rPr>
              <w:t>(note 2.20) (as restated)</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14,427,185</w:t>
            </w: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1,993</w:t>
            </w:r>
          </w:p>
        </w:tc>
        <w:tc>
          <w:tcPr>
            <w:tcW w:w="220" w:type="dxa"/>
            <w:vAlign w:val="bottom"/>
            <w:shd w:val="clear" w:color="auto" w:fill="CFF0FC"/>
          </w:tcPr>
          <w:p>
            <w:pPr>
              <w:spacing w:after="0"/>
              <w:rPr>
                <w:sz w:val="7"/>
                <w:szCs w:val="7"/>
                <w:color w:val="auto"/>
              </w:rPr>
            </w:pPr>
          </w:p>
        </w:tc>
        <w:tc>
          <w:tcPr>
            <w:tcW w:w="9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14,858,007</w:t>
            </w:r>
          </w:p>
        </w:tc>
        <w:tc>
          <w:tcPr>
            <w:tcW w:w="220" w:type="dxa"/>
            <w:vAlign w:val="bottom"/>
            <w:shd w:val="clear" w:color="auto" w:fill="CFF0FC"/>
          </w:tcPr>
          <w:p>
            <w:pPr>
              <w:spacing w:after="0"/>
              <w:rPr>
                <w:sz w:val="7"/>
                <w:szCs w:val="7"/>
                <w:color w:val="auto"/>
              </w:rPr>
            </w:pPr>
          </w:p>
        </w:tc>
        <w:tc>
          <w:tcPr>
            <w:tcW w:w="94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14,860,000</w:t>
            </w:r>
          </w:p>
        </w:tc>
        <w:tc>
          <w:tcPr>
            <w:tcW w:w="100" w:type="dxa"/>
            <w:vAlign w:val="bottom"/>
            <w:shd w:val="clear" w:color="auto" w:fill="CFF0FC"/>
          </w:tcPr>
          <w:p>
            <w:pPr>
              <w:spacing w:after="0"/>
              <w:rPr>
                <w:sz w:val="7"/>
                <w:szCs w:val="7"/>
                <w:color w:val="auto"/>
              </w:rPr>
            </w:pPr>
          </w:p>
        </w:tc>
      </w:tr>
      <w:tr>
        <w:trPr>
          <w:trHeight w:val="84"/>
        </w:trPr>
        <w:tc>
          <w:tcPr>
            <w:tcW w:w="2200" w:type="dxa"/>
            <w:vAlign w:val="bottom"/>
          </w:tcPr>
          <w:p>
            <w:pPr>
              <w:spacing w:after="0"/>
              <w:rPr>
                <w:sz w:val="20"/>
                <w:szCs w:val="20"/>
                <w:color w:val="auto"/>
              </w:rPr>
            </w:pPr>
            <w:r>
              <w:rPr>
                <w:rFonts w:ascii="Times New Roman" w:cs="Times New Roman" w:eastAsia="Times New Roman" w:hAnsi="Times New Roman"/>
                <w:sz w:val="7"/>
                <w:szCs w:val="7"/>
                <w:color w:val="auto"/>
              </w:rPr>
              <w:t>Share-based compensation to</w:t>
            </w: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1"/>
        </w:trPr>
        <w:tc>
          <w:tcPr>
            <w:tcW w:w="2200" w:type="dxa"/>
            <w:vAlign w:val="bottom"/>
          </w:tcPr>
          <w:p>
            <w:pPr>
              <w:ind w:left="40"/>
              <w:spacing w:after="0"/>
              <w:rPr>
                <w:sz w:val="20"/>
                <w:szCs w:val="20"/>
                <w:color w:val="auto"/>
              </w:rPr>
            </w:pPr>
            <w:r>
              <w:rPr>
                <w:rFonts w:ascii="Times New Roman" w:cs="Times New Roman" w:eastAsia="Times New Roman" w:hAnsi="Times New Roman"/>
                <w:sz w:val="7"/>
                <w:szCs w:val="7"/>
                <w:color w:val="auto"/>
              </w:rPr>
              <w:t>consultant (note 11)</w:t>
            </w:r>
          </w:p>
        </w:tc>
        <w:tc>
          <w:tcPr>
            <w:tcW w:w="7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5,000,000</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677</w:t>
            </w:r>
          </w:p>
        </w:tc>
        <w:tc>
          <w:tcPr>
            <w:tcW w:w="220" w:type="dxa"/>
            <w:vAlign w:val="bottom"/>
          </w:tcPr>
          <w:p>
            <w:pPr>
              <w:spacing w:after="0"/>
              <w:rPr>
                <w:sz w:val="7"/>
                <w:szCs w:val="7"/>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18,417,139</w:t>
            </w:r>
          </w:p>
        </w:tc>
        <w:tc>
          <w:tcPr>
            <w:tcW w:w="220" w:type="dxa"/>
            <w:vAlign w:val="bottom"/>
          </w:tcPr>
          <w:p>
            <w:pPr>
              <w:spacing w:after="0"/>
              <w:rPr>
                <w:sz w:val="7"/>
                <w:szCs w:val="7"/>
                <w:color w:val="auto"/>
              </w:rPr>
            </w:pPr>
          </w:p>
        </w:tc>
        <w:tc>
          <w:tcPr>
            <w:tcW w:w="94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18,417,816</w:t>
            </w:r>
          </w:p>
        </w:tc>
        <w:tc>
          <w:tcPr>
            <w:tcW w:w="100" w:type="dxa"/>
            <w:vAlign w:val="bottom"/>
          </w:tcPr>
          <w:p>
            <w:pPr>
              <w:spacing w:after="0"/>
              <w:rPr>
                <w:sz w:val="7"/>
                <w:szCs w:val="7"/>
                <w:color w:val="auto"/>
              </w:rPr>
            </w:pPr>
          </w:p>
        </w:tc>
      </w:tr>
      <w:tr>
        <w:trPr>
          <w:trHeight w:val="84"/>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Ordinary shares issued against</w:t>
            </w: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r>
      <w:tr>
        <w:trPr>
          <w:trHeight w:val="81"/>
        </w:trPr>
        <w:tc>
          <w:tcPr>
            <w:tcW w:w="2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7"/>
                <w:szCs w:val="7"/>
                <w:color w:val="auto"/>
              </w:rPr>
              <w:t>exercise of warrants (note 9)</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1,700,000</w:t>
            </w: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192</w:t>
            </w:r>
          </w:p>
        </w:tc>
        <w:tc>
          <w:tcPr>
            <w:tcW w:w="220" w:type="dxa"/>
            <w:vAlign w:val="bottom"/>
            <w:shd w:val="clear" w:color="auto" w:fill="CFF0FC"/>
          </w:tcPr>
          <w:p>
            <w:pPr>
              <w:spacing w:after="0"/>
              <w:rPr>
                <w:sz w:val="7"/>
                <w:szCs w:val="7"/>
                <w:color w:val="auto"/>
              </w:rPr>
            </w:pPr>
          </w:p>
        </w:tc>
        <w:tc>
          <w:tcPr>
            <w:tcW w:w="9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2,082,308</w:t>
            </w:r>
          </w:p>
        </w:tc>
        <w:tc>
          <w:tcPr>
            <w:tcW w:w="220" w:type="dxa"/>
            <w:vAlign w:val="bottom"/>
            <w:shd w:val="clear" w:color="auto" w:fill="CFF0FC"/>
          </w:tcPr>
          <w:p>
            <w:pPr>
              <w:spacing w:after="0"/>
              <w:rPr>
                <w:sz w:val="7"/>
                <w:szCs w:val="7"/>
                <w:color w:val="auto"/>
              </w:rPr>
            </w:pPr>
          </w:p>
        </w:tc>
        <w:tc>
          <w:tcPr>
            <w:tcW w:w="94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2,082,500</w:t>
            </w:r>
          </w:p>
        </w:tc>
        <w:tc>
          <w:tcPr>
            <w:tcW w:w="100" w:type="dxa"/>
            <w:vAlign w:val="bottom"/>
            <w:shd w:val="clear" w:color="auto" w:fill="CFF0FC"/>
          </w:tcPr>
          <w:p>
            <w:pPr>
              <w:spacing w:after="0"/>
              <w:rPr>
                <w:sz w:val="7"/>
                <w:szCs w:val="7"/>
                <w:color w:val="auto"/>
              </w:rPr>
            </w:pPr>
          </w:p>
        </w:tc>
      </w:tr>
      <w:tr>
        <w:trPr>
          <w:trHeight w:val="84"/>
        </w:trPr>
        <w:tc>
          <w:tcPr>
            <w:tcW w:w="2200" w:type="dxa"/>
            <w:vAlign w:val="bottom"/>
          </w:tcPr>
          <w:p>
            <w:pPr>
              <w:spacing w:after="0"/>
              <w:rPr>
                <w:sz w:val="20"/>
                <w:szCs w:val="20"/>
                <w:color w:val="auto"/>
              </w:rPr>
            </w:pPr>
            <w:r>
              <w:rPr>
                <w:rFonts w:ascii="Times New Roman" w:cs="Times New Roman" w:eastAsia="Times New Roman" w:hAnsi="Times New Roman"/>
                <w:sz w:val="7"/>
                <w:szCs w:val="7"/>
                <w:color w:val="auto"/>
              </w:rPr>
              <w:t>Share-based compensation</w:t>
            </w: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1"/>
        </w:trPr>
        <w:tc>
          <w:tcPr>
            <w:tcW w:w="2200" w:type="dxa"/>
            <w:vAlign w:val="bottom"/>
          </w:tcPr>
          <w:p>
            <w:pPr>
              <w:ind w:left="40"/>
              <w:spacing w:after="0"/>
              <w:rPr>
                <w:sz w:val="20"/>
                <w:szCs w:val="20"/>
                <w:color w:val="auto"/>
              </w:rPr>
            </w:pPr>
            <w:r>
              <w:rPr>
                <w:rFonts w:ascii="Times New Roman" w:cs="Times New Roman" w:eastAsia="Times New Roman" w:hAnsi="Times New Roman"/>
                <w:sz w:val="7"/>
                <w:szCs w:val="7"/>
                <w:color w:val="auto"/>
              </w:rPr>
              <w:t>– related parties (note 11)</w:t>
            </w:r>
          </w:p>
        </w:tc>
        <w:tc>
          <w:tcPr>
            <w:tcW w:w="7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27,246,461</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3,215</w:t>
            </w:r>
          </w:p>
        </w:tc>
        <w:tc>
          <w:tcPr>
            <w:tcW w:w="220" w:type="dxa"/>
            <w:vAlign w:val="bottom"/>
          </w:tcPr>
          <w:p>
            <w:pPr>
              <w:spacing w:after="0"/>
              <w:rPr>
                <w:sz w:val="7"/>
                <w:szCs w:val="7"/>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39,498,486</w:t>
            </w:r>
          </w:p>
        </w:tc>
        <w:tc>
          <w:tcPr>
            <w:tcW w:w="220" w:type="dxa"/>
            <w:vAlign w:val="bottom"/>
          </w:tcPr>
          <w:p>
            <w:pPr>
              <w:spacing w:after="0"/>
              <w:rPr>
                <w:sz w:val="7"/>
                <w:szCs w:val="7"/>
                <w:color w:val="auto"/>
              </w:rPr>
            </w:pPr>
          </w:p>
        </w:tc>
        <w:tc>
          <w:tcPr>
            <w:tcW w:w="94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tcPr>
          <w:p>
            <w:pPr>
              <w:jc w:val="right"/>
              <w:ind w:right="146"/>
              <w:spacing w:after="0"/>
              <w:rPr>
                <w:sz w:val="20"/>
                <w:szCs w:val="20"/>
                <w:color w:val="auto"/>
              </w:rPr>
            </w:pPr>
            <w:r>
              <w:rPr>
                <w:rFonts w:ascii="Times New Roman" w:cs="Times New Roman" w:eastAsia="Times New Roman" w:hAnsi="Times New Roman"/>
                <w:sz w:val="7"/>
                <w:szCs w:val="7"/>
                <w:color w:val="auto"/>
              </w:rPr>
              <w:t>(3,215 )</w:t>
            </w:r>
          </w:p>
        </w:tc>
        <w:tc>
          <w:tcPr>
            <w:tcW w:w="112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39,498,486</w:t>
            </w:r>
          </w:p>
        </w:tc>
        <w:tc>
          <w:tcPr>
            <w:tcW w:w="100" w:type="dxa"/>
            <w:vAlign w:val="bottom"/>
          </w:tcPr>
          <w:p>
            <w:pPr>
              <w:spacing w:after="0"/>
              <w:rPr>
                <w:sz w:val="7"/>
                <w:szCs w:val="7"/>
                <w:color w:val="auto"/>
              </w:rPr>
            </w:pPr>
          </w:p>
        </w:tc>
      </w:tr>
      <w:tr>
        <w:trPr>
          <w:trHeight w:val="84"/>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Employee share-based</w:t>
            </w: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r>
      <w:tr>
        <w:trPr>
          <w:trHeight w:val="81"/>
        </w:trPr>
        <w:tc>
          <w:tcPr>
            <w:tcW w:w="2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7"/>
                <w:szCs w:val="7"/>
                <w:color w:val="auto"/>
              </w:rPr>
              <w:t>compensation (note 11)</w:t>
            </w:r>
          </w:p>
        </w:tc>
        <w:tc>
          <w:tcPr>
            <w:tcW w:w="110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2,115,015</w:t>
            </w:r>
          </w:p>
        </w:tc>
        <w:tc>
          <w:tcPr>
            <w:tcW w:w="220" w:type="dxa"/>
            <w:vAlign w:val="bottom"/>
            <w:shd w:val="clear" w:color="auto" w:fill="CFF0FC"/>
          </w:tcPr>
          <w:p>
            <w:pPr>
              <w:spacing w:after="0"/>
              <w:rPr>
                <w:sz w:val="7"/>
                <w:szCs w:val="7"/>
                <w:color w:val="auto"/>
              </w:rPr>
            </w:pPr>
          </w:p>
        </w:tc>
        <w:tc>
          <w:tcPr>
            <w:tcW w:w="94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2,115,015</w:t>
            </w:r>
          </w:p>
        </w:tc>
        <w:tc>
          <w:tcPr>
            <w:tcW w:w="100" w:type="dxa"/>
            <w:vAlign w:val="bottom"/>
            <w:shd w:val="clear" w:color="auto" w:fill="CFF0FC"/>
          </w:tcPr>
          <w:p>
            <w:pPr>
              <w:spacing w:after="0"/>
              <w:rPr>
                <w:sz w:val="7"/>
                <w:szCs w:val="7"/>
                <w:color w:val="auto"/>
              </w:rPr>
            </w:pPr>
          </w:p>
        </w:tc>
      </w:tr>
      <w:tr>
        <w:trPr>
          <w:trHeight w:val="83"/>
        </w:trPr>
        <w:tc>
          <w:tcPr>
            <w:tcW w:w="2200" w:type="dxa"/>
            <w:vAlign w:val="bottom"/>
          </w:tcPr>
          <w:p>
            <w:pPr>
              <w:spacing w:after="0"/>
              <w:rPr>
                <w:sz w:val="20"/>
                <w:szCs w:val="20"/>
                <w:color w:val="auto"/>
              </w:rPr>
            </w:pPr>
            <w:r>
              <w:rPr>
                <w:rFonts w:ascii="Times New Roman" w:cs="Times New Roman" w:eastAsia="Times New Roman" w:hAnsi="Times New Roman"/>
                <w:sz w:val="7"/>
                <w:szCs w:val="7"/>
                <w:color w:val="auto"/>
              </w:rPr>
              <w:t>ANY shares reverted (note 2.20)</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7"/>
                <w:szCs w:val="7"/>
                <w:color w:val="auto"/>
              </w:rPr>
              <w:t>(14,427,185 )</w:t>
            </w:r>
          </w:p>
        </w:tc>
        <w:tc>
          <w:tcPr>
            <w:tcW w:w="160" w:type="dxa"/>
            <w:vAlign w:val="bottom"/>
          </w:tcPr>
          <w:p>
            <w:pPr>
              <w:spacing w:after="0"/>
              <w:rPr>
                <w:sz w:val="7"/>
                <w:szCs w:val="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7"/>
                <w:szCs w:val="7"/>
                <w:color w:val="auto"/>
              </w:rPr>
              <w:t>(1,993 )</w:t>
            </w: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1,993</w:t>
            </w:r>
          </w:p>
        </w:tc>
        <w:tc>
          <w:tcPr>
            <w:tcW w:w="220" w:type="dxa"/>
            <w:vAlign w:val="bottom"/>
          </w:tcPr>
          <w:p>
            <w:pPr>
              <w:spacing w:after="0"/>
              <w:rPr>
                <w:sz w:val="7"/>
                <w:szCs w:val="7"/>
                <w:color w:val="auto"/>
              </w:rPr>
            </w:pPr>
          </w:p>
        </w:tc>
        <w:tc>
          <w:tcPr>
            <w:tcW w:w="94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1040" w:type="dxa"/>
            <w:vAlign w:val="bottom"/>
            <w:gridSpan w:val="2"/>
          </w:tcPr>
          <w:p>
            <w:pPr>
              <w:jc w:val="right"/>
              <w:ind w:right="94"/>
              <w:spacing w:after="0"/>
              <w:rPr>
                <w:sz w:val="20"/>
                <w:szCs w:val="20"/>
                <w:color w:val="auto"/>
              </w:rPr>
            </w:pPr>
            <w:r>
              <w:rPr>
                <w:rFonts w:ascii="Times New Roman" w:cs="Times New Roman" w:eastAsia="Times New Roman" w:hAnsi="Times New Roman"/>
                <w:sz w:val="7"/>
                <w:szCs w:val="7"/>
                <w:color w:val="auto"/>
              </w:rPr>
              <w:t>—</w:t>
            </w:r>
          </w:p>
        </w:tc>
      </w:tr>
      <w:tr>
        <w:trPr>
          <w:trHeight w:val="83"/>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Net Loss (as restated)</w:t>
            </w:r>
          </w:p>
        </w:tc>
        <w:tc>
          <w:tcPr>
            <w:tcW w:w="110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shd w:val="clear" w:color="auto" w:fill="CFF0FC"/>
          </w:tcPr>
          <w:p>
            <w:pPr>
              <w:spacing w:after="0"/>
              <w:rPr>
                <w:sz w:val="7"/>
                <w:szCs w:val="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gridSpan w:val="2"/>
            <w:shd w:val="clear" w:color="auto" w:fill="CFF0FC"/>
          </w:tcPr>
          <w:p>
            <w:pPr>
              <w:jc w:val="right"/>
              <w:ind w:right="174"/>
              <w:spacing w:after="0"/>
              <w:rPr>
                <w:sz w:val="20"/>
                <w:szCs w:val="20"/>
                <w:color w:val="auto"/>
              </w:rPr>
            </w:pPr>
            <w:r>
              <w:rPr>
                <w:rFonts w:ascii="Times New Roman" w:cs="Times New Roman" w:eastAsia="Times New Roman" w:hAnsi="Times New Roman"/>
                <w:sz w:val="7"/>
                <w:szCs w:val="7"/>
                <w:color w:val="auto"/>
              </w:rPr>
              <w:t>(110,712,948 )</w:t>
            </w:r>
          </w:p>
        </w:tc>
        <w:tc>
          <w:tcPr>
            <w:tcW w:w="96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104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7"/>
                <w:szCs w:val="7"/>
                <w:color w:val="auto"/>
              </w:rPr>
              <w:t>(110,712,948 )</w:t>
            </w:r>
          </w:p>
        </w:tc>
      </w:tr>
      <w:tr>
        <w:trPr>
          <w:trHeight w:val="84"/>
        </w:trPr>
        <w:tc>
          <w:tcPr>
            <w:tcW w:w="2200" w:type="dxa"/>
            <w:vAlign w:val="bottom"/>
          </w:tcPr>
          <w:p>
            <w:pPr>
              <w:spacing w:after="0"/>
              <w:rPr>
                <w:sz w:val="20"/>
                <w:szCs w:val="20"/>
                <w:color w:val="auto"/>
              </w:rPr>
            </w:pPr>
            <w:r>
              <w:rPr>
                <w:rFonts w:ascii="Times New Roman" w:cs="Times New Roman" w:eastAsia="Times New Roman" w:hAnsi="Times New Roman"/>
                <w:sz w:val="7"/>
                <w:szCs w:val="7"/>
                <w:color w:val="auto"/>
              </w:rPr>
              <w:t>Foreign currency translation</w:t>
            </w: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1"/>
        </w:trPr>
        <w:tc>
          <w:tcPr>
            <w:tcW w:w="2200" w:type="dxa"/>
            <w:vAlign w:val="bottom"/>
          </w:tcPr>
          <w:p>
            <w:pPr>
              <w:ind w:left="40"/>
              <w:spacing w:after="0"/>
              <w:rPr>
                <w:sz w:val="20"/>
                <w:szCs w:val="20"/>
                <w:color w:val="auto"/>
              </w:rPr>
            </w:pPr>
            <w:r>
              <w:rPr>
                <w:rFonts w:ascii="Times New Roman" w:cs="Times New Roman" w:eastAsia="Times New Roman" w:hAnsi="Times New Roman"/>
                <w:sz w:val="7"/>
                <w:szCs w:val="7"/>
                <w:color w:val="auto"/>
              </w:rPr>
              <w:t>(loss) (as restated)</w:t>
            </w:r>
          </w:p>
        </w:tc>
        <w:tc>
          <w:tcPr>
            <w:tcW w:w="1100" w:type="dxa"/>
            <w:vAlign w:val="bottom"/>
            <w:gridSpan w:val="3"/>
          </w:tcPr>
          <w:p>
            <w:pPr>
              <w:jc w:val="right"/>
              <w:ind w:right="38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tcPr>
          <w:p>
            <w:pPr>
              <w:spacing w:after="0"/>
              <w:rPr>
                <w:sz w:val="7"/>
                <w:szCs w:val="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tcPr>
          <w:p>
            <w:pPr>
              <w:jc w:val="right"/>
              <w:ind w:right="174"/>
              <w:spacing w:after="0"/>
              <w:rPr>
                <w:sz w:val="20"/>
                <w:szCs w:val="20"/>
                <w:color w:val="auto"/>
              </w:rPr>
            </w:pPr>
            <w:r>
              <w:rPr>
                <w:rFonts w:ascii="Times New Roman" w:cs="Times New Roman" w:eastAsia="Times New Roman" w:hAnsi="Times New Roman"/>
                <w:sz w:val="7"/>
                <w:szCs w:val="7"/>
                <w:color w:val="auto"/>
              </w:rPr>
              <w:t>(87,941 )</w:t>
            </w:r>
          </w:p>
        </w:tc>
        <w:tc>
          <w:tcPr>
            <w:tcW w:w="1040" w:type="dxa"/>
            <w:vAlign w:val="bottom"/>
            <w:gridSpan w:val="2"/>
          </w:tcPr>
          <w:p>
            <w:pPr>
              <w:jc w:val="right"/>
              <w:ind w:right="74"/>
              <w:spacing w:after="0"/>
              <w:rPr>
                <w:sz w:val="20"/>
                <w:szCs w:val="20"/>
                <w:color w:val="auto"/>
              </w:rPr>
            </w:pPr>
            <w:r>
              <w:rPr>
                <w:rFonts w:ascii="Times New Roman" w:cs="Times New Roman" w:eastAsia="Times New Roman" w:hAnsi="Times New Roman"/>
                <w:sz w:val="7"/>
                <w:szCs w:val="7"/>
                <w:color w:val="auto"/>
              </w:rPr>
              <w:t>(87,941 )</w:t>
            </w:r>
          </w:p>
        </w:tc>
      </w:tr>
      <w:tr>
        <w:trPr>
          <w:trHeight w:val="83"/>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b w:val="1"/>
                <w:bCs w:val="1"/>
                <w:color w:val="auto"/>
              </w:rPr>
              <w:t>Balance as at December 31, 2022</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927,806,159</w:t>
            </w: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126,677</w:t>
            </w: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28,039,517</w:t>
            </w: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3,868</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163,165,083</w:t>
            </w:r>
          </w:p>
        </w:tc>
        <w:tc>
          <w:tcPr>
            <w:tcW w:w="220" w:type="dxa"/>
            <w:vAlign w:val="bottom"/>
            <w:shd w:val="clear" w:color="auto" w:fill="CFF0FC"/>
          </w:tcPr>
          <w:p>
            <w:pPr>
              <w:spacing w:after="0"/>
              <w:rPr>
                <w:sz w:val="7"/>
                <w:szCs w:val="7"/>
                <w:color w:val="auto"/>
              </w:rPr>
            </w:pPr>
          </w:p>
        </w:tc>
        <w:tc>
          <w:tcPr>
            <w:tcW w:w="940" w:type="dxa"/>
            <w:vAlign w:val="bottom"/>
            <w:gridSpan w:val="2"/>
            <w:shd w:val="clear" w:color="auto" w:fill="CFF0FC"/>
          </w:tcPr>
          <w:p>
            <w:pPr>
              <w:jc w:val="right"/>
              <w:ind w:right="174"/>
              <w:spacing w:after="0"/>
              <w:rPr>
                <w:sz w:val="20"/>
                <w:szCs w:val="20"/>
                <w:color w:val="auto"/>
              </w:rPr>
            </w:pPr>
            <w:r>
              <w:rPr>
                <w:rFonts w:ascii="Times New Roman" w:cs="Times New Roman" w:eastAsia="Times New Roman" w:hAnsi="Times New Roman"/>
                <w:sz w:val="7"/>
                <w:szCs w:val="7"/>
                <w:b w:val="1"/>
                <w:bCs w:val="1"/>
                <w:color w:val="auto"/>
              </w:rPr>
              <w:t>(195,555,332 )</w:t>
            </w:r>
          </w:p>
        </w:tc>
        <w:tc>
          <w:tcPr>
            <w:tcW w:w="960" w:type="dxa"/>
            <w:vAlign w:val="bottom"/>
            <w:gridSpan w:val="2"/>
            <w:shd w:val="clear" w:color="auto" w:fill="CFF0FC"/>
          </w:tcPr>
          <w:p>
            <w:pPr>
              <w:jc w:val="right"/>
              <w:ind w:right="146"/>
              <w:spacing w:after="0"/>
              <w:rPr>
                <w:sz w:val="20"/>
                <w:szCs w:val="20"/>
                <w:color w:val="auto"/>
              </w:rPr>
            </w:pPr>
            <w:r>
              <w:rPr>
                <w:rFonts w:ascii="Times New Roman" w:cs="Times New Roman" w:eastAsia="Times New Roman" w:hAnsi="Times New Roman"/>
                <w:sz w:val="7"/>
                <w:szCs w:val="7"/>
                <w:b w:val="1"/>
                <w:bCs w:val="1"/>
                <w:color w:val="auto"/>
              </w:rPr>
              <w:t>(178,720 )</w:t>
            </w:r>
          </w:p>
        </w:tc>
        <w:tc>
          <w:tcPr>
            <w:tcW w:w="1120" w:type="dxa"/>
            <w:vAlign w:val="bottom"/>
            <w:gridSpan w:val="2"/>
            <w:shd w:val="clear" w:color="auto" w:fill="CFF0FC"/>
          </w:tcPr>
          <w:p>
            <w:pPr>
              <w:jc w:val="right"/>
              <w:ind w:right="174"/>
              <w:spacing w:after="0"/>
              <w:rPr>
                <w:sz w:val="20"/>
                <w:szCs w:val="20"/>
                <w:color w:val="auto"/>
              </w:rPr>
            </w:pPr>
            <w:r>
              <w:rPr>
                <w:rFonts w:ascii="Times New Roman" w:cs="Times New Roman" w:eastAsia="Times New Roman" w:hAnsi="Times New Roman"/>
                <w:sz w:val="7"/>
                <w:szCs w:val="7"/>
                <w:b w:val="1"/>
                <w:bCs w:val="1"/>
                <w:color w:val="auto"/>
              </w:rPr>
              <w:t>(81,179 )</w:t>
            </w:r>
          </w:p>
        </w:tc>
        <w:tc>
          <w:tcPr>
            <w:tcW w:w="104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7"/>
                <w:szCs w:val="7"/>
                <w:b w:val="1"/>
                <w:bCs w:val="1"/>
                <w:color w:val="auto"/>
              </w:rPr>
              <w:t>(32,519,603 )</w:t>
            </w:r>
          </w:p>
        </w:tc>
      </w:tr>
      <w:tr>
        <w:trPr>
          <w:trHeight w:val="84"/>
        </w:trPr>
        <w:tc>
          <w:tcPr>
            <w:tcW w:w="2200" w:type="dxa"/>
            <w:vAlign w:val="bottom"/>
          </w:tcPr>
          <w:p>
            <w:pPr>
              <w:spacing w:after="0"/>
              <w:rPr>
                <w:sz w:val="20"/>
                <w:szCs w:val="20"/>
                <w:color w:val="auto"/>
              </w:rPr>
            </w:pPr>
            <w:r>
              <w:rPr>
                <w:rFonts w:ascii="Times New Roman" w:cs="Times New Roman" w:eastAsia="Times New Roman" w:hAnsi="Times New Roman"/>
                <w:sz w:val="7"/>
                <w:szCs w:val="7"/>
                <w:color w:val="auto"/>
              </w:rPr>
              <w:t>Ordinary shares issued to related</w:t>
            </w: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1"/>
        </w:trPr>
        <w:tc>
          <w:tcPr>
            <w:tcW w:w="2200" w:type="dxa"/>
            <w:vAlign w:val="bottom"/>
          </w:tcPr>
          <w:p>
            <w:pPr>
              <w:ind w:left="40"/>
              <w:spacing w:after="0"/>
              <w:rPr>
                <w:sz w:val="20"/>
                <w:szCs w:val="20"/>
                <w:color w:val="auto"/>
              </w:rPr>
            </w:pPr>
            <w:r>
              <w:rPr>
                <w:rFonts w:ascii="Times New Roman" w:cs="Times New Roman" w:eastAsia="Times New Roman" w:hAnsi="Times New Roman"/>
                <w:sz w:val="7"/>
                <w:szCs w:val="7"/>
                <w:color w:val="auto"/>
              </w:rPr>
              <w:t>parties</w:t>
            </w:r>
          </w:p>
        </w:tc>
        <w:tc>
          <w:tcPr>
            <w:tcW w:w="7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163,265</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20</w:t>
            </w:r>
          </w:p>
        </w:tc>
        <w:tc>
          <w:tcPr>
            <w:tcW w:w="220" w:type="dxa"/>
            <w:vAlign w:val="bottom"/>
          </w:tcPr>
          <w:p>
            <w:pPr>
              <w:spacing w:after="0"/>
              <w:rPr>
                <w:sz w:val="7"/>
                <w:szCs w:val="7"/>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199,954</w:t>
            </w:r>
          </w:p>
        </w:tc>
        <w:tc>
          <w:tcPr>
            <w:tcW w:w="220" w:type="dxa"/>
            <w:vAlign w:val="bottom"/>
          </w:tcPr>
          <w:p>
            <w:pPr>
              <w:spacing w:after="0"/>
              <w:rPr>
                <w:sz w:val="7"/>
                <w:szCs w:val="7"/>
                <w:color w:val="auto"/>
              </w:rPr>
            </w:pPr>
          </w:p>
        </w:tc>
        <w:tc>
          <w:tcPr>
            <w:tcW w:w="94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199,974</w:t>
            </w:r>
          </w:p>
        </w:tc>
        <w:tc>
          <w:tcPr>
            <w:tcW w:w="100" w:type="dxa"/>
            <w:vAlign w:val="bottom"/>
          </w:tcPr>
          <w:p>
            <w:pPr>
              <w:spacing w:after="0"/>
              <w:rPr>
                <w:sz w:val="7"/>
                <w:szCs w:val="7"/>
                <w:color w:val="auto"/>
              </w:rPr>
            </w:pPr>
          </w:p>
        </w:tc>
      </w:tr>
      <w:tr>
        <w:trPr>
          <w:trHeight w:val="84"/>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Ordinary shares issued from</w:t>
            </w: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r>
      <w:tr>
        <w:trPr>
          <w:trHeight w:val="81"/>
        </w:trPr>
        <w:tc>
          <w:tcPr>
            <w:tcW w:w="2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7"/>
                <w:szCs w:val="7"/>
                <w:color w:val="auto"/>
              </w:rPr>
              <w:t>exercise of share-options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5,000,000</w:t>
            </w: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613</w:t>
            </w:r>
          </w:p>
        </w:tc>
        <w:tc>
          <w:tcPr>
            <w:tcW w:w="220" w:type="dxa"/>
            <w:vAlign w:val="bottom"/>
            <w:shd w:val="clear" w:color="auto" w:fill="CFF0FC"/>
          </w:tcPr>
          <w:p>
            <w:pPr>
              <w:spacing w:after="0"/>
              <w:rPr>
                <w:sz w:val="7"/>
                <w:szCs w:val="7"/>
                <w:color w:val="auto"/>
              </w:rPr>
            </w:pPr>
          </w:p>
        </w:tc>
        <w:tc>
          <w:tcPr>
            <w:tcW w:w="9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7"/>
                <w:szCs w:val="7"/>
                <w:color w:val="auto"/>
              </w:rPr>
              <w:t>(613 )</w:t>
            </w:r>
          </w:p>
        </w:tc>
        <w:tc>
          <w:tcPr>
            <w:tcW w:w="94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104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7"/>
                <w:szCs w:val="7"/>
                <w:color w:val="auto"/>
              </w:rPr>
              <w:t>—</w:t>
            </w:r>
          </w:p>
        </w:tc>
      </w:tr>
      <w:tr>
        <w:trPr>
          <w:trHeight w:val="84"/>
        </w:trPr>
        <w:tc>
          <w:tcPr>
            <w:tcW w:w="2200" w:type="dxa"/>
            <w:vAlign w:val="bottom"/>
          </w:tcPr>
          <w:p>
            <w:pPr>
              <w:spacing w:after="0"/>
              <w:rPr>
                <w:sz w:val="20"/>
                <w:szCs w:val="20"/>
                <w:color w:val="auto"/>
              </w:rPr>
            </w:pPr>
            <w:r>
              <w:rPr>
                <w:rFonts w:ascii="Times New Roman" w:cs="Times New Roman" w:eastAsia="Times New Roman" w:hAnsi="Times New Roman"/>
                <w:sz w:val="7"/>
                <w:szCs w:val="7"/>
                <w:color w:val="auto"/>
              </w:rPr>
              <w:t>Share-based compensation in lieu</w:t>
            </w: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1"/>
        </w:trPr>
        <w:tc>
          <w:tcPr>
            <w:tcW w:w="2200" w:type="dxa"/>
            <w:vAlign w:val="bottom"/>
          </w:tcPr>
          <w:p>
            <w:pPr>
              <w:ind w:left="40"/>
              <w:spacing w:after="0"/>
              <w:rPr>
                <w:sz w:val="20"/>
                <w:szCs w:val="20"/>
                <w:color w:val="auto"/>
              </w:rPr>
            </w:pPr>
            <w:r>
              <w:rPr>
                <w:rFonts w:ascii="Times New Roman" w:cs="Times New Roman" w:eastAsia="Times New Roman" w:hAnsi="Times New Roman"/>
                <w:sz w:val="7"/>
                <w:szCs w:val="7"/>
                <w:color w:val="auto"/>
              </w:rPr>
              <w:t>of services</w:t>
            </w:r>
          </w:p>
        </w:tc>
        <w:tc>
          <w:tcPr>
            <w:tcW w:w="1100" w:type="dxa"/>
            <w:vAlign w:val="bottom"/>
            <w:gridSpan w:val="3"/>
          </w:tcPr>
          <w:p>
            <w:pPr>
              <w:jc w:val="right"/>
              <w:ind w:right="38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115,190</w:t>
            </w:r>
          </w:p>
        </w:tc>
        <w:tc>
          <w:tcPr>
            <w:tcW w:w="220" w:type="dxa"/>
            <w:vAlign w:val="bottom"/>
          </w:tcPr>
          <w:p>
            <w:pPr>
              <w:spacing w:after="0"/>
              <w:rPr>
                <w:sz w:val="7"/>
                <w:szCs w:val="7"/>
                <w:color w:val="auto"/>
              </w:rPr>
            </w:pPr>
          </w:p>
        </w:tc>
        <w:tc>
          <w:tcPr>
            <w:tcW w:w="94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115,190</w:t>
            </w:r>
          </w:p>
        </w:tc>
        <w:tc>
          <w:tcPr>
            <w:tcW w:w="100" w:type="dxa"/>
            <w:vAlign w:val="bottom"/>
          </w:tcPr>
          <w:p>
            <w:pPr>
              <w:spacing w:after="0"/>
              <w:rPr>
                <w:sz w:val="7"/>
                <w:szCs w:val="7"/>
                <w:color w:val="auto"/>
              </w:rPr>
            </w:pPr>
          </w:p>
        </w:tc>
      </w:tr>
      <w:tr>
        <w:trPr>
          <w:trHeight w:val="84"/>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Share-based compensation related</w:t>
            </w: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r>
      <w:tr>
        <w:trPr>
          <w:trHeight w:val="81"/>
        </w:trPr>
        <w:tc>
          <w:tcPr>
            <w:tcW w:w="2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7"/>
                <w:szCs w:val="7"/>
                <w:color w:val="auto"/>
              </w:rPr>
              <w:t>parties</w:t>
            </w:r>
          </w:p>
        </w:tc>
        <w:tc>
          <w:tcPr>
            <w:tcW w:w="110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3,646,017</w:t>
            </w:r>
          </w:p>
        </w:tc>
        <w:tc>
          <w:tcPr>
            <w:tcW w:w="220" w:type="dxa"/>
            <w:vAlign w:val="bottom"/>
            <w:shd w:val="clear" w:color="auto" w:fill="CFF0FC"/>
          </w:tcPr>
          <w:p>
            <w:pPr>
              <w:spacing w:after="0"/>
              <w:rPr>
                <w:sz w:val="7"/>
                <w:szCs w:val="7"/>
                <w:color w:val="auto"/>
              </w:rPr>
            </w:pPr>
          </w:p>
        </w:tc>
        <w:tc>
          <w:tcPr>
            <w:tcW w:w="94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12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3,646,017</w:t>
            </w:r>
          </w:p>
        </w:tc>
        <w:tc>
          <w:tcPr>
            <w:tcW w:w="100" w:type="dxa"/>
            <w:vAlign w:val="bottom"/>
            <w:shd w:val="clear" w:color="auto" w:fill="CFF0FC"/>
          </w:tcPr>
          <w:p>
            <w:pPr>
              <w:spacing w:after="0"/>
              <w:rPr>
                <w:sz w:val="7"/>
                <w:szCs w:val="7"/>
                <w:color w:val="auto"/>
              </w:rPr>
            </w:pPr>
          </w:p>
        </w:tc>
      </w:tr>
      <w:tr>
        <w:trPr>
          <w:trHeight w:val="83"/>
        </w:trPr>
        <w:tc>
          <w:tcPr>
            <w:tcW w:w="2200" w:type="dxa"/>
            <w:vAlign w:val="bottom"/>
          </w:tcPr>
          <w:p>
            <w:pPr>
              <w:spacing w:after="0"/>
              <w:rPr>
                <w:sz w:val="20"/>
                <w:szCs w:val="20"/>
                <w:color w:val="auto"/>
              </w:rPr>
            </w:pPr>
            <w:r>
              <w:rPr>
                <w:rFonts w:ascii="Times New Roman" w:cs="Times New Roman" w:eastAsia="Times New Roman" w:hAnsi="Times New Roman"/>
                <w:sz w:val="7"/>
                <w:szCs w:val="7"/>
                <w:color w:val="auto"/>
              </w:rPr>
              <w:t>Employee share-based compensation</w:t>
            </w:r>
          </w:p>
        </w:tc>
        <w:tc>
          <w:tcPr>
            <w:tcW w:w="1100" w:type="dxa"/>
            <w:vAlign w:val="bottom"/>
            <w:gridSpan w:val="3"/>
          </w:tcPr>
          <w:p>
            <w:pPr>
              <w:jc w:val="right"/>
              <w:ind w:right="380"/>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5,079,201</w:t>
            </w:r>
          </w:p>
        </w:tc>
        <w:tc>
          <w:tcPr>
            <w:tcW w:w="220" w:type="dxa"/>
            <w:vAlign w:val="bottom"/>
          </w:tcPr>
          <w:p>
            <w:pPr>
              <w:spacing w:after="0"/>
              <w:rPr>
                <w:sz w:val="7"/>
                <w:szCs w:val="7"/>
                <w:color w:val="auto"/>
              </w:rPr>
            </w:pPr>
          </w:p>
        </w:tc>
        <w:tc>
          <w:tcPr>
            <w:tcW w:w="94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5,079,201</w:t>
            </w:r>
          </w:p>
        </w:tc>
        <w:tc>
          <w:tcPr>
            <w:tcW w:w="100" w:type="dxa"/>
            <w:vAlign w:val="bottom"/>
          </w:tcPr>
          <w:p>
            <w:pPr>
              <w:spacing w:after="0"/>
              <w:rPr>
                <w:sz w:val="7"/>
                <w:szCs w:val="7"/>
                <w:color w:val="auto"/>
              </w:rPr>
            </w:pPr>
          </w:p>
        </w:tc>
      </w:tr>
      <w:tr>
        <w:trPr>
          <w:trHeight w:val="83"/>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Net loss</w:t>
            </w:r>
          </w:p>
        </w:tc>
        <w:tc>
          <w:tcPr>
            <w:tcW w:w="110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shd w:val="clear" w:color="auto" w:fill="CFF0FC"/>
          </w:tcPr>
          <w:p>
            <w:pPr>
              <w:spacing w:after="0"/>
              <w:rPr>
                <w:sz w:val="7"/>
                <w:szCs w:val="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gridSpan w:val="2"/>
            <w:shd w:val="clear" w:color="auto" w:fill="CFF0FC"/>
          </w:tcPr>
          <w:p>
            <w:pPr>
              <w:jc w:val="right"/>
              <w:ind w:right="174"/>
              <w:spacing w:after="0"/>
              <w:rPr>
                <w:sz w:val="20"/>
                <w:szCs w:val="20"/>
                <w:color w:val="auto"/>
              </w:rPr>
            </w:pPr>
            <w:r>
              <w:rPr>
                <w:rFonts w:ascii="Times New Roman" w:cs="Times New Roman" w:eastAsia="Times New Roman" w:hAnsi="Times New Roman"/>
                <w:sz w:val="7"/>
                <w:szCs w:val="7"/>
                <w:color w:val="auto"/>
              </w:rPr>
              <w:t>(30,736,098 )</w:t>
            </w:r>
          </w:p>
        </w:tc>
        <w:tc>
          <w:tcPr>
            <w:tcW w:w="96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104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7"/>
                <w:szCs w:val="7"/>
                <w:color w:val="auto"/>
              </w:rPr>
              <w:t>(30,736,098 )</w:t>
            </w:r>
          </w:p>
        </w:tc>
      </w:tr>
      <w:tr>
        <w:trPr>
          <w:trHeight w:val="82"/>
        </w:trPr>
        <w:tc>
          <w:tcPr>
            <w:tcW w:w="2200" w:type="dxa"/>
            <w:vAlign w:val="bottom"/>
          </w:tcPr>
          <w:p>
            <w:pPr>
              <w:spacing w:after="0"/>
              <w:rPr>
                <w:sz w:val="20"/>
                <w:szCs w:val="20"/>
                <w:color w:val="auto"/>
              </w:rPr>
            </w:pPr>
            <w:r>
              <w:rPr>
                <w:rFonts w:ascii="Times New Roman" w:cs="Times New Roman" w:eastAsia="Times New Roman" w:hAnsi="Times New Roman"/>
                <w:sz w:val="7"/>
                <w:szCs w:val="7"/>
                <w:b w:val="1"/>
                <w:bCs w:val="1"/>
                <w:color w:val="auto"/>
              </w:rPr>
              <w:t>Foreign currency translation</w:t>
            </w: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3"/>
        </w:trPr>
        <w:tc>
          <w:tcPr>
            <w:tcW w:w="2200" w:type="dxa"/>
            <w:vAlign w:val="bottom"/>
          </w:tcPr>
          <w:p>
            <w:pPr>
              <w:ind w:left="40"/>
              <w:spacing w:after="0"/>
              <w:rPr>
                <w:sz w:val="20"/>
                <w:szCs w:val="20"/>
                <w:color w:val="auto"/>
              </w:rPr>
            </w:pPr>
            <w:r>
              <w:rPr>
                <w:rFonts w:ascii="Times New Roman" w:cs="Times New Roman" w:eastAsia="Times New Roman" w:hAnsi="Times New Roman"/>
                <w:sz w:val="7"/>
                <w:szCs w:val="7"/>
                <w:b w:val="1"/>
                <w:bCs w:val="1"/>
                <w:color w:val="auto"/>
              </w:rPr>
              <w:t>(loss)</w:t>
            </w:r>
          </w:p>
        </w:tc>
        <w:tc>
          <w:tcPr>
            <w:tcW w:w="1100" w:type="dxa"/>
            <w:vAlign w:val="bottom"/>
            <w:gridSpan w:val="3"/>
          </w:tcPr>
          <w:p>
            <w:pPr>
              <w:jc w:val="right"/>
              <w:ind w:right="380"/>
              <w:spacing w:after="0"/>
              <w:rPr>
                <w:sz w:val="20"/>
                <w:szCs w:val="20"/>
                <w:color w:val="auto"/>
              </w:rPr>
            </w:pPr>
            <w:r>
              <w:rPr>
                <w:rFonts w:ascii="Times New Roman" w:cs="Times New Roman" w:eastAsia="Times New Roman" w:hAnsi="Times New Roman"/>
                <w:sz w:val="7"/>
                <w:szCs w:val="7"/>
                <w:b w:val="1"/>
                <w:bCs w:val="1"/>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b w:val="1"/>
                <w:bCs w:val="1"/>
                <w:color w:val="auto"/>
              </w:rPr>
              <w:t>—</w:t>
            </w: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w:t>
            </w:r>
          </w:p>
        </w:tc>
        <w:tc>
          <w:tcPr>
            <w:tcW w:w="220" w:type="dxa"/>
            <w:vAlign w:val="bottom"/>
          </w:tcPr>
          <w:p>
            <w:pPr>
              <w:spacing w:after="0"/>
              <w:rPr>
                <w:sz w:val="7"/>
                <w:szCs w:val="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b w:val="1"/>
                <w:bCs w:val="1"/>
                <w:color w:val="auto"/>
              </w:rPr>
              <w:t>—</w:t>
            </w:r>
          </w:p>
        </w:tc>
        <w:tc>
          <w:tcPr>
            <w:tcW w:w="94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b w:val="1"/>
                <w:bCs w:val="1"/>
                <w:color w:val="auto"/>
              </w:rPr>
              <w:t>—</w:t>
            </w: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b w:val="1"/>
                <w:bCs w:val="1"/>
                <w:color w:val="auto"/>
              </w:rPr>
              <w:t>—</w:t>
            </w:r>
          </w:p>
        </w:tc>
        <w:tc>
          <w:tcPr>
            <w:tcW w:w="1120" w:type="dxa"/>
            <w:vAlign w:val="bottom"/>
            <w:gridSpan w:val="2"/>
          </w:tcPr>
          <w:p>
            <w:pPr>
              <w:jc w:val="right"/>
              <w:ind w:right="174"/>
              <w:spacing w:after="0"/>
              <w:rPr>
                <w:sz w:val="20"/>
                <w:szCs w:val="20"/>
                <w:color w:val="auto"/>
              </w:rPr>
            </w:pPr>
            <w:r>
              <w:rPr>
                <w:rFonts w:ascii="Times New Roman" w:cs="Times New Roman" w:eastAsia="Times New Roman" w:hAnsi="Times New Roman"/>
                <w:sz w:val="7"/>
                <w:szCs w:val="7"/>
                <w:b w:val="1"/>
                <w:bCs w:val="1"/>
                <w:color w:val="auto"/>
              </w:rPr>
              <w:t>(69,565 )</w:t>
            </w:r>
          </w:p>
        </w:tc>
        <w:tc>
          <w:tcPr>
            <w:tcW w:w="1040" w:type="dxa"/>
            <w:vAlign w:val="bottom"/>
            <w:gridSpan w:val="2"/>
          </w:tcPr>
          <w:p>
            <w:pPr>
              <w:jc w:val="right"/>
              <w:ind w:right="74"/>
              <w:spacing w:after="0"/>
              <w:rPr>
                <w:sz w:val="20"/>
                <w:szCs w:val="20"/>
                <w:color w:val="auto"/>
              </w:rPr>
            </w:pPr>
            <w:r>
              <w:rPr>
                <w:rFonts w:ascii="Times New Roman" w:cs="Times New Roman" w:eastAsia="Times New Roman" w:hAnsi="Times New Roman"/>
                <w:sz w:val="7"/>
                <w:szCs w:val="7"/>
                <w:b w:val="1"/>
                <w:bCs w:val="1"/>
                <w:color w:val="auto"/>
              </w:rPr>
              <w:t>(69,565 )</w:t>
            </w:r>
          </w:p>
        </w:tc>
      </w:tr>
      <w:tr>
        <w:trPr>
          <w:trHeight w:val="85"/>
        </w:trPr>
        <w:tc>
          <w:tcPr>
            <w:tcW w:w="2200" w:type="dxa"/>
            <w:vAlign w:val="bottom"/>
            <w:tcBorders>
              <w:bottom w:val="single" w:sz="8" w:color="CFF0FC"/>
            </w:tcBorders>
            <w:shd w:val="clear" w:color="auto" w:fill="CFF0FC"/>
          </w:tcPr>
          <w:p>
            <w:pPr>
              <w:spacing w:after="0" w:line="70" w:lineRule="exact"/>
              <w:rPr>
                <w:sz w:val="20"/>
                <w:szCs w:val="20"/>
                <w:color w:val="auto"/>
              </w:rPr>
            </w:pPr>
            <w:r>
              <w:rPr>
                <w:rFonts w:ascii="Times New Roman" w:cs="Times New Roman" w:eastAsia="Times New Roman" w:hAnsi="Times New Roman"/>
                <w:sz w:val="7"/>
                <w:szCs w:val="7"/>
                <w:b w:val="1"/>
                <w:bCs w:val="1"/>
                <w:color w:val="auto"/>
              </w:rPr>
              <w:t>Balance as at December 31, 2023</w:t>
            </w:r>
          </w:p>
        </w:tc>
        <w:tc>
          <w:tcPr>
            <w:tcW w:w="74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932,969,424</w:t>
            </w:r>
          </w:p>
        </w:tc>
        <w:tc>
          <w:tcPr>
            <w:tcW w:w="200" w:type="dxa"/>
            <w:vAlign w:val="bottom"/>
            <w:tcBorders>
              <w:bottom w:val="single" w:sz="8" w:color="CFF0FC"/>
            </w:tcBorders>
            <w:shd w:val="clear" w:color="auto" w:fill="CFF0FC"/>
          </w:tcPr>
          <w:p>
            <w:pPr>
              <w:spacing w:after="0"/>
              <w:rPr>
                <w:sz w:val="7"/>
                <w:szCs w:val="7"/>
                <w:color w:val="auto"/>
              </w:rPr>
            </w:pPr>
          </w:p>
        </w:tc>
        <w:tc>
          <w:tcPr>
            <w:tcW w:w="160" w:type="dxa"/>
            <w:vAlign w:val="bottom"/>
            <w:tcBorders>
              <w:bottom w:val="single" w:sz="8" w:color="auto"/>
            </w:tcBorders>
            <w:shd w:val="clear" w:color="auto" w:fill="CFF0FC"/>
          </w:tcPr>
          <w:p>
            <w:pPr>
              <w:spacing w:after="0"/>
              <w:rPr>
                <w:sz w:val="7"/>
                <w:szCs w:val="7"/>
                <w:color w:val="auto"/>
              </w:rPr>
            </w:pPr>
          </w:p>
        </w:tc>
        <w:tc>
          <w:tcPr>
            <w:tcW w:w="52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127,310</w:t>
            </w:r>
          </w:p>
        </w:tc>
        <w:tc>
          <w:tcPr>
            <w:tcW w:w="220" w:type="dxa"/>
            <w:vAlign w:val="bottom"/>
            <w:tcBorders>
              <w:bottom w:val="single" w:sz="8" w:color="CFF0FC"/>
            </w:tcBorders>
            <w:shd w:val="clear" w:color="auto" w:fill="CFF0FC"/>
          </w:tcPr>
          <w:p>
            <w:pPr>
              <w:spacing w:after="0"/>
              <w:rPr>
                <w:sz w:val="7"/>
                <w:szCs w:val="7"/>
                <w:color w:val="auto"/>
              </w:rPr>
            </w:pPr>
          </w:p>
        </w:tc>
        <w:tc>
          <w:tcPr>
            <w:tcW w:w="68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28,039,517</w:t>
            </w:r>
          </w:p>
        </w:tc>
        <w:tc>
          <w:tcPr>
            <w:tcW w:w="200" w:type="dxa"/>
            <w:vAlign w:val="bottom"/>
            <w:tcBorders>
              <w:bottom w:val="single" w:sz="8" w:color="CFF0FC"/>
            </w:tcBorders>
            <w:shd w:val="clear" w:color="auto" w:fill="CFF0FC"/>
          </w:tcPr>
          <w:p>
            <w:pPr>
              <w:spacing w:after="0"/>
              <w:rPr>
                <w:sz w:val="7"/>
                <w:szCs w:val="7"/>
                <w:color w:val="auto"/>
              </w:rPr>
            </w:pPr>
          </w:p>
        </w:tc>
        <w:tc>
          <w:tcPr>
            <w:tcW w:w="100" w:type="dxa"/>
            <w:vAlign w:val="bottom"/>
            <w:tcBorders>
              <w:bottom w:val="single" w:sz="8" w:color="auto"/>
            </w:tcBorders>
            <w:shd w:val="clear" w:color="auto" w:fill="CFF0FC"/>
          </w:tcPr>
          <w:p>
            <w:pPr>
              <w:spacing w:after="0"/>
              <w:rPr>
                <w:sz w:val="7"/>
                <w:szCs w:val="7"/>
                <w:color w:val="auto"/>
              </w:rPr>
            </w:pPr>
          </w:p>
        </w:tc>
        <w:tc>
          <w:tcPr>
            <w:tcW w:w="42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3,868</w:t>
            </w:r>
          </w:p>
        </w:tc>
        <w:tc>
          <w:tcPr>
            <w:tcW w:w="220" w:type="dxa"/>
            <w:vAlign w:val="bottom"/>
            <w:tcBorders>
              <w:bottom w:val="single" w:sz="8" w:color="CFF0FC"/>
            </w:tcBorders>
            <w:shd w:val="clear" w:color="auto" w:fill="CFF0FC"/>
          </w:tcPr>
          <w:p>
            <w:pPr>
              <w:spacing w:after="0"/>
              <w:rPr>
                <w:sz w:val="7"/>
                <w:szCs w:val="7"/>
                <w:color w:val="auto"/>
              </w:rPr>
            </w:pPr>
          </w:p>
        </w:tc>
        <w:tc>
          <w:tcPr>
            <w:tcW w:w="68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172,204,832</w:t>
            </w:r>
          </w:p>
        </w:tc>
        <w:tc>
          <w:tcPr>
            <w:tcW w:w="220" w:type="dxa"/>
            <w:vAlign w:val="bottom"/>
            <w:tcBorders>
              <w:bottom w:val="single" w:sz="8" w:color="CFF0FC"/>
            </w:tcBorders>
            <w:shd w:val="clear" w:color="auto" w:fill="CFF0FC"/>
          </w:tcPr>
          <w:p>
            <w:pPr>
              <w:spacing w:after="0"/>
              <w:rPr>
                <w:sz w:val="7"/>
                <w:szCs w:val="7"/>
                <w:color w:val="auto"/>
              </w:rPr>
            </w:pPr>
          </w:p>
        </w:tc>
        <w:tc>
          <w:tcPr>
            <w:tcW w:w="74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(226,291,430</w:t>
            </w:r>
          </w:p>
        </w:tc>
        <w:tc>
          <w:tcPr>
            <w:tcW w:w="200" w:type="dxa"/>
            <w:vAlign w:val="bottom"/>
            <w:tcBorders>
              <w:bottom w:val="single" w:sz="8" w:color="CFF0FC"/>
            </w:tcBorders>
            <w:shd w:val="clear" w:color="auto" w:fill="CFF0FC"/>
          </w:tcPr>
          <w:p>
            <w:pPr>
              <w:jc w:val="right"/>
              <w:ind w:right="174"/>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74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(178,720</w:t>
            </w:r>
          </w:p>
        </w:tc>
        <w:tc>
          <w:tcPr>
            <w:tcW w:w="220" w:type="dxa"/>
            <w:vAlign w:val="bottom"/>
            <w:tcBorders>
              <w:bottom w:val="single" w:sz="8" w:color="CFF0FC"/>
            </w:tcBorders>
            <w:shd w:val="clear" w:color="auto" w:fill="CFF0FC"/>
          </w:tcPr>
          <w:p>
            <w:pPr>
              <w:jc w:val="right"/>
              <w:ind w:right="146"/>
              <w:spacing w:after="0" w:line="70" w:lineRule="exact"/>
              <w:rPr>
                <w:sz w:val="20"/>
                <w:szCs w:val="20"/>
                <w:color w:val="auto"/>
              </w:rPr>
            </w:pPr>
            <w:r>
              <w:rPr>
                <w:rFonts w:ascii="Times New Roman" w:cs="Times New Roman" w:eastAsia="Times New Roman" w:hAnsi="Times New Roman"/>
                <w:sz w:val="7"/>
                <w:szCs w:val="7"/>
                <w:b w:val="1"/>
                <w:bCs w:val="1"/>
                <w:color w:val="auto"/>
                <w:w w:val="83"/>
              </w:rPr>
              <w:t>)</w:t>
            </w:r>
          </w:p>
        </w:tc>
        <w:tc>
          <w:tcPr>
            <w:tcW w:w="92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(150,744</w:t>
            </w:r>
          </w:p>
        </w:tc>
        <w:tc>
          <w:tcPr>
            <w:tcW w:w="200" w:type="dxa"/>
            <w:vAlign w:val="bottom"/>
            <w:tcBorders>
              <w:bottom w:val="single" w:sz="8" w:color="CFF0FC"/>
            </w:tcBorders>
            <w:shd w:val="clear" w:color="auto" w:fill="CFF0FC"/>
          </w:tcPr>
          <w:p>
            <w:pPr>
              <w:jc w:val="right"/>
              <w:ind w:right="174"/>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94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(54,284,884</w:t>
            </w:r>
          </w:p>
        </w:tc>
        <w:tc>
          <w:tcPr>
            <w:tcW w:w="100" w:type="dxa"/>
            <w:vAlign w:val="bottom"/>
            <w:tcBorders>
              <w:bottom w:val="single" w:sz="8" w:color="CFF0FC"/>
            </w:tcBorders>
            <w:shd w:val="clear" w:color="auto" w:fill="CFF0FC"/>
          </w:tcPr>
          <w:p>
            <w:pPr>
              <w:jc w:val="right"/>
              <w:ind w:right="74"/>
              <w:spacing w:after="0"/>
              <w:rPr>
                <w:sz w:val="20"/>
                <w:szCs w:val="20"/>
                <w:color w:val="auto"/>
              </w:rPr>
            </w:pPr>
            <w:r>
              <w:rPr>
                <w:rFonts w:ascii="Times New Roman" w:cs="Times New Roman" w:eastAsia="Times New Roman" w:hAnsi="Times New Roman"/>
                <w:sz w:val="1"/>
                <w:szCs w:val="1"/>
                <w:b w:val="1"/>
                <w:bCs w:val="1"/>
                <w:color w:val="auto"/>
                <w:w w:val="4294967281"/>
              </w:rPr>
              <w:t>)</w:t>
            </w: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Carve-out Consolidated Statements of Cash Flows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180" w:type="dxa"/>
            <w:vAlign w:val="bottom"/>
          </w:tcPr>
          <w:p>
            <w:pPr>
              <w:spacing w:after="0"/>
              <w:rPr>
                <w:sz w:val="8"/>
                <w:szCs w:val="8"/>
                <w:color w:val="auto"/>
              </w:rPr>
            </w:pPr>
          </w:p>
        </w:tc>
        <w:tc>
          <w:tcPr>
            <w:tcW w:w="3100" w:type="dxa"/>
            <w:vAlign w:val="bottom"/>
          </w:tcPr>
          <w:p>
            <w:pPr>
              <w:jc w:val="center"/>
              <w:ind w:left="2557"/>
              <w:spacing w:after="0"/>
              <w:rPr>
                <w:sz w:val="20"/>
                <w:szCs w:val="20"/>
                <w:color w:val="auto"/>
              </w:rPr>
            </w:pPr>
            <w:r>
              <w:rPr>
                <w:rFonts w:ascii="Times New Roman" w:cs="Times New Roman" w:eastAsia="Times New Roman" w:hAnsi="Times New Roman"/>
                <w:sz w:val="8"/>
                <w:szCs w:val="8"/>
                <w:b w:val="1"/>
                <w:bCs w:val="1"/>
                <w:color w:val="auto"/>
              </w:rPr>
              <w:t>Year ended</w:t>
            </w: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0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Year ended</w:t>
            </w:r>
          </w:p>
        </w:tc>
      </w:tr>
      <w:tr>
        <w:trPr>
          <w:trHeight w:val="98"/>
        </w:trPr>
        <w:tc>
          <w:tcPr>
            <w:tcW w:w="5180" w:type="dxa"/>
            <w:vAlign w:val="bottom"/>
          </w:tcPr>
          <w:p>
            <w:pPr>
              <w:spacing w:after="0"/>
              <w:rPr>
                <w:sz w:val="8"/>
                <w:szCs w:val="8"/>
                <w:color w:val="auto"/>
              </w:rPr>
            </w:pPr>
          </w:p>
        </w:tc>
        <w:tc>
          <w:tcPr>
            <w:tcW w:w="3100" w:type="dxa"/>
            <w:vAlign w:val="bottom"/>
          </w:tcPr>
          <w:p>
            <w:pPr>
              <w:jc w:val="center"/>
              <w:ind w:left="2577"/>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0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December 31,</w:t>
            </w:r>
          </w:p>
        </w:tc>
      </w:tr>
      <w:tr>
        <w:trPr>
          <w:trHeight w:val="98"/>
        </w:trPr>
        <w:tc>
          <w:tcPr>
            <w:tcW w:w="5180" w:type="dxa"/>
            <w:vAlign w:val="bottom"/>
          </w:tcPr>
          <w:p>
            <w:pPr>
              <w:spacing w:after="0"/>
              <w:rPr>
                <w:sz w:val="8"/>
                <w:szCs w:val="8"/>
                <w:color w:val="auto"/>
              </w:rPr>
            </w:pPr>
          </w:p>
        </w:tc>
        <w:tc>
          <w:tcPr>
            <w:tcW w:w="3100" w:type="dxa"/>
            <w:vAlign w:val="bottom"/>
          </w:tcPr>
          <w:p>
            <w:pPr>
              <w:jc w:val="center"/>
              <w:ind w:left="2557"/>
              <w:spacing w:after="0"/>
              <w:rPr>
                <w:sz w:val="20"/>
                <w:szCs w:val="20"/>
                <w:color w:val="auto"/>
              </w:rPr>
            </w:pPr>
            <w:r>
              <w:rPr>
                <w:rFonts w:ascii="Times New Roman" w:cs="Times New Roman" w:eastAsia="Times New Roman" w:hAnsi="Times New Roman"/>
                <w:sz w:val="8"/>
                <w:szCs w:val="8"/>
                <w:b w:val="1"/>
                <w:bCs w:val="1"/>
                <w:color w:val="auto"/>
              </w:rPr>
              <w:t>2023</w:t>
            </w: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0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w w:val="99"/>
              </w:rPr>
              <w:t>2022</w:t>
            </w:r>
          </w:p>
        </w:tc>
      </w:tr>
      <w:tr>
        <w:trPr>
          <w:trHeight w:val="106"/>
        </w:trPr>
        <w:tc>
          <w:tcPr>
            <w:tcW w:w="5180" w:type="dxa"/>
            <w:vAlign w:val="bottom"/>
          </w:tcPr>
          <w:p>
            <w:pPr>
              <w:spacing w:after="0"/>
              <w:rPr>
                <w:sz w:val="9"/>
                <w:szCs w:val="9"/>
                <w:color w:val="auto"/>
              </w:rPr>
            </w:pPr>
          </w:p>
        </w:tc>
        <w:tc>
          <w:tcPr>
            <w:tcW w:w="3100" w:type="dxa"/>
            <w:vAlign w:val="bottom"/>
          </w:tcPr>
          <w:p>
            <w:pPr>
              <w:jc w:val="center"/>
              <w:ind w:left="2557"/>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3100" w:type="dxa"/>
            <w:vAlign w:val="bottom"/>
          </w:tcPr>
          <w:p>
            <w:pPr>
              <w:jc w:val="right"/>
              <w:ind w:right="897"/>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w w:val="95"/>
              </w:rPr>
              <w:t>(30,736,098 )</w:t>
            </w:r>
          </w:p>
        </w:tc>
        <w:tc>
          <w:tcPr>
            <w:tcW w:w="380" w:type="dxa"/>
            <w:vAlign w:val="bottom"/>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(110,712,948 )</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Adjustments to reconcile net loss to net cash (used in) operating activities: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242,436</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244,208</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Unrealized foreign exchange (gain)/loss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375,298</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(277,838 )</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Share based compensation issued to related parties for consultancy services</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3,646,017</w:t>
            </w:r>
          </w:p>
        </w:tc>
        <w:tc>
          <w:tcPr>
            <w:tcW w:w="380" w:type="dxa"/>
            <w:vAlign w:val="bottom"/>
          </w:tcPr>
          <w:p>
            <w:pPr>
              <w:spacing w:after="0"/>
              <w:rPr>
                <w:sz w:val="9"/>
                <w:szCs w:val="9"/>
                <w:color w:val="auto"/>
              </w:rPr>
            </w:pPr>
          </w:p>
        </w:tc>
        <w:tc>
          <w:tcPr>
            <w:tcW w:w="130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39,501,701</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Share based compensation for consultancy services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18,417,816</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Employee share based compensation</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5,079,201</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2,115,015</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Impairment of ROU asset, net of lease termination</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46,236</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Impairment of prepayments and other current assets</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731,940</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Impairment of accounts receivable</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334,952</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Impairment of loans receivable</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1,156,316</w:t>
            </w:r>
          </w:p>
        </w:tc>
        <w:tc>
          <w:tcPr>
            <w:tcW w:w="380" w:type="dxa"/>
            <w:vAlign w:val="bottom"/>
          </w:tcPr>
          <w:p>
            <w:pPr>
              <w:spacing w:after="0"/>
              <w:rPr>
                <w:sz w:val="9"/>
                <w:szCs w:val="9"/>
                <w:color w:val="auto"/>
              </w:rPr>
            </w:pPr>
          </w:p>
        </w:tc>
        <w:tc>
          <w:tcPr>
            <w:tcW w:w="130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0</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Impairment of goodwill</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44,438</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Impairment of investment in ANY</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0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14,600,000</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4,791,782</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3,884,695</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Changes in operating assets and liabilities:</w:t>
            </w:r>
          </w:p>
        </w:tc>
        <w:tc>
          <w:tcPr>
            <w:tcW w:w="3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Decrease/(increase) in accounts receivable</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(3,679 )</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712,554</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(Increase) in prepayment and other current assets</w:t>
            </w:r>
          </w:p>
        </w:tc>
        <w:tc>
          <w:tcPr>
            <w:tcW w:w="310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(416,069 )</w:t>
            </w:r>
          </w:p>
        </w:tc>
        <w:tc>
          <w:tcPr>
            <w:tcW w:w="380" w:type="dxa"/>
            <w:vAlign w:val="bottom"/>
          </w:tcPr>
          <w:p>
            <w:pPr>
              <w:spacing w:after="0"/>
              <w:rPr>
                <w:sz w:val="9"/>
                <w:szCs w:val="9"/>
                <w:color w:val="auto"/>
              </w:rPr>
            </w:pP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(56,523 )</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(Decrease) in operating lease liability</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(46,236 )</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Decrease in receivable with related parties</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168,754</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Increase in accounts payable, accrued expenses and other payables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2,310,465</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3,340,539</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Increase (decrease) in payables to related parties</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552,456</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161,791</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95"/>
              </w:rPr>
              <w:t>(13,001,875 )</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(26,788,906 )</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3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Purchase of property and equipment</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(14,376 )</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(36,854 )</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Development of intangible assets</w:t>
            </w:r>
          </w:p>
        </w:tc>
        <w:tc>
          <w:tcPr>
            <w:tcW w:w="310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(1,767,148 )</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investing activities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(1,781,524 )</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(36,854 )</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3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rights issuance</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7,767,674</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ordinary shares</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2,499,920</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common stock to related parties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199,974</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Repayment of short-term debt obligation from related parties</w:t>
            </w:r>
          </w:p>
        </w:tc>
        <w:tc>
          <w:tcPr>
            <w:tcW w:w="310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(250,000 )</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short-term debt from related party</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4,369,413</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long-term debt obligation</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2,625,000</w:t>
            </w:r>
          </w:p>
        </w:tc>
        <w:tc>
          <w:tcPr>
            <w:tcW w:w="380" w:type="dxa"/>
            <w:vAlign w:val="bottom"/>
          </w:tcPr>
          <w:p>
            <w:pPr>
              <w:spacing w:after="0"/>
              <w:rPr>
                <w:sz w:val="9"/>
                <w:szCs w:val="9"/>
                <w:color w:val="auto"/>
              </w:rPr>
            </w:pPr>
          </w:p>
        </w:tc>
        <w:tc>
          <w:tcPr>
            <w:tcW w:w="130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21,500,000</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flow generated from financing activities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b w:val="1"/>
                <w:bCs w:val="1"/>
                <w:color w:val="auto"/>
              </w:rPr>
              <w:t>14,712,061</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23,999,920</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Effect of exchange rate changes on cash</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b w:val="1"/>
                <w:bCs w:val="1"/>
                <w:color w:val="auto"/>
              </w:rPr>
              <w:t>42,399</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177,287</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change in cash</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(28,939 )</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(2,648,553 )</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and cash equivalents, beginning of year</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39,380</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2,687,933</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and cash equivalents, end of year</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b w:val="1"/>
                <w:bCs w:val="1"/>
                <w:color w:val="auto"/>
              </w:rPr>
              <w:t>10,441</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39,380</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Supplemental disclosures</w:t>
            </w:r>
          </w:p>
        </w:tc>
        <w:tc>
          <w:tcPr>
            <w:tcW w:w="3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Share-based payment for development of intangible asset</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115,190</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paid for interest</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Cash paid for taxes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25"/>
        </w:trPr>
        <w:tc>
          <w:tcPr>
            <w:tcW w:w="5180" w:type="dxa"/>
            <w:vAlign w:val="bottom"/>
          </w:tcPr>
          <w:p>
            <w:pPr>
              <w:spacing w:after="0"/>
              <w:rPr>
                <w:sz w:val="20"/>
                <w:szCs w:val="20"/>
                <w:color w:val="auto"/>
              </w:rPr>
            </w:pPr>
            <w:r>
              <w:rPr>
                <w:rFonts w:ascii="Times New Roman" w:cs="Times New Roman" w:eastAsia="Times New Roman" w:hAnsi="Times New Roman"/>
                <w:sz w:val="10"/>
                <w:szCs w:val="10"/>
                <w:color w:val="auto"/>
              </w:rPr>
              <w:t>Accrued interest payable converted to principal</w:t>
            </w:r>
          </w:p>
        </w:tc>
        <w:tc>
          <w:tcPr>
            <w:tcW w:w="3100" w:type="dxa"/>
            <w:vAlign w:val="bottom"/>
          </w:tcPr>
          <w:p>
            <w:pPr>
              <w:spacing w:after="0"/>
              <w:rPr>
                <w:sz w:val="10"/>
                <w:szCs w:val="10"/>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4,040,989</w:t>
            </w:r>
          </w:p>
        </w:tc>
        <w:tc>
          <w:tcPr>
            <w:tcW w:w="380" w:type="dxa"/>
            <w:vAlign w:val="bottom"/>
          </w:tcPr>
          <w:p>
            <w:pPr>
              <w:spacing w:after="0"/>
              <w:rPr>
                <w:sz w:val="10"/>
                <w:szCs w:val="10"/>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bl>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1.Organization and nature of operations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Group Limited (“Rezolve” or “the Company”) was incorporated in England and Wales on January 5, 2023 and changed its name on June 5, 2023 to Rezolve AI Limited.</w:t>
      </w:r>
    </w:p>
    <w:p>
      <w:pPr>
        <w:spacing w:after="0" w:line="126" w:lineRule="exact"/>
        <w:rPr>
          <w:sz w:val="20"/>
          <w:szCs w:val="20"/>
          <w:color w:val="auto"/>
        </w:rPr>
      </w:pPr>
    </w:p>
    <w:p>
      <w:pPr>
        <w:ind w:right="280" w:firstLine="480"/>
        <w:spacing w:after="0" w:line="221" w:lineRule="auto"/>
        <w:rPr>
          <w:sz w:val="20"/>
          <w:szCs w:val="20"/>
          <w:color w:val="auto"/>
        </w:rPr>
      </w:pPr>
      <w:r>
        <w:rPr>
          <w:rFonts w:ascii="Times New Roman" w:cs="Times New Roman" w:eastAsia="Times New Roman" w:hAnsi="Times New Roman"/>
          <w:sz w:val="10"/>
          <w:szCs w:val="10"/>
          <w:color w:val="auto"/>
        </w:rPr>
        <w:t>Rezolve is a mobile commerce and engagement platform that enables retailers and brands to deliver rich and engaging mobile experiences to consumers. The mailing address of Rezolve’s registered office is 3</w:t>
      </w:r>
      <w:r>
        <w:rPr>
          <w:rFonts w:ascii="Times New Roman" w:cs="Times New Roman" w:eastAsia="Times New Roman" w:hAnsi="Times New Roman"/>
          <w:sz w:val="13"/>
          <w:szCs w:val="13"/>
          <w:color w:val="auto"/>
          <w:vertAlign w:val="superscript"/>
        </w:rPr>
        <w:t>rd</w:t>
      </w:r>
      <w:r>
        <w:rPr>
          <w:rFonts w:ascii="Times New Roman" w:cs="Times New Roman" w:eastAsia="Times New Roman" w:hAnsi="Times New Roman"/>
          <w:sz w:val="10"/>
          <w:szCs w:val="10"/>
          <w:color w:val="auto"/>
        </w:rPr>
        <w:t xml:space="preserve"> Floor, 80 New Bond Street, London, United Kingdom, W1S 1SB.</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2.Basis of presentation and summary of significant accounting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2.1.Basis of presentation</w:t>
      </w:r>
    </w:p>
    <w:p>
      <w:pPr>
        <w:spacing w:after="0" w:line="60"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Carve -out Consolidated Financial Statements of Rezolve AI Limited and subsidiaries (together “the Company” or “we”) have been prepared in accordance with accounting principles generally accepted in the United States of America (“US GAAP”). The carve-out consolidated financial statements have been prepared using the United Stated Dollar (“$” or “US dollar”) as the reporting currency.</w:t>
      </w:r>
    </w:p>
    <w:p>
      <w:pPr>
        <w:spacing w:after="0" w:line="101"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The accompanying Carve-out Consolidated Financial Statements include the financial statements of Rezolve AI Limited,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China Business”).</w:t>
      </w:r>
    </w:p>
    <w:p>
      <w:pPr>
        <w:spacing w:after="0" w:line="101"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On January 3, 2023, the Company’s directors approved a plan to abandon its operations in China completely. Subsequently, on January 5, 2023, the Company’s directors approved an application to the United Kingdom (the “UK”) tax authorities requesting tax clearance for a solvent demerger (the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05"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The Demerger involves establishing a new holding company, Rezolve AI Limited (“Rezolve AI”),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It is anticipated that the Demerger will be completed before the completion of the business combination with Armada, which will be effected with Rezolve AI instead of Rezolve Limited. The listed company will consist of Rezolve AI and its subsidiaries, which will legally not include Rezolve Shanghai directly or indirectly.</w:t>
      </w:r>
    </w:p>
    <w:p>
      <w:pPr>
        <w:spacing w:after="0" w:line="110" w:lineRule="exact"/>
        <w:rPr>
          <w:sz w:val="20"/>
          <w:szCs w:val="20"/>
          <w:color w:val="auto"/>
        </w:rPr>
      </w:pPr>
    </w:p>
    <w:p>
      <w:pPr>
        <w:ind w:right="160" w:firstLine="480"/>
        <w:spacing w:after="0" w:line="241" w:lineRule="auto"/>
        <w:rPr>
          <w:sz w:val="20"/>
          <w:szCs w:val="20"/>
          <w:color w:val="auto"/>
        </w:rPr>
      </w:pPr>
      <w:r>
        <w:rPr>
          <w:rFonts w:ascii="Times New Roman" w:cs="Times New Roman" w:eastAsia="Times New Roman" w:hAnsi="Times New Roman"/>
          <w:sz w:val="10"/>
          <w:szCs w:val="10"/>
          <w:color w:val="auto"/>
        </w:rPr>
        <w:t>These Carve -out Consolidated Financial Statements have been prepared on the basis that the Demerger was completed retrospectively on December 31, 2021, and thus reflects the predecessor company prior to completion of the Demerger. They are prepared on a carve-out basis. All costs of doing business in Rezolve Limited have been reflected in Rezolve AI Limited on a 100% allocation basis since management feels that this fully reflects the Carve-out Consolidated Financial Statements had the Demerger completed on December 31, 2021. Investments made in the China Business by Rezolve Limited in the People’s Republic of China (“China”) for the years ending December 31, 2023 and 2022 have been recorded as “Business development expenses”, a component of General and Administrative expenses within the Company’s</w:t>
      </w:r>
    </w:p>
    <w:p>
      <w:pPr>
        <w:spacing w:after="0" w:line="10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 xml:space="preserve">Consolidated Statement of Operations in accordance with </w:t>
      </w:r>
      <w:r>
        <w:rPr>
          <w:rFonts w:ascii="Times New Roman" w:cs="Times New Roman" w:eastAsia="Times New Roman" w:hAnsi="Times New Roman"/>
          <w:sz w:val="10"/>
          <w:szCs w:val="10"/>
          <w:i w:val="1"/>
          <w:iCs w:val="1"/>
          <w:color w:val="auto"/>
        </w:rPr>
        <w:t>Staff Accounting Bulletin Topic 1-B1, Costs Reflected in Historical Financial Statements</w:t>
      </w:r>
      <w:r>
        <w:rPr>
          <w:rFonts w:ascii="Times New Roman" w:cs="Times New Roman" w:eastAsia="Times New Roman" w:hAnsi="Times New Roman"/>
          <w:sz w:val="10"/>
          <w:szCs w:val="10"/>
          <w:color w:val="auto"/>
        </w:rPr>
        <w:t xml:space="preserve"> (“SAB 1-B1”). Management asserts that this method used is reasonable.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2.2.Basis of consolidation</w:t>
      </w:r>
    </w:p>
    <w:p>
      <w:pPr>
        <w:spacing w:after="0" w:line="60" w:lineRule="exact"/>
        <w:rPr>
          <w:sz w:val="20"/>
          <w:szCs w:val="20"/>
          <w:color w:val="auto"/>
        </w:rPr>
      </w:pPr>
    </w:p>
    <w:p>
      <w:pPr>
        <w:ind w:firstLine="480"/>
        <w:spacing w:after="0" w:line="310" w:lineRule="auto"/>
        <w:rPr>
          <w:sz w:val="20"/>
          <w:szCs w:val="20"/>
          <w:color w:val="auto"/>
        </w:rPr>
      </w:pPr>
      <w:r>
        <w:rPr>
          <w:rFonts w:ascii="Times New Roman" w:cs="Times New Roman" w:eastAsia="Times New Roman" w:hAnsi="Times New Roman"/>
          <w:sz w:val="9"/>
          <w:szCs w:val="9"/>
          <w:color w:val="auto"/>
        </w:rPr>
        <w:t>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w:t>
      </w:r>
    </w:p>
    <w:p>
      <w:pPr>
        <w:spacing w:after="0" w:line="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921" w:right="600"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0"/>
          <w:szCs w:val="10"/>
          <w:color w:val="auto"/>
        </w:rPr>
        <w:t>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Ih most significantly impact on the entity’s economic performance, and (2) the right to receive benefits or the obligation to absorb losses from the entity which could potentially be significant to the entity.</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intercompany balances and transactions have been eliminated.</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list of subsidiaries and Rezolve Limited’s holding as of December 31, 2023 and 2022 is as follows:</w:t>
      </w:r>
    </w:p>
    <w:p>
      <w:pPr>
        <w:spacing w:after="0" w:line="153" w:lineRule="exact"/>
        <w:rPr>
          <w:sz w:val="20"/>
          <w:szCs w:val="20"/>
          <w:color w:val="auto"/>
        </w:rPr>
      </w:pPr>
    </w:p>
    <w:tbl>
      <w:tblPr>
        <w:tblLayout w:type="fixed"/>
        <w:tblInd w:w="1060" w:type="dxa"/>
        <w:tblCellMar>
          <w:top w:w="0" w:type="dxa"/>
          <w:left w:w="0" w:type="dxa"/>
          <w:bottom w:w="0" w:type="dxa"/>
          <w:right w:w="0" w:type="dxa"/>
        </w:tblCellMar>
      </w:tblPr>
      <w:tr>
        <w:trPr>
          <w:trHeight w:val="98"/>
        </w:trPr>
        <w:tc>
          <w:tcPr>
            <w:tcW w:w="3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520" w:type="dxa"/>
            <w:vAlign w:val="bottom"/>
          </w:tcPr>
          <w:p>
            <w:pPr>
              <w:jc w:val="center"/>
              <w:ind w:left="13"/>
              <w:spacing w:after="0"/>
              <w:rPr>
                <w:sz w:val="20"/>
                <w:szCs w:val="20"/>
                <w:color w:val="auto"/>
              </w:rPr>
            </w:pPr>
            <w:r>
              <w:rPr>
                <w:rFonts w:ascii="Times New Roman" w:cs="Times New Roman" w:eastAsia="Times New Roman" w:hAnsi="Times New Roman"/>
                <w:sz w:val="8"/>
                <w:szCs w:val="8"/>
                <w:b w:val="1"/>
                <w:bCs w:val="1"/>
                <w:color w:val="auto"/>
              </w:rPr>
              <w:t>Country of</w:t>
            </w:r>
          </w:p>
        </w:tc>
        <w:tc>
          <w:tcPr>
            <w:tcW w:w="1440" w:type="dxa"/>
            <w:vAlign w:val="bottom"/>
          </w:tcPr>
          <w:p>
            <w:pPr>
              <w:jc w:val="right"/>
              <w:ind w:right="574"/>
              <w:spacing w:after="0"/>
              <w:rPr>
                <w:sz w:val="20"/>
                <w:szCs w:val="20"/>
                <w:color w:val="auto"/>
              </w:rPr>
            </w:pPr>
            <w:r>
              <w:rPr>
                <w:rFonts w:ascii="Times New Roman" w:cs="Times New Roman" w:eastAsia="Times New Roman" w:hAnsi="Times New Roman"/>
                <w:sz w:val="8"/>
                <w:szCs w:val="8"/>
                <w:b w:val="1"/>
                <w:bCs w:val="1"/>
                <w:color w:val="auto"/>
              </w:rPr>
              <w:t>Group</w:t>
            </w:r>
          </w:p>
        </w:tc>
      </w:tr>
      <w:tr>
        <w:trPr>
          <w:trHeight w:val="106"/>
        </w:trPr>
        <w:tc>
          <w:tcPr>
            <w:tcW w:w="3240" w:type="dxa"/>
            <w:vAlign w:val="bottom"/>
          </w:tcPr>
          <w:p>
            <w:pPr>
              <w:ind w:left="1540"/>
              <w:spacing w:after="0"/>
              <w:rPr>
                <w:sz w:val="20"/>
                <w:szCs w:val="20"/>
                <w:color w:val="auto"/>
              </w:rPr>
            </w:pPr>
            <w:r>
              <w:rPr>
                <w:rFonts w:ascii="Times New Roman" w:cs="Times New Roman" w:eastAsia="Times New Roman" w:hAnsi="Times New Roman"/>
                <w:sz w:val="8"/>
                <w:szCs w:val="8"/>
                <w:b w:val="1"/>
                <w:bCs w:val="1"/>
                <w:color w:val="auto"/>
              </w:rPr>
              <w:t>Name of the entity</w:t>
            </w:r>
          </w:p>
        </w:tc>
        <w:tc>
          <w:tcPr>
            <w:tcW w:w="2300" w:type="dxa"/>
            <w:vAlign w:val="bottom"/>
          </w:tcPr>
          <w:p>
            <w:pPr>
              <w:jc w:val="center"/>
              <w:ind w:left="533"/>
              <w:spacing w:after="0"/>
              <w:rPr>
                <w:sz w:val="20"/>
                <w:szCs w:val="20"/>
                <w:color w:val="auto"/>
              </w:rPr>
            </w:pPr>
            <w:r>
              <w:rPr>
                <w:rFonts w:ascii="Times New Roman" w:cs="Times New Roman" w:eastAsia="Times New Roman" w:hAnsi="Times New Roman"/>
                <w:sz w:val="8"/>
                <w:szCs w:val="8"/>
                <w:b w:val="1"/>
                <w:bCs w:val="1"/>
                <w:color w:val="auto"/>
              </w:rPr>
              <w:t>Date of incorporation</w:t>
            </w:r>
          </w:p>
        </w:tc>
        <w:tc>
          <w:tcPr>
            <w:tcW w:w="1520" w:type="dxa"/>
            <w:vAlign w:val="bottom"/>
          </w:tcPr>
          <w:p>
            <w:pPr>
              <w:jc w:val="center"/>
              <w:ind w:left="13"/>
              <w:spacing w:after="0"/>
              <w:rPr>
                <w:sz w:val="20"/>
                <w:szCs w:val="20"/>
                <w:color w:val="auto"/>
              </w:rPr>
            </w:pPr>
            <w:r>
              <w:rPr>
                <w:rFonts w:ascii="Times New Roman" w:cs="Times New Roman" w:eastAsia="Times New Roman" w:hAnsi="Times New Roman"/>
                <w:sz w:val="8"/>
                <w:szCs w:val="8"/>
                <w:b w:val="1"/>
                <w:bCs w:val="1"/>
                <w:color w:val="auto"/>
              </w:rPr>
              <w:t>incorporation</w:t>
            </w:r>
          </w:p>
        </w:tc>
        <w:tc>
          <w:tcPr>
            <w:tcW w:w="1440" w:type="dxa"/>
            <w:vAlign w:val="bottom"/>
          </w:tcPr>
          <w:p>
            <w:pPr>
              <w:jc w:val="right"/>
              <w:ind w:right="374"/>
              <w:spacing w:after="0"/>
              <w:rPr>
                <w:sz w:val="20"/>
                <w:szCs w:val="20"/>
                <w:color w:val="auto"/>
              </w:rPr>
            </w:pPr>
            <w:r>
              <w:rPr>
                <w:rFonts w:ascii="Times New Roman" w:cs="Times New Roman" w:eastAsia="Times New Roman" w:hAnsi="Times New Roman"/>
                <w:sz w:val="8"/>
                <w:szCs w:val="8"/>
                <w:b w:val="1"/>
                <w:bCs w:val="1"/>
                <w:color w:val="auto"/>
              </w:rPr>
              <w:t>shareholding (%)</w:t>
            </w:r>
          </w:p>
        </w:tc>
      </w:tr>
      <w:tr>
        <w:trPr>
          <w:trHeight w:val="106"/>
        </w:trPr>
        <w:tc>
          <w:tcPr>
            <w:tcW w:w="324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Rezolve Mobile Commerce Inc.</w:t>
            </w:r>
          </w:p>
        </w:tc>
        <w:tc>
          <w:tcPr>
            <w:tcW w:w="2300" w:type="dxa"/>
            <w:vAlign w:val="bottom"/>
            <w:shd w:val="clear" w:color="auto" w:fill="CFF0FC"/>
          </w:tcPr>
          <w:p>
            <w:pPr>
              <w:spacing w:after="0"/>
              <w:rPr>
                <w:sz w:val="9"/>
                <w:szCs w:val="9"/>
                <w:color w:val="auto"/>
              </w:rPr>
            </w:pPr>
          </w:p>
        </w:tc>
        <w:tc>
          <w:tcPr>
            <w:tcW w:w="1520" w:type="dxa"/>
            <w:vAlign w:val="bottom"/>
            <w:shd w:val="clear" w:color="auto" w:fill="CFF0FC"/>
          </w:tcPr>
          <w:p>
            <w:pPr>
              <w:jc w:val="center"/>
              <w:ind w:left="13"/>
              <w:spacing w:after="0" w:line="106" w:lineRule="exact"/>
              <w:rPr>
                <w:sz w:val="20"/>
                <w:szCs w:val="20"/>
                <w:color w:val="auto"/>
              </w:rPr>
            </w:pPr>
            <w:r>
              <w:rPr>
                <w:rFonts w:ascii="Times New Roman" w:cs="Times New Roman" w:eastAsia="Times New Roman" w:hAnsi="Times New Roman"/>
                <w:sz w:val="10"/>
                <w:szCs w:val="10"/>
                <w:color w:val="auto"/>
                <w:w w:val="96"/>
              </w:rPr>
              <w:t>United States of</w:t>
            </w:r>
          </w:p>
        </w:tc>
        <w:tc>
          <w:tcPr>
            <w:tcW w:w="1440" w:type="dxa"/>
            <w:vAlign w:val="bottom"/>
            <w:shd w:val="clear" w:color="auto" w:fill="CFF0FC"/>
          </w:tcPr>
          <w:p>
            <w:pPr>
              <w:spacing w:after="0"/>
              <w:rPr>
                <w:sz w:val="9"/>
                <w:szCs w:val="9"/>
                <w:color w:val="auto"/>
              </w:rPr>
            </w:pPr>
          </w:p>
        </w:tc>
      </w:tr>
      <w:tr>
        <w:trPr>
          <w:trHeight w:val="119"/>
        </w:trPr>
        <w:tc>
          <w:tcPr>
            <w:tcW w:w="3240" w:type="dxa"/>
            <w:vAlign w:val="bottom"/>
            <w:shd w:val="clear" w:color="auto" w:fill="CFF0FC"/>
          </w:tcPr>
          <w:p>
            <w:pPr>
              <w:spacing w:after="0"/>
              <w:rPr>
                <w:sz w:val="10"/>
                <w:szCs w:val="10"/>
                <w:color w:val="auto"/>
              </w:rPr>
            </w:pPr>
          </w:p>
        </w:tc>
        <w:tc>
          <w:tcPr>
            <w:tcW w:w="2300" w:type="dxa"/>
            <w:vAlign w:val="bottom"/>
            <w:shd w:val="clear" w:color="auto" w:fill="CFF0FC"/>
          </w:tcPr>
          <w:p>
            <w:pPr>
              <w:jc w:val="center"/>
              <w:ind w:left="533"/>
              <w:spacing w:after="0"/>
              <w:rPr>
                <w:sz w:val="20"/>
                <w:szCs w:val="20"/>
                <w:color w:val="auto"/>
              </w:rPr>
            </w:pPr>
            <w:r>
              <w:rPr>
                <w:rFonts w:ascii="Times New Roman" w:cs="Times New Roman" w:eastAsia="Times New Roman" w:hAnsi="Times New Roman"/>
                <w:sz w:val="10"/>
                <w:szCs w:val="10"/>
                <w:color w:val="auto"/>
                <w:w w:val="95"/>
              </w:rPr>
              <w:t>April 20, 2016</w:t>
            </w:r>
          </w:p>
        </w:tc>
        <w:tc>
          <w:tcPr>
            <w:tcW w:w="1520" w:type="dxa"/>
            <w:vAlign w:val="bottom"/>
            <w:shd w:val="clear" w:color="auto" w:fill="CFF0FC"/>
          </w:tcPr>
          <w:p>
            <w:pPr>
              <w:jc w:val="center"/>
              <w:ind w:left="13"/>
              <w:spacing w:after="0"/>
              <w:rPr>
                <w:sz w:val="20"/>
                <w:szCs w:val="20"/>
                <w:color w:val="auto"/>
              </w:rPr>
            </w:pPr>
            <w:r>
              <w:rPr>
                <w:rFonts w:ascii="Times New Roman" w:cs="Times New Roman" w:eastAsia="Times New Roman" w:hAnsi="Times New Roman"/>
                <w:sz w:val="10"/>
                <w:szCs w:val="10"/>
                <w:color w:val="auto"/>
                <w:w w:val="98"/>
              </w:rPr>
              <w:t>America</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100 %</w:t>
            </w:r>
          </w:p>
        </w:tc>
      </w:tr>
      <w:tr>
        <w:trPr>
          <w:trHeight w:val="113"/>
        </w:trPr>
        <w:tc>
          <w:tcPr>
            <w:tcW w:w="3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Rezolve Technology S.L.</w:t>
            </w:r>
          </w:p>
        </w:tc>
        <w:tc>
          <w:tcPr>
            <w:tcW w:w="2300" w:type="dxa"/>
            <w:vAlign w:val="bottom"/>
          </w:tcPr>
          <w:p>
            <w:pPr>
              <w:jc w:val="center"/>
              <w:ind w:left="533"/>
              <w:spacing w:after="0" w:line="113" w:lineRule="exact"/>
              <w:rPr>
                <w:sz w:val="20"/>
                <w:szCs w:val="20"/>
                <w:color w:val="auto"/>
              </w:rPr>
            </w:pPr>
            <w:r>
              <w:rPr>
                <w:rFonts w:ascii="Times New Roman" w:cs="Times New Roman" w:eastAsia="Times New Roman" w:hAnsi="Times New Roman"/>
                <w:sz w:val="10"/>
                <w:szCs w:val="10"/>
                <w:color w:val="auto"/>
                <w:w w:val="96"/>
              </w:rPr>
              <w:t>August 25, 2020</w:t>
            </w:r>
          </w:p>
        </w:tc>
        <w:tc>
          <w:tcPr>
            <w:tcW w:w="1520" w:type="dxa"/>
            <w:vAlign w:val="bottom"/>
          </w:tcPr>
          <w:p>
            <w:pPr>
              <w:jc w:val="center"/>
              <w:ind w:left="13"/>
              <w:spacing w:after="0" w:line="113" w:lineRule="exact"/>
              <w:rPr>
                <w:sz w:val="20"/>
                <w:szCs w:val="20"/>
                <w:color w:val="auto"/>
              </w:rPr>
            </w:pPr>
            <w:r>
              <w:rPr>
                <w:rFonts w:ascii="Times New Roman" w:cs="Times New Roman" w:eastAsia="Times New Roman" w:hAnsi="Times New Roman"/>
                <w:sz w:val="10"/>
                <w:szCs w:val="10"/>
                <w:color w:val="auto"/>
                <w:w w:val="96"/>
              </w:rPr>
              <w:t>Spain</w:t>
            </w:r>
          </w:p>
        </w:tc>
        <w:tc>
          <w:tcPr>
            <w:tcW w:w="1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100 %</w:t>
            </w:r>
          </w:p>
        </w:tc>
      </w:tr>
      <w:tr>
        <w:trPr>
          <w:trHeight w:val="113"/>
        </w:trPr>
        <w:tc>
          <w:tcPr>
            <w:tcW w:w="3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Rezolve Taiwan Limited</w:t>
            </w:r>
          </w:p>
        </w:tc>
        <w:tc>
          <w:tcPr>
            <w:tcW w:w="2300" w:type="dxa"/>
            <w:vAlign w:val="bottom"/>
            <w:shd w:val="clear" w:color="auto" w:fill="CFF0FC"/>
          </w:tcPr>
          <w:p>
            <w:pPr>
              <w:jc w:val="center"/>
              <w:ind w:left="533"/>
              <w:spacing w:after="0" w:line="113" w:lineRule="exact"/>
              <w:rPr>
                <w:sz w:val="20"/>
                <w:szCs w:val="20"/>
                <w:color w:val="auto"/>
              </w:rPr>
            </w:pPr>
            <w:r>
              <w:rPr>
                <w:rFonts w:ascii="Times New Roman" w:cs="Times New Roman" w:eastAsia="Times New Roman" w:hAnsi="Times New Roman"/>
                <w:sz w:val="10"/>
                <w:szCs w:val="10"/>
                <w:color w:val="auto"/>
                <w:w w:val="96"/>
              </w:rPr>
              <w:t>November 9, 2000</w:t>
            </w:r>
          </w:p>
        </w:tc>
        <w:tc>
          <w:tcPr>
            <w:tcW w:w="1520" w:type="dxa"/>
            <w:vAlign w:val="bottom"/>
            <w:shd w:val="clear" w:color="auto" w:fill="CFF0FC"/>
          </w:tcPr>
          <w:p>
            <w:pPr>
              <w:jc w:val="center"/>
              <w:ind w:left="13"/>
              <w:spacing w:after="0" w:line="113" w:lineRule="exact"/>
              <w:rPr>
                <w:sz w:val="20"/>
                <w:szCs w:val="20"/>
                <w:color w:val="auto"/>
              </w:rPr>
            </w:pPr>
            <w:r>
              <w:rPr>
                <w:rFonts w:ascii="Times New Roman" w:cs="Times New Roman" w:eastAsia="Times New Roman" w:hAnsi="Times New Roman"/>
                <w:sz w:val="10"/>
                <w:szCs w:val="10"/>
                <w:color w:val="auto"/>
                <w:w w:val="99"/>
              </w:rPr>
              <w:t>Taiwan</w:t>
            </w:r>
          </w:p>
        </w:tc>
        <w:tc>
          <w:tcPr>
            <w:tcW w:w="1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100 %</w:t>
            </w:r>
          </w:p>
        </w:tc>
      </w:tr>
      <w:tr>
        <w:trPr>
          <w:trHeight w:val="125"/>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Rezolve Technology (India) Private Limited</w:t>
            </w:r>
          </w:p>
        </w:tc>
        <w:tc>
          <w:tcPr>
            <w:tcW w:w="2300" w:type="dxa"/>
            <w:vAlign w:val="bottom"/>
          </w:tcPr>
          <w:p>
            <w:pPr>
              <w:jc w:val="center"/>
              <w:ind w:left="513"/>
              <w:spacing w:after="0"/>
              <w:rPr>
                <w:sz w:val="20"/>
                <w:szCs w:val="20"/>
                <w:color w:val="auto"/>
              </w:rPr>
            </w:pPr>
            <w:r>
              <w:rPr>
                <w:rFonts w:ascii="Times New Roman" w:cs="Times New Roman" w:eastAsia="Times New Roman" w:hAnsi="Times New Roman"/>
                <w:sz w:val="10"/>
                <w:szCs w:val="10"/>
                <w:color w:val="auto"/>
                <w:w w:val="97"/>
              </w:rPr>
              <w:t>March 19, 2021</w:t>
            </w:r>
          </w:p>
        </w:tc>
        <w:tc>
          <w:tcPr>
            <w:tcW w:w="1520" w:type="dxa"/>
            <w:vAlign w:val="bottom"/>
          </w:tcPr>
          <w:p>
            <w:pPr>
              <w:jc w:val="center"/>
              <w:ind w:left="33"/>
              <w:spacing w:after="0"/>
              <w:rPr>
                <w:sz w:val="20"/>
                <w:szCs w:val="20"/>
                <w:color w:val="auto"/>
              </w:rPr>
            </w:pPr>
            <w:r>
              <w:rPr>
                <w:rFonts w:ascii="Times New Roman" w:cs="Times New Roman" w:eastAsia="Times New Roman" w:hAnsi="Times New Roman"/>
                <w:sz w:val="10"/>
                <w:szCs w:val="10"/>
                <w:color w:val="auto"/>
                <w:w w:val="97"/>
              </w:rPr>
              <w:t>India</w:t>
            </w:r>
          </w:p>
        </w:tc>
        <w:tc>
          <w:tcPr>
            <w:tcW w:w="1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100 %</w:t>
            </w:r>
          </w:p>
        </w:tc>
      </w:tr>
    </w:tbl>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carve-out consolidated financial statements have been prepared using the United Stated Dollar ($) as its reporting currency.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2.3.Emerging Growth Company</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provided that early adoption is permitted by the new or revised accounting standard. The Company has elected to not opt out of such extended transition period, 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2.4.Liquidity</w:t>
      </w:r>
    </w:p>
    <w:p>
      <w:pPr>
        <w:spacing w:after="0" w:line="60"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Pursuant to ASC 205-40, Presentation of Financial Statements—Going Concern (“ASC 205- 40”), management must evaluate whether there are conditions and events, considered in aggregate, that raise substantial doubt about the Company’s ability to continue as a going concern for one year after the date that these Carve-out Consolidated Financial Statements are issued. In accordance with ASC 205-40, management’s analysis can only include the potential mitigating impact of management’s plans that have not been fully implemented as of the issuance date if (a) it is probable that management’s plans will be effectively implemented on a timely basis, and (b) it is probable that the plans, when implemented, will alleviate the relevant conditions or events that raise substantial doubt about the Company’s ability to continue as a going concern.</w:t>
      </w:r>
    </w:p>
    <w:p>
      <w:pPr>
        <w:spacing w:after="0" w:line="108" w:lineRule="exact"/>
        <w:rPr>
          <w:sz w:val="20"/>
          <w:szCs w:val="20"/>
          <w:color w:val="auto"/>
        </w:rPr>
      </w:pPr>
    </w:p>
    <w:p>
      <w:pPr>
        <w:ind w:right="40" w:firstLine="480"/>
        <w:spacing w:after="0" w:line="277" w:lineRule="auto"/>
        <w:rPr>
          <w:sz w:val="20"/>
          <w:szCs w:val="20"/>
          <w:color w:val="auto"/>
        </w:rPr>
      </w:pPr>
      <w:r>
        <w:rPr>
          <w:rFonts w:ascii="Times New Roman" w:cs="Times New Roman" w:eastAsia="Times New Roman" w:hAnsi="Times New Roman"/>
          <w:sz w:val="9"/>
          <w:szCs w:val="9"/>
          <w:color w:val="auto"/>
        </w:rPr>
        <w:t>As of December 31, 2023, the Company had an accumulated deficit of $226.3 million. For the year ended December 31, 2023, the Company incurred a net loss of $30.7 million and net cash used in operating activities was $13.0 million. Cash and cash equivalents totaled $0.01 million as of December 31, 2023, a decrease of $0.03 million from December 31, 2022. The Company has a working capital deficit of $57.3 million as at December 31, 2023. The Company continues to incur losses while it develops technological services, targets customers and incurs costs for an initial public offering or business combination. Our sources of cash for these activities rely on debt and equity funding. The ability to raise funding has proven challenging in the years ending December 31, 2023 and 2022. Interest rates have risen and the ability to raise funding has been constrained. These conditions raise substantial doubt about the entity’s ability to continue as a going concern for a period of one year from the issuance of these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•Seeking additional capital through the issuance of debt or equity securities.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•Generating revenue by execution of successful trials and long-term partner arrangements.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ability to generate revenue from our technology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•Reducing expenses by taking restructuring actions and reducing the number of employees and consultants.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•Controlling expenses and limiting capital expenditures.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Assumptions underlying the Company’s business plan are highly sensitive to the signing of revenue generating contracts, the successful outcome of trials for our services and the ability to control expenses.</w:t>
      </w:r>
    </w:p>
    <w:p>
      <w:pPr>
        <w:spacing w:after="0" w:line="118"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Furthermore, the review of the strategic plan and budget, including expected developments in liquidity and capital from definitive agreements entered into (Notes 7.3 and 19), were considered. Consequently, it has been concluded that adequate resources and liquidity to meet the cash flow requirements for the next twelve months are present, and it is reasonable to apply the going concern basis as the underlying assumption for the carve-out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2.5.Use of estimates</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 lived assets, and share-based compensation. Management believes that the estimates used in the preparation of the consolidated financial statements are prudent and reasonable. Although these estimates are based upon management’s best knowledge of current events and actions, actual results could differ from estimates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2.6.Foreign currency translation and transactions</w:t>
      </w:r>
    </w:p>
    <w:p>
      <w:pPr>
        <w:spacing w:after="0" w:line="60"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functional currency of the Company is the US dollar, being the currency in which the Company predominantly generates cash through financing transactions and expends cash in Rezolve Limited. The subsidiaries have different functional currencies such as the Euro, Indian Rupee and New Taiwan Dollar which have been determined on the basis of the primary economic environment in which each entity of the Company operates. Management believes that each individual entity’s functional currency reflects the transactions, events and conditions under which the entity conducts its business.</w:t>
      </w:r>
    </w:p>
    <w:p>
      <w:pPr>
        <w:spacing w:after="0" w:line="105" w:lineRule="exact"/>
        <w:rPr>
          <w:sz w:val="20"/>
          <w:szCs w:val="20"/>
          <w:color w:val="auto"/>
        </w:rPr>
      </w:pPr>
    </w:p>
    <w:p>
      <w:pPr>
        <w:ind w:right="200" w:firstLine="480"/>
        <w:spacing w:after="0" w:line="239" w:lineRule="auto"/>
        <w:rPr>
          <w:sz w:val="20"/>
          <w:szCs w:val="20"/>
          <w:color w:val="auto"/>
        </w:rPr>
      </w:pPr>
      <w:r>
        <w:rPr>
          <w:rFonts w:ascii="Times New Roman" w:cs="Times New Roman" w:eastAsia="Times New Roman" w:hAnsi="Times New Roman"/>
          <w:sz w:val="10"/>
          <w:szCs w:val="10"/>
          <w:color w:val="auto"/>
        </w:rPr>
        <w:t>Transactions denominated in currencies other than our or our subsidiaries’ functional currencies are recorded based on exchange rates at the time such transactions arise. Assets and liabilities denominated in currencies other than the functional currency are remeasured using the current exchange rate for monetary accounts and historical exchange rates for nonmonetary accounts, with exchange differences on remeasurement included in other income (expense), net in our consolidated statements of operations. Foreign subsidiaries that utilize foreign currency as their functional currency translate such currency into U.S. dollars using (i) the exchange rate on the balance sheet dates for assets and liabilities, (ii) the average exchange rates prevailing during the period for revenues and expenses, and (iii) historical exchange rates for equity. Any translation adjustments resulting from this process are shown separately as a component of accumulated other comprehensive income (loss) within shareholder’s deficit in the consolidated balance sheets and statement of comprehensive income (loss).</w:t>
      </w:r>
    </w:p>
    <w:p>
      <w:pPr>
        <w:spacing w:after="0" w:line="110"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effects of exchange rates on cash balances held in foreign currencies are separately reported in our consolidated statements of cash flows.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2.7.Cash</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Cash comprises cash on hand and in current accounts which are readily available. Our cash is held in creditworthy financial institutions and is insured up to GBP 85,000 in accordance with the regulations of the United Kingdom’s Financial Conduct Authority.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Company has not experienced any losses associated with cash held with financial institutions.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2.8.Accounts receivable, net</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Company has adopted ASC 326 “Financial Instruments—Credit Losses” as of January 31, 2023 (refer to note 3.) Account receivable consists primarily of amounts related to fees charged to customers. Credit is extended based on evaluation of a customer’s financial condition and generally collateral is not required. Accounts receivable is stated at amounts due from customers net of allowance for doubtfull accounts. The allowance for doubtful accounts is based upon our current estimate of lifetime expected credit losses related to uncollectible accounts receivable. The Company evaluates the need for an allowance for doubtful accounts based on historical collection trends, prevailing and anticipated macroeconomic conditions and specific customer credit risk. Accounts receivable in the accompanying consolidated financial statements does not have any allowances created for doubtful accounts.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2.9.Property and equipment</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Property and equipment are stated at cost of acquisition less accumulated depreciation and accumulated impairment provisions, however, there have been no indicators identified during the reporting periods.</w:t>
      </w:r>
    </w:p>
    <w:p>
      <w:pPr>
        <w:spacing w:after="0" w:line="118"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An item of property and equipment is derecognized upon disposal or when no future economic benefits are expected from its use. Any gain or loss arising on derecognition of the asset (calculated as the difference between the net disposal proceeds and the net carrying amount of the asset) is included in the consolidated statement of comprehensive operations, in the year the asset is derecognized.</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Depreciation on property and equipment is charged to expense on a systematic basis over the useful life of assets as estimated by the management. Depreciation is computed using the straight-line method. The useful lives estimated by the management are as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follows:</w:t>
      </w:r>
    </w:p>
    <w:p>
      <w:pPr>
        <w:spacing w:after="0" w:line="143" w:lineRule="exact"/>
        <w:rPr>
          <w:sz w:val="20"/>
          <w:szCs w:val="20"/>
          <w:color w:val="auto"/>
        </w:rPr>
      </w:pPr>
    </w:p>
    <w:tbl>
      <w:tblPr>
        <w:tblLayout w:type="fixed"/>
        <w:tblInd w:w="2120" w:type="dxa"/>
        <w:tblCellMar>
          <w:top w:w="0" w:type="dxa"/>
          <w:left w:w="0" w:type="dxa"/>
          <w:bottom w:w="0" w:type="dxa"/>
          <w:right w:w="0" w:type="dxa"/>
        </w:tblCellMar>
      </w:tblPr>
      <w:tr>
        <w:trPr>
          <w:trHeight w:val="106"/>
        </w:trPr>
        <w:tc>
          <w:tcPr>
            <w:tcW w:w="29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Assets</w:t>
            </w:r>
          </w:p>
        </w:tc>
        <w:tc>
          <w:tcPr>
            <w:tcW w:w="3460" w:type="dxa"/>
            <w:vAlign w:val="bottom"/>
          </w:tcPr>
          <w:p>
            <w:pPr>
              <w:ind w:left="2340"/>
              <w:spacing w:after="0"/>
              <w:rPr>
                <w:sz w:val="20"/>
                <w:szCs w:val="20"/>
                <w:color w:val="auto"/>
              </w:rPr>
            </w:pPr>
            <w:r>
              <w:rPr>
                <w:rFonts w:ascii="Times New Roman" w:cs="Times New Roman" w:eastAsia="Times New Roman" w:hAnsi="Times New Roman"/>
                <w:sz w:val="8"/>
                <w:szCs w:val="8"/>
                <w:b w:val="1"/>
                <w:bCs w:val="1"/>
                <w:color w:val="auto"/>
              </w:rPr>
              <w:t>Useful life</w:t>
            </w:r>
          </w:p>
        </w:tc>
      </w:tr>
      <w:tr>
        <w:trPr>
          <w:trHeight w:val="98"/>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Computers</w:t>
            </w:r>
          </w:p>
        </w:tc>
        <w:tc>
          <w:tcPr>
            <w:tcW w:w="3460" w:type="dxa"/>
            <w:vAlign w:val="bottom"/>
            <w:shd w:val="clear" w:color="auto" w:fill="CFF0FC"/>
          </w:tcPr>
          <w:p>
            <w:pPr>
              <w:ind w:left="2340"/>
              <w:spacing w:after="0"/>
              <w:rPr>
                <w:sz w:val="20"/>
                <w:szCs w:val="20"/>
                <w:color w:val="auto"/>
              </w:rPr>
            </w:pPr>
            <w:r>
              <w:rPr>
                <w:rFonts w:ascii="Times New Roman" w:cs="Times New Roman" w:eastAsia="Times New Roman" w:hAnsi="Times New Roman"/>
                <w:sz w:val="8"/>
                <w:szCs w:val="8"/>
                <w:color w:val="auto"/>
              </w:rPr>
              <w:t>3 years</w:t>
            </w:r>
          </w:p>
        </w:tc>
      </w:tr>
      <w:tr>
        <w:trPr>
          <w:trHeight w:val="106"/>
        </w:trPr>
        <w:tc>
          <w:tcPr>
            <w:tcW w:w="2920" w:type="dxa"/>
            <w:vAlign w:val="bottom"/>
          </w:tcPr>
          <w:p>
            <w:pPr>
              <w:spacing w:after="0"/>
              <w:rPr>
                <w:sz w:val="20"/>
                <w:szCs w:val="20"/>
                <w:color w:val="auto"/>
              </w:rPr>
            </w:pPr>
            <w:r>
              <w:rPr>
                <w:rFonts w:ascii="Times New Roman" w:cs="Times New Roman" w:eastAsia="Times New Roman" w:hAnsi="Times New Roman"/>
                <w:sz w:val="8"/>
                <w:szCs w:val="8"/>
                <w:color w:val="auto"/>
              </w:rPr>
              <w:t>Office equipment</w:t>
            </w:r>
          </w:p>
        </w:tc>
        <w:tc>
          <w:tcPr>
            <w:tcW w:w="3460" w:type="dxa"/>
            <w:vAlign w:val="bottom"/>
          </w:tcPr>
          <w:p>
            <w:pPr>
              <w:ind w:left="2340"/>
              <w:spacing w:after="0"/>
              <w:rPr>
                <w:sz w:val="20"/>
                <w:szCs w:val="20"/>
                <w:color w:val="auto"/>
              </w:rPr>
            </w:pPr>
            <w:r>
              <w:rPr>
                <w:rFonts w:ascii="Times New Roman" w:cs="Times New Roman" w:eastAsia="Times New Roman" w:hAnsi="Times New Roman"/>
                <w:sz w:val="8"/>
                <w:szCs w:val="8"/>
                <w:color w:val="auto"/>
              </w:rPr>
              <w:t>3 years</w:t>
            </w:r>
          </w:p>
        </w:tc>
      </w:tr>
    </w:tbl>
    <w:p>
      <w:pPr>
        <w:spacing w:after="0" w:line="1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Repairs and maintenance of property and equipment are expensed as incurred; enhancements and improvements that extend the life of property and equipment are capitalized into their cost.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2.10.Intangible assets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Intangible assets consist of computer software, customer lists and goodwill.</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Computer software</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Computer software acquired separately is measured on initial recognition at cost. Following initial recognition, such assets are carried at cost less any accumulated amortization and any accumulated impairment losses, however, there have been no indicators of impairment identified during the years ended 2023 and 2022.</w:t>
      </w:r>
    </w:p>
    <w:p>
      <w:pPr>
        <w:spacing w:after="0" w:line="101"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Computer software assets are amortized over their useful economic life less their estimated residual value and assessed for impairment whenever there is an indication that the intangible asset may be impaired. Gains or losses arising from de-recognition of an intangible asset are measured as the difference between the net disposal proceeds and the net carrying amount of the asset and are recognized in profit or loss in the consolidated statement of operations when the asset is derecognized.</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initial useful lives of computer software assets as estimated by management are summarized as follows:</w:t>
      </w:r>
    </w:p>
    <w:p>
      <w:pPr>
        <w:sectPr>
          <w:pgSz w:w="11900" w:h="16840" w:orient="portrait"/>
          <w:cols w:equalWidth="0" w:num="1">
            <w:col w:w="10620"/>
          </w:cols>
          <w:pgMar w:left="640" w:top="921" w:right="640" w:bottom="1440" w:gutter="0" w:footer="0" w:header="0"/>
        </w:sectPr>
      </w:pPr>
    </w:p>
    <w:p>
      <w:pPr>
        <w:spacing w:after="0" w:line="15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8"/>
          <w:szCs w:val="8"/>
          <w:b w:val="1"/>
          <w:bCs w:val="1"/>
          <w:color w:val="auto"/>
        </w:rPr>
        <w:t>Assets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b w:val="1"/>
          <w:bCs w:val="1"/>
          <w:color w:val="auto"/>
        </w:rPr>
        <w:t>Useful life</w:t>
      </w:r>
    </w:p>
    <w:p>
      <w:pPr>
        <w:spacing w:after="0" w:line="27" w:lineRule="exact"/>
        <w:rPr>
          <w:sz w:val="20"/>
          <w:szCs w:val="20"/>
          <w:color w:val="auto"/>
        </w:rPr>
      </w:pPr>
    </w:p>
    <w:p>
      <w:pPr>
        <w:sectPr>
          <w:pgSz w:w="11900" w:h="16840" w:orient="portrait"/>
          <w:cols w:equalWidth="0" w:num="2">
            <w:col w:w="6660" w:space="720"/>
            <w:col w:w="3240"/>
          </w:cols>
          <w:pgMar w:left="640" w:top="921" w:right="640"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8"/>
          <w:szCs w:val="8"/>
          <w:color w:val="auto"/>
        </w:rPr>
        <w:t>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7"/>
          <w:szCs w:val="7"/>
          <w:color w:val="auto"/>
        </w:rPr>
        <w:t>5 years</w:t>
      </w:r>
    </w:p>
    <w:p>
      <w:pPr>
        <w:spacing w:after="0" w:line="181" w:lineRule="exact"/>
        <w:rPr>
          <w:sz w:val="20"/>
          <w:szCs w:val="20"/>
          <w:color w:val="auto"/>
        </w:rPr>
      </w:pPr>
    </w:p>
    <w:p>
      <w:pPr>
        <w:sectPr>
          <w:pgSz w:w="11900" w:h="16840" w:orient="portrait"/>
          <w:cols w:equalWidth="0" w:num="2">
            <w:col w:w="6660" w:space="720"/>
            <w:col w:w="3240"/>
          </w:cols>
          <w:pgMar w:left="640" w:top="921" w:right="6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9"/>
          <w:szCs w:val="9"/>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264160</wp:posOffset>
            </wp:positionV>
            <wp:extent cx="6778625" cy="349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Internal-use software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We capitalize internal and external costs directly associated with the development of internal-use software. Maintenance and training costs, as well as costs incurred during the preliminary stage of an internal-use software development project, are expensed as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incurred.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2.11.Impairment of assets</w:t>
      </w:r>
    </w:p>
    <w:p>
      <w:pPr>
        <w:spacing w:after="0" w:line="60" w:lineRule="exact"/>
        <w:rPr>
          <w:sz w:val="20"/>
          <w:szCs w:val="20"/>
          <w:color w:val="auto"/>
        </w:rPr>
      </w:pPr>
    </w:p>
    <w:p>
      <w:pPr>
        <w:ind w:right="160" w:firstLine="480"/>
        <w:spacing w:after="0" w:line="241" w:lineRule="auto"/>
        <w:rPr>
          <w:sz w:val="20"/>
          <w:szCs w:val="20"/>
          <w:color w:val="auto"/>
        </w:rPr>
      </w:pPr>
      <w:r>
        <w:rPr>
          <w:rFonts w:ascii="Times New Roman" w:cs="Times New Roman" w:eastAsia="Times New Roman" w:hAnsi="Times New Roman"/>
          <w:sz w:val="10"/>
          <w:szCs w:val="10"/>
          <w:color w:val="auto"/>
        </w:rPr>
        <w:t>The Company reviews assets, including the property and equipment and intangibles, for impairment when an event or changes in business circumstances indicate that the carrying amount of the asset may not be fully recoverable. An impairment loss is recognized when estimated undiscounted future cash flows expected to result from use of the asset and its eventual disposition are less than the carrying amount. Impairment loss, if any, is measured as the difference between the fair value of an asset, as measured by discounted cash flows and the asset’s carrying value. Management identified indicators of impairment in its Taiwanese subsidiary during the year-ended December 31, 2022, and as a result impairment charges for accounts receivable of $334,952, other current assets of $731,940 were recognized in the Company’s Carve-out Consolidated Statement of Operations.</w:t>
      </w:r>
    </w:p>
    <w:p>
      <w:pPr>
        <w:spacing w:after="0" w:line="108" w:lineRule="exact"/>
        <w:rPr>
          <w:sz w:val="20"/>
          <w:szCs w:val="20"/>
          <w:color w:val="auto"/>
        </w:rPr>
      </w:pPr>
    </w:p>
    <w:p>
      <w:pPr>
        <w:ind w:firstLine="480"/>
        <w:spacing w:after="0" w:line="310" w:lineRule="auto"/>
        <w:rPr>
          <w:sz w:val="20"/>
          <w:szCs w:val="20"/>
          <w:color w:val="auto"/>
        </w:rPr>
      </w:pPr>
      <w:r>
        <w:rPr>
          <w:rFonts w:ascii="Times New Roman" w:cs="Times New Roman" w:eastAsia="Times New Roman" w:hAnsi="Times New Roman"/>
          <w:sz w:val="9"/>
          <w:szCs w:val="9"/>
          <w:color w:val="auto"/>
        </w:rPr>
        <w:t>The Company reviews goodwill for impairment annually in its fourth quarter by initially considering qualitative factors to determine whether it is more likely than not that the fair value of a reporting unit is less than its carrying amount, including goodwill, as a basis for determining whether it is necessary to perform a quantitative analysis. If it is determined that it is more likely than not that the fair value of reporting unit is less than its carrying amount, a quantitative analysis is performed to identify goodwill impairment.</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identified indicators of impairment in Taiwan which led to the recognition of a goodwill impairment loss of $44,438 in the Company’s Carve-out Consolidated Statement of Operations for the year-ended December 31, 2022.</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There were no other indicators of impairment for any of the long-lived assets as of December 31, 2023 and December 31, 2022 and the years then 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2.12.Convertible Debt</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Company early adopted ASU 2020-06 retrospectively within these consolidated financial statements in the year prior to those years. Had we adopted ASU 2020-06 on January 1, 2021 under the modified retrospective method, such adoption would had not have had a material impact on our carve-out consolidated financial statements.</w:t>
      </w:r>
    </w:p>
    <w:p>
      <w:pPr>
        <w:spacing w:after="0" w:line="101" w:lineRule="exact"/>
        <w:rPr>
          <w:sz w:val="20"/>
          <w:szCs w:val="20"/>
          <w:color w:val="auto"/>
        </w:rPr>
      </w:pPr>
    </w:p>
    <w:p>
      <w:pPr>
        <w:ind w:right="400" w:firstLine="480"/>
        <w:spacing w:after="0" w:line="255" w:lineRule="auto"/>
        <w:rPr>
          <w:sz w:val="20"/>
          <w:szCs w:val="20"/>
          <w:color w:val="auto"/>
        </w:rPr>
      </w:pPr>
      <w:r>
        <w:rPr>
          <w:rFonts w:ascii="Times New Roman" w:cs="Times New Roman" w:eastAsia="Times New Roman" w:hAnsi="Times New Roman"/>
          <w:sz w:val="10"/>
          <w:szCs w:val="10"/>
          <w:color w:val="auto"/>
        </w:rPr>
        <w:t>The Company’s senior secured notes issued in December 2021 and unsecured convertible loans from a related party are accounted for as single liability instruments measured at its amortized cost, as no other embedded features require bifurcation and recognition as derivatives.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2.13.Deferred financing costs</w:t>
      </w:r>
    </w:p>
    <w:p>
      <w:pPr>
        <w:spacing w:after="0" w:line="60"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Deferred financing costs include debt discounts and debt issuance costs related to a recognized debt liability and are presented in the balance sheet as a direct reduction from the carrying value of the debt liability. Amortization of deferred financing costs are included as a component of interest expense. Deferred financing costs are amortized using the effective interest method.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2.14.Revenue recognition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Under ASC 606, the Company determines revenue recognition through the following steps: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the contract, or contracts, with the customer;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the performance obligations in the contract;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•Determining the transaction price;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•Allocating the transaction price to performance obligations in the contract;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•Recognizing revenue when, or as, the Company satisfies performance obligations by transferring the promised goods or services.</w:t>
      </w:r>
    </w:p>
    <w:p>
      <w:pPr>
        <w:spacing w:after="0" w:line="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0"/>
          <w:szCs w:val="10"/>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Ticketing Commissions (Spain)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single source of revenue is for the commission from sales of football tickets for La Liga in Spain through our platform technology. La Liga pays a commission for each football ticket sold through our platform technology.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Revenue is recognized in accordance with ASC 606 “Revenue from Contracts with Customers” at the point in time when a football ticket is sold on our platform technology.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2.15.Cost of revenue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Cost of revenues consists of expenses incurred directly in relation to the earning of revenues such as partner’s fees and inventory plus the impairment of current assets (see note 2.11).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2.16.Operating segments</w:t>
      </w:r>
    </w:p>
    <w:p>
      <w:pPr>
        <w:spacing w:after="0" w:line="60"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Group’s Chief Executive Officer is the Company’s CODM. The CODM reviews financial information presented on a consolidated basis for purposes of making operating decisions, allocating resources, and evaluating financial performance. The Company has determined that it operates as one operating segment.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2.17.Research and development credits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Credits for research and development activities relate to government incentives on qualifying research and development expenditures in the United Kingdom. These refundable credits are recognized within other non-operating income when they are filed with the government authorities and there is no uncertainty on the realization of the credits until they are refundable.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2.18.Share-based compensation</w:t>
      </w:r>
    </w:p>
    <w:p>
      <w:pPr>
        <w:spacing w:after="0" w:line="60"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Company measures the cost of share-based awards granted to employees, non-employees and directors based on the grant-date fair value of the awards. The grant-date fair value of the share options is calculated using a Black-Scholes Merton option pricing model. The value of the portion of the award, after considering potential forfeitures, that is ultimately expected to vest is recognized as expense in our statements of operations on a over the requisite service periods. The Company elected to recognize the effect of forfeitures in the period that they occur.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2.19.Shareholders’ deficit and reserves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Authorized and Outstanding Shares</w:t>
      </w:r>
    </w:p>
    <w:p>
      <w:pPr>
        <w:spacing w:after="0" w:line="60"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The Company has three classes of issued shares, ordinary shares, deferred shares and series A preferred. Each series A preferred and ordinary shareholder are entitled to one vote per share. Holders of deferred shares are not entitled to any votes. Holders of ordinary shares are entitled to receive dividends out of any asset legally available for payment of dividends only when such dividends are declared by the Board of Directors and approved by the majority of the shareholders. As of December 31, 2023, and 2022, the Company’s Board of Directors had not declared any dividends for ordinary shares.</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As of December 31, 2023 the Company had authorized 1,019,324,741shares consisting of 991,285,224 shares ordinary shares and 28,039,517 Series A shares. During 2022, the Company increased its authorized shares by 35,987,277 ordinary shares at a par value £0.0001.</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December 31, 2023 and 2022, there were 932,969,424 and 927,806,159 common shares, and 28,039,517 Series A shares outstanding, respectively.</w:t>
      </w:r>
    </w:p>
    <w:p>
      <w:pPr>
        <w:spacing w:after="0" w:line="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0"/>
          <w:szCs w:val="10"/>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921" w:right="620"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in the carve-out consolidated financial statements, the following employee shares are outstanding due to an unofficial and unapproved equity incentive plan. These shares par value of £0.0001 per share remain unpaid by the employees.</w:t>
      </w:r>
    </w:p>
    <w:p>
      <w:pPr>
        <w:spacing w:after="0" w:line="153" w:lineRule="exact"/>
        <w:rPr>
          <w:sz w:val="20"/>
          <w:szCs w:val="20"/>
          <w:color w:val="auto"/>
        </w:rPr>
      </w:pPr>
    </w:p>
    <w:tbl>
      <w:tblPr>
        <w:tblLayout w:type="fixed"/>
        <w:tblInd w:w="1060" w:type="dxa"/>
        <w:tblCellMar>
          <w:top w:w="0" w:type="dxa"/>
          <w:left w:w="0" w:type="dxa"/>
          <w:bottom w:w="0" w:type="dxa"/>
          <w:right w:w="0" w:type="dxa"/>
        </w:tblCellMar>
      </w:tblPr>
      <w:tr>
        <w:trPr>
          <w:trHeight w:val="98"/>
        </w:trPr>
        <w:tc>
          <w:tcPr>
            <w:tcW w:w="4960" w:type="dxa"/>
            <w:vAlign w:val="bottom"/>
          </w:tcPr>
          <w:p>
            <w:pPr>
              <w:spacing w:after="0"/>
              <w:rPr>
                <w:sz w:val="8"/>
                <w:szCs w:val="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Employee</w:t>
            </w:r>
          </w:p>
        </w:tc>
        <w:tc>
          <w:tcPr>
            <w:tcW w:w="160" w:type="dxa"/>
            <w:vAlign w:val="bottom"/>
          </w:tcPr>
          <w:p>
            <w:pPr>
              <w:spacing w:after="0"/>
              <w:rPr>
                <w:sz w:val="8"/>
                <w:szCs w:val="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Employee Shares</w:t>
            </w: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8"/>
        </w:trPr>
        <w:tc>
          <w:tcPr>
            <w:tcW w:w="4960" w:type="dxa"/>
            <w:vAlign w:val="bottom"/>
          </w:tcPr>
          <w:p>
            <w:pPr>
              <w:spacing w:after="0"/>
              <w:rPr>
                <w:sz w:val="8"/>
                <w:szCs w:val="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Shares at</w:t>
            </w:r>
          </w:p>
        </w:tc>
        <w:tc>
          <w:tcPr>
            <w:tcW w:w="160" w:type="dxa"/>
            <w:vAlign w:val="bottom"/>
          </w:tcPr>
          <w:p>
            <w:pPr>
              <w:spacing w:after="0"/>
              <w:rPr>
                <w:sz w:val="8"/>
                <w:szCs w:val="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Requiring Additional</w:t>
            </w: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8"/>
        </w:trPr>
        <w:tc>
          <w:tcPr>
            <w:tcW w:w="4960" w:type="dxa"/>
            <w:vAlign w:val="bottom"/>
          </w:tcPr>
          <w:p>
            <w:pPr>
              <w:spacing w:after="0"/>
              <w:rPr>
                <w:sz w:val="8"/>
                <w:szCs w:val="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Par Value</w:t>
            </w:r>
          </w:p>
        </w:tc>
        <w:tc>
          <w:tcPr>
            <w:tcW w:w="160" w:type="dxa"/>
            <w:vAlign w:val="bottom"/>
          </w:tcPr>
          <w:p>
            <w:pPr>
              <w:spacing w:after="0"/>
              <w:rPr>
                <w:sz w:val="8"/>
                <w:szCs w:val="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Paid in Capital</w:t>
            </w: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06"/>
        </w:trPr>
        <w:tc>
          <w:tcPr>
            <w:tcW w:w="496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Exercise price</w:t>
            </w: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£0.0001</w:t>
            </w:r>
          </w:p>
        </w:tc>
        <w:tc>
          <w:tcPr>
            <w:tcW w:w="1200" w:type="dxa"/>
            <w:vAlign w:val="bottom"/>
            <w:gridSpan w:val="2"/>
          </w:tcPr>
          <w:p>
            <w:pPr>
              <w:jc w:val="center"/>
              <w:ind w:left="134"/>
              <w:spacing w:after="0"/>
              <w:rPr>
                <w:sz w:val="20"/>
                <w:szCs w:val="20"/>
                <w:color w:val="auto"/>
              </w:rPr>
            </w:pPr>
            <w:r>
              <w:rPr>
                <w:rFonts w:ascii="Times New Roman" w:cs="Times New Roman" w:eastAsia="Times New Roman" w:hAnsi="Times New Roman"/>
                <w:sz w:val="8"/>
                <w:szCs w:val="8"/>
                <w:b w:val="1"/>
                <w:bCs w:val="1"/>
                <w:color w:val="auto"/>
                <w:w w:val="99"/>
              </w:rPr>
              <w:t>£0.016</w:t>
            </w:r>
          </w:p>
        </w:tc>
        <w:tc>
          <w:tcPr>
            <w:tcW w:w="1220" w:type="dxa"/>
            <w:vAlign w:val="bottom"/>
            <w:gridSpan w:val="2"/>
          </w:tcPr>
          <w:p>
            <w:pPr>
              <w:jc w:val="right"/>
              <w:ind w:right="431"/>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9"/>
                <w:szCs w:val="9"/>
                <w:color w:val="auto"/>
              </w:rPr>
            </w:pPr>
          </w:p>
        </w:tc>
      </w:tr>
      <w:tr>
        <w:trPr>
          <w:trHeight w:val="113"/>
        </w:trPr>
        <w:tc>
          <w:tcPr>
            <w:tcW w:w="49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Balance as on January 1, 2022</w:t>
            </w: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58,315,800</w:t>
            </w:r>
          </w:p>
        </w:tc>
        <w:tc>
          <w:tcPr>
            <w:tcW w:w="120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10,700,000</w:t>
            </w:r>
          </w:p>
        </w:tc>
        <w:tc>
          <w:tcPr>
            <w:tcW w:w="12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215,448</w:t>
            </w:r>
          </w:p>
        </w:tc>
        <w:tc>
          <w:tcPr>
            <w:tcW w:w="80" w:type="dxa"/>
            <w:vAlign w:val="bottom"/>
            <w:shd w:val="clear" w:color="auto" w:fill="CFF0FC"/>
          </w:tcPr>
          <w:p>
            <w:pPr>
              <w:spacing w:after="0"/>
              <w:rPr>
                <w:sz w:val="9"/>
                <w:szCs w:val="9"/>
                <w:color w:val="auto"/>
              </w:rPr>
            </w:pPr>
          </w:p>
        </w:tc>
      </w:tr>
      <w:tr>
        <w:trPr>
          <w:trHeight w:val="113"/>
        </w:trPr>
        <w:tc>
          <w:tcPr>
            <w:tcW w:w="49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Issued during the year December 31, 2022</w:t>
            </w: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1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9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Forfeited during the year December 31, 2022</w:t>
            </w: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9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As at December 31, 2022</w:t>
            </w: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58,315,800</w:t>
            </w:r>
          </w:p>
        </w:tc>
        <w:tc>
          <w:tcPr>
            <w:tcW w:w="120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10,700,000</w:t>
            </w:r>
          </w:p>
        </w:tc>
        <w:tc>
          <w:tcPr>
            <w:tcW w:w="12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215,448</w:t>
            </w:r>
          </w:p>
        </w:tc>
        <w:tc>
          <w:tcPr>
            <w:tcW w:w="80" w:type="dxa"/>
            <w:vAlign w:val="bottom"/>
          </w:tcPr>
          <w:p>
            <w:pPr>
              <w:spacing w:after="0"/>
              <w:rPr>
                <w:sz w:val="9"/>
                <w:szCs w:val="9"/>
                <w:color w:val="auto"/>
              </w:rPr>
            </w:pPr>
          </w:p>
        </w:tc>
      </w:tr>
      <w:tr>
        <w:trPr>
          <w:trHeight w:val="113"/>
        </w:trPr>
        <w:tc>
          <w:tcPr>
            <w:tcW w:w="49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Issued during the year December 31, 2023</w:t>
            </w: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9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Forfeited during the year December 31, 2023</w:t>
            </w: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1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5"/>
        </w:trPr>
        <w:tc>
          <w:tcPr>
            <w:tcW w:w="496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 at December 31, 2023</w:t>
            </w:r>
          </w:p>
        </w:tc>
        <w:tc>
          <w:tcPr>
            <w:tcW w:w="104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58,315,800</w:t>
            </w:r>
          </w:p>
        </w:tc>
        <w:tc>
          <w:tcPr>
            <w:tcW w:w="160" w:type="dxa"/>
            <w:vAlign w:val="bottom"/>
            <w:tcBorders>
              <w:bottom w:val="single" w:sz="8" w:color="CFF0FC"/>
            </w:tcBorders>
            <w:shd w:val="clear" w:color="auto" w:fill="CFF0FC"/>
          </w:tcPr>
          <w:p>
            <w:pPr>
              <w:spacing w:after="0"/>
              <w:rPr>
                <w:sz w:val="10"/>
                <w:szCs w:val="10"/>
                <w:color w:val="auto"/>
              </w:rPr>
            </w:pPr>
          </w:p>
        </w:tc>
        <w:tc>
          <w:tcPr>
            <w:tcW w:w="104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10,700,000</w:t>
            </w:r>
          </w:p>
        </w:tc>
        <w:tc>
          <w:tcPr>
            <w:tcW w:w="160" w:type="dxa"/>
            <w:vAlign w:val="bottom"/>
            <w:tcBorders>
              <w:bottom w:val="single" w:sz="8" w:color="CFF0FC"/>
            </w:tcBorders>
            <w:shd w:val="clear" w:color="auto" w:fill="CFF0FC"/>
          </w:tcPr>
          <w:p>
            <w:pPr>
              <w:spacing w:after="0"/>
              <w:rPr>
                <w:sz w:val="10"/>
                <w:szCs w:val="10"/>
                <w:color w:val="auto"/>
              </w:rPr>
            </w:pPr>
          </w:p>
        </w:tc>
        <w:tc>
          <w:tcPr>
            <w:tcW w:w="106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215,448</w:t>
            </w:r>
          </w:p>
        </w:tc>
        <w:tc>
          <w:tcPr>
            <w:tcW w:w="80" w:type="dxa"/>
            <w:vAlign w:val="bottom"/>
            <w:tcBorders>
              <w:bottom w:val="single" w:sz="8" w:color="CFF0FC"/>
            </w:tcBorders>
            <w:shd w:val="clear" w:color="auto" w:fill="CFF0FC"/>
          </w:tcPr>
          <w:p>
            <w:pPr>
              <w:spacing w:after="0"/>
              <w:rPr>
                <w:sz w:val="10"/>
                <w:szCs w:val="10"/>
                <w:color w:val="auto"/>
              </w:rPr>
            </w:pPr>
          </w:p>
        </w:tc>
      </w:tr>
    </w:tbl>
    <w:p>
      <w:pPr>
        <w:spacing w:after="0" w:line="136"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These employee shares have significant restrictions including management’s and or the board’s rights to cancel the shares any time, restrictions on right to transfer, to vote and cumulative dividends. There are no vesting conditions including service conditions in relation to the shares issued. Considering the restrictions imposed on these shares, these shares are considered to be ungranted to the employees. The amount receivable for these employee shares and such employee shares issued have been adjusted from the share subscription receivable and number of ordinary shares, respectively in the Company’s carve-out consolidated statement of changes in shareholder’s deficit.</w:t>
      </w:r>
    </w:p>
    <w:p>
      <w:pPr>
        <w:spacing w:after="0" w:line="105"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Management expect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December 31, 2023, the Company estimates the total share-based payment expense to have been recognized immediately for the grant of 58,315,800 employee shares to be $36,738,954. This estimate uses a fair value per employee share of $.63 based on a recent funding of the Company at $.63 per Ordinary share and an exercise price of £0.0001 for each employee share.</w:t>
      </w:r>
    </w:p>
    <w:p>
      <w:pPr>
        <w:spacing w:after="0" w:line="105"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2.20.Restatement of error in previously filed consolidated combined carve-out financial statements:</w:t>
      </w:r>
    </w:p>
    <w:p>
      <w:pPr>
        <w:spacing w:after="0" w:line="60"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In the initial and four amended filings of the Company’s F-4 registration statement in connection with the proposed business combination with that of Armada Acquisition Corp I (“Armada”, note 7.3), the Company consolidated ANY Lifestyle Management GmbH (“ANY”, Note 14) as a VIE with Rezolve as the primary beneficiary as of August 30, 2021 in its consolidated combined carve-out financial statements.</w:t>
      </w:r>
    </w:p>
    <w:p>
      <w:pPr>
        <w:spacing w:after="0" w:line="116"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9"/>
          <w:szCs w:val="9"/>
          <w:color w:val="auto"/>
        </w:rPr>
        <w:t>On August 30th, 2021, the Company executed a binding term sheet to acquire ANY from the Radio Group GmbH. In accordance with the binding term sheet, the Company issued 14,427,185 ordinary shares valued at $1.03 per share. The ordinary shares were issued on February 11</w:t>
      </w:r>
      <w:r>
        <w:rPr>
          <w:rFonts w:ascii="Times New Roman" w:cs="Times New Roman" w:eastAsia="Times New Roman" w:hAnsi="Times New Roman"/>
          <w:sz w:val="12"/>
          <w:szCs w:val="12"/>
          <w:color w:val="auto"/>
          <w:vertAlign w:val="superscript"/>
        </w:rPr>
        <w:t>th</w:t>
      </w:r>
      <w:r>
        <w:rPr>
          <w:rFonts w:ascii="Times New Roman" w:cs="Times New Roman" w:eastAsia="Times New Roman" w:hAnsi="Times New Roman"/>
          <w:sz w:val="9"/>
          <w:szCs w:val="9"/>
          <w:color w:val="auto"/>
        </w:rPr>
        <w:t xml:space="preserve"> , 2022 at which point all of the outstanding shares of ANY were transferred from the Radio Group to the Company. On December 28, 2022 the legal ownership of ANY reverted back to the sellers of ANY, the consideration shares were reverted back</w:t>
      </w:r>
    </w:p>
    <w:p>
      <w:pPr>
        <w:spacing w:after="0" w:line="1" w:lineRule="exact"/>
        <w:rPr>
          <w:sz w:val="20"/>
          <w:szCs w:val="20"/>
          <w:color w:val="auto"/>
        </w:rPr>
      </w:pPr>
    </w:p>
    <w:p>
      <w:pPr>
        <w:ind w:right="200"/>
        <w:spacing w:after="0" w:line="216" w:lineRule="auto"/>
        <w:rPr>
          <w:sz w:val="20"/>
          <w:szCs w:val="20"/>
          <w:color w:val="auto"/>
        </w:rPr>
      </w:pPr>
      <w:r>
        <w:rPr>
          <w:rFonts w:ascii="Times New Roman" w:cs="Times New Roman" w:eastAsia="Times New Roman" w:hAnsi="Times New Roman"/>
          <w:sz w:val="10"/>
          <w:szCs w:val="10"/>
          <w:color w:val="auto"/>
        </w:rPr>
        <w:t>to Rezolve. On April 13</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2024, the board of directors of the Company approved a decision to abandon its plans to complete the acquisition of ANY. The Radio Group was notified immediately upon the board’s decision. The Company has no plans to pursue acquiring ANY at a later date.</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reassessed the legal rights under the binding term sheet to acquire ANY in early 2024 and concluded that the Company is not the primary beneficiary, and does not have the power to direct the activities of ANY</w:t>
      </w:r>
    </w:p>
    <w:p>
      <w:pPr>
        <w:spacing w:after="0" w:line="118"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Company has therefore restated its consolidated combined carve-out financial statements for the year ending December 31, 2022 by restating the comparative financial statements for the year ended December 31, 2023 submitted with its fifth amended F-4 registration statement by not consolidating ANY.</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921" w:right="620"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The following presents a reconciliation of the impacted financial statement line items as filed to the restated amounts as of December 31, 2022 and for the year then ended. The previously reported amounts reflect those included in the initial and four amended registration statements as of and for the years ended December 31, 2022 filed with the SEC on June 16, 2023, August 10, 2023, September 25, 2023, December 12, 2023 and January 19, 2024. These amounts are labeled as “As Filed” in the tables below. The amounts labeled “Restatement Adjustments” represent the effects of this restatement due to the change in judgement associated with the Company as ANY’s primary beneficiary. The impact of correcting this material error was an increase in net loss of $6.6 million, a decrease in total assets of $7.7 million and total liabilities and shareholders equity of $7.7 million.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investment in ANY of $14,600,000 plus loans to ANY of $222,022 was impaired as the Company abandoned its plans to complete the acquisition of ANY.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34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880" w:type="dxa"/>
            <w:vAlign w:val="bottom"/>
          </w:tcPr>
          <w:p>
            <w:pPr>
              <w:jc w:val="right"/>
              <w:ind w:right="32"/>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840" w:type="dxa"/>
            <w:vAlign w:val="bottom"/>
          </w:tcPr>
          <w:p>
            <w:pPr>
              <w:spacing w:after="0"/>
              <w:rPr>
                <w:sz w:val="8"/>
                <w:szCs w:val="8"/>
                <w:color w:val="auto"/>
              </w:rPr>
            </w:pPr>
          </w:p>
        </w:tc>
        <w:tc>
          <w:tcPr>
            <w:tcW w:w="1540" w:type="dxa"/>
            <w:vAlign w:val="bottom"/>
          </w:tcPr>
          <w:p>
            <w:pPr>
              <w:jc w:val="right"/>
              <w:ind w:right="512"/>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34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balance sheet</w:t>
            </w:r>
          </w:p>
        </w:tc>
        <w:tc>
          <w:tcPr>
            <w:tcW w:w="2920" w:type="dxa"/>
            <w:vAlign w:val="bottom"/>
          </w:tcPr>
          <w:p>
            <w:pPr>
              <w:ind w:left="2600"/>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1880" w:type="dxa"/>
            <w:vAlign w:val="bottom"/>
          </w:tcPr>
          <w:p>
            <w:pPr>
              <w:jc w:val="right"/>
              <w:ind w:right="32"/>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840" w:type="dxa"/>
            <w:vAlign w:val="bottom"/>
          </w:tcPr>
          <w:p>
            <w:pPr>
              <w:spacing w:after="0"/>
              <w:rPr>
                <w:sz w:val="9"/>
                <w:szCs w:val="9"/>
                <w:color w:val="auto"/>
              </w:rPr>
            </w:pPr>
          </w:p>
        </w:tc>
        <w:tc>
          <w:tcPr>
            <w:tcW w:w="1540" w:type="dxa"/>
            <w:vAlign w:val="bottom"/>
          </w:tcPr>
          <w:p>
            <w:pPr>
              <w:jc w:val="right"/>
              <w:ind w:right="63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assets</w:t>
            </w:r>
          </w:p>
        </w:tc>
        <w:tc>
          <w:tcPr>
            <w:tcW w:w="29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41,709</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(2,329 )</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39,380</w:t>
            </w: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Accounts receivable</w:t>
            </w:r>
          </w:p>
        </w:tc>
        <w:tc>
          <w:tcPr>
            <w:tcW w:w="2920" w:type="dxa"/>
            <w:vAlign w:val="bottom"/>
          </w:tcPr>
          <w:p>
            <w:pPr>
              <w:spacing w:after="0"/>
              <w:rPr>
                <w:sz w:val="9"/>
                <w:szCs w:val="9"/>
                <w:color w:val="auto"/>
              </w:rPr>
            </w:pPr>
          </w:p>
        </w:tc>
        <w:tc>
          <w:tcPr>
            <w:tcW w:w="1880" w:type="dxa"/>
            <w:vAlign w:val="bottom"/>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74,748</w:t>
            </w:r>
          </w:p>
        </w:tc>
        <w:tc>
          <w:tcPr>
            <w:tcW w:w="840" w:type="dxa"/>
            <w:vAlign w:val="bottom"/>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(65,893 )</w:t>
            </w:r>
          </w:p>
        </w:tc>
        <w:tc>
          <w:tcPr>
            <w:tcW w:w="15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8,855</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Receivables from related party</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607,726</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(607,726 )</w:t>
            </w:r>
          </w:p>
        </w:tc>
        <w:tc>
          <w:tcPr>
            <w:tcW w:w="1540" w:type="dxa"/>
            <w:vAlign w:val="bottom"/>
            <w:shd w:val="clear" w:color="auto" w:fill="CFF0FC"/>
          </w:tcPr>
          <w:p>
            <w:pPr>
              <w:spacing w:after="0"/>
              <w:rPr>
                <w:sz w:val="9"/>
                <w:szCs w:val="9"/>
                <w:color w:val="auto"/>
              </w:rPr>
            </w:pP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Prepayments and other current assets</w:t>
            </w:r>
          </w:p>
        </w:tc>
        <w:tc>
          <w:tcPr>
            <w:tcW w:w="2920" w:type="dxa"/>
            <w:vAlign w:val="bottom"/>
          </w:tcPr>
          <w:p>
            <w:pPr>
              <w:spacing w:after="0"/>
              <w:rPr>
                <w:sz w:val="9"/>
                <w:szCs w:val="9"/>
                <w:color w:val="auto"/>
              </w:rPr>
            </w:pPr>
          </w:p>
        </w:tc>
        <w:tc>
          <w:tcPr>
            <w:tcW w:w="1880" w:type="dxa"/>
            <w:vAlign w:val="bottom"/>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1,202,572</w:t>
            </w:r>
          </w:p>
        </w:tc>
        <w:tc>
          <w:tcPr>
            <w:tcW w:w="840" w:type="dxa"/>
            <w:vAlign w:val="bottom"/>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(163,312 )</w:t>
            </w:r>
          </w:p>
        </w:tc>
        <w:tc>
          <w:tcPr>
            <w:tcW w:w="15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1,039,260</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52"/>
              <w:spacing w:after="0" w:line="113" w:lineRule="exact"/>
              <w:rPr>
                <w:sz w:val="20"/>
                <w:szCs w:val="20"/>
                <w:color w:val="auto"/>
              </w:rPr>
            </w:pPr>
            <w:r>
              <w:rPr>
                <w:rFonts w:ascii="Times New Roman" w:cs="Times New Roman" w:eastAsia="Times New Roman" w:hAnsi="Times New Roman"/>
                <w:sz w:val="10"/>
                <w:szCs w:val="10"/>
                <w:b w:val="1"/>
                <w:bCs w:val="1"/>
                <w:color w:val="auto"/>
              </w:rPr>
              <w:t>1,926,755</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b w:val="1"/>
                <w:bCs w:val="1"/>
                <w:color w:val="auto"/>
              </w:rPr>
              <w:t>(839,260 )</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1,087,495</w:t>
            </w: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Non-current assets</w:t>
            </w:r>
          </w:p>
        </w:tc>
        <w:tc>
          <w:tcPr>
            <w:tcW w:w="29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Property and equipment, net</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139,560</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(28,562 )</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110,998</w:t>
            </w: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Goodwill</w:t>
            </w:r>
          </w:p>
        </w:tc>
        <w:tc>
          <w:tcPr>
            <w:tcW w:w="2920" w:type="dxa"/>
            <w:vAlign w:val="bottom"/>
          </w:tcPr>
          <w:p>
            <w:pPr>
              <w:spacing w:after="0"/>
              <w:rPr>
                <w:sz w:val="9"/>
                <w:szCs w:val="9"/>
                <w:color w:val="auto"/>
              </w:rPr>
            </w:pPr>
          </w:p>
        </w:tc>
        <w:tc>
          <w:tcPr>
            <w:tcW w:w="1880" w:type="dxa"/>
            <w:vAlign w:val="bottom"/>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1,061,763</w:t>
            </w:r>
          </w:p>
        </w:tc>
        <w:tc>
          <w:tcPr>
            <w:tcW w:w="840" w:type="dxa"/>
            <w:vAlign w:val="bottom"/>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(1,061,763 )</w:t>
            </w:r>
          </w:p>
        </w:tc>
        <w:tc>
          <w:tcPr>
            <w:tcW w:w="15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Intangible assets</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6,237,443</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(5,786,997 )</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450,446</w:t>
            </w: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non-current assets</w:t>
            </w:r>
          </w:p>
        </w:tc>
        <w:tc>
          <w:tcPr>
            <w:tcW w:w="2920" w:type="dxa"/>
            <w:vAlign w:val="bottom"/>
          </w:tcPr>
          <w:p>
            <w:pPr>
              <w:spacing w:after="0"/>
              <w:rPr>
                <w:sz w:val="9"/>
                <w:szCs w:val="9"/>
                <w:color w:val="auto"/>
              </w:rPr>
            </w:pPr>
          </w:p>
        </w:tc>
        <w:tc>
          <w:tcPr>
            <w:tcW w:w="1880" w:type="dxa"/>
            <w:vAlign w:val="bottom"/>
          </w:tcPr>
          <w:p>
            <w:pPr>
              <w:jc w:val="right"/>
              <w:ind w:right="1252"/>
              <w:spacing w:after="0" w:line="113" w:lineRule="exact"/>
              <w:rPr>
                <w:sz w:val="20"/>
                <w:szCs w:val="20"/>
                <w:color w:val="auto"/>
              </w:rPr>
            </w:pPr>
            <w:r>
              <w:rPr>
                <w:rFonts w:ascii="Times New Roman" w:cs="Times New Roman" w:eastAsia="Times New Roman" w:hAnsi="Times New Roman"/>
                <w:sz w:val="10"/>
                <w:szCs w:val="10"/>
                <w:b w:val="1"/>
                <w:bCs w:val="1"/>
                <w:color w:val="auto"/>
              </w:rPr>
              <w:t>7,738,766</w:t>
            </w:r>
          </w:p>
        </w:tc>
        <w:tc>
          <w:tcPr>
            <w:tcW w:w="840" w:type="dxa"/>
            <w:vAlign w:val="bottom"/>
          </w:tcPr>
          <w:p>
            <w:pPr>
              <w:jc w:val="right"/>
              <w:ind w:right="251"/>
              <w:spacing w:after="0" w:line="113" w:lineRule="exact"/>
              <w:rPr>
                <w:sz w:val="20"/>
                <w:szCs w:val="20"/>
                <w:color w:val="auto"/>
              </w:rPr>
            </w:pPr>
            <w:r>
              <w:rPr>
                <w:rFonts w:ascii="Times New Roman" w:cs="Times New Roman" w:eastAsia="Times New Roman" w:hAnsi="Times New Roman"/>
                <w:sz w:val="10"/>
                <w:szCs w:val="10"/>
                <w:b w:val="1"/>
                <w:bCs w:val="1"/>
                <w:color w:val="auto"/>
              </w:rPr>
              <w:t>(6,877,322 )</w:t>
            </w:r>
          </w:p>
        </w:tc>
        <w:tc>
          <w:tcPr>
            <w:tcW w:w="15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561,444</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52"/>
              <w:spacing w:after="0" w:line="113" w:lineRule="exact"/>
              <w:rPr>
                <w:sz w:val="20"/>
                <w:szCs w:val="20"/>
                <w:color w:val="auto"/>
              </w:rPr>
            </w:pPr>
            <w:r>
              <w:rPr>
                <w:rFonts w:ascii="Times New Roman" w:cs="Times New Roman" w:eastAsia="Times New Roman" w:hAnsi="Times New Roman"/>
                <w:sz w:val="10"/>
                <w:szCs w:val="10"/>
                <w:b w:val="1"/>
                <w:bCs w:val="1"/>
                <w:color w:val="auto"/>
              </w:rPr>
              <w:t>9,365,521</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b w:val="1"/>
                <w:bCs w:val="1"/>
                <w:color w:val="auto"/>
              </w:rPr>
              <w:t>(7,716,582 )</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1,648,939</w:t>
            </w: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Liabilities and Shareholders’ deficit</w:t>
            </w:r>
          </w:p>
        </w:tc>
        <w:tc>
          <w:tcPr>
            <w:tcW w:w="29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liabilities</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Short term debt to related party</w:t>
            </w:r>
          </w:p>
        </w:tc>
        <w:tc>
          <w:tcPr>
            <w:tcW w:w="2920" w:type="dxa"/>
            <w:vAlign w:val="bottom"/>
          </w:tcPr>
          <w:p>
            <w:pPr>
              <w:spacing w:after="0"/>
              <w:rPr>
                <w:sz w:val="9"/>
                <w:szCs w:val="9"/>
                <w:color w:val="auto"/>
              </w:rPr>
            </w:pPr>
          </w:p>
        </w:tc>
        <w:tc>
          <w:tcPr>
            <w:tcW w:w="188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697,067</w:t>
            </w:r>
          </w:p>
        </w:tc>
        <w:tc>
          <w:tcPr>
            <w:tcW w:w="84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697,067</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4,262,476</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(533,502 )</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3,728,974</w:t>
            </w: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Due to related party</w:t>
            </w:r>
          </w:p>
        </w:tc>
        <w:tc>
          <w:tcPr>
            <w:tcW w:w="2920" w:type="dxa"/>
            <w:vAlign w:val="bottom"/>
          </w:tcPr>
          <w:p>
            <w:pPr>
              <w:spacing w:after="0"/>
              <w:rPr>
                <w:sz w:val="9"/>
                <w:szCs w:val="9"/>
                <w:color w:val="auto"/>
              </w:rPr>
            </w:pPr>
          </w:p>
        </w:tc>
        <w:tc>
          <w:tcPr>
            <w:tcW w:w="188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225,120</w:t>
            </w:r>
          </w:p>
        </w:tc>
        <w:tc>
          <w:tcPr>
            <w:tcW w:w="84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396,671</w:t>
            </w:r>
          </w:p>
        </w:tc>
        <w:tc>
          <w:tcPr>
            <w:tcW w:w="15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621,791</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Accrued expenses and other payables</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3,488,909</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(848,525 )</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2,640,384</w:t>
            </w: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2920" w:type="dxa"/>
            <w:vAlign w:val="bottom"/>
          </w:tcPr>
          <w:p>
            <w:pPr>
              <w:spacing w:after="0"/>
              <w:rPr>
                <w:sz w:val="9"/>
                <w:szCs w:val="9"/>
                <w:color w:val="auto"/>
              </w:rPr>
            </w:pPr>
          </w:p>
        </w:tc>
        <w:tc>
          <w:tcPr>
            <w:tcW w:w="1880" w:type="dxa"/>
            <w:vAlign w:val="bottom"/>
          </w:tcPr>
          <w:p>
            <w:pPr>
              <w:jc w:val="right"/>
              <w:ind w:right="1252"/>
              <w:spacing w:after="0" w:line="113" w:lineRule="exact"/>
              <w:rPr>
                <w:sz w:val="20"/>
                <w:szCs w:val="20"/>
                <w:color w:val="auto"/>
              </w:rPr>
            </w:pPr>
            <w:r>
              <w:rPr>
                <w:rFonts w:ascii="Times New Roman" w:cs="Times New Roman" w:eastAsia="Times New Roman" w:hAnsi="Times New Roman"/>
                <w:sz w:val="10"/>
                <w:szCs w:val="10"/>
                <w:b w:val="1"/>
                <w:bCs w:val="1"/>
                <w:color w:val="auto"/>
              </w:rPr>
              <w:t>8,673,572</w:t>
            </w:r>
          </w:p>
        </w:tc>
        <w:tc>
          <w:tcPr>
            <w:tcW w:w="840" w:type="dxa"/>
            <w:vAlign w:val="bottom"/>
          </w:tcPr>
          <w:p>
            <w:pPr>
              <w:jc w:val="right"/>
              <w:ind w:right="251"/>
              <w:spacing w:after="0" w:line="113" w:lineRule="exact"/>
              <w:rPr>
                <w:sz w:val="20"/>
                <w:szCs w:val="20"/>
                <w:color w:val="auto"/>
              </w:rPr>
            </w:pPr>
            <w:r>
              <w:rPr>
                <w:rFonts w:ascii="Times New Roman" w:cs="Times New Roman" w:eastAsia="Times New Roman" w:hAnsi="Times New Roman"/>
                <w:sz w:val="10"/>
                <w:szCs w:val="10"/>
                <w:b w:val="1"/>
                <w:bCs w:val="1"/>
                <w:color w:val="auto"/>
              </w:rPr>
              <w:t>(985,356 )</w:t>
            </w:r>
          </w:p>
        </w:tc>
        <w:tc>
          <w:tcPr>
            <w:tcW w:w="15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(7,688,216 )</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Non-current liabilities</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Convertible debt</w:t>
            </w:r>
          </w:p>
        </w:tc>
        <w:tc>
          <w:tcPr>
            <w:tcW w:w="2920" w:type="dxa"/>
            <w:vAlign w:val="bottom"/>
          </w:tcPr>
          <w:p>
            <w:pPr>
              <w:spacing w:after="0"/>
              <w:rPr>
                <w:sz w:val="9"/>
                <w:szCs w:val="9"/>
                <w:color w:val="auto"/>
              </w:rPr>
            </w:pPr>
          </w:p>
        </w:tc>
        <w:tc>
          <w:tcPr>
            <w:tcW w:w="1880" w:type="dxa"/>
            <w:vAlign w:val="bottom"/>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25,302,709</w:t>
            </w:r>
          </w:p>
        </w:tc>
        <w:tc>
          <w:tcPr>
            <w:tcW w:w="84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4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25,302,709</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Share-based payment liability</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1,177,616</w:t>
            </w:r>
          </w:p>
        </w:tc>
        <w:tc>
          <w:tcPr>
            <w:tcW w:w="84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1,177,617</w:t>
            </w: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Deferred tax liability</w:t>
            </w:r>
          </w:p>
        </w:tc>
        <w:tc>
          <w:tcPr>
            <w:tcW w:w="2920" w:type="dxa"/>
            <w:vAlign w:val="bottom"/>
          </w:tcPr>
          <w:p>
            <w:pPr>
              <w:spacing w:after="0"/>
              <w:rPr>
                <w:sz w:val="9"/>
                <w:szCs w:val="9"/>
                <w:color w:val="auto"/>
              </w:rPr>
            </w:pPr>
          </w:p>
        </w:tc>
        <w:tc>
          <w:tcPr>
            <w:tcW w:w="1880" w:type="dxa"/>
            <w:vAlign w:val="bottom"/>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1,526,622</w:t>
            </w:r>
          </w:p>
        </w:tc>
        <w:tc>
          <w:tcPr>
            <w:tcW w:w="840" w:type="dxa"/>
            <w:vAlign w:val="bottom"/>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(1,526,622 )</w:t>
            </w:r>
          </w:p>
        </w:tc>
        <w:tc>
          <w:tcPr>
            <w:tcW w:w="15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non-current liabilities</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52"/>
              <w:spacing w:after="0" w:line="113" w:lineRule="exact"/>
              <w:rPr>
                <w:sz w:val="20"/>
                <w:szCs w:val="20"/>
                <w:color w:val="auto"/>
              </w:rPr>
            </w:pPr>
            <w:r>
              <w:rPr>
                <w:rFonts w:ascii="Times New Roman" w:cs="Times New Roman" w:eastAsia="Times New Roman" w:hAnsi="Times New Roman"/>
                <w:sz w:val="10"/>
                <w:szCs w:val="10"/>
                <w:b w:val="1"/>
                <w:bCs w:val="1"/>
                <w:color w:val="auto"/>
              </w:rPr>
              <w:t>28,006,947</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b w:val="1"/>
                <w:bCs w:val="1"/>
                <w:color w:val="auto"/>
              </w:rPr>
              <w:t>(1,526,622 )</w:t>
            </w:r>
          </w:p>
        </w:tc>
        <w:tc>
          <w:tcPr>
            <w:tcW w:w="154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26,480,326</w:t>
            </w: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liabilities</w:t>
            </w:r>
          </w:p>
        </w:tc>
        <w:tc>
          <w:tcPr>
            <w:tcW w:w="2920" w:type="dxa"/>
            <w:vAlign w:val="bottom"/>
          </w:tcPr>
          <w:p>
            <w:pPr>
              <w:spacing w:after="0"/>
              <w:rPr>
                <w:sz w:val="9"/>
                <w:szCs w:val="9"/>
                <w:color w:val="auto"/>
              </w:rPr>
            </w:pPr>
          </w:p>
        </w:tc>
        <w:tc>
          <w:tcPr>
            <w:tcW w:w="188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b w:val="1"/>
                <w:bCs w:val="1"/>
                <w:color w:val="auto"/>
              </w:rPr>
              <w:t>(36,680,519 )</w:t>
            </w:r>
          </w:p>
        </w:tc>
        <w:tc>
          <w:tcPr>
            <w:tcW w:w="840" w:type="dxa"/>
            <w:vAlign w:val="bottom"/>
          </w:tcPr>
          <w:p>
            <w:pPr>
              <w:jc w:val="right"/>
              <w:ind w:right="251"/>
              <w:spacing w:after="0" w:line="113" w:lineRule="exact"/>
              <w:rPr>
                <w:sz w:val="20"/>
                <w:szCs w:val="20"/>
                <w:color w:val="auto"/>
              </w:rPr>
            </w:pPr>
            <w:r>
              <w:rPr>
                <w:rFonts w:ascii="Times New Roman" w:cs="Times New Roman" w:eastAsia="Times New Roman" w:hAnsi="Times New Roman"/>
                <w:sz w:val="10"/>
                <w:szCs w:val="10"/>
                <w:b w:val="1"/>
                <w:bCs w:val="1"/>
                <w:color w:val="auto"/>
              </w:rPr>
              <w:t>(2,511,978 )</w:t>
            </w:r>
          </w:p>
        </w:tc>
        <w:tc>
          <w:tcPr>
            <w:tcW w:w="154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34,168,542</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Liabilities and Shareholder’s deficit</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Ordinary shares</w:t>
            </w:r>
          </w:p>
        </w:tc>
        <w:tc>
          <w:tcPr>
            <w:tcW w:w="2920" w:type="dxa"/>
            <w:vAlign w:val="bottom"/>
          </w:tcPr>
          <w:p>
            <w:pPr>
              <w:spacing w:after="0"/>
              <w:rPr>
                <w:sz w:val="9"/>
                <w:szCs w:val="9"/>
                <w:color w:val="auto"/>
              </w:rPr>
            </w:pPr>
          </w:p>
        </w:tc>
        <w:tc>
          <w:tcPr>
            <w:tcW w:w="188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126,677</w:t>
            </w:r>
          </w:p>
        </w:tc>
        <w:tc>
          <w:tcPr>
            <w:tcW w:w="84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126,677</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Deferred shares</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1,993</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(1,993 )</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Series A shares</w:t>
            </w:r>
          </w:p>
        </w:tc>
        <w:tc>
          <w:tcPr>
            <w:tcW w:w="2920" w:type="dxa"/>
            <w:vAlign w:val="bottom"/>
          </w:tcPr>
          <w:p>
            <w:pPr>
              <w:spacing w:after="0"/>
              <w:rPr>
                <w:sz w:val="9"/>
                <w:szCs w:val="9"/>
                <w:color w:val="auto"/>
              </w:rPr>
            </w:pPr>
          </w:p>
        </w:tc>
        <w:tc>
          <w:tcPr>
            <w:tcW w:w="188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3,868</w:t>
            </w:r>
          </w:p>
        </w:tc>
        <w:tc>
          <w:tcPr>
            <w:tcW w:w="84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3,868</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163,163,090</w:t>
            </w:r>
          </w:p>
        </w:tc>
        <w:tc>
          <w:tcPr>
            <w:tcW w:w="84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1,993</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163,165,083</w:t>
            </w: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Share subscription receivable</w:t>
            </w:r>
          </w:p>
        </w:tc>
        <w:tc>
          <w:tcPr>
            <w:tcW w:w="2920" w:type="dxa"/>
            <w:vAlign w:val="bottom"/>
          </w:tcPr>
          <w:p>
            <w:pPr>
              <w:spacing w:after="0"/>
              <w:rPr>
                <w:sz w:val="9"/>
                <w:szCs w:val="9"/>
                <w:color w:val="auto"/>
              </w:rPr>
            </w:pPr>
          </w:p>
        </w:tc>
        <w:tc>
          <w:tcPr>
            <w:tcW w:w="188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(178,720 )</w:t>
            </w:r>
          </w:p>
        </w:tc>
        <w:tc>
          <w:tcPr>
            <w:tcW w:w="84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(178,720 )</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(189,171,542 )</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(6,383,790 )</w:t>
            </w:r>
          </w:p>
        </w:tc>
        <w:tc>
          <w:tcPr>
            <w:tcW w:w="15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(195,555,332 )</w:t>
            </w: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Accumulated other comprehensive loss</w:t>
            </w:r>
          </w:p>
        </w:tc>
        <w:tc>
          <w:tcPr>
            <w:tcW w:w="2920" w:type="dxa"/>
            <w:vAlign w:val="bottom"/>
          </w:tcPr>
          <w:p>
            <w:pPr>
              <w:spacing w:after="0"/>
              <w:rPr>
                <w:sz w:val="9"/>
                <w:szCs w:val="9"/>
                <w:color w:val="auto"/>
              </w:rPr>
            </w:pPr>
          </w:p>
        </w:tc>
        <w:tc>
          <w:tcPr>
            <w:tcW w:w="188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(1,260,364 )</w:t>
            </w:r>
          </w:p>
        </w:tc>
        <w:tc>
          <w:tcPr>
            <w:tcW w:w="84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1,179,185</w:t>
            </w:r>
          </w:p>
        </w:tc>
        <w:tc>
          <w:tcPr>
            <w:tcW w:w="15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(81,179 )</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shareholders’ deficit</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b w:val="1"/>
                <w:bCs w:val="1"/>
                <w:color w:val="auto"/>
              </w:rPr>
              <w:t>(27,314,998 )</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b w:val="1"/>
                <w:bCs w:val="1"/>
                <w:color w:val="auto"/>
              </w:rPr>
              <w:t>(5,204,605 )</w:t>
            </w:r>
          </w:p>
        </w:tc>
        <w:tc>
          <w:tcPr>
            <w:tcW w:w="15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(32,519,603 )</w:t>
            </w:r>
          </w:p>
        </w:tc>
      </w:tr>
      <w:tr>
        <w:trPr>
          <w:trHeight w:val="127"/>
        </w:trPr>
        <w:tc>
          <w:tcPr>
            <w:tcW w:w="34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liabilities and shareholders’ deficit</w:t>
            </w:r>
          </w:p>
        </w:tc>
        <w:tc>
          <w:tcPr>
            <w:tcW w:w="2920" w:type="dxa"/>
            <w:vAlign w:val="bottom"/>
          </w:tcPr>
          <w:p>
            <w:pPr>
              <w:spacing w:after="0"/>
              <w:rPr>
                <w:sz w:val="11"/>
                <w:szCs w:val="11"/>
                <w:color w:val="auto"/>
              </w:rPr>
            </w:pPr>
          </w:p>
        </w:tc>
        <w:tc>
          <w:tcPr>
            <w:tcW w:w="1880" w:type="dxa"/>
            <w:vAlign w:val="bottom"/>
          </w:tcPr>
          <w:p>
            <w:pPr>
              <w:jc w:val="right"/>
              <w:ind w:right="1252"/>
              <w:spacing w:after="0"/>
              <w:rPr>
                <w:sz w:val="20"/>
                <w:szCs w:val="20"/>
                <w:color w:val="auto"/>
              </w:rPr>
            </w:pPr>
            <w:r>
              <w:rPr>
                <w:rFonts w:ascii="Times New Roman" w:cs="Times New Roman" w:eastAsia="Times New Roman" w:hAnsi="Times New Roman"/>
                <w:sz w:val="10"/>
                <w:szCs w:val="10"/>
                <w:b w:val="1"/>
                <w:bCs w:val="1"/>
                <w:color w:val="auto"/>
              </w:rPr>
              <w:t>9,365,521</w:t>
            </w: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0"/>
                <w:szCs w:val="10"/>
                <w:b w:val="1"/>
                <w:bCs w:val="1"/>
                <w:color w:val="auto"/>
              </w:rPr>
              <w:t>(7,716,583 )</w:t>
            </w:r>
          </w:p>
        </w:tc>
        <w:tc>
          <w:tcPr>
            <w:tcW w:w="154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1,648,939</w:t>
            </w:r>
          </w:p>
        </w:tc>
      </w:tr>
      <w:tr>
        <w:trPr>
          <w:trHeight w:val="276"/>
        </w:trPr>
        <w:tc>
          <w:tcPr>
            <w:tcW w:w="3440" w:type="dxa"/>
            <w:vAlign w:val="bottom"/>
          </w:tcPr>
          <w:p>
            <w:pPr>
              <w:spacing w:after="0"/>
              <w:rPr>
                <w:sz w:val="24"/>
                <w:szCs w:val="24"/>
                <w:color w:val="auto"/>
              </w:rPr>
            </w:pPr>
          </w:p>
        </w:tc>
        <w:tc>
          <w:tcPr>
            <w:tcW w:w="2920" w:type="dxa"/>
            <w:vAlign w:val="bottom"/>
          </w:tcPr>
          <w:p>
            <w:pPr>
              <w:ind w:left="1780"/>
              <w:spacing w:after="0"/>
              <w:rPr>
                <w:sz w:val="20"/>
                <w:szCs w:val="20"/>
                <w:color w:val="auto"/>
              </w:rPr>
            </w:pPr>
            <w:r>
              <w:rPr>
                <w:rFonts w:ascii="Times New Roman" w:cs="Times New Roman" w:eastAsia="Times New Roman" w:hAnsi="Times New Roman"/>
                <w:sz w:val="10"/>
                <w:szCs w:val="10"/>
                <w:color w:val="auto"/>
              </w:rPr>
              <w:t>F-40</w:t>
            </w:r>
          </w:p>
        </w:tc>
        <w:tc>
          <w:tcPr>
            <w:tcW w:w="1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22"/>
        </w:trPr>
        <w:tc>
          <w:tcPr>
            <w:tcW w:w="3440" w:type="dxa"/>
            <w:vAlign w:val="bottom"/>
            <w:tcBorders>
              <w:bottom w:val="single" w:sz="8" w:color="EEEEEE"/>
            </w:tcBorders>
          </w:tcPr>
          <w:p>
            <w:pPr>
              <w:spacing w:after="0"/>
              <w:rPr>
                <w:sz w:val="24"/>
                <w:szCs w:val="24"/>
                <w:color w:val="auto"/>
              </w:rPr>
            </w:pPr>
          </w:p>
        </w:tc>
        <w:tc>
          <w:tcPr>
            <w:tcW w:w="2920" w:type="dxa"/>
            <w:vAlign w:val="bottom"/>
            <w:tcBorders>
              <w:bottom w:val="single" w:sz="8" w:color="EEEEEE"/>
            </w:tcBorders>
          </w:tcPr>
          <w:p>
            <w:pPr>
              <w:spacing w:after="0"/>
              <w:rPr>
                <w:sz w:val="24"/>
                <w:szCs w:val="24"/>
                <w:color w:val="auto"/>
              </w:rPr>
            </w:pPr>
          </w:p>
        </w:tc>
        <w:tc>
          <w:tcPr>
            <w:tcW w:w="188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15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37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December 31,</w:t>
            </w:r>
          </w:p>
        </w:tc>
      </w:tr>
      <w:tr>
        <w:trPr>
          <w:trHeight w:val="98"/>
        </w:trPr>
        <w:tc>
          <w:tcPr>
            <w:tcW w:w="37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w w:val="99"/>
              </w:rPr>
              <w:t>2022</w:t>
            </w:r>
          </w:p>
        </w:tc>
      </w:tr>
      <w:tr>
        <w:trPr>
          <w:trHeight w:val="106"/>
        </w:trPr>
        <w:tc>
          <w:tcPr>
            <w:tcW w:w="37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financial statements</w:t>
            </w:r>
          </w:p>
        </w:tc>
        <w:tc>
          <w:tcPr>
            <w:tcW w:w="26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740" w:type="dxa"/>
            <w:vAlign w:val="bottom"/>
          </w:tcPr>
          <w:p>
            <w:pPr>
              <w:spacing w:after="0"/>
              <w:rPr>
                <w:sz w:val="9"/>
                <w:szCs w:val="9"/>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7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Revenue</w:t>
            </w:r>
          </w:p>
        </w:tc>
        <w:tc>
          <w:tcPr>
            <w:tcW w:w="2680" w:type="dxa"/>
            <w:vAlign w:val="bottom"/>
            <w:shd w:val="clear" w:color="auto" w:fill="CFF0FC"/>
          </w:tcPr>
          <w:p>
            <w:pPr>
              <w:jc w:val="right"/>
              <w:ind w:right="833"/>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11,879,343</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w w:val="95"/>
              </w:rPr>
              <w:t>(11,764,184 )</w:t>
            </w:r>
          </w:p>
        </w:tc>
        <w:tc>
          <w:tcPr>
            <w:tcW w:w="380" w:type="dxa"/>
            <w:vAlign w:val="bottom"/>
            <w:shd w:val="clear" w:color="auto" w:fill="CFF0FC"/>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115,159</w:t>
            </w:r>
          </w:p>
        </w:tc>
      </w:tr>
      <w:tr>
        <w:trPr>
          <w:trHeight w:val="113"/>
        </w:trPr>
        <w:tc>
          <w:tcPr>
            <w:tcW w:w="37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Operating expenses</w:t>
            </w:r>
          </w:p>
        </w:tc>
        <w:tc>
          <w:tcPr>
            <w:tcW w:w="2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3"/>
        </w:trPr>
        <w:tc>
          <w:tcPr>
            <w:tcW w:w="37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Cost of revenue</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5,604,129</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(4,859,089 )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745,040</w:t>
            </w:r>
          </w:p>
        </w:tc>
      </w:tr>
      <w:tr>
        <w:trPr>
          <w:trHeight w:val="113"/>
        </w:trPr>
        <w:tc>
          <w:tcPr>
            <w:tcW w:w="37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Sales and marketing expenses</w:t>
            </w:r>
          </w:p>
        </w:tc>
        <w:tc>
          <w:tcPr>
            <w:tcW w:w="2680" w:type="dxa"/>
            <w:vAlign w:val="bottom"/>
          </w:tcPr>
          <w:p>
            <w:pPr>
              <w:spacing w:after="0"/>
              <w:rPr>
                <w:sz w:val="9"/>
                <w:szCs w:val="9"/>
                <w:color w:val="auto"/>
              </w:rPr>
            </w:pPr>
          </w:p>
        </w:tc>
        <w:tc>
          <w:tcPr>
            <w:tcW w:w="74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6,827,211</w:t>
            </w:r>
          </w:p>
        </w:tc>
        <w:tc>
          <w:tcPr>
            <w:tcW w:w="112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(2,488,654 )</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4,338,557</w:t>
            </w:r>
          </w:p>
        </w:tc>
      </w:tr>
      <w:tr>
        <w:trPr>
          <w:trHeight w:val="113"/>
        </w:trPr>
        <w:tc>
          <w:tcPr>
            <w:tcW w:w="37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General and administrative expenses</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91,604,396</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(4,963,896 )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86,640,500</w:t>
            </w:r>
          </w:p>
        </w:tc>
      </w:tr>
      <w:tr>
        <w:trPr>
          <w:trHeight w:val="113"/>
        </w:trPr>
        <w:tc>
          <w:tcPr>
            <w:tcW w:w="37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Other operating expenses</w:t>
            </w:r>
          </w:p>
        </w:tc>
        <w:tc>
          <w:tcPr>
            <w:tcW w:w="2680" w:type="dxa"/>
            <w:vAlign w:val="bottom"/>
          </w:tcPr>
          <w:p>
            <w:pPr>
              <w:spacing w:after="0"/>
              <w:rPr>
                <w:sz w:val="9"/>
                <w:szCs w:val="9"/>
                <w:color w:val="auto"/>
              </w:rPr>
            </w:pPr>
          </w:p>
        </w:tc>
        <w:tc>
          <w:tcPr>
            <w:tcW w:w="74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334,952</w:t>
            </w:r>
          </w:p>
        </w:tc>
        <w:tc>
          <w:tcPr>
            <w:tcW w:w="1120" w:type="dxa"/>
            <w:vAlign w:val="bottom"/>
          </w:tcPr>
          <w:p>
            <w:pPr>
              <w:spacing w:after="0"/>
              <w:rPr>
                <w:sz w:val="9"/>
                <w:szCs w:val="9"/>
                <w:color w:val="auto"/>
              </w:rPr>
            </w:pP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334,952</w:t>
            </w:r>
          </w:p>
        </w:tc>
      </w:tr>
      <w:tr>
        <w:trPr>
          <w:trHeight w:val="113"/>
        </w:trPr>
        <w:tc>
          <w:tcPr>
            <w:tcW w:w="37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Depreciation and amortization expenses</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742,113</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(506,316 )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235,797</w:t>
            </w:r>
          </w:p>
        </w:tc>
      </w:tr>
      <w:tr>
        <w:trPr>
          <w:trHeight w:val="113"/>
        </w:trPr>
        <w:tc>
          <w:tcPr>
            <w:tcW w:w="37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Impairment of investment in ANY</w:t>
            </w:r>
          </w:p>
        </w:tc>
        <w:tc>
          <w:tcPr>
            <w:tcW w:w="2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14,822,022</w:t>
            </w:r>
          </w:p>
        </w:tc>
        <w:tc>
          <w:tcPr>
            <w:tcW w:w="380" w:type="dxa"/>
            <w:vAlign w:val="bottom"/>
          </w:tcPr>
          <w:p>
            <w:pPr>
              <w:spacing w:after="0"/>
              <w:rPr>
                <w:sz w:val="9"/>
                <w:szCs w:val="9"/>
                <w:color w:val="auto"/>
              </w:rPr>
            </w:pPr>
          </w:p>
        </w:tc>
        <w:tc>
          <w:tcPr>
            <w:tcW w:w="134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14,822,022</w:t>
            </w:r>
          </w:p>
        </w:tc>
      </w:tr>
      <w:tr>
        <w:trPr>
          <w:trHeight w:val="113"/>
        </w:trPr>
        <w:tc>
          <w:tcPr>
            <w:tcW w:w="37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Impairment of goodwill</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7,418,302</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(7,373,864 )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44,438</w:t>
            </w:r>
          </w:p>
        </w:tc>
      </w:tr>
      <w:tr>
        <w:trPr>
          <w:trHeight w:val="113"/>
        </w:trPr>
        <w:tc>
          <w:tcPr>
            <w:tcW w:w="37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operating expenses</w:t>
            </w:r>
          </w:p>
        </w:tc>
        <w:tc>
          <w:tcPr>
            <w:tcW w:w="2680" w:type="dxa"/>
            <w:vAlign w:val="bottom"/>
          </w:tcPr>
          <w:p>
            <w:pPr>
              <w:spacing w:after="0"/>
              <w:rPr>
                <w:sz w:val="9"/>
                <w:szCs w:val="9"/>
                <w:color w:val="auto"/>
              </w:rPr>
            </w:pPr>
          </w:p>
        </w:tc>
        <w:tc>
          <w:tcPr>
            <w:tcW w:w="74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b w:val="1"/>
                <w:bCs w:val="1"/>
                <w:color w:val="auto"/>
              </w:rPr>
              <w:t>112,531,103</w:t>
            </w:r>
          </w:p>
        </w:tc>
        <w:tc>
          <w:tcPr>
            <w:tcW w:w="112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(5,369,797 )</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107,161,306</w:t>
            </w:r>
          </w:p>
        </w:tc>
      </w:tr>
      <w:tr>
        <w:trPr>
          <w:trHeight w:val="113"/>
        </w:trPr>
        <w:tc>
          <w:tcPr>
            <w:tcW w:w="37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Operating loss</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(100,651,760 )</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(6,394,387 )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(107,046,147 )</w:t>
            </w:r>
          </w:p>
        </w:tc>
      </w:tr>
      <w:tr>
        <w:trPr>
          <w:trHeight w:val="113"/>
        </w:trPr>
        <w:tc>
          <w:tcPr>
            <w:tcW w:w="37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Other expenses</w:t>
            </w:r>
          </w:p>
        </w:tc>
        <w:tc>
          <w:tcPr>
            <w:tcW w:w="2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3"/>
        </w:trPr>
        <w:tc>
          <w:tcPr>
            <w:tcW w:w="37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(3,884,698 )</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3</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(3,884,695 )</w:t>
            </w:r>
          </w:p>
        </w:tc>
      </w:tr>
      <w:tr>
        <w:trPr>
          <w:trHeight w:val="113"/>
        </w:trPr>
        <w:tc>
          <w:tcPr>
            <w:tcW w:w="37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Other non-operating income (expense), net</w:t>
            </w:r>
          </w:p>
        </w:tc>
        <w:tc>
          <w:tcPr>
            <w:tcW w:w="2680" w:type="dxa"/>
            <w:vAlign w:val="bottom"/>
          </w:tcPr>
          <w:p>
            <w:pPr>
              <w:spacing w:after="0"/>
              <w:rPr>
                <w:sz w:val="9"/>
                <w:szCs w:val="9"/>
                <w:color w:val="auto"/>
              </w:rPr>
            </w:pPr>
          </w:p>
        </w:tc>
        <w:tc>
          <w:tcPr>
            <w:tcW w:w="74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315,574</w:t>
            </w:r>
          </w:p>
        </w:tc>
        <w:tc>
          <w:tcPr>
            <w:tcW w:w="112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(58,915 )</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256,659</w:t>
            </w:r>
          </w:p>
        </w:tc>
      </w:tr>
      <w:tr>
        <w:trPr>
          <w:trHeight w:val="113"/>
        </w:trPr>
        <w:tc>
          <w:tcPr>
            <w:tcW w:w="37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other expenses, net</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(3,569,124 )</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(58,912 )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(3,628,036 )</w:t>
            </w:r>
          </w:p>
        </w:tc>
      </w:tr>
      <w:tr>
        <w:trPr>
          <w:trHeight w:val="113"/>
        </w:trPr>
        <w:tc>
          <w:tcPr>
            <w:tcW w:w="37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Loss before taxes</w:t>
            </w:r>
          </w:p>
        </w:tc>
        <w:tc>
          <w:tcPr>
            <w:tcW w:w="2680" w:type="dxa"/>
            <w:vAlign w:val="bottom"/>
          </w:tcPr>
          <w:p>
            <w:pPr>
              <w:spacing w:after="0"/>
              <w:rPr>
                <w:sz w:val="9"/>
                <w:szCs w:val="9"/>
                <w:color w:val="auto"/>
              </w:rPr>
            </w:pPr>
          </w:p>
        </w:tc>
        <w:tc>
          <w:tcPr>
            <w:tcW w:w="74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(104,220,884 )</w:t>
            </w:r>
          </w:p>
        </w:tc>
        <w:tc>
          <w:tcPr>
            <w:tcW w:w="112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95"/>
              </w:rPr>
              <w:t>(31,521,733 )</w:t>
            </w:r>
          </w:p>
        </w:tc>
        <w:tc>
          <w:tcPr>
            <w:tcW w:w="380" w:type="dxa"/>
            <w:vAlign w:val="bottom"/>
          </w:tcPr>
          <w:p>
            <w:pPr>
              <w:spacing w:after="0"/>
              <w:rPr>
                <w:sz w:val="9"/>
                <w:szCs w:val="9"/>
                <w:color w:val="auto"/>
              </w:rPr>
            </w:pPr>
          </w:p>
        </w:tc>
        <w:tc>
          <w:tcPr>
            <w:tcW w:w="13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(110,674,183 )</w:t>
            </w:r>
          </w:p>
        </w:tc>
      </w:tr>
      <w:tr>
        <w:trPr>
          <w:trHeight w:val="113"/>
        </w:trPr>
        <w:tc>
          <w:tcPr>
            <w:tcW w:w="37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 expense</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115,447</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(63,408 )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(38,765 )</w:t>
            </w:r>
          </w:p>
        </w:tc>
      </w:tr>
      <w:tr>
        <w:trPr>
          <w:trHeight w:val="113"/>
        </w:trPr>
        <w:tc>
          <w:tcPr>
            <w:tcW w:w="37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 for the year</w:t>
            </w:r>
          </w:p>
        </w:tc>
        <w:tc>
          <w:tcPr>
            <w:tcW w:w="2680" w:type="dxa"/>
            <w:vAlign w:val="bottom"/>
          </w:tcPr>
          <w:p>
            <w:pPr>
              <w:spacing w:after="0"/>
              <w:rPr>
                <w:sz w:val="9"/>
                <w:szCs w:val="9"/>
                <w:color w:val="auto"/>
              </w:rPr>
            </w:pPr>
          </w:p>
        </w:tc>
        <w:tc>
          <w:tcPr>
            <w:tcW w:w="74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(104,105,437 )</w:t>
            </w:r>
          </w:p>
        </w:tc>
        <w:tc>
          <w:tcPr>
            <w:tcW w:w="112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95"/>
              </w:rPr>
              <w:t>(31,585,141 )</w:t>
            </w:r>
          </w:p>
        </w:tc>
        <w:tc>
          <w:tcPr>
            <w:tcW w:w="380" w:type="dxa"/>
            <w:vAlign w:val="bottom"/>
          </w:tcPr>
          <w:p>
            <w:pPr>
              <w:jc w:val="right"/>
              <w:ind w:right="1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3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(110,712,948 )</w:t>
            </w:r>
          </w:p>
        </w:tc>
      </w:tr>
      <w:tr>
        <w:trPr>
          <w:trHeight w:val="113"/>
        </w:trPr>
        <w:tc>
          <w:tcPr>
            <w:tcW w:w="37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 per share – Basic and diluted</w:t>
            </w:r>
          </w:p>
        </w:tc>
        <w:tc>
          <w:tcPr>
            <w:tcW w:w="2680" w:type="dxa"/>
            <w:vAlign w:val="bottom"/>
            <w:shd w:val="clear" w:color="auto" w:fill="CFF0FC"/>
          </w:tcPr>
          <w:p>
            <w:pPr>
              <w:jc w:val="right"/>
              <w:ind w:right="833"/>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(0.11 )</w:t>
            </w:r>
          </w:p>
        </w:tc>
        <w:tc>
          <w:tcPr>
            <w:tcW w:w="1120" w:type="dxa"/>
            <w:vAlign w:val="bottom"/>
            <w:shd w:val="clear" w:color="auto" w:fill="CFF0FC"/>
          </w:tcPr>
          <w:p>
            <w:pPr>
              <w:jc w:val="right"/>
              <w:ind w:right="916"/>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(0.01 )</w:t>
            </w:r>
          </w:p>
        </w:tc>
        <w:tc>
          <w:tcPr>
            <w:tcW w:w="380" w:type="dxa"/>
            <w:vAlign w:val="bottom"/>
            <w:shd w:val="clear" w:color="auto" w:fill="CFF0FC"/>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(0.12 )</w:t>
            </w:r>
          </w:p>
        </w:tc>
      </w:tr>
      <w:tr>
        <w:trPr>
          <w:trHeight w:val="125"/>
        </w:trPr>
        <w:tc>
          <w:tcPr>
            <w:tcW w:w="3700" w:type="dxa"/>
            <w:vAlign w:val="bottom"/>
          </w:tcPr>
          <w:p>
            <w:pPr>
              <w:spacing w:after="0"/>
              <w:rPr>
                <w:sz w:val="20"/>
                <w:szCs w:val="20"/>
                <w:color w:val="auto"/>
              </w:rPr>
            </w:pPr>
            <w:r>
              <w:rPr>
                <w:rFonts w:ascii="Times New Roman" w:cs="Times New Roman" w:eastAsia="Times New Roman" w:hAnsi="Times New Roman"/>
                <w:sz w:val="10"/>
                <w:szCs w:val="10"/>
                <w:color w:val="auto"/>
              </w:rPr>
              <w:t>Weighted average number of shares – Basic and diluted</w:t>
            </w:r>
          </w:p>
        </w:tc>
        <w:tc>
          <w:tcPr>
            <w:tcW w:w="2680" w:type="dxa"/>
            <w:vAlign w:val="bottom"/>
          </w:tcPr>
          <w:p>
            <w:pPr>
              <w:spacing w:after="0"/>
              <w:rPr>
                <w:sz w:val="10"/>
                <w:szCs w:val="10"/>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913,109,577</w:t>
            </w:r>
          </w:p>
        </w:tc>
        <w:tc>
          <w:tcPr>
            <w:tcW w:w="1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913,109,577</w:t>
            </w:r>
          </w:p>
        </w:tc>
      </w:tr>
      <w:tr>
        <w:trPr>
          <w:trHeight w:val="278"/>
        </w:trPr>
        <w:tc>
          <w:tcPr>
            <w:tcW w:w="3700" w:type="dxa"/>
            <w:vAlign w:val="bottom"/>
          </w:tcPr>
          <w:p>
            <w:pPr>
              <w:spacing w:after="0"/>
              <w:rPr>
                <w:sz w:val="24"/>
                <w:szCs w:val="24"/>
                <w:color w:val="auto"/>
              </w:rPr>
            </w:pPr>
          </w:p>
        </w:tc>
        <w:tc>
          <w:tcPr>
            <w:tcW w:w="2680" w:type="dxa"/>
            <w:vAlign w:val="bottom"/>
          </w:tcPr>
          <w:p>
            <w:pPr>
              <w:jc w:val="right"/>
              <w:ind w:right="933"/>
              <w:spacing w:after="0"/>
              <w:rPr>
                <w:sz w:val="20"/>
                <w:szCs w:val="20"/>
                <w:color w:val="auto"/>
              </w:rPr>
            </w:pPr>
            <w:r>
              <w:rPr>
                <w:rFonts w:ascii="Times New Roman" w:cs="Times New Roman" w:eastAsia="Times New Roman" w:hAnsi="Times New Roman"/>
                <w:sz w:val="10"/>
                <w:szCs w:val="10"/>
                <w:color w:val="auto"/>
              </w:rPr>
              <w:t>F-41</w:t>
            </w: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22"/>
        </w:trPr>
        <w:tc>
          <w:tcPr>
            <w:tcW w:w="3700" w:type="dxa"/>
            <w:vAlign w:val="bottom"/>
            <w:tcBorders>
              <w:bottom w:val="single" w:sz="8" w:color="EEEEEE"/>
            </w:tcBorders>
          </w:tcPr>
          <w:p>
            <w:pPr>
              <w:spacing w:after="0"/>
              <w:rPr>
                <w:sz w:val="24"/>
                <w:szCs w:val="24"/>
                <w:color w:val="auto"/>
              </w:rPr>
            </w:pPr>
          </w:p>
        </w:tc>
        <w:tc>
          <w:tcPr>
            <w:tcW w:w="268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13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41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December 31,</w:t>
            </w:r>
          </w:p>
        </w:tc>
      </w:tr>
      <w:tr>
        <w:trPr>
          <w:trHeight w:val="98"/>
        </w:trPr>
        <w:tc>
          <w:tcPr>
            <w:tcW w:w="41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860" w:type="dxa"/>
            <w:vAlign w:val="bottom"/>
          </w:tcPr>
          <w:p>
            <w:pPr>
              <w:ind w:left="1360"/>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w w:val="99"/>
              </w:rPr>
              <w:t>2022</w:t>
            </w:r>
          </w:p>
        </w:tc>
      </w:tr>
      <w:tr>
        <w:trPr>
          <w:trHeight w:val="106"/>
        </w:trPr>
        <w:tc>
          <w:tcPr>
            <w:tcW w:w="41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statement of cash flows</w:t>
            </w:r>
          </w:p>
        </w:tc>
        <w:tc>
          <w:tcPr>
            <w:tcW w:w="2260" w:type="dxa"/>
            <w:vAlign w:val="bottom"/>
          </w:tcPr>
          <w:p>
            <w:pPr>
              <w:ind w:left="1920"/>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1860" w:type="dxa"/>
            <w:vAlign w:val="bottom"/>
          </w:tcPr>
          <w:p>
            <w:pPr>
              <w:ind w:left="1360"/>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2260" w:type="dxa"/>
            <w:vAlign w:val="bottom"/>
          </w:tcPr>
          <w:p>
            <w:pPr>
              <w:spacing w:after="0"/>
              <w:rPr>
                <w:sz w:val="9"/>
                <w:szCs w:val="9"/>
                <w:color w:val="auto"/>
              </w:rPr>
            </w:pPr>
          </w:p>
        </w:tc>
        <w:tc>
          <w:tcPr>
            <w:tcW w:w="186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(104,105,438 )</w:t>
            </w: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(6,607,510 )</w:t>
            </w:r>
          </w:p>
        </w:tc>
        <w:tc>
          <w:tcPr>
            <w:tcW w:w="380" w:type="dxa"/>
            <w:vAlign w:val="bottom"/>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(110,712,948 )</w:t>
            </w:r>
          </w:p>
        </w:tc>
      </w:tr>
      <w:tr>
        <w:trPr>
          <w:trHeight w:val="104"/>
        </w:trPr>
        <w:tc>
          <w:tcPr>
            <w:tcW w:w="412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Adjustments to reconcile net loss to net cash (used in)</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r>
      <w:tr>
        <w:trPr>
          <w:trHeight w:val="121"/>
        </w:trPr>
        <w:tc>
          <w:tcPr>
            <w:tcW w:w="4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operating activities:</w:t>
            </w:r>
          </w:p>
        </w:tc>
        <w:tc>
          <w:tcPr>
            <w:tcW w:w="2260" w:type="dxa"/>
            <w:vAlign w:val="bottom"/>
            <w:shd w:val="clear" w:color="auto" w:fill="CFF0FC"/>
          </w:tcPr>
          <w:p>
            <w:pPr>
              <w:spacing w:after="0"/>
              <w:rPr>
                <w:sz w:val="10"/>
                <w:szCs w:val="10"/>
                <w:color w:val="auto"/>
              </w:rPr>
            </w:pPr>
          </w:p>
        </w:tc>
        <w:tc>
          <w:tcPr>
            <w:tcW w:w="18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340" w:type="dxa"/>
            <w:vAlign w:val="bottom"/>
            <w:shd w:val="clear" w:color="auto" w:fill="CFF0FC"/>
          </w:tcPr>
          <w:p>
            <w:pPr>
              <w:spacing w:after="0"/>
              <w:rPr>
                <w:sz w:val="10"/>
                <w:szCs w:val="10"/>
                <w:color w:val="auto"/>
              </w:rPr>
            </w:pP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742,113</w:t>
            </w: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(497,905 )</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244,208</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Unrealized foreign exchange (gain)/loss</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(277,838 )</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(277,838 )</w:t>
            </w:r>
          </w:p>
        </w:tc>
      </w:tr>
      <w:tr>
        <w:trPr>
          <w:trHeight w:val="106"/>
        </w:trPr>
        <w:tc>
          <w:tcPr>
            <w:tcW w:w="412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Share based compensation issued to related parties</w:t>
            </w:r>
          </w:p>
        </w:tc>
        <w:tc>
          <w:tcPr>
            <w:tcW w:w="22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9"/>
        </w:trPr>
        <w:tc>
          <w:tcPr>
            <w:tcW w:w="41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for consultancy services</w:t>
            </w:r>
          </w:p>
        </w:tc>
        <w:tc>
          <w:tcPr>
            <w:tcW w:w="2260" w:type="dxa"/>
            <w:vAlign w:val="bottom"/>
          </w:tcPr>
          <w:p>
            <w:pPr>
              <w:spacing w:after="0"/>
              <w:rPr>
                <w:sz w:val="10"/>
                <w:szCs w:val="10"/>
                <w:color w:val="auto"/>
              </w:rPr>
            </w:pPr>
          </w:p>
        </w:tc>
        <w:tc>
          <w:tcPr>
            <w:tcW w:w="1860" w:type="dxa"/>
            <w:vAlign w:val="bottom"/>
          </w:tcPr>
          <w:p>
            <w:pPr>
              <w:jc w:val="right"/>
              <w:ind w:right="1232"/>
              <w:spacing w:after="0"/>
              <w:rPr>
                <w:sz w:val="20"/>
                <w:szCs w:val="20"/>
                <w:color w:val="auto"/>
              </w:rPr>
            </w:pPr>
            <w:r>
              <w:rPr>
                <w:rFonts w:ascii="Times New Roman" w:cs="Times New Roman" w:eastAsia="Times New Roman" w:hAnsi="Times New Roman"/>
                <w:sz w:val="10"/>
                <w:szCs w:val="10"/>
                <w:color w:val="auto"/>
              </w:rPr>
              <w:t>39,501,701</w:t>
            </w: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0"/>
                <w:szCs w:val="10"/>
                <w:color w:val="auto"/>
              </w:rPr>
            </w:pPr>
          </w:p>
        </w:tc>
        <w:tc>
          <w:tcPr>
            <w:tcW w:w="13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39,501,701</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Share based compensation for consultancy services</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18,417,816</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18,417,816</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Employee share based compensation</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2,115,015</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2,115,015</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Impairment of ROU asset, net of lease termination</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46,236</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46,236</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Impairment of prepayments and other current assets</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731,940</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731,940</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Impairment of accounts receivable</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334,952</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334,952</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Impairment of goodwill</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7,418,302</w:t>
            </w: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(7,373,864 )</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44,438</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Impairment of investment in ANY</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14,600,000</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14,600,000</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Deferred tax benefit</w:t>
            </w:r>
          </w:p>
        </w:tc>
        <w:tc>
          <w:tcPr>
            <w:tcW w:w="2260" w:type="dxa"/>
            <w:vAlign w:val="bottom"/>
          </w:tcPr>
          <w:p>
            <w:pPr>
              <w:spacing w:after="0"/>
              <w:rPr>
                <w:sz w:val="9"/>
                <w:szCs w:val="9"/>
                <w:color w:val="auto"/>
              </w:rPr>
            </w:pPr>
          </w:p>
        </w:tc>
        <w:tc>
          <w:tcPr>
            <w:tcW w:w="186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(243,835 )</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243,835</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3,884,695</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3,884,695</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Changes in operating assets and liabilities:</w:t>
            </w:r>
          </w:p>
        </w:tc>
        <w:tc>
          <w:tcPr>
            <w:tcW w:w="22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Decrease/(increase) in accounts receivable</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646,661</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65,893</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712,554</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(Increase) in prepayment and other current assets</w:t>
            </w:r>
          </w:p>
        </w:tc>
        <w:tc>
          <w:tcPr>
            <w:tcW w:w="2260" w:type="dxa"/>
            <w:vAlign w:val="bottom"/>
          </w:tcPr>
          <w:p>
            <w:pPr>
              <w:spacing w:after="0"/>
              <w:rPr>
                <w:sz w:val="9"/>
                <w:szCs w:val="9"/>
                <w:color w:val="auto"/>
              </w:rPr>
            </w:pPr>
          </w:p>
        </w:tc>
        <w:tc>
          <w:tcPr>
            <w:tcW w:w="186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(215,468 )</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158,945</w:t>
            </w:r>
          </w:p>
        </w:tc>
        <w:tc>
          <w:tcPr>
            <w:tcW w:w="380" w:type="dxa"/>
            <w:vAlign w:val="bottom"/>
          </w:tcPr>
          <w:p>
            <w:pPr>
              <w:spacing w:after="0"/>
              <w:rPr>
                <w:sz w:val="9"/>
                <w:szCs w:val="9"/>
                <w:color w:val="auto"/>
              </w:rPr>
            </w:pPr>
          </w:p>
        </w:tc>
        <w:tc>
          <w:tcPr>
            <w:tcW w:w="13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(56,523 )</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(Decrease) in operating lease liability</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(46,236 )</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(46,236 )</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Decrease in receivable with related parties</w:t>
            </w:r>
          </w:p>
        </w:tc>
        <w:tc>
          <w:tcPr>
            <w:tcW w:w="2260" w:type="dxa"/>
            <w:vAlign w:val="bottom"/>
          </w:tcPr>
          <w:p>
            <w:pPr>
              <w:spacing w:after="0"/>
              <w:rPr>
                <w:sz w:val="9"/>
                <w:szCs w:val="9"/>
                <w:color w:val="auto"/>
              </w:rPr>
            </w:pPr>
          </w:p>
        </w:tc>
        <w:tc>
          <w:tcPr>
            <w:tcW w:w="186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(245,266 )</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414,020</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168,754</w:t>
            </w:r>
          </w:p>
        </w:tc>
      </w:tr>
      <w:tr>
        <w:trPr>
          <w:trHeight w:val="106"/>
        </w:trPr>
        <w:tc>
          <w:tcPr>
            <w:tcW w:w="412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Increase in accounts payable, accrued expenses and</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r>
      <w:tr>
        <w:trPr>
          <w:trHeight w:val="119"/>
        </w:trPr>
        <w:tc>
          <w:tcPr>
            <w:tcW w:w="4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other payables</w:t>
            </w:r>
          </w:p>
        </w:tc>
        <w:tc>
          <w:tcPr>
            <w:tcW w:w="2260" w:type="dxa"/>
            <w:vAlign w:val="bottom"/>
            <w:shd w:val="clear" w:color="auto" w:fill="CFF0FC"/>
          </w:tcPr>
          <w:p>
            <w:pPr>
              <w:spacing w:after="0"/>
              <w:rPr>
                <w:sz w:val="10"/>
                <w:szCs w:val="10"/>
                <w:color w:val="auto"/>
              </w:rPr>
            </w:pPr>
          </w:p>
        </w:tc>
        <w:tc>
          <w:tcPr>
            <w:tcW w:w="1860" w:type="dxa"/>
            <w:vAlign w:val="bottom"/>
            <w:shd w:val="clear" w:color="auto" w:fill="CFF0FC"/>
          </w:tcPr>
          <w:p>
            <w:pPr>
              <w:jc w:val="right"/>
              <w:ind w:right="1232"/>
              <w:spacing w:after="0"/>
              <w:rPr>
                <w:sz w:val="20"/>
                <w:szCs w:val="20"/>
                <w:color w:val="auto"/>
              </w:rPr>
            </w:pPr>
            <w:r>
              <w:rPr>
                <w:rFonts w:ascii="Times New Roman" w:cs="Times New Roman" w:eastAsia="Times New Roman" w:hAnsi="Times New Roman"/>
                <w:sz w:val="10"/>
                <w:szCs w:val="10"/>
                <w:color w:val="auto"/>
              </w:rPr>
              <w:t>4,766,607</w:t>
            </w:r>
          </w:p>
        </w:tc>
        <w:tc>
          <w:tcPr>
            <w:tcW w:w="6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color w:val="auto"/>
              </w:rPr>
              <w:t>(1,426,068 )</w:t>
            </w:r>
          </w:p>
        </w:tc>
        <w:tc>
          <w:tcPr>
            <w:tcW w:w="380" w:type="dxa"/>
            <w:vAlign w:val="bottom"/>
            <w:shd w:val="clear" w:color="auto" w:fill="CFF0FC"/>
          </w:tcPr>
          <w:p>
            <w:pPr>
              <w:spacing w:after="0"/>
              <w:rPr>
                <w:sz w:val="10"/>
                <w:szCs w:val="10"/>
                <w:color w:val="auto"/>
              </w:rPr>
            </w:pPr>
          </w:p>
        </w:tc>
        <w:tc>
          <w:tcPr>
            <w:tcW w:w="13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3,340,539</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Increase (decrease) in payables to related parties</w:t>
            </w:r>
          </w:p>
        </w:tc>
        <w:tc>
          <w:tcPr>
            <w:tcW w:w="2260" w:type="dxa"/>
            <w:vAlign w:val="bottom"/>
          </w:tcPr>
          <w:p>
            <w:pPr>
              <w:spacing w:after="0"/>
              <w:rPr>
                <w:sz w:val="9"/>
                <w:szCs w:val="9"/>
                <w:color w:val="auto"/>
              </w:rPr>
            </w:pPr>
          </w:p>
        </w:tc>
        <w:tc>
          <w:tcPr>
            <w:tcW w:w="186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(234,880 )</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396,671</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161,791</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b w:val="1"/>
                <w:bCs w:val="1"/>
                <w:color w:val="auto"/>
              </w:rPr>
              <w:t>(26,762,923 )</w:t>
            </w: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(25,983 )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(26,788,906 )</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22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Purchase of property and equipment</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(25,973 )</w:t>
            </w: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(14,376 )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(36,854 )</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Development of intangible assets</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(1,767,148 )</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investing activities</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b w:val="1"/>
                <w:bCs w:val="1"/>
                <w:color w:val="auto"/>
              </w:rPr>
              <w:t>(25,973 )</w:t>
            </w: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(1,781,524 )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(36,854 )</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22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ordinary shares</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2,499,920</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2,499,920</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long-term debt obligation</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21,500,000</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4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21,500,000</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flow generated from financing activities</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b w:val="1"/>
                <w:bCs w:val="1"/>
                <w:color w:val="auto"/>
              </w:rPr>
              <w:t>23,999,920</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23,999,920</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Effect of exchange rate changes on cash</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b w:val="1"/>
                <w:bCs w:val="1"/>
                <w:color w:val="auto"/>
              </w:rPr>
              <w:t>140,658</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b w:val="1"/>
                <w:bCs w:val="1"/>
                <w:color w:val="auto"/>
              </w:rPr>
              <w:t>36,639</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177,287</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change in cash</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b w:val="1"/>
                <w:bCs w:val="1"/>
                <w:color w:val="auto"/>
              </w:rPr>
              <w:t>(2,648,318 )</w:t>
            </w: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(235 )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(2,648,553 )</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and cash equivalents, beginning of year</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2,690,024</w:t>
            </w: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(2,091 )</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2,687,933</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and cash equivalents, end of year</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b w:val="1"/>
                <w:bCs w:val="1"/>
                <w:color w:val="auto"/>
              </w:rPr>
              <w:t>41,709</w:t>
            </w: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(2,329 )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39,380</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Management also reclassified amounts Due to related party, previously disclosed in the related party note disclosure as at December 31, 2022. The amounts were reclassified from Accounts payable.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36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920" w:type="dxa"/>
            <w:vAlign w:val="bottom"/>
          </w:tcPr>
          <w:p>
            <w:pPr>
              <w:ind w:left="1340"/>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760" w:type="dxa"/>
            <w:vAlign w:val="bottom"/>
          </w:tcPr>
          <w:p>
            <w:pPr>
              <w:spacing w:after="0"/>
              <w:rPr>
                <w:sz w:val="8"/>
                <w:szCs w:val="8"/>
                <w:color w:val="auto"/>
              </w:rPr>
            </w:pPr>
          </w:p>
        </w:tc>
        <w:tc>
          <w:tcPr>
            <w:tcW w:w="1540" w:type="dxa"/>
            <w:vAlign w:val="bottom"/>
          </w:tcPr>
          <w:p>
            <w:pPr>
              <w:jc w:val="right"/>
              <w:ind w:right="515"/>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6"/>
        </w:trPr>
        <w:tc>
          <w:tcPr>
            <w:tcW w:w="366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balance sheet</w:t>
            </w:r>
          </w:p>
        </w:tc>
        <w:tc>
          <w:tcPr>
            <w:tcW w:w="2740" w:type="dxa"/>
            <w:vAlign w:val="bottom"/>
          </w:tcPr>
          <w:p>
            <w:pPr>
              <w:ind w:left="2360"/>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1920" w:type="dxa"/>
            <w:vAlign w:val="bottom"/>
          </w:tcPr>
          <w:p>
            <w:pPr>
              <w:ind w:left="1320"/>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760" w:type="dxa"/>
            <w:vAlign w:val="bottom"/>
          </w:tcPr>
          <w:p>
            <w:pPr>
              <w:spacing w:after="0"/>
              <w:rPr>
                <w:sz w:val="9"/>
                <w:szCs w:val="9"/>
                <w:color w:val="auto"/>
              </w:rPr>
            </w:pPr>
          </w:p>
        </w:tc>
        <w:tc>
          <w:tcPr>
            <w:tcW w:w="1540" w:type="dxa"/>
            <w:vAlign w:val="bottom"/>
          </w:tcPr>
          <w:p>
            <w:pPr>
              <w:jc w:val="right"/>
              <w:ind w:right="615"/>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6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Deferred shares</w:t>
            </w:r>
          </w:p>
        </w:tc>
        <w:tc>
          <w:tcPr>
            <w:tcW w:w="2740" w:type="dxa"/>
            <w:vAlign w:val="bottom"/>
            <w:shd w:val="clear" w:color="auto" w:fill="CFF0FC"/>
          </w:tcPr>
          <w:p>
            <w:pPr>
              <w:spacing w:after="0"/>
              <w:rPr>
                <w:sz w:val="9"/>
                <w:szCs w:val="9"/>
                <w:color w:val="auto"/>
              </w:rPr>
            </w:pPr>
          </w:p>
        </w:tc>
        <w:tc>
          <w:tcPr>
            <w:tcW w:w="1920" w:type="dxa"/>
            <w:vAlign w:val="bottom"/>
            <w:shd w:val="clear" w:color="auto" w:fill="CFF0FC"/>
          </w:tcPr>
          <w:p>
            <w:pPr>
              <w:jc w:val="right"/>
              <w:ind w:right="1315"/>
              <w:spacing w:after="0" w:line="113" w:lineRule="exact"/>
              <w:rPr>
                <w:sz w:val="20"/>
                <w:szCs w:val="20"/>
                <w:color w:val="auto"/>
              </w:rPr>
            </w:pPr>
            <w:r>
              <w:rPr>
                <w:rFonts w:ascii="Times New Roman" w:cs="Times New Roman" w:eastAsia="Times New Roman" w:hAnsi="Times New Roman"/>
                <w:sz w:val="10"/>
                <w:szCs w:val="10"/>
                <w:color w:val="auto"/>
              </w:rPr>
              <w:t>1,993</w:t>
            </w:r>
          </w:p>
        </w:tc>
        <w:tc>
          <w:tcPr>
            <w:tcW w:w="76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(1,993 )</w:t>
            </w:r>
          </w:p>
        </w:tc>
        <w:tc>
          <w:tcPr>
            <w:tcW w:w="1540" w:type="dxa"/>
            <w:vAlign w:val="bottom"/>
            <w:shd w:val="clear" w:color="auto" w:fill="CFF0FC"/>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25"/>
        </w:trPr>
        <w:tc>
          <w:tcPr>
            <w:tcW w:w="3660" w:type="dxa"/>
            <w:vAlign w:val="bottom"/>
          </w:tcPr>
          <w:p>
            <w:pPr>
              <w:spacing w:after="0"/>
              <w:rPr>
                <w:sz w:val="20"/>
                <w:szCs w:val="20"/>
                <w:color w:val="auto"/>
              </w:rPr>
            </w:pPr>
            <w:r>
              <w:rPr>
                <w:rFonts w:ascii="Times New Roman" w:cs="Times New Roman" w:eastAsia="Times New Roman" w:hAnsi="Times New Roman"/>
                <w:sz w:val="10"/>
                <w:szCs w:val="10"/>
                <w:color w:val="auto"/>
              </w:rPr>
              <w:t>Additional paid-in capital</w:t>
            </w:r>
          </w:p>
        </w:tc>
        <w:tc>
          <w:tcPr>
            <w:tcW w:w="2740" w:type="dxa"/>
            <w:vAlign w:val="bottom"/>
          </w:tcPr>
          <w:p>
            <w:pPr>
              <w:spacing w:after="0"/>
              <w:rPr>
                <w:sz w:val="10"/>
                <w:szCs w:val="10"/>
                <w:color w:val="auto"/>
              </w:rPr>
            </w:pPr>
          </w:p>
        </w:tc>
        <w:tc>
          <w:tcPr>
            <w:tcW w:w="1920" w:type="dxa"/>
            <w:vAlign w:val="bottom"/>
          </w:tcPr>
          <w:p>
            <w:pPr>
              <w:jc w:val="right"/>
              <w:ind w:right="1335"/>
              <w:spacing w:after="0"/>
              <w:rPr>
                <w:sz w:val="20"/>
                <w:szCs w:val="20"/>
                <w:color w:val="auto"/>
              </w:rPr>
            </w:pPr>
            <w:r>
              <w:rPr>
                <w:rFonts w:ascii="Times New Roman" w:cs="Times New Roman" w:eastAsia="Times New Roman" w:hAnsi="Times New Roman"/>
                <w:sz w:val="10"/>
                <w:szCs w:val="10"/>
                <w:color w:val="auto"/>
              </w:rPr>
              <w:t>172,202,839</w:t>
            </w:r>
          </w:p>
        </w:tc>
        <w:tc>
          <w:tcPr>
            <w:tcW w:w="76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1,993</w:t>
            </w:r>
          </w:p>
        </w:tc>
        <w:tc>
          <w:tcPr>
            <w:tcW w:w="1540" w:type="dxa"/>
            <w:vAlign w:val="bottom"/>
          </w:tcPr>
          <w:p>
            <w:pPr>
              <w:jc w:val="right"/>
              <w:ind w:right="55"/>
              <w:spacing w:after="0"/>
              <w:rPr>
                <w:sz w:val="20"/>
                <w:szCs w:val="20"/>
                <w:color w:val="auto"/>
              </w:rPr>
            </w:pPr>
            <w:r>
              <w:rPr>
                <w:rFonts w:ascii="Times New Roman" w:cs="Times New Roman" w:eastAsia="Times New Roman" w:hAnsi="Times New Roman"/>
                <w:sz w:val="10"/>
                <w:szCs w:val="10"/>
                <w:color w:val="auto"/>
              </w:rPr>
              <w:t>172,204,832</w:t>
            </w:r>
          </w:p>
        </w:tc>
      </w:tr>
    </w:tbl>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carve-out consolidated balance sheet for December 31, 2023 was restated only to reflect the return of the deferred shares and the cancellation of the shares.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addition, amounts were restated in the following</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4 – Prepayments and other current assets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6 – Property and equipment, net</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7 – Intangible assets, net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12 – Accrued expenses and other payables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13 – Expenses and other Non-operating (income) expense, net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14 – Related party disclosures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16 – Income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2.21.Fair value measurement and concentration of credit risk</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05" w:lineRule="exact"/>
        <w:rPr>
          <w:sz w:val="20"/>
          <w:szCs w:val="20"/>
          <w:color w:val="auto"/>
        </w:rPr>
      </w:pPr>
    </w:p>
    <w:p>
      <w:pPr>
        <w:jc w:val="both"/>
        <w:ind w:firstLine="480"/>
        <w:spacing w:after="0" w:line="285" w:lineRule="auto"/>
        <w:rPr>
          <w:sz w:val="20"/>
          <w:szCs w:val="20"/>
          <w:color w:val="auto"/>
        </w:rPr>
      </w:pPr>
      <w:r>
        <w:rPr>
          <w:rFonts w:ascii="Times New Roman" w:cs="Times New Roman" w:eastAsia="Times New Roman" w:hAnsi="Times New Roman"/>
          <w:sz w:val="9"/>
          <w:szCs w:val="9"/>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1—Inputs are quoted prices (unadjusted) in active markets for identical assets or liabilities that the Company has the ability to access at the measurement date.</w:t>
      </w:r>
    </w:p>
    <w:p>
      <w:pPr>
        <w:spacing w:after="0" w:line="58" w:lineRule="exact"/>
        <w:rPr>
          <w:sz w:val="20"/>
          <w:szCs w:val="20"/>
          <w:color w:val="auto"/>
        </w:rPr>
      </w:pPr>
    </w:p>
    <w:p>
      <w:pPr>
        <w:ind w:left="480" w:right="460"/>
        <w:spacing w:after="0" w:line="255" w:lineRule="auto"/>
        <w:rPr>
          <w:sz w:val="20"/>
          <w:szCs w:val="20"/>
          <w:color w:val="auto"/>
        </w:rPr>
      </w:pPr>
      <w:r>
        <w:rPr>
          <w:rFonts w:ascii="Times New Roman" w:cs="Times New Roman" w:eastAsia="Times New Roman" w:hAnsi="Times New Roman"/>
          <w:sz w:val="10"/>
          <w:szCs w:val="10"/>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3—Inputs are unobservable inputs for the asset or liability.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level in the fair value hierarchy within which a fair value measurement in its entirety falls is based on the lowest-level input that is significant to the fair value measurement in its entirety.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Fair value measurement at reporting date:</w:t>
      </w:r>
    </w:p>
    <w:p>
      <w:pPr>
        <w:spacing w:after="0" w:line="153" w:lineRule="exact"/>
        <w:rPr>
          <w:sz w:val="20"/>
          <w:szCs w:val="20"/>
          <w:color w:val="auto"/>
        </w:rPr>
      </w:pPr>
    </w:p>
    <w:tbl>
      <w:tblPr>
        <w:tblLayout w:type="fixed"/>
        <w:tblInd w:w="1060" w:type="dxa"/>
        <w:tblCellMar>
          <w:top w:w="0" w:type="dxa"/>
          <w:left w:w="0" w:type="dxa"/>
          <w:bottom w:w="0" w:type="dxa"/>
          <w:right w:w="0" w:type="dxa"/>
        </w:tblCellMar>
      </w:tblPr>
      <w:tr>
        <w:trPr>
          <w:trHeight w:val="106"/>
        </w:trPr>
        <w:tc>
          <w:tcPr>
            <w:tcW w:w="32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Description</w:t>
            </w:r>
          </w:p>
        </w:tc>
        <w:tc>
          <w:tcPr>
            <w:tcW w:w="2920" w:type="dxa"/>
            <w:vAlign w:val="bottom"/>
          </w:tcPr>
          <w:p>
            <w:pPr>
              <w:ind w:left="1900"/>
              <w:spacing w:after="0"/>
              <w:rPr>
                <w:sz w:val="20"/>
                <w:szCs w:val="20"/>
                <w:color w:val="auto"/>
              </w:rPr>
            </w:pPr>
            <w:r>
              <w:rPr>
                <w:rFonts w:ascii="Times New Roman" w:cs="Times New Roman" w:eastAsia="Times New Roman" w:hAnsi="Times New Roman"/>
                <w:sz w:val="8"/>
                <w:szCs w:val="8"/>
                <w:b w:val="1"/>
                <w:bCs w:val="1"/>
                <w:color w:val="auto"/>
              </w:rPr>
              <w:t>Level 1</w:t>
            </w:r>
          </w:p>
        </w:tc>
        <w:tc>
          <w:tcPr>
            <w:tcW w:w="1100" w:type="dxa"/>
            <w:vAlign w:val="bottom"/>
          </w:tcPr>
          <w:p>
            <w:pPr>
              <w:ind w:left="300"/>
              <w:spacing w:after="0"/>
              <w:rPr>
                <w:sz w:val="20"/>
                <w:szCs w:val="20"/>
                <w:color w:val="auto"/>
              </w:rPr>
            </w:pPr>
            <w:r>
              <w:rPr>
                <w:rFonts w:ascii="Times New Roman" w:cs="Times New Roman" w:eastAsia="Times New Roman" w:hAnsi="Times New Roman"/>
                <w:sz w:val="8"/>
                <w:szCs w:val="8"/>
                <w:b w:val="1"/>
                <w:bCs w:val="1"/>
                <w:color w:val="auto"/>
              </w:rPr>
              <w:t>Level 2</w:t>
            </w:r>
          </w:p>
        </w:tc>
        <w:tc>
          <w:tcPr>
            <w:tcW w:w="340" w:type="dxa"/>
            <w:vAlign w:val="bottom"/>
          </w:tcPr>
          <w:p>
            <w:pPr>
              <w:spacing w:after="0"/>
              <w:rPr>
                <w:sz w:val="9"/>
                <w:szCs w:val="9"/>
                <w:color w:val="auto"/>
              </w:rPr>
            </w:pPr>
          </w:p>
        </w:tc>
        <w:tc>
          <w:tcPr>
            <w:tcW w:w="940" w:type="dxa"/>
            <w:vAlign w:val="bottom"/>
          </w:tcPr>
          <w:p>
            <w:pPr>
              <w:jc w:val="right"/>
              <w:ind w:right="454"/>
              <w:spacing w:after="0"/>
              <w:rPr>
                <w:sz w:val="20"/>
                <w:szCs w:val="20"/>
                <w:color w:val="auto"/>
              </w:rPr>
            </w:pPr>
            <w:r>
              <w:rPr>
                <w:rFonts w:ascii="Times New Roman" w:cs="Times New Roman" w:eastAsia="Times New Roman" w:hAnsi="Times New Roman"/>
                <w:sz w:val="8"/>
                <w:szCs w:val="8"/>
                <w:b w:val="1"/>
                <w:bCs w:val="1"/>
                <w:color w:val="auto"/>
              </w:rPr>
              <w:t>Level 3</w:t>
            </w:r>
          </w:p>
        </w:tc>
      </w:tr>
      <w:tr>
        <w:trPr>
          <w:trHeight w:val="104"/>
        </w:trPr>
        <w:tc>
          <w:tcPr>
            <w:tcW w:w="320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December 31, 2023</w:t>
            </w:r>
          </w:p>
        </w:tc>
        <w:tc>
          <w:tcPr>
            <w:tcW w:w="29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r>
      <w:tr>
        <w:trPr>
          <w:trHeight w:val="121"/>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92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r>
      <w:tr>
        <w:trPr>
          <w:trHeight w:val="113"/>
        </w:trPr>
        <w:tc>
          <w:tcPr>
            <w:tcW w:w="32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(1) Share-based payment liability</w:t>
            </w:r>
          </w:p>
        </w:tc>
        <w:tc>
          <w:tcPr>
            <w:tcW w:w="2920" w:type="dxa"/>
            <w:vAlign w:val="bottom"/>
          </w:tcPr>
          <w:p>
            <w:pPr>
              <w:ind w:left="25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00" w:type="dxa"/>
            <w:vAlign w:val="bottom"/>
          </w:tcPr>
          <w:p>
            <w:pPr>
              <w:ind w:left="9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1,311,028</w:t>
            </w:r>
          </w:p>
        </w:tc>
      </w:tr>
      <w:tr>
        <w:trPr>
          <w:trHeight w:val="104"/>
        </w:trPr>
        <w:tc>
          <w:tcPr>
            <w:tcW w:w="320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December 31, 2022</w:t>
            </w:r>
          </w:p>
        </w:tc>
        <w:tc>
          <w:tcPr>
            <w:tcW w:w="29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r>
      <w:tr>
        <w:trPr>
          <w:trHeight w:val="121"/>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92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r>
      <w:tr>
        <w:trPr>
          <w:trHeight w:val="125"/>
        </w:trPr>
        <w:tc>
          <w:tcPr>
            <w:tcW w:w="3200" w:type="dxa"/>
            <w:vAlign w:val="bottom"/>
          </w:tcPr>
          <w:p>
            <w:pPr>
              <w:spacing w:after="0"/>
              <w:rPr>
                <w:sz w:val="20"/>
                <w:szCs w:val="20"/>
                <w:color w:val="auto"/>
              </w:rPr>
            </w:pPr>
            <w:r>
              <w:rPr>
                <w:rFonts w:ascii="Times New Roman" w:cs="Times New Roman" w:eastAsia="Times New Roman" w:hAnsi="Times New Roman"/>
                <w:sz w:val="10"/>
                <w:szCs w:val="10"/>
                <w:color w:val="auto"/>
              </w:rPr>
              <w:t>(1) Share-based payment liability</w:t>
            </w:r>
          </w:p>
        </w:tc>
        <w:tc>
          <w:tcPr>
            <w:tcW w:w="2920" w:type="dxa"/>
            <w:vAlign w:val="bottom"/>
          </w:tcPr>
          <w:p>
            <w:pPr>
              <w:ind w:left="2500"/>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tcPr>
          <w:p>
            <w:pPr>
              <w:ind w:left="90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1,177,617</w:t>
            </w: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(1)The fair value of the share-based payment liability was valued using a discounted cash flow method using a risk adjusted discount rate of 10.8%. Please also refer to note 7.4.</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carrying amount of the Company’s cash, accounts receivable, accounts payable and accrued expenses approximated their fair values due to their short term to maturity.</w:t>
      </w:r>
    </w:p>
    <w:p>
      <w:pPr>
        <w:spacing w:after="0" w:line="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0"/>
          <w:szCs w:val="10"/>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Credit risk</w:t>
      </w:r>
    </w:p>
    <w:p>
      <w:pPr>
        <w:spacing w:after="0" w:line="60"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Accounts receivable and loan notes receivable are potentially subject to credit risk concentration. The Company has not experienced any material losses related to concentrations during the years presented. The Company however has a concentration risk related to its contract with its only customer such that as at December 31, 2023, 100% of the Company’s accounts receivable is through its sole revenue generating agreement. If the sole agreement was terminated then such losses due to concentration risk may be material in the future and management makes no assurance that these losses may be avoided.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Accounts payable include balances for work incurred by third parties for the benefit of the company. For the years ended December 31, 2023 and 2022, the following vendors represented more than 10% of total accounts payable.</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6"/>
        </w:trPr>
        <w:tc>
          <w:tcPr>
            <w:tcW w:w="5800" w:type="dxa"/>
            <w:vAlign w:val="bottom"/>
          </w:tcPr>
          <w:p>
            <w:pPr>
              <w:ind w:left="506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460" w:type="dxa"/>
            <w:vAlign w:val="bottom"/>
          </w:tcPr>
          <w:p>
            <w:pPr>
              <w:spacing w:after="0"/>
              <w:rPr>
                <w:sz w:val="9"/>
                <w:szCs w:val="9"/>
                <w:color w:val="auto"/>
              </w:rPr>
            </w:pPr>
          </w:p>
        </w:tc>
        <w:tc>
          <w:tcPr>
            <w:tcW w:w="1180" w:type="dxa"/>
            <w:vAlign w:val="bottom"/>
          </w:tcPr>
          <w:p>
            <w:pPr>
              <w:jc w:val="right"/>
              <w:ind w:right="293"/>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13"/>
        </w:trPr>
        <w:tc>
          <w:tcPr>
            <w:tcW w:w="58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KPMG LLP</w:t>
            </w:r>
          </w:p>
        </w:tc>
        <w:tc>
          <w:tcPr>
            <w:tcW w:w="46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10 %</w:t>
            </w:r>
          </w:p>
        </w:tc>
        <w:tc>
          <w:tcPr>
            <w:tcW w:w="11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14 %</w:t>
            </w:r>
          </w:p>
        </w:tc>
      </w:tr>
      <w:tr>
        <w:trPr>
          <w:trHeight w:val="113"/>
        </w:trPr>
        <w:tc>
          <w:tcPr>
            <w:tcW w:w="58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Taylor Wessing LLP</w:t>
            </w:r>
          </w:p>
        </w:tc>
        <w:tc>
          <w:tcPr>
            <w:tcW w:w="460" w:type="dxa"/>
            <w:vAlign w:val="bottom"/>
          </w:tcPr>
          <w:p>
            <w:pPr>
              <w:ind w:left="80"/>
              <w:spacing w:after="0" w:line="113" w:lineRule="exact"/>
              <w:rPr>
                <w:sz w:val="20"/>
                <w:szCs w:val="20"/>
                <w:color w:val="auto"/>
              </w:rPr>
            </w:pPr>
            <w:r>
              <w:rPr>
                <w:rFonts w:ascii="Times New Roman" w:cs="Times New Roman" w:eastAsia="Times New Roman" w:hAnsi="Times New Roman"/>
                <w:sz w:val="10"/>
                <w:szCs w:val="10"/>
                <w:color w:val="auto"/>
              </w:rPr>
              <w:t>13 %</w:t>
            </w:r>
          </w:p>
        </w:tc>
        <w:tc>
          <w:tcPr>
            <w:tcW w:w="1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17 %</w:t>
            </w:r>
          </w:p>
        </w:tc>
      </w:tr>
      <w:tr>
        <w:trPr>
          <w:trHeight w:val="113"/>
        </w:trPr>
        <w:tc>
          <w:tcPr>
            <w:tcW w:w="58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Wilson Sonsini Goodrich &amp; Rosati</w:t>
            </w:r>
          </w:p>
        </w:tc>
        <w:tc>
          <w:tcPr>
            <w:tcW w:w="46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14 %</w:t>
            </w:r>
          </w:p>
        </w:tc>
        <w:tc>
          <w:tcPr>
            <w:tcW w:w="11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15 %</w:t>
            </w:r>
          </w:p>
        </w:tc>
      </w:tr>
      <w:tr>
        <w:trPr>
          <w:trHeight w:val="125"/>
        </w:trPr>
        <w:tc>
          <w:tcPr>
            <w:tcW w:w="5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SThree Partnership LLP</w:t>
            </w:r>
          </w:p>
        </w:tc>
        <w:tc>
          <w:tcPr>
            <w:tcW w:w="46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13 %</w:t>
            </w:r>
          </w:p>
        </w:tc>
      </w:tr>
    </w:tbl>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Foreign currency risk</w:t>
      </w:r>
    </w:p>
    <w:p>
      <w:pPr>
        <w:spacing w:after="0" w:line="60" w:lineRule="exact"/>
        <w:rPr>
          <w:sz w:val="20"/>
          <w:szCs w:val="20"/>
          <w:color w:val="auto"/>
        </w:rPr>
      </w:pPr>
    </w:p>
    <w:p>
      <w:pPr>
        <w:ind w:right="460" w:firstLine="480"/>
        <w:spacing w:after="0" w:line="255" w:lineRule="auto"/>
        <w:rPr>
          <w:sz w:val="20"/>
          <w:szCs w:val="20"/>
          <w:color w:val="auto"/>
        </w:rPr>
      </w:pPr>
      <w:r>
        <w:rPr>
          <w:rFonts w:ascii="Times New Roman" w:cs="Times New Roman" w:eastAsia="Times New Roman" w:hAnsi="Times New Roman"/>
          <w:sz w:val="10"/>
          <w:szCs w:val="10"/>
          <w:color w:val="auto"/>
        </w:rPr>
        <w:t>All of the Company’s revenue is denominated in the Euro (“EUR”) since the sales of the Company are in Spain. Based upon the Company’s level of operations for the year ended December 31, 2023 and 2022, a sensitivity analysis shows that a 10% appreciation or depreciation in the EUR against the dollar would have increased or decreased, respectively, the Company’s revenue for the years ended December 31, 2023 and 2022 by approximately $ 14,505 and $ 11,515 respectively.</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Revenue risk</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We currently generate a significant portion of our revenue from a single agreement with La Liga from which we expect to generate most of our revenues in the near future. 100% of our revenue was derived from commission from the sale of La Liga football tickets for the year ended December 31, 2023 and 2022, respectively, and we anticipate that a significant portion of our revenue will continue to be derived from this agreement in the near future. The sudden loss of the agreement with La Liga or their decision not to renew the agreement, could harm our business, results, operations and condition.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2.22.Income taxes</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Company accounts for income taxes and the related accounts in accordance with ASC 740, Income Taxes. Deferred income tax assets and liabilities are computed annually, for differences between the carrying amounts and the tax basis of assets and liabilities that will result in taxable or deductible amounts in the future based on enacted tax laws and rates applicable to the periods in which the differences are expected to affect taxable income. Valuation allowances are established when it is necessary to reduce deferred tax assets to the amount expected to be realized. The provision for income taxes includes both current taxes for the period plus or minus the change during the period in deferred tax assets and liabilities.</w:t>
      </w:r>
    </w:p>
    <w:p>
      <w:pPr>
        <w:spacing w:after="0" w:line="105"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Tax benefits from uncertain tax position are recognized for financial statement purposes only when it is more-likely-than-not that the position will be sustained with the local taxing authority. Measurement of the tax effects of positions that meet this recognition threshold is based on the largest amount of tax benefit that is greater than 50 percent likely of being realized upon settlement with the taxing authorities.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As a result of operating losses in most of the geographies where the Company operates, we concluded that our deferred tax assets on unutilized tax losses were not more likely than not to be realized in the future and a full valuation allowance has been recorded.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2.23.Loss and earnings per share</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In accordance with ASC-260 Earnings Per Share, basic earnings per share, basic net loss per share is based on the weighted average number of ordinary shares issued and outstanding and is calculated by dividing net loss attributable to ordinary shareholders by the weighted average shares outstanding during the period.</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 the effect of dilutive ordinary share equivalents, as their effect would be antidilutive. Diluted loss per share is equal to the net loss per share as all potentially dilutive securities are anti-dilutive in the periods presented. For the years ended December 31, 2023 and 2022 the Company incurred net losses and therefore no potential dilutive ordinary share were utilized in the calculation of losses per share.</w:t>
      </w:r>
    </w:p>
    <w:p>
      <w:pPr>
        <w:spacing w:after="0" w:line="108"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w:t>
      </w:r>
    </w:p>
    <w:p>
      <w:pPr>
        <w:spacing w:after="0" w:line="101"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w:t>
      </w:r>
    </w:p>
    <w:p>
      <w:pPr>
        <w:spacing w:after="0" w:line="101"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presents the potential shares of ordinary shares outstanding that were excluded from the computation of diluted net loss per share of ordinary shares as of the periods presented because including them would have been antidilutive:</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4840" w:type="dxa"/>
            <w:vAlign w:val="bottom"/>
          </w:tcPr>
          <w:p>
            <w:pPr>
              <w:spacing w:after="0"/>
              <w:rPr>
                <w:sz w:val="8"/>
                <w:szCs w:val="8"/>
                <w:color w:val="auto"/>
              </w:rPr>
            </w:pP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60" w:type="dxa"/>
            <w:vAlign w:val="bottom"/>
          </w:tcPr>
          <w:p>
            <w:pPr>
              <w:spacing w:after="0"/>
              <w:rPr>
                <w:sz w:val="8"/>
                <w:szCs w:val="8"/>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4840" w:type="dxa"/>
            <w:vAlign w:val="bottom"/>
          </w:tcPr>
          <w:p>
            <w:pPr>
              <w:spacing w:after="0"/>
              <w:rPr>
                <w:sz w:val="9"/>
                <w:szCs w:val="9"/>
                <w:color w:val="auto"/>
              </w:rPr>
            </w:pPr>
          </w:p>
        </w:tc>
        <w:tc>
          <w:tcPr>
            <w:tcW w:w="1180" w:type="dxa"/>
            <w:vAlign w:val="bottom"/>
          </w:tcPr>
          <w:p>
            <w:pPr>
              <w:jc w:val="right"/>
              <w:ind w:right="333"/>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60" w:type="dxa"/>
            <w:vAlign w:val="bottom"/>
          </w:tcPr>
          <w:p>
            <w:pPr>
              <w:spacing w:after="0"/>
              <w:rPr>
                <w:sz w:val="9"/>
                <w:szCs w:val="9"/>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48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debt (note 7.3)</w:t>
            </w:r>
          </w:p>
        </w:tc>
        <w:tc>
          <w:tcPr>
            <w:tcW w:w="11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3,929,566</w:t>
            </w:r>
          </w:p>
        </w:tc>
        <w:tc>
          <w:tcPr>
            <w:tcW w:w="136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3,428,571</w:t>
            </w:r>
          </w:p>
        </w:tc>
        <w:tc>
          <w:tcPr>
            <w:tcW w:w="60" w:type="dxa"/>
            <w:vAlign w:val="bottom"/>
            <w:shd w:val="clear" w:color="auto" w:fill="CFF0FC"/>
          </w:tcPr>
          <w:p>
            <w:pPr>
              <w:spacing w:after="0"/>
              <w:rPr>
                <w:sz w:val="9"/>
                <w:szCs w:val="9"/>
                <w:color w:val="auto"/>
              </w:rPr>
            </w:pPr>
          </w:p>
        </w:tc>
      </w:tr>
      <w:tr>
        <w:trPr>
          <w:trHeight w:val="113"/>
        </w:trPr>
        <w:tc>
          <w:tcPr>
            <w:tcW w:w="48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Shares payable (note 7.4)</w:t>
            </w:r>
          </w:p>
        </w:tc>
        <w:tc>
          <w:tcPr>
            <w:tcW w:w="1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140,000</w:t>
            </w:r>
          </w:p>
        </w:tc>
        <w:tc>
          <w:tcPr>
            <w:tcW w:w="13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140,000</w:t>
            </w:r>
          </w:p>
        </w:tc>
        <w:tc>
          <w:tcPr>
            <w:tcW w:w="60" w:type="dxa"/>
            <w:vAlign w:val="bottom"/>
          </w:tcPr>
          <w:p>
            <w:pPr>
              <w:spacing w:after="0"/>
              <w:rPr>
                <w:sz w:val="9"/>
                <w:szCs w:val="9"/>
                <w:color w:val="auto"/>
              </w:rPr>
            </w:pPr>
          </w:p>
        </w:tc>
      </w:tr>
      <w:tr>
        <w:trPr>
          <w:trHeight w:val="113"/>
        </w:trPr>
        <w:tc>
          <w:tcPr>
            <w:tcW w:w="48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 options</w:t>
            </w:r>
          </w:p>
        </w:tc>
        <w:tc>
          <w:tcPr>
            <w:tcW w:w="11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6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5,200,000</w:t>
            </w:r>
          </w:p>
        </w:tc>
        <w:tc>
          <w:tcPr>
            <w:tcW w:w="60" w:type="dxa"/>
            <w:vAlign w:val="bottom"/>
            <w:shd w:val="clear" w:color="auto" w:fill="CFF0FC"/>
          </w:tcPr>
          <w:p>
            <w:pPr>
              <w:spacing w:after="0"/>
              <w:rPr>
                <w:sz w:val="9"/>
                <w:szCs w:val="9"/>
                <w:color w:val="auto"/>
              </w:rPr>
            </w:pPr>
          </w:p>
        </w:tc>
      </w:tr>
      <w:tr>
        <w:trPr>
          <w:trHeight w:val="113"/>
        </w:trPr>
        <w:tc>
          <w:tcPr>
            <w:tcW w:w="48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Series A preferred shares</w:t>
            </w:r>
          </w:p>
        </w:tc>
        <w:tc>
          <w:tcPr>
            <w:tcW w:w="1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28,039,517</w:t>
            </w:r>
          </w:p>
        </w:tc>
        <w:tc>
          <w:tcPr>
            <w:tcW w:w="13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28,039,517</w:t>
            </w:r>
          </w:p>
        </w:tc>
        <w:tc>
          <w:tcPr>
            <w:tcW w:w="60" w:type="dxa"/>
            <w:vAlign w:val="bottom"/>
          </w:tcPr>
          <w:p>
            <w:pPr>
              <w:spacing w:after="0"/>
              <w:rPr>
                <w:sz w:val="9"/>
                <w:szCs w:val="9"/>
                <w:color w:val="auto"/>
              </w:rPr>
            </w:pPr>
          </w:p>
        </w:tc>
      </w:tr>
      <w:tr>
        <w:trPr>
          <w:trHeight w:val="113"/>
        </w:trPr>
        <w:tc>
          <w:tcPr>
            <w:tcW w:w="48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Short-term debt to related party (note 7.1)</w:t>
            </w:r>
          </w:p>
        </w:tc>
        <w:tc>
          <w:tcPr>
            <w:tcW w:w="11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1,037,575</w:t>
            </w:r>
          </w:p>
        </w:tc>
        <w:tc>
          <w:tcPr>
            <w:tcW w:w="160" w:type="dxa"/>
            <w:vAlign w:val="bottom"/>
            <w:shd w:val="clear" w:color="auto" w:fill="CFF0FC"/>
          </w:tcPr>
          <w:p>
            <w:pPr>
              <w:spacing w:after="0"/>
              <w:rPr>
                <w:sz w:val="9"/>
                <w:szCs w:val="9"/>
                <w:color w:val="auto"/>
              </w:rPr>
            </w:pPr>
          </w:p>
        </w:tc>
        <w:tc>
          <w:tcPr>
            <w:tcW w:w="1260" w:type="dxa"/>
            <w:vAlign w:val="bottom"/>
            <w:gridSpan w:val="2"/>
            <w:shd w:val="clear" w:color="auto" w:fill="CFF0FC"/>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5"/>
        </w:trPr>
        <w:tc>
          <w:tcPr>
            <w:tcW w:w="48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11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33,146,658</w:t>
            </w:r>
          </w:p>
        </w:tc>
        <w:tc>
          <w:tcPr>
            <w:tcW w:w="160" w:type="dxa"/>
            <w:vAlign w:val="bottom"/>
          </w:tcPr>
          <w:p>
            <w:pPr>
              <w:spacing w:after="0"/>
              <w:rPr>
                <w:sz w:val="10"/>
                <w:szCs w:val="10"/>
                <w:color w:val="auto"/>
              </w:rPr>
            </w:pPr>
          </w:p>
        </w:tc>
        <w:tc>
          <w:tcPr>
            <w:tcW w:w="12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36,808,088</w:t>
            </w:r>
          </w:p>
        </w:tc>
        <w:tc>
          <w:tcPr>
            <w:tcW w:w="60" w:type="dxa"/>
            <w:vAlign w:val="bottom"/>
          </w:tcPr>
          <w:p>
            <w:pPr>
              <w:spacing w:after="0"/>
              <w:rPr>
                <w:sz w:val="10"/>
                <w:szCs w:val="10"/>
                <w:color w:val="auto"/>
              </w:rPr>
            </w:pPr>
          </w:p>
        </w:tc>
      </w:tr>
    </w:tbl>
    <w:p>
      <w:pPr>
        <w:spacing w:after="0" w:line="136" w:lineRule="exact"/>
        <w:rPr>
          <w:sz w:val="20"/>
          <w:szCs w:val="20"/>
          <w:color w:val="auto"/>
        </w:rPr>
      </w:pPr>
    </w:p>
    <w:p>
      <w:pPr>
        <w:ind w:right="100" w:firstLine="480"/>
        <w:spacing w:after="0" w:line="285" w:lineRule="auto"/>
        <w:rPr>
          <w:sz w:val="20"/>
          <w:szCs w:val="20"/>
          <w:color w:val="auto"/>
        </w:rPr>
      </w:pPr>
      <w:r>
        <w:rPr>
          <w:rFonts w:ascii="Times New Roman" w:cs="Times New Roman" w:eastAsia="Times New Roman" w:hAnsi="Times New Roman"/>
          <w:sz w:val="9"/>
          <w:szCs w:val="9"/>
          <w:color w:val="auto"/>
        </w:rPr>
        <w:t>The Company uses the “if converted” method for calculating the dilutive effect of the convertible debt, shares payable and series A preferred shares and the treasury share method for calculating the dilutive effect of the options and warrants. The series A preferred shares are convertible at the rate of one series A preferred share into one ordinary share in the event of an initial public offering. The Company included the deferred shares as they are expected to be converted to ordinary shares in the future. The Company does not include the employee ungranted shares (Note 2.17) as they are contingent on removal of significant restrictions including management’s and or the board’s rights to cancel the shares any time, restrictions on the right to transfer, to vote and cumulative dividends.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3.Recently adopted accounting pronouncements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ASC 326 “Financial Instruments—Credit Losses”</w:t>
      </w:r>
    </w:p>
    <w:p>
      <w:pPr>
        <w:spacing w:after="0" w:line="118"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standard requires a financial asset (including trade receivables) measured at amortized cost basis to be presented at the net amount expected to be collected. Thus, the statement of operations will reflect the measurement of credit losses for newly recognized financial assets as well as the expected increases or decreases of expected credit losses that have taken place during the period. This standard is effective for the calendar year ending December 31, 2023. The Company adopted the standard on January 1, 2023. The adoption of the standard did not have a material impact on the combined carve-out consolidated financial statements.</w:t>
      </w:r>
    </w:p>
    <w:p>
      <w:pPr>
        <w:spacing w:after="0" w:line="105"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ASU No. 2020-06 “Debt—Debt with Conversion and Other Options (Subtopic 470-20) and Derivatives and Hedging—Contracts in Entity’s Own Equity (Subtopic 815-40): Accounting for Convertible Instruments and Contracts in an Entity’s Own Equity (ASU 2020-06)”</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In August 2020, the FASB issued ASU No. 2020-06. This ASU simplifies accounting for convertible instruments by removing major separation models required under current U.S. GAAP. Consequently, more convertible debt instruments will be reported as a single liability instrument and more convertible preferred share as a single equity instrument with no separate accounting for embedded conversion features. The ASU removes certain settlement conditions that are required for equity contracts to qualify for the derivative scope exception, which will permit more equity contracts to qualify for it. ASU 2020-06 amends the diluted earnings per share guidance, including the requirement to use the if-converted method for all convertible instruments.</w:t>
      </w:r>
    </w:p>
    <w:p>
      <w:pPr>
        <w:spacing w:after="0" w:line="105"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Our adoption of ASU 2020-06 was performed retrospectively within these consolidated financial statements in the year prior to those years presented. Had we adopted ASU 2020-06 on January 1, 2021 under the modified retrospective method, such adoption would had not have had a material impact on our carve-out consolidated financial statements.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number of amended standards became applicable for the current reporting period. The Company did not have to change its accounting policies or make retrospective adjustments as a result of adopting these amended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4.Prepayments and other current assets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jc w:val="center"/>
              <w:ind w:right="114"/>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158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center"/>
              <w:ind w:right="9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(as restated)</w:t>
            </w:r>
          </w:p>
        </w:tc>
      </w:tr>
      <w:tr>
        <w:trPr>
          <w:trHeight w:val="113"/>
        </w:trPr>
        <w:tc>
          <w:tcPr>
            <w:tcW w:w="1580" w:type="dxa"/>
            <w:vAlign w:val="bottom"/>
          </w:tcPr>
          <w:p>
            <w:pPr>
              <w:spacing w:after="0"/>
              <w:rPr>
                <w:sz w:val="9"/>
                <w:szCs w:val="9"/>
                <w:color w:val="auto"/>
              </w:rPr>
            </w:pPr>
          </w:p>
        </w:tc>
        <w:tc>
          <w:tcPr>
            <w:tcW w:w="48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1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130,309</w:t>
            </w:r>
          </w:p>
        </w:tc>
        <w:tc>
          <w:tcPr>
            <w:tcW w:w="340" w:type="dxa"/>
            <w:vAlign w:val="bottom"/>
            <w:gridSpan w:val="2"/>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214,514</w:t>
            </w:r>
          </w:p>
        </w:tc>
        <w:tc>
          <w:tcPr>
            <w:tcW w:w="60" w:type="dxa"/>
            <w:vAlign w:val="bottom"/>
            <w:shd w:val="clear" w:color="auto" w:fill="CFF0FC"/>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48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Receivable from government authorities</w:t>
            </w:r>
          </w:p>
        </w:tc>
        <w:tc>
          <w:tcPr>
            <w:tcW w:w="14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582</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4,155</w:t>
            </w:r>
          </w:p>
        </w:tc>
        <w:tc>
          <w:tcPr>
            <w:tcW w:w="6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48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Input tax credit</w:t>
            </w:r>
          </w:p>
        </w:tc>
        <w:tc>
          <w:tcPr>
            <w:tcW w:w="14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140,432</w:t>
            </w:r>
          </w:p>
        </w:tc>
        <w:tc>
          <w:tcPr>
            <w:tcW w:w="1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219,421</w:t>
            </w:r>
          </w:p>
        </w:tc>
        <w:tc>
          <w:tcPr>
            <w:tcW w:w="60" w:type="dxa"/>
            <w:vAlign w:val="bottom"/>
            <w:shd w:val="clear" w:color="auto" w:fill="CFF0FC"/>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48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receivables</w:t>
            </w:r>
          </w:p>
        </w:tc>
        <w:tc>
          <w:tcPr>
            <w:tcW w:w="14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27,690</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2,756</w:t>
            </w:r>
          </w:p>
        </w:tc>
        <w:tc>
          <w:tcPr>
            <w:tcW w:w="6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4860" w:type="dxa"/>
            <w:vAlign w:val="bottom"/>
            <w:tcBorders>
              <w:bottom w:val="single" w:sz="8" w:color="CFF0FC"/>
            </w:tcBorders>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1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299,013</w:t>
            </w:r>
          </w:p>
        </w:tc>
        <w:tc>
          <w:tcPr>
            <w:tcW w:w="18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440,846</w:t>
            </w:r>
          </w:p>
        </w:tc>
        <w:tc>
          <w:tcPr>
            <w:tcW w:w="60" w:type="dxa"/>
            <w:vAlign w:val="bottom"/>
            <w:tcBorders>
              <w:bottom w:val="single" w:sz="8" w:color="CFF0FC"/>
            </w:tcBorders>
            <w:shd w:val="clear" w:color="auto" w:fill="CFF0FC"/>
          </w:tcPr>
          <w:p>
            <w:pPr>
              <w:spacing w:after="0"/>
              <w:rPr>
                <w:sz w:val="10"/>
                <w:szCs w:val="10"/>
                <w:color w:val="auto"/>
              </w:rPr>
            </w:pPr>
          </w:p>
        </w:tc>
      </w:tr>
      <w:tr>
        <w:trPr>
          <w:trHeight w:val="321"/>
        </w:trPr>
        <w:tc>
          <w:tcPr>
            <w:tcW w:w="64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5.Loans Receivable</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1"/>
        </w:trPr>
        <w:tc>
          <w:tcPr>
            <w:tcW w:w="15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114"/>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158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center"/>
              <w:ind w:right="9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(as restated)</w:t>
            </w:r>
          </w:p>
        </w:tc>
      </w:tr>
      <w:tr>
        <w:trPr>
          <w:trHeight w:val="113"/>
        </w:trPr>
        <w:tc>
          <w:tcPr>
            <w:tcW w:w="1580" w:type="dxa"/>
            <w:vAlign w:val="bottom"/>
          </w:tcPr>
          <w:p>
            <w:pPr>
              <w:spacing w:after="0"/>
              <w:rPr>
                <w:sz w:val="9"/>
                <w:szCs w:val="9"/>
                <w:color w:val="auto"/>
              </w:rPr>
            </w:pPr>
          </w:p>
        </w:tc>
        <w:tc>
          <w:tcPr>
            <w:tcW w:w="48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Loans receivable</w:t>
            </w:r>
          </w:p>
        </w:tc>
        <w:tc>
          <w:tcPr>
            <w:tcW w:w="14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598,414</w:t>
            </w:r>
          </w:p>
        </w:tc>
        <w:tc>
          <w:tcPr>
            <w:tcW w:w="60" w:type="dxa"/>
            <w:vAlign w:val="bottom"/>
            <w:shd w:val="clear" w:color="auto" w:fill="CFF0FC"/>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48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spacing w:after="0"/>
              <w:rPr>
                <w:sz w:val="10"/>
                <w:szCs w:val="10"/>
                <w:color w:val="auto"/>
              </w:rPr>
            </w:pPr>
          </w:p>
        </w:tc>
        <w:tc>
          <w:tcPr>
            <w:tcW w:w="160" w:type="dxa"/>
            <w:vAlign w:val="bottom"/>
            <w:tcBorders>
              <w:bottom w:val="single" w:sz="8" w:color="auto"/>
            </w:tcBorders>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598,414</w:t>
            </w:r>
          </w:p>
        </w:tc>
        <w:tc>
          <w:tcPr>
            <w:tcW w:w="60" w:type="dxa"/>
            <w:vAlign w:val="bottom"/>
          </w:tcPr>
          <w:p>
            <w:pPr>
              <w:spacing w:after="0"/>
              <w:rPr>
                <w:sz w:val="10"/>
                <w:szCs w:val="10"/>
                <w:color w:val="auto"/>
              </w:rPr>
            </w:pP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loans receivable consists of:</w:t>
      </w:r>
    </w:p>
    <w:p>
      <w:pPr>
        <w:spacing w:after="0" w:line="58" w:lineRule="exact"/>
        <w:rPr>
          <w:sz w:val="20"/>
          <w:szCs w:val="20"/>
          <w:color w:val="auto"/>
        </w:rPr>
      </w:pPr>
    </w:p>
    <w:p>
      <w:pPr>
        <w:jc w:val="both"/>
        <w:ind w:left="480"/>
        <w:spacing w:after="0" w:line="245" w:lineRule="auto"/>
        <w:rPr>
          <w:sz w:val="20"/>
          <w:szCs w:val="20"/>
          <w:color w:val="auto"/>
        </w:rPr>
      </w:pPr>
      <w:r>
        <w:rPr>
          <w:rFonts w:ascii="Times New Roman" w:cs="Times New Roman" w:eastAsia="Times New Roman" w:hAnsi="Times New Roman"/>
          <w:sz w:val="10"/>
          <w:szCs w:val="10"/>
          <w:color w:val="auto"/>
        </w:rPr>
        <w:t>•Loan receivable—Neighbor Inc (“Swipeby”)—The loan allows up to $65,000 to be loaned to Swipeby on a monthly basis beginning in July 2022. The loan bears interest of 8% and matures at the earlier of 1) The Company acquiring Swipeby or 2) December 31, 2022. The loan agreement was amended on February 23, 2023 such that the maturity date was extended to the earlier of 1) The Company acquiring Swipeby or 2) June 30, 2023. Swipeby was not acquired by the Company by June 30, 2023, and as such the balance of $785,000 was considered non-recoverable and an impairment charge of $785,000 was recorded in “Other operating expenses”.</w:t>
      </w:r>
    </w:p>
    <w:p>
      <w:pPr>
        <w:spacing w:after="0" w:line="45" w:lineRule="exact"/>
        <w:rPr>
          <w:sz w:val="20"/>
          <w:szCs w:val="20"/>
          <w:color w:val="auto"/>
        </w:rPr>
      </w:pPr>
    </w:p>
    <w:p>
      <w:pPr>
        <w:ind w:left="480" w:right="100"/>
        <w:spacing w:after="0" w:line="241" w:lineRule="auto"/>
        <w:rPr>
          <w:sz w:val="20"/>
          <w:szCs w:val="20"/>
          <w:color w:val="auto"/>
        </w:rPr>
      </w:pPr>
      <w:r>
        <w:rPr>
          <w:rFonts w:ascii="Times New Roman" w:cs="Times New Roman" w:eastAsia="Times New Roman" w:hAnsi="Times New Roman"/>
          <w:sz w:val="10"/>
          <w:szCs w:val="10"/>
          <w:color w:val="auto"/>
        </w:rPr>
        <w:t>•Loan receivable—Grupo Hanhei (“Moneymatic”). The loan initially provided $100,000 in August 2022, plus up to $25,000 per month terminating on October 31, 2022 while the Company completes integration of the Company’s technology into Moneymatic’s applications. As at December 31, 2022, the loan of $181,816 to Moneymatic was in the process of being negotiated and was extended in June 2023. Moneymatic’s loan was also considered recoverable due at the time, due to the fact that Moneymatic were then integrating Rezolve’s technology into Moneymatic’s applications in Mexico. The loan amount $371,316 at December 31, 2023 was considered non-recoverable and an impairment charge of $371,316 was recorded in “Other operating expenses”.</w:t>
      </w:r>
    </w:p>
    <w:p>
      <w:pPr>
        <w:spacing w:after="0" w:line="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921" w:right="680"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6.Property and equipment, net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0" w:type="dxa"/>
            <w:vAlign w:val="bottom"/>
          </w:tcPr>
          <w:p>
            <w:pPr>
              <w:spacing w:after="0"/>
              <w:rPr>
                <w:sz w:val="1"/>
                <w:szCs w:val="1"/>
                <w:color w:val="auto"/>
              </w:rPr>
            </w:pPr>
          </w:p>
        </w:tc>
      </w:tr>
      <w:tr>
        <w:trPr>
          <w:trHeight w:val="106"/>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Computers</w:t>
            </w:r>
          </w:p>
        </w:tc>
        <w:tc>
          <w:tcPr>
            <w:tcW w:w="1300" w:type="dxa"/>
            <w:vAlign w:val="bottom"/>
            <w:gridSpan w:val="2"/>
            <w:shd w:val="clear" w:color="auto" w:fill="CFF0FC"/>
          </w:tcPr>
          <w:p>
            <w:pPr>
              <w:jc w:val="right"/>
              <w:ind w:right="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3"/>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195,140</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181,784</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Office equipment</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w w:val="93"/>
              </w:rPr>
              <w:t>290</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495</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Less—Accumulated depreciation</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20" w:type="dxa"/>
            <w:vAlign w:val="bottom"/>
            <w:gridSpan w:val="4"/>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(115,837 )</w:t>
            </w:r>
          </w:p>
        </w:tc>
        <w:tc>
          <w:tcPr>
            <w:tcW w:w="80" w:type="dxa"/>
            <w:vAlign w:val="bottom"/>
            <w:shd w:val="clear" w:color="auto" w:fill="CFF0FC"/>
          </w:tcPr>
          <w:p>
            <w:pPr>
              <w:spacing w:after="0"/>
              <w:rPr>
                <w:sz w:val="9"/>
                <w:szCs w:val="9"/>
                <w:color w:val="auto"/>
              </w:rPr>
            </w:pPr>
          </w:p>
        </w:tc>
        <w:tc>
          <w:tcPr>
            <w:tcW w:w="1000" w:type="dxa"/>
            <w:vAlign w:val="bottom"/>
            <w:gridSpan w:val="3"/>
            <w:shd w:val="clear" w:color="auto" w:fill="CFF0FC"/>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(71,281 )</w:t>
            </w:r>
          </w:p>
        </w:tc>
        <w:tc>
          <w:tcPr>
            <w:tcW w:w="0" w:type="dxa"/>
            <w:vAlign w:val="bottom"/>
          </w:tcPr>
          <w:p>
            <w:pPr>
              <w:spacing w:after="0"/>
              <w:rPr>
                <w:sz w:val="1"/>
                <w:szCs w:val="1"/>
                <w:color w:val="auto"/>
              </w:rPr>
            </w:pPr>
          </w:p>
        </w:tc>
      </w:tr>
      <w:tr>
        <w:trPr>
          <w:trHeight w:val="115"/>
        </w:trPr>
        <w:tc>
          <w:tcPr>
            <w:tcW w:w="1580" w:type="dxa"/>
            <w:vAlign w:val="bottom"/>
          </w:tcPr>
          <w:p>
            <w:pPr>
              <w:spacing w:after="0"/>
              <w:rPr>
                <w:sz w:val="10"/>
                <w:szCs w:val="10"/>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Property and equipment, net</w:t>
            </w:r>
          </w:p>
        </w:tc>
        <w:tc>
          <w:tcPr>
            <w:tcW w:w="1300" w:type="dxa"/>
            <w:vAlign w:val="bottom"/>
            <w:gridSpan w:val="2"/>
          </w:tcPr>
          <w:p>
            <w:pPr>
              <w:jc w:val="right"/>
              <w:ind w:right="1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920" w:type="dxa"/>
            <w:vAlign w:val="bottom"/>
            <w:gridSpan w:val="3"/>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79,593</w:t>
            </w:r>
          </w:p>
        </w:tc>
        <w:tc>
          <w:tcPr>
            <w:tcW w:w="200" w:type="dxa"/>
            <w:vAlign w:val="bottom"/>
          </w:tcPr>
          <w:p>
            <w:pPr>
              <w:spacing w:after="0"/>
              <w:rPr>
                <w:sz w:val="10"/>
                <w:szCs w:val="10"/>
                <w:color w:val="auto"/>
              </w:rPr>
            </w:pPr>
          </w:p>
        </w:tc>
        <w:tc>
          <w:tcPr>
            <w:tcW w:w="80" w:type="dxa"/>
            <w:vAlign w:val="bottom"/>
          </w:tcPr>
          <w:p>
            <w:pPr>
              <w:jc w:val="right"/>
              <w:ind w:right="12"/>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110,998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5520" w:type="dxa"/>
            <w:vAlign w:val="bottom"/>
            <w:gridSpan w:val="3"/>
          </w:tcPr>
          <w:p>
            <w:pPr>
              <w:ind w:left="480"/>
              <w:spacing w:after="0"/>
              <w:rPr>
                <w:sz w:val="20"/>
                <w:szCs w:val="20"/>
                <w:color w:val="auto"/>
              </w:rPr>
            </w:pPr>
            <w:r>
              <w:rPr>
                <w:rFonts w:ascii="Times New Roman" w:cs="Times New Roman" w:eastAsia="Times New Roman" w:hAnsi="Times New Roman"/>
                <w:sz w:val="10"/>
                <w:szCs w:val="10"/>
                <w:color w:val="auto"/>
              </w:rPr>
              <w:t>Depreciation expense for the years ended December 31, 2023 and 2022 was $44,556 and $37,917 respectively.</w:t>
            </w:r>
          </w:p>
        </w:tc>
        <w:tc>
          <w:tcPr>
            <w:tcW w:w="11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55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7.Intangible assets, net</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0" w:type="dxa"/>
            <w:vAlign w:val="bottom"/>
          </w:tcPr>
          <w:p>
            <w:pPr>
              <w:spacing w:after="0"/>
              <w:rPr>
                <w:sz w:val="1"/>
                <w:szCs w:val="1"/>
                <w:color w:val="auto"/>
              </w:rPr>
            </w:pPr>
          </w:p>
        </w:tc>
      </w:tr>
      <w:tr>
        <w:trPr>
          <w:trHeight w:val="106"/>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Software</w:t>
            </w:r>
          </w:p>
        </w:tc>
        <w:tc>
          <w:tcPr>
            <w:tcW w:w="1300" w:type="dxa"/>
            <w:vAlign w:val="bottom"/>
            <w:gridSpan w:val="2"/>
            <w:shd w:val="clear" w:color="auto" w:fill="CFF0FC"/>
          </w:tcPr>
          <w:p>
            <w:pPr>
              <w:jc w:val="right"/>
              <w:ind w:right="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3"/>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1,009,272</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989,400</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In development intangible asset</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3"/>
          </w:tcPr>
          <w:p>
            <w:pPr>
              <w:jc w:val="right"/>
              <w:spacing w:after="0" w:line="113" w:lineRule="exact"/>
              <w:rPr>
                <w:sz w:val="20"/>
                <w:szCs w:val="20"/>
                <w:color w:val="auto"/>
              </w:rPr>
            </w:pPr>
            <w:r>
              <w:rPr>
                <w:rFonts w:ascii="Times New Roman" w:cs="Times New Roman" w:eastAsia="Times New Roman" w:hAnsi="Times New Roman"/>
                <w:sz w:val="10"/>
                <w:szCs w:val="10"/>
                <w:color w:val="auto"/>
              </w:rPr>
              <w:t>1,862,465</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340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gridSpan w:val="3"/>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2,871,737</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4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989,400</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Less—Accumulated amortization</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4"/>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(736,834 )</w:t>
            </w:r>
          </w:p>
        </w:tc>
        <w:tc>
          <w:tcPr>
            <w:tcW w:w="80" w:type="dxa"/>
            <w:vAlign w:val="bottom"/>
          </w:tcPr>
          <w:p>
            <w:pPr>
              <w:spacing w:after="0"/>
              <w:rPr>
                <w:sz w:val="9"/>
                <w:szCs w:val="9"/>
                <w:color w:val="auto"/>
              </w:rPr>
            </w:pPr>
          </w:p>
        </w:tc>
        <w:tc>
          <w:tcPr>
            <w:tcW w:w="1000" w:type="dxa"/>
            <w:vAlign w:val="bottom"/>
            <w:gridSpan w:val="3"/>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(538,954 )</w:t>
            </w:r>
          </w:p>
        </w:tc>
        <w:tc>
          <w:tcPr>
            <w:tcW w:w="0" w:type="dxa"/>
            <w:vAlign w:val="bottom"/>
          </w:tcPr>
          <w:p>
            <w:pPr>
              <w:spacing w:after="0"/>
              <w:rPr>
                <w:sz w:val="1"/>
                <w:szCs w:val="1"/>
                <w:color w:val="auto"/>
              </w:rPr>
            </w:pPr>
          </w:p>
        </w:tc>
      </w:tr>
      <w:tr>
        <w:trPr>
          <w:trHeight w:val="115"/>
        </w:trPr>
        <w:tc>
          <w:tcPr>
            <w:tcW w:w="1580" w:type="dxa"/>
            <w:vAlign w:val="bottom"/>
          </w:tcPr>
          <w:p>
            <w:pPr>
              <w:spacing w:after="0"/>
              <w:rPr>
                <w:sz w:val="10"/>
                <w:szCs w:val="10"/>
                <w:color w:val="auto"/>
              </w:rPr>
            </w:pPr>
          </w:p>
        </w:tc>
        <w:tc>
          <w:tcPr>
            <w:tcW w:w="3940" w:type="dxa"/>
            <w:vAlign w:val="bottom"/>
            <w:tcBorders>
              <w:bottom w:val="single" w:sz="8" w:color="CFF0FC"/>
            </w:tcBorders>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Intangible assets, net</w:t>
            </w:r>
          </w:p>
        </w:tc>
        <w:tc>
          <w:tcPr>
            <w:tcW w:w="11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jc w:val="right"/>
              <w:ind w:right="1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20" w:type="dxa"/>
            <w:vAlign w:val="bottom"/>
            <w:tcBorders>
              <w:bottom w:val="single" w:sz="8" w:color="auto"/>
            </w:tcBorders>
            <w:gridSpan w:val="3"/>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2,134,903</w:t>
            </w:r>
          </w:p>
        </w:tc>
        <w:tc>
          <w:tcPr>
            <w:tcW w:w="2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40" w:type="dxa"/>
            <w:vAlign w:val="bottom"/>
            <w:tcBorders>
              <w:bottom w:val="single" w:sz="8" w:color="auto"/>
            </w:tcBorders>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450,446</w:t>
            </w:r>
          </w:p>
        </w:tc>
        <w:tc>
          <w:tcPr>
            <w:tcW w:w="6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5520" w:type="dxa"/>
            <w:vAlign w:val="bottom"/>
            <w:gridSpan w:val="3"/>
          </w:tcPr>
          <w:p>
            <w:pPr>
              <w:ind w:left="480"/>
              <w:spacing w:after="0"/>
              <w:rPr>
                <w:sz w:val="20"/>
                <w:szCs w:val="20"/>
                <w:color w:val="auto"/>
              </w:rPr>
            </w:pPr>
            <w:r>
              <w:rPr>
                <w:rFonts w:ascii="Times New Roman" w:cs="Times New Roman" w:eastAsia="Times New Roman" w:hAnsi="Times New Roman"/>
                <w:sz w:val="10"/>
                <w:szCs w:val="10"/>
                <w:color w:val="auto"/>
              </w:rPr>
              <w:t>Amortization expense for each of the years ended December 31, 2023 and 2022 was $197,800.</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5520" w:type="dxa"/>
            <w:vAlign w:val="bottom"/>
            <w:gridSpan w:val="3"/>
          </w:tcPr>
          <w:p>
            <w:pPr>
              <w:ind w:left="480"/>
              <w:spacing w:after="0"/>
              <w:rPr>
                <w:sz w:val="20"/>
                <w:szCs w:val="20"/>
                <w:color w:val="auto"/>
              </w:rPr>
            </w:pPr>
            <w:r>
              <w:rPr>
                <w:rFonts w:ascii="Times New Roman" w:cs="Times New Roman" w:eastAsia="Times New Roman" w:hAnsi="Times New Roman"/>
                <w:sz w:val="10"/>
                <w:szCs w:val="10"/>
                <w:color w:val="auto"/>
              </w:rPr>
              <w:t>As of December 31, 2023, expected amortization expense over the remaining intangible asset lives is as follows:</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2120" w:type="dxa"/>
            <w:vAlign w:val="bottom"/>
            <w:gridSpan w:val="2"/>
            <w:vMerge w:val="restart"/>
          </w:tcPr>
          <w:p>
            <w:pPr>
              <w:spacing w:after="0"/>
              <w:rPr>
                <w:sz w:val="13"/>
                <w:szCs w:val="13"/>
                <w:color w:val="auto"/>
              </w:rPr>
            </w:pPr>
          </w:p>
        </w:tc>
        <w:tc>
          <w:tcPr>
            <w:tcW w:w="34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120" w:type="dxa"/>
            <w:vAlign w:val="bottom"/>
            <w:gridSpan w:val="2"/>
            <w:vMerge w:val="continue"/>
          </w:tcPr>
          <w:p>
            <w:pPr>
              <w:spacing w:after="0"/>
              <w:rPr>
                <w:sz w:val="9"/>
                <w:szCs w:val="9"/>
                <w:color w:val="auto"/>
              </w:rPr>
            </w:pPr>
          </w:p>
        </w:tc>
        <w:tc>
          <w:tcPr>
            <w:tcW w:w="3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2024</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183,578</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120" w:type="dxa"/>
            <w:vAlign w:val="bottom"/>
            <w:gridSpan w:val="2"/>
          </w:tcPr>
          <w:p>
            <w:pPr>
              <w:spacing w:after="0"/>
              <w:rPr>
                <w:sz w:val="9"/>
                <w:szCs w:val="9"/>
                <w:color w:val="auto"/>
              </w:rPr>
            </w:pPr>
          </w:p>
        </w:tc>
        <w:tc>
          <w:tcPr>
            <w:tcW w:w="34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2025</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445,453</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120" w:type="dxa"/>
            <w:vAlign w:val="bottom"/>
            <w:gridSpan w:val="2"/>
          </w:tcPr>
          <w:p>
            <w:pPr>
              <w:spacing w:after="0"/>
              <w:rPr>
                <w:sz w:val="9"/>
                <w:szCs w:val="9"/>
                <w:color w:val="auto"/>
              </w:rPr>
            </w:pPr>
          </w:p>
        </w:tc>
        <w:tc>
          <w:tcPr>
            <w:tcW w:w="3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2026</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376,468</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120" w:type="dxa"/>
            <w:vAlign w:val="bottom"/>
            <w:gridSpan w:val="2"/>
          </w:tcPr>
          <w:p>
            <w:pPr>
              <w:spacing w:after="0"/>
              <w:rPr>
                <w:sz w:val="9"/>
                <w:szCs w:val="9"/>
                <w:color w:val="auto"/>
              </w:rPr>
            </w:pPr>
          </w:p>
        </w:tc>
        <w:tc>
          <w:tcPr>
            <w:tcW w:w="34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2027</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376,468</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120" w:type="dxa"/>
            <w:vAlign w:val="bottom"/>
            <w:gridSpan w:val="2"/>
          </w:tcPr>
          <w:p>
            <w:pPr>
              <w:spacing w:after="0"/>
              <w:rPr>
                <w:sz w:val="9"/>
                <w:szCs w:val="9"/>
                <w:color w:val="auto"/>
              </w:rPr>
            </w:pPr>
          </w:p>
        </w:tc>
        <w:tc>
          <w:tcPr>
            <w:tcW w:w="3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2028</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376,468</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Thereafter</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376,468</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0" w:type="dxa"/>
            <w:vAlign w:val="bottom"/>
            <w:tcBorders>
              <w:bottom w:val="single" w:sz="8" w:color="CFF0FC"/>
            </w:tcBorders>
            <w:shd w:val="clear" w:color="auto" w:fill="CFF0FC"/>
          </w:tcPr>
          <w:p>
            <w:pPr>
              <w:spacing w:after="0"/>
              <w:rPr>
                <w:sz w:val="10"/>
                <w:szCs w:val="10"/>
                <w:color w:val="auto"/>
              </w:rPr>
            </w:pPr>
          </w:p>
        </w:tc>
        <w:tc>
          <w:tcPr>
            <w:tcW w:w="11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tcBorders>
              <w:bottom w:val="single" w:sz="8" w:color="auto"/>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480" w:type="dxa"/>
            <w:vAlign w:val="bottom"/>
            <w:tcBorders>
              <w:bottom w:val="single" w:sz="8" w:color="auto"/>
              <w:right w:val="single" w:sz="8" w:color="CFF0FC"/>
            </w:tcBorders>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b w:val="1"/>
                <w:bCs w:val="1"/>
                <w:color w:val="auto"/>
                <w:w w:val="94"/>
              </w:rPr>
              <w:t>2,134,903</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1"/>
        </w:trPr>
        <w:tc>
          <w:tcPr>
            <w:tcW w:w="55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8.Debt and other liabilities</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40" w:type="dxa"/>
            <w:vAlign w:val="bottom"/>
            <w:gridSpan w:val="4"/>
          </w:tcPr>
          <w:p>
            <w:pPr>
              <w:jc w:val="right"/>
              <w:ind w:right="351"/>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jc w:val="right"/>
              <w:ind w:right="380"/>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0" w:type="dxa"/>
            <w:vAlign w:val="bottom"/>
          </w:tcPr>
          <w:p>
            <w:pPr>
              <w:spacing w:after="0"/>
              <w:rPr>
                <w:sz w:val="1"/>
                <w:szCs w:val="1"/>
                <w:color w:val="auto"/>
              </w:rPr>
            </w:pPr>
          </w:p>
        </w:tc>
      </w:tr>
      <w:tr>
        <w:trPr>
          <w:trHeight w:val="106"/>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040" w:type="dxa"/>
            <w:vAlign w:val="bottom"/>
            <w:gridSpan w:val="4"/>
          </w:tcPr>
          <w:p>
            <w:pPr>
              <w:jc w:val="right"/>
              <w:ind w:right="471"/>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tcPr>
          <w:p>
            <w:pPr>
              <w:jc w:val="right"/>
              <w:ind w:right="500"/>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Short-term debt and other liabilities</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Short-term debt to related parties (8.1)</w:t>
            </w:r>
          </w:p>
        </w:tc>
        <w:tc>
          <w:tcPr>
            <w:tcW w:w="1180" w:type="dxa"/>
            <w:vAlign w:val="bottom"/>
          </w:tcPr>
          <w:p>
            <w:pPr>
              <w:jc w:val="right"/>
              <w:ind w:right="4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740" w:type="dxa"/>
            <w:vAlign w:val="bottom"/>
            <w:gridSpan w:val="2"/>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6,225,815</w:t>
            </w:r>
          </w:p>
        </w:tc>
        <w:tc>
          <w:tcPr>
            <w:tcW w:w="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697,067</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Short term convertible debt to related party (8.4)</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132,269</w:t>
            </w: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Ordinary shares payable (8.2)</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8,223,928</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 liability (8.5)</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1,311,028</w:t>
            </w: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520" w:type="dxa"/>
            <w:vAlign w:val="bottom"/>
            <w:gridSpan w:val="2"/>
            <w:shd w:val="clear" w:color="auto" w:fill="CFF0FC"/>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debt (8.3)</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31,088,259</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Non-current debt and other liabilities</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 liability (8.4)</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1,177,617</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debt (8.3)</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4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25,302,709</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0"/>
          <w:szCs w:val="10"/>
          <w:b w:val="1"/>
          <w:bCs w:val="1"/>
          <w:color w:val="auto"/>
        </w:rPr>
        <w:t>8.1.</w:t>
      </w:r>
      <w:r>
        <w:rPr>
          <w:rFonts w:ascii="Times New Roman" w:cs="Times New Roman" w:eastAsia="Times New Roman" w:hAnsi="Times New Roman"/>
          <w:sz w:val="10"/>
          <w:szCs w:val="10"/>
          <w:color w:val="auto"/>
        </w:rPr>
        <w:t>Unsecured interest free loan taken from related party (DBLP Sea Cow Ltd) of $447,067 is repayable on demand. During the year ended December 31, 2023, the Company repaid $250,000 to DBLP Sea Cow Ltd. Additionally, DBLP Sea Cow Ltd is owed $191,405 for</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amounts to be re-imbursed for expenses incurred on behalf of Rezolve at December 31, 2023, nil for 2022.</w:t>
      </w:r>
    </w:p>
    <w:p>
      <w:pPr>
        <w:spacing w:after="0" w:line="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921" w:right="680"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right="180" w:firstLine="480"/>
        <w:spacing w:after="0" w:line="272" w:lineRule="auto"/>
        <w:rPr>
          <w:sz w:val="20"/>
          <w:szCs w:val="20"/>
          <w:color w:val="auto"/>
        </w:rPr>
      </w:pPr>
      <w:r>
        <w:rPr>
          <w:rFonts w:ascii="Times New Roman" w:cs="Times New Roman" w:eastAsia="Times New Roman" w:hAnsi="Times New Roman"/>
          <w:sz w:val="9"/>
          <w:szCs w:val="9"/>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a total $5,587,343. The loans were due to mature on July 31, 2023 or at the option of the investor, can be converted into ordinary shares of the Company including the accrued borrowing fees at a conversion rate of</w:t>
      </w:r>
    </w:p>
    <w:p>
      <w:pPr>
        <w:spacing w:after="0" w:line="236" w:lineRule="auto"/>
        <w:rPr>
          <w:sz w:val="20"/>
          <w:szCs w:val="20"/>
          <w:color w:val="auto"/>
        </w:rPr>
      </w:pPr>
      <w:r>
        <w:rPr>
          <w:rFonts w:ascii="Times New Roman" w:cs="Times New Roman" w:eastAsia="Times New Roman" w:hAnsi="Times New Roman"/>
          <w:sz w:val="10"/>
          <w:szCs w:val="10"/>
          <w:color w:val="auto"/>
        </w:rPr>
        <w:t>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8.3). The loan principal and accrued borrowing fees were rounded to a sum of $8,000,000. The key terms of the loan amendment include that of the senior secured convertible notes, as noted below:</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interest rate was reduced to 7.5% per annum from the date that the amendment was executed.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•Conversion into ordinary shares of the Company is at the option of the investor from any date of an IPO or Business Combination with a publicly listed company.</w:t>
      </w:r>
    </w:p>
    <w:p>
      <w:pPr>
        <w:spacing w:after="0" w:line="58" w:lineRule="exact"/>
        <w:rPr>
          <w:sz w:val="20"/>
          <w:szCs w:val="20"/>
          <w:color w:val="auto"/>
        </w:rPr>
      </w:pPr>
    </w:p>
    <w:p>
      <w:pPr>
        <w:ind w:left="480" w:right="320"/>
        <w:spacing w:after="0" w:line="255" w:lineRule="auto"/>
        <w:rPr>
          <w:sz w:val="20"/>
          <w:szCs w:val="20"/>
          <w:color w:val="auto"/>
        </w:rPr>
      </w:pPr>
      <w:r>
        <w:rPr>
          <w:rFonts w:ascii="Times New Roman" w:cs="Times New Roman" w:eastAsia="Times New Roman" w:hAnsi="Times New Roman"/>
          <w:sz w:val="10"/>
          <w:szCs w:val="10"/>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a result of the loan amendment and addition to the Company’s senior secured convertible notes, the default was remediated.</w:t>
      </w:r>
    </w:p>
    <w:p>
      <w:pPr>
        <w:spacing w:after="0" w:line="56"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0"/>
          <w:szCs w:val="10"/>
          <w:b w:val="1"/>
          <w:bCs w:val="1"/>
          <w:color w:val="auto"/>
        </w:rPr>
        <w:t>8.2.</w:t>
      </w:r>
      <w:r>
        <w:rPr>
          <w:rFonts w:ascii="Times New Roman" w:cs="Times New Roman" w:eastAsia="Times New Roman" w:hAnsi="Times New Roman"/>
          <w:sz w:val="10"/>
          <w:szCs w:val="10"/>
          <w:color w:val="auto"/>
        </w:rPr>
        <w:t>On May 25, 2023, the Company offered to all existing investors and employees of the Company an advanced subscription agreement for ordinary shares of the Company at a discount from the pre-close equity value of the Company per share (“the Rights Issue”) in</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connection with its business combination with Armada Acquisition Corp I (refer to note 8.3). The Company expects prior to the close of the business combination to complete a reorganization under the Demerger, such that the existing shares transferred from Rezolve Limited to Rezolve AI Limited would result in a transfer of shares of approximately 6.1 ordinary shares to 1 of Rezolve Limited for one share of Rezolve AI Limited. In connection with the funding received through advanced subscription agreements as of December 31, 2023, the number of ordinary shares to be issued as part of the Rights Issue post re -organization is fixed at 1,180,735 and will not fluctuate with the Company’s pre-close equity value of the Company or that of Armada Acquisition Corp I. The Company may receive additional funding under advanced subscription agreements which would increase the number of Ordinary shares to issue post-reorganization.</w:t>
      </w:r>
    </w:p>
    <w:p>
      <w:pPr>
        <w:spacing w:after="0" w:line="45"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0"/>
          <w:szCs w:val="10"/>
          <w:b w:val="1"/>
          <w:bCs w:val="1"/>
          <w:color w:val="auto"/>
        </w:rPr>
        <w:t>8.3.</w:t>
      </w:r>
      <w:r>
        <w:rPr>
          <w:rFonts w:ascii="Times New Roman" w:cs="Times New Roman" w:eastAsia="Times New Roman" w:hAnsi="Times New Roman"/>
          <w:sz w:val="10"/>
          <w:szCs w:val="10"/>
          <w:color w:val="auto"/>
        </w:rPr>
        <w:t>On December 17, 2021, the Company and Armada Acquisition Corp I, a special purpose acquisition company (“SPAC”) listed on the Nasdaq Capital Market (“NASDAQ”), and certain other parties entered into a definitive agreement for a business combination that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would result in Rezolve becoming a publicly listed company upon completion of the aforementioned transaction. The transaction included a $41 million fully committed private placement of ordinary shares of the combined company (the “PIPE”), $20 million of which has been advanced to Rezolve pursuant to a secured convertible loan note as further described below. The transaction is expected to close by the end of 2024.</w:t>
      </w:r>
    </w:p>
    <w:p>
      <w:pPr>
        <w:spacing w:after="0" w:line="104"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In accordance with the executed subscription agreements, the investors that pre- funded the PIPE entered into an agreement to purchase secured convertible notes of the Company for a total of $20 million. Prior to amending the terms on May 23, 2023 (further below), these notes were due to mature on December 16, 2023, and were redeemable by the noteholder on the occurrence of:</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maturity, with interest accrued at 20% per annum, or</w:t>
      </w:r>
    </w:p>
    <w:p>
      <w:pPr>
        <w:spacing w:after="0" w:line="58" w:lineRule="exact"/>
        <w:rPr>
          <w:sz w:val="20"/>
          <w:szCs w:val="20"/>
          <w:color w:val="auto"/>
        </w:rPr>
      </w:pPr>
    </w:p>
    <w:p>
      <w:pPr>
        <w:ind w:left="480" w:right="140"/>
        <w:spacing w:after="0" w:line="255" w:lineRule="auto"/>
        <w:rPr>
          <w:sz w:val="20"/>
          <w:szCs w:val="20"/>
          <w:color w:val="auto"/>
        </w:rPr>
      </w:pPr>
      <w:r>
        <w:rPr>
          <w:rFonts w:ascii="Times New Roman" w:cs="Times New Roman" w:eastAsia="Times New Roman" w:hAnsi="Times New Roman"/>
          <w:sz w:val="10"/>
          <w:szCs w:val="10"/>
          <w:color w:val="auto"/>
        </w:rPr>
        <w:t>•On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Immediately prior to an IPO or SPAC transaction, the principal amount and accrued interest is converted into ordinary shares at a 30% discount to the pre-close equity value of the Company.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interest rate is 20% per annum, and is reduced in the following events to:</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•10% per annum if the IPO or SPAC transaction occurred prior to December 16, 2022,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•15% per annum if the IPO or SPAC transaction occurs between December 16, 2022 and June 16, 2023.</w:t>
      </w:r>
    </w:p>
    <w:p>
      <w:pPr>
        <w:spacing w:after="0" w:line="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921" w:right="620"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the issuance of the notes, the amount pre-funded by each participating investor reduces their remaining respective commitment in the PIPE.</w:t>
      </w:r>
    </w:p>
    <w:p>
      <w:pPr>
        <w:spacing w:after="0" w:line="118"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On November 21, 2022, the original as well as a new PIPE investor agreed to extend their commitment under the notes, by committing an additional $4 million which was drawn by December 31, 2022. In return for their commitment, the Company granted each investor 850,000 warrants (refer to note 9). These warrants have been accounted for as a discount to the convertible debt. The Company also agreed to provide as collateral all buildings, fittings, fixtures and intellectual property.</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secured convertible notes has been accounted for as a liability in accordance with ASC 470–20. The Company has adopted ASU 2020- 06,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on a straight line basis over the contractual terms of the secured convertible loan notes. The Company estimates that the difference between amortizing the debt discounts and the issuance costs using the straight line method as compared to using effective interest rate method is immaterial.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not incurred any significant debt issuance costs and has expensed them as incurred.</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May 23, 2023, the Company executed a further amendment to the secured convertible loan notes.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amendments are as follows: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 additional $15,625,000 commitment has been added to the principal amount of the notes, split between a</w:t>
      </w:r>
    </w:p>
    <w:p>
      <w:pPr>
        <w:spacing w:after="0" w:line="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0"/>
          <w:szCs w:val="10"/>
          <w:color w:val="auto"/>
        </w:rPr>
        <w:t>•Conversion of accrued interest of $3,000,000 into loan principal. Additionally $1.5m of Loans for no value , plus $1,040,989 of interest foregone giving total of $4,041,989 of total interest capitalized.</w:t>
      </w:r>
    </w:p>
    <w:p>
      <w:pPr>
        <w:spacing w:after="0" w:line="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0"/>
          <w:szCs w:val="10"/>
          <w:color w:val="auto"/>
        </w:rPr>
        <w:t>•$1,250,000 of loan principal previously advanced in February 2023</w:t>
      </w:r>
    </w:p>
    <w:p>
      <w:pPr>
        <w:spacing w:after="0" w:line="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0"/>
          <w:szCs w:val="10"/>
          <w:color w:val="auto"/>
        </w:rPr>
        <w:t>•$125,000 of loan principal advanced by a director and related party in February 2023</w:t>
      </w:r>
    </w:p>
    <w:p>
      <w:pPr>
        <w:spacing w:after="0" w:line="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0"/>
          <w:szCs w:val="10"/>
          <w:color w:val="auto"/>
        </w:rPr>
        <w:t>•An additional $2,750,000 of loan notes to be advanced, and</w:t>
      </w:r>
    </w:p>
    <w:p>
      <w:pPr>
        <w:spacing w:after="0" w:line="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0"/>
          <w:szCs w:val="10"/>
          <w:color w:val="auto"/>
        </w:rPr>
        <w:t>•$8,500,000 in notes upon completion of the Demerger, for which no monetary consideration will be received by the Company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interest rate was reduced to 7.5% per annum from the date that the amendment was executed.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•Conversion into ordinary shares of the Company is at the option of the investor from any date of an IPO or Business Combination with a publicly listed company.</w:t>
      </w:r>
    </w:p>
    <w:p>
      <w:pPr>
        <w:spacing w:after="0" w:line="58" w:lineRule="exact"/>
        <w:rPr>
          <w:sz w:val="20"/>
          <w:szCs w:val="20"/>
          <w:color w:val="auto"/>
        </w:rPr>
      </w:pPr>
    </w:p>
    <w:p>
      <w:pPr>
        <w:ind w:left="480" w:right="360"/>
        <w:spacing w:after="0" w:line="255" w:lineRule="auto"/>
        <w:rPr>
          <w:sz w:val="20"/>
          <w:szCs w:val="20"/>
          <w:color w:val="auto"/>
        </w:rPr>
      </w:pPr>
      <w:r>
        <w:rPr>
          <w:rFonts w:ascii="Times New Roman" w:cs="Times New Roman" w:eastAsia="Times New Roman" w:hAnsi="Times New Roman"/>
          <w:sz w:val="10"/>
          <w:szCs w:val="10"/>
          <w:color w:val="auto"/>
        </w:rPr>
        <w:t>•The conversion price has been amended to seventy 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4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0"/>
          <w:szCs w:val="10"/>
          <w:color w:val="auto"/>
        </w:rPr>
        <w:t>(1)Under the May 23, 2023 amendment terms of the secured convertible notes, Rezolve has given certain covenants to the noteholders which remain in force while the convertible notes are outstanding, including that the Rezolve group shall not incur any indebtedness that would rank senior to the secured convertible notes without the prior consent of holders of more than two thirds of the aggregate principal amount of the secured convertible notes outstanding from time to time (“he “Noteholder Majority”); and</w:t>
      </w:r>
    </w:p>
    <w:p>
      <w:pPr>
        <w:spacing w:after="0" w:line="41" w:lineRule="exact"/>
        <w:rPr>
          <w:sz w:val="20"/>
          <w:szCs w:val="20"/>
          <w:color w:val="auto"/>
        </w:rPr>
      </w:pPr>
    </w:p>
    <w:p>
      <w:pPr>
        <w:ind w:left="700" w:right="320"/>
        <w:spacing w:after="0" w:line="255" w:lineRule="auto"/>
        <w:rPr>
          <w:sz w:val="20"/>
          <w:szCs w:val="20"/>
          <w:color w:val="auto"/>
        </w:rPr>
      </w:pPr>
      <w:r>
        <w:rPr>
          <w:rFonts w:ascii="Times New Roman" w:cs="Times New Roman" w:eastAsia="Times New Roman" w:hAnsi="Times New Roman"/>
          <w:sz w:val="10"/>
          <w:szCs w:val="10"/>
          <w:color w:val="auto"/>
        </w:rPr>
        <w:t>(ii)for so long as one or more of Apeiron Investment Group Ltd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921" w:right="62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9"/>
          <w:szCs w:val="9"/>
          <w:color w:val="auto"/>
        </w:rPr>
        <w:t>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w:t>
      </w:r>
    </w:p>
    <w:p>
      <w:pPr>
        <w:spacing w:after="0" w:line="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execution of the amendment the secured convertible notes are then referred to as “the senior secured convertible notes”.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Upon execution of the senior secured convertible note on May 23, 2023, and extension to the maturity date to at least December 31, 2024, the Company classified the Convertible debt as non-current as at December 31, 2022 under the guidance in ASC 470-10-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45-14.</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execution of the senior secured convertible note has been accounted for as troubled debt restructuring since May 23, 2023. No gain has been recognized.</w:t>
      </w:r>
    </w:p>
    <w:p>
      <w:pPr>
        <w:spacing w:after="0" w:line="118"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The carrying value of the convertible debt does not include the $8,500,000 of notes issuable upon completion of the Demerger. These are contingent upon completion of the Demerger and will only be included in the carrying amount of the convertible debt upon completion of the Demerger.</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carrying amount of the convertible debt was as follows:</w:t>
      </w:r>
    </w:p>
    <w:p>
      <w:pPr>
        <w:spacing w:after="0" w:line="153" w:lineRule="exact"/>
        <w:rPr>
          <w:sz w:val="20"/>
          <w:szCs w:val="20"/>
          <w:color w:val="auto"/>
        </w:rPr>
      </w:pPr>
    </w:p>
    <w:tbl>
      <w:tblPr>
        <w:tblLayout w:type="fixed"/>
        <w:tblInd w:w="480" w:type="dxa"/>
        <w:tblCellMar>
          <w:top w:w="0" w:type="dxa"/>
          <w:left w:w="0" w:type="dxa"/>
          <w:bottom w:w="0" w:type="dxa"/>
          <w:right w:w="0" w:type="dxa"/>
        </w:tblCellMar>
      </w:tblPr>
      <w:tr>
        <w:trPr>
          <w:trHeight w:val="98"/>
        </w:trPr>
        <w:tc>
          <w:tcPr>
            <w:tcW w:w="11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jc w:val="center"/>
              <w:ind w:right="234"/>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80" w:type="dxa"/>
            <w:vAlign w:val="bottom"/>
          </w:tcPr>
          <w:p>
            <w:pPr>
              <w:spacing w:after="0"/>
              <w:rPr>
                <w:sz w:val="8"/>
                <w:szCs w:val="8"/>
                <w:color w:val="auto"/>
              </w:rPr>
            </w:pPr>
          </w:p>
        </w:tc>
        <w:tc>
          <w:tcPr>
            <w:tcW w:w="1180" w:type="dxa"/>
            <w:vAlign w:val="bottom"/>
          </w:tcPr>
          <w:p>
            <w:pPr>
              <w:jc w:val="center"/>
              <w:ind w:right="194"/>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110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center"/>
              <w:ind w:right="23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80" w:type="dxa"/>
            <w:vAlign w:val="bottom"/>
          </w:tcPr>
          <w:p>
            <w:pPr>
              <w:spacing w:after="0"/>
              <w:rPr>
                <w:sz w:val="9"/>
                <w:szCs w:val="9"/>
                <w:color w:val="auto"/>
              </w:rPr>
            </w:pPr>
          </w:p>
        </w:tc>
        <w:tc>
          <w:tcPr>
            <w:tcW w:w="1180" w:type="dxa"/>
            <w:vAlign w:val="bottom"/>
          </w:tcPr>
          <w:p>
            <w:pPr>
              <w:jc w:val="center"/>
              <w:ind w:right="194"/>
              <w:spacing w:after="0"/>
              <w:rPr>
                <w:sz w:val="20"/>
                <w:szCs w:val="20"/>
                <w:color w:val="auto"/>
              </w:rPr>
            </w:pPr>
            <w:r>
              <w:rPr>
                <w:rFonts w:ascii="Times New Roman" w:cs="Times New Roman" w:eastAsia="Times New Roman" w:hAnsi="Times New Roman"/>
                <w:sz w:val="8"/>
                <w:szCs w:val="8"/>
                <w:b w:val="1"/>
                <w:bCs w:val="1"/>
                <w:color w:val="auto"/>
                <w:w w:val="99"/>
              </w:rPr>
              <w:t>(as restated)</w:t>
            </w:r>
          </w:p>
        </w:tc>
      </w:tr>
      <w:tr>
        <w:trPr>
          <w:trHeight w:val="113"/>
        </w:trPr>
        <w:tc>
          <w:tcPr>
            <w:tcW w:w="1100" w:type="dxa"/>
            <w:vAlign w:val="bottom"/>
          </w:tcPr>
          <w:p>
            <w:pPr>
              <w:spacing w:after="0"/>
              <w:rPr>
                <w:sz w:val="9"/>
                <w:szCs w:val="9"/>
                <w:color w:val="auto"/>
              </w:rPr>
            </w:pPr>
          </w:p>
        </w:tc>
        <w:tc>
          <w:tcPr>
            <w:tcW w:w="45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debt</w:t>
            </w: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45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Principal amount of notes</w:t>
            </w:r>
          </w:p>
        </w:tc>
        <w:tc>
          <w:tcPr>
            <w:tcW w:w="28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00" w:type="dxa"/>
            <w:vAlign w:val="bottom"/>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24,000,000</w:t>
            </w:r>
          </w:p>
        </w:tc>
      </w:tr>
      <w:tr>
        <w:trPr>
          <w:trHeight w:val="113"/>
        </w:trPr>
        <w:tc>
          <w:tcPr>
            <w:tcW w:w="1100" w:type="dxa"/>
            <w:vAlign w:val="bottom"/>
          </w:tcPr>
          <w:p>
            <w:pPr>
              <w:spacing w:after="0"/>
              <w:rPr>
                <w:sz w:val="9"/>
                <w:szCs w:val="9"/>
                <w:color w:val="auto"/>
              </w:rPr>
            </w:pPr>
          </w:p>
        </w:tc>
        <w:tc>
          <w:tcPr>
            <w:tcW w:w="45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Accrued interest</w:t>
            </w: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3,221,233</w:t>
            </w:r>
          </w:p>
        </w:tc>
      </w:tr>
      <w:tr>
        <w:trPr>
          <w:trHeight w:val="113"/>
        </w:trPr>
        <w:tc>
          <w:tcPr>
            <w:tcW w:w="1100" w:type="dxa"/>
            <w:vAlign w:val="bottom"/>
          </w:tcPr>
          <w:p>
            <w:pPr>
              <w:spacing w:after="0"/>
              <w:rPr>
                <w:sz w:val="9"/>
                <w:szCs w:val="9"/>
                <w:color w:val="auto"/>
              </w:rPr>
            </w:pPr>
          </w:p>
        </w:tc>
        <w:tc>
          <w:tcPr>
            <w:tcW w:w="45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Discount on convertible debt</w:t>
            </w:r>
          </w:p>
        </w:tc>
        <w:tc>
          <w:tcPr>
            <w:tcW w:w="280" w:type="dxa"/>
            <w:vAlign w:val="bottom"/>
          </w:tcPr>
          <w:p>
            <w:pPr>
              <w:spacing w:after="0"/>
              <w:rPr>
                <w:sz w:val="9"/>
                <w:szCs w:val="9"/>
                <w:color w:val="auto"/>
              </w:rPr>
            </w:pPr>
          </w:p>
        </w:tc>
        <w:tc>
          <w:tcPr>
            <w:tcW w:w="1200" w:type="dxa"/>
            <w:vAlign w:val="bottom"/>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9"/>
                <w:szCs w:val="9"/>
                <w:color w:val="auto"/>
              </w:rPr>
            </w:pPr>
          </w:p>
        </w:tc>
        <w:tc>
          <w:tcPr>
            <w:tcW w:w="1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(1,918,524 )</w:t>
            </w:r>
          </w:p>
        </w:tc>
      </w:tr>
      <w:tr>
        <w:trPr>
          <w:trHeight w:val="113"/>
        </w:trPr>
        <w:tc>
          <w:tcPr>
            <w:tcW w:w="1100" w:type="dxa"/>
            <w:vAlign w:val="bottom"/>
          </w:tcPr>
          <w:p>
            <w:pPr>
              <w:spacing w:after="0"/>
              <w:rPr>
                <w:sz w:val="9"/>
                <w:szCs w:val="9"/>
                <w:color w:val="auto"/>
              </w:rPr>
            </w:pPr>
          </w:p>
        </w:tc>
        <w:tc>
          <w:tcPr>
            <w:tcW w:w="45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Short term convertible debt to related party</w:t>
            </w: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132,269</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45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debt under troubled debt restructuring</w:t>
            </w:r>
          </w:p>
        </w:tc>
        <w:tc>
          <w:tcPr>
            <w:tcW w:w="280" w:type="dxa"/>
            <w:vAlign w:val="bottom"/>
          </w:tcPr>
          <w:p>
            <w:pPr>
              <w:spacing w:after="0"/>
              <w:rPr>
                <w:sz w:val="9"/>
                <w:szCs w:val="9"/>
                <w:color w:val="auto"/>
              </w:rPr>
            </w:pPr>
          </w:p>
        </w:tc>
        <w:tc>
          <w:tcPr>
            <w:tcW w:w="1200" w:type="dxa"/>
            <w:vAlign w:val="bottom"/>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31,088,259</w:t>
            </w:r>
          </w:p>
        </w:tc>
        <w:tc>
          <w:tcPr>
            <w:tcW w:w="280" w:type="dxa"/>
            <w:vAlign w:val="bottom"/>
          </w:tcPr>
          <w:p>
            <w:pPr>
              <w:spacing w:after="0"/>
              <w:rPr>
                <w:sz w:val="9"/>
                <w:szCs w:val="9"/>
                <w:color w:val="auto"/>
              </w:rPr>
            </w:pPr>
          </w:p>
        </w:tc>
        <w:tc>
          <w:tcPr>
            <w:tcW w:w="1180" w:type="dxa"/>
            <w:vAlign w:val="bottom"/>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1100" w:type="dxa"/>
            <w:vAlign w:val="bottom"/>
          </w:tcPr>
          <w:p>
            <w:pPr>
              <w:spacing w:after="0"/>
              <w:rPr>
                <w:sz w:val="9"/>
                <w:szCs w:val="9"/>
                <w:color w:val="auto"/>
              </w:rPr>
            </w:pPr>
          </w:p>
        </w:tc>
        <w:tc>
          <w:tcPr>
            <w:tcW w:w="45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b w:val="1"/>
                <w:bCs w:val="1"/>
                <w:color w:val="auto"/>
              </w:rPr>
              <w:t>31,220,528</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b w:val="1"/>
                <w:bCs w:val="1"/>
                <w:color w:val="auto"/>
              </w:rPr>
              <w:t>25,302,709</w:t>
            </w:r>
          </w:p>
        </w:tc>
      </w:tr>
      <w:tr>
        <w:trPr>
          <w:trHeight w:val="261"/>
        </w:trPr>
        <w:tc>
          <w:tcPr>
            <w:tcW w:w="56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The Company has not incurred any material debt issuance costs.</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3"/>
        </w:trPr>
        <w:tc>
          <w:tcPr>
            <w:tcW w:w="5600" w:type="dxa"/>
            <w:vAlign w:val="bottom"/>
            <w:gridSpan w:val="2"/>
          </w:tcPr>
          <w:p>
            <w:pPr>
              <w:spacing w:after="0"/>
              <w:rPr>
                <w:sz w:val="20"/>
                <w:szCs w:val="20"/>
                <w:color w:val="auto"/>
              </w:rPr>
            </w:pPr>
            <w:r>
              <w:rPr>
                <w:rFonts w:ascii="Times New Roman" w:cs="Times New Roman" w:eastAsia="Times New Roman" w:hAnsi="Times New Roman"/>
                <w:sz w:val="10"/>
                <w:szCs w:val="10"/>
                <w:color w:val="auto"/>
                <w:w w:val="98"/>
              </w:rPr>
              <w:t>The following table sets forth the interest expense recognized related to the senior secured convertible notes and unsecured convertible loans: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1"/>
        </w:trPr>
        <w:tc>
          <w:tcPr>
            <w:tcW w:w="11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center"/>
              <w:ind w:right="234"/>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80" w:type="dxa"/>
            <w:vAlign w:val="bottom"/>
          </w:tcPr>
          <w:p>
            <w:pPr>
              <w:spacing w:after="0"/>
              <w:rPr>
                <w:sz w:val="20"/>
                <w:szCs w:val="20"/>
                <w:color w:val="auto"/>
              </w:rPr>
            </w:pPr>
          </w:p>
        </w:tc>
        <w:tc>
          <w:tcPr>
            <w:tcW w:w="1180" w:type="dxa"/>
            <w:vAlign w:val="bottom"/>
          </w:tcPr>
          <w:p>
            <w:pPr>
              <w:jc w:val="center"/>
              <w:ind w:right="194"/>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110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center"/>
              <w:ind w:right="23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80" w:type="dxa"/>
            <w:vAlign w:val="bottom"/>
          </w:tcPr>
          <w:p>
            <w:pPr>
              <w:spacing w:after="0"/>
              <w:rPr>
                <w:sz w:val="9"/>
                <w:szCs w:val="9"/>
                <w:color w:val="auto"/>
              </w:rPr>
            </w:pPr>
          </w:p>
        </w:tc>
        <w:tc>
          <w:tcPr>
            <w:tcW w:w="1180" w:type="dxa"/>
            <w:vAlign w:val="bottom"/>
          </w:tcPr>
          <w:p>
            <w:pPr>
              <w:jc w:val="center"/>
              <w:ind w:right="194"/>
              <w:spacing w:after="0"/>
              <w:rPr>
                <w:sz w:val="20"/>
                <w:szCs w:val="20"/>
                <w:color w:val="auto"/>
              </w:rPr>
            </w:pPr>
            <w:r>
              <w:rPr>
                <w:rFonts w:ascii="Times New Roman" w:cs="Times New Roman" w:eastAsia="Times New Roman" w:hAnsi="Times New Roman"/>
                <w:sz w:val="8"/>
                <w:szCs w:val="8"/>
                <w:b w:val="1"/>
                <w:bCs w:val="1"/>
                <w:color w:val="auto"/>
                <w:w w:val="99"/>
              </w:rPr>
              <w:t>(as restated)</w:t>
            </w:r>
          </w:p>
        </w:tc>
      </w:tr>
      <w:tr>
        <w:trPr>
          <w:trHeight w:val="113"/>
        </w:trPr>
        <w:tc>
          <w:tcPr>
            <w:tcW w:w="1100" w:type="dxa"/>
            <w:vAlign w:val="bottom"/>
          </w:tcPr>
          <w:p>
            <w:pPr>
              <w:spacing w:after="0"/>
              <w:rPr>
                <w:sz w:val="9"/>
                <w:szCs w:val="9"/>
                <w:color w:val="auto"/>
              </w:rPr>
            </w:pPr>
          </w:p>
        </w:tc>
        <w:tc>
          <w:tcPr>
            <w:tcW w:w="45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debt</w:t>
            </w: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45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Accrued interest</w:t>
            </w:r>
          </w:p>
        </w:tc>
        <w:tc>
          <w:tcPr>
            <w:tcW w:w="28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00" w:type="dxa"/>
            <w:vAlign w:val="bottom"/>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7,269</w:t>
            </w:r>
          </w:p>
        </w:tc>
        <w:tc>
          <w:tcPr>
            <w:tcW w:w="28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3,221,233</w:t>
            </w:r>
          </w:p>
        </w:tc>
      </w:tr>
      <w:tr>
        <w:trPr>
          <w:trHeight w:val="113"/>
        </w:trPr>
        <w:tc>
          <w:tcPr>
            <w:tcW w:w="1100" w:type="dxa"/>
            <w:vAlign w:val="bottom"/>
          </w:tcPr>
          <w:p>
            <w:pPr>
              <w:spacing w:after="0"/>
              <w:rPr>
                <w:sz w:val="9"/>
                <w:szCs w:val="9"/>
                <w:color w:val="auto"/>
              </w:rPr>
            </w:pPr>
          </w:p>
        </w:tc>
        <w:tc>
          <w:tcPr>
            <w:tcW w:w="45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Amortization of debt discount</w:t>
            </w: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163,976</w:t>
            </w:r>
          </w:p>
        </w:tc>
      </w:tr>
      <w:tr>
        <w:trPr>
          <w:trHeight w:val="127"/>
        </w:trPr>
        <w:tc>
          <w:tcPr>
            <w:tcW w:w="110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0"/>
                <w:szCs w:val="10"/>
                <w:b w:val="1"/>
                <w:bCs w:val="1"/>
                <w:color w:val="auto"/>
              </w:rPr>
              <w:t>7,269</w:t>
            </w:r>
          </w:p>
        </w:tc>
        <w:tc>
          <w:tcPr>
            <w:tcW w:w="280" w:type="dxa"/>
            <w:vAlign w:val="bottom"/>
          </w:tcPr>
          <w:p>
            <w:pPr>
              <w:spacing w:after="0"/>
              <w:rPr>
                <w:sz w:val="11"/>
                <w:szCs w:val="11"/>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0"/>
                <w:szCs w:val="10"/>
                <w:b w:val="1"/>
                <w:bCs w:val="1"/>
                <w:color w:val="auto"/>
              </w:rPr>
              <w:t>3,385,209</w:t>
            </w:r>
          </w:p>
        </w:tc>
      </w:tr>
    </w:tbl>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8.4.</w:t>
      </w:r>
      <w:r>
        <w:rPr>
          <w:rFonts w:ascii="Times New Roman" w:cs="Times New Roman" w:eastAsia="Times New Roman" w:hAnsi="Times New Roman"/>
          <w:sz w:val="10"/>
          <w:szCs w:val="10"/>
          <w:color w:val="auto"/>
        </w:rPr>
        <w:t>A Short term convertible debt to a related party of $132,269 was also added to the Company’s senior secured convertible note. Including $125,000 of convertible debt and $7,269 of interest.</w:t>
      </w:r>
    </w:p>
    <w:p>
      <w:pPr>
        <w:spacing w:after="0" w:line="6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0"/>
          <w:szCs w:val="10"/>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6" w:lineRule="exact"/>
        <w:rPr>
          <w:sz w:val="20"/>
          <w:szCs w:val="20"/>
          <w:color w:val="auto"/>
        </w:rPr>
      </w:pPr>
    </w:p>
    <w:p>
      <w:pPr>
        <w:jc w:val="both"/>
        <w:ind w:right="100"/>
        <w:spacing w:after="0" w:line="243" w:lineRule="auto"/>
        <w:rPr>
          <w:sz w:val="20"/>
          <w:szCs w:val="20"/>
          <w:color w:val="auto"/>
        </w:rPr>
      </w:pPr>
      <w:r>
        <w:rPr>
          <w:rFonts w:ascii="Times New Roman" w:cs="Times New Roman" w:eastAsia="Times New Roman" w:hAnsi="Times New Roman"/>
          <w:sz w:val="10"/>
          <w:szCs w:val="10"/>
          <w:b w:val="1"/>
          <w:bCs w:val="1"/>
          <w:color w:val="auto"/>
        </w:rPr>
        <w:t>8.5.</w:t>
      </w:r>
      <w:r>
        <w:rPr>
          <w:rFonts w:ascii="Times New Roman" w:cs="Times New Roman" w:eastAsia="Times New Roman" w:hAnsi="Times New Roman"/>
          <w:sz w:val="10"/>
          <w:szCs w:val="10"/>
          <w:color w:val="auto"/>
        </w:rPr>
        <w:t>On October 7, 2021, the Group acquired Jaymax International Service Inc. (“Jaymax”) (later renamed to “Rezolve Taiwan Limited”). As part of the acquisition of Jaymax, the Company agreed to issue $1,400,000 in Rezolve ordinary share to Jaymax’s former owner</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for completion of a 3-year noncompete period which began on the October 7, 2021. The cost of the share-based payment is considered to have vested immediately upon commencement of the non-compete period as the Company’s assumption is that that it is more likely than not that the former owner will not breach the non-compete agreement. The share-based payment liability is to be settled by a fixed dollar amount of shares and therefore represents a liability in accordance with ASC 480. The liability has been measured at fair value using a discounted cash-flow model and a market participant borrowing rate of 10.8%. The Company has considered this to be a non-recurring item.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9.Warrants</w:t>
      </w:r>
    </w:p>
    <w:p>
      <w:pPr>
        <w:spacing w:after="0" w:line="60"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On November 21, 2022, the Company granted 850,000 warrants each to Apeiron and Bradley Wickens for agreeing to extend their commitment in the exchangeable notes (convertible debt, note 8.3). The warrants are equity classified because they are freestanding financial instruments that are legally detachable and separately exercisable from the convertible notes and do not embody an obligation for the Company to repurchase its shares or provide any guarantee of value or return. These warrants were exercised on November 30, 2022. The Company valued the warrants using the Black -Scholes Merton option pricing model and determined the fair value of the Warrants to be $ 1.20 per unit. The key inputs to the valuation model included an average volatility of 61.9% based on a group of similar companies, a risk- free rate as of the grant date of 4.2% developed from a range between 3.8% and 4.6% and the fair value of the ordinary shares of $1.22 of the Company based on a recent financing. The Company assumed an exercise period of 2.5 years. The Company assumed a dividend payment rate of nil. These warrants have been recorded as a discount of $2.1 million to the Convertible debt.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10.Ordinary shares issued at nominal value in lieu of services</w:t>
      </w:r>
    </w:p>
    <w:p>
      <w:pPr>
        <w:spacing w:after="0" w:line="60" w:lineRule="exact"/>
        <w:rPr>
          <w:sz w:val="20"/>
          <w:szCs w:val="20"/>
          <w:color w:val="auto"/>
        </w:rPr>
      </w:pPr>
    </w:p>
    <w:p>
      <w:pPr>
        <w:ind w:right="120" w:firstLine="480"/>
        <w:spacing w:after="0" w:line="277" w:lineRule="auto"/>
        <w:rPr>
          <w:sz w:val="20"/>
          <w:szCs w:val="20"/>
          <w:color w:val="auto"/>
        </w:rPr>
      </w:pPr>
      <w:r>
        <w:rPr>
          <w:rFonts w:ascii="Times New Roman" w:cs="Times New Roman" w:eastAsia="Times New Roman" w:hAnsi="Times New Roman"/>
          <w:sz w:val="9"/>
          <w:szCs w:val="9"/>
          <w:color w:val="auto"/>
        </w:rPr>
        <w:t>On February 15, 2022 the Company issued 5,000,000 ordinary shares to an advisor for services provided at a fair value of $1.80 per unit which were vested and allocated on the same date. The Company agreed to issue to the same advisor an additional 5,000,000 ordinary shares at the end of the year ending December 31, 2022 at a fair value of $1.80. The Company recognized $18.4 million as general and administrative costs with a corresponding credit in shareholders’ deficit. The fair value of the ordinary shares was based on a Black-Scholes model using an average volatility of 60.4% based on a group of similar companies, a risk-free rate available on the issuance date of 1.8% developed from a range between 0.0% and 2.4%, and the exercise price of £.0001 per share, and the fair value of the ordinary shares of the Company based on a recent financing. The expected term was nil and 3.4 years to exercise, respectively for each grant of 5,000,000 ordinary shares. The Company assumed a dividend payment rate of nil.</w:t>
      </w:r>
    </w:p>
    <w:p>
      <w:pPr>
        <w:spacing w:after="0" w:line="92" w:lineRule="exact"/>
        <w:rPr>
          <w:sz w:val="20"/>
          <w:szCs w:val="20"/>
          <w:color w:val="auto"/>
        </w:rPr>
      </w:pPr>
    </w:p>
    <w:p>
      <w:pPr>
        <w:ind w:firstLine="480"/>
        <w:spacing w:after="0" w:line="272" w:lineRule="auto"/>
        <w:rPr>
          <w:sz w:val="20"/>
          <w:szCs w:val="20"/>
          <w:color w:val="auto"/>
        </w:rPr>
      </w:pPr>
      <w:r>
        <w:rPr>
          <w:rFonts w:ascii="Times New Roman" w:cs="Times New Roman" w:eastAsia="Times New Roman" w:hAnsi="Times New Roman"/>
          <w:sz w:val="9"/>
          <w:szCs w:val="9"/>
          <w:color w:val="auto"/>
        </w:rPr>
        <w:t>On November 30, 2022, the Company awarded 27,246,461 ordinary shares at a fair value of $1.20 per unit respectively to DBLP Sea Cow Limited (founding shareholder) in lieu of services to the Company which were vested and allotted on the same date. The Company recognized $33.4 million as a general and administrative cost with a corresponding credit in shareholders’ deficit in the year ended December 31, 2022. The fair value of the ordinary shares was based on a Black-Scholes model using an average volatility of</w:t>
      </w:r>
    </w:p>
    <w:p>
      <w:pPr>
        <w:spacing w:after="0" w:line="237" w:lineRule="auto"/>
        <w:rPr>
          <w:sz w:val="20"/>
          <w:szCs w:val="20"/>
          <w:color w:val="auto"/>
        </w:rPr>
      </w:pPr>
      <w:r>
        <w:rPr>
          <w:rFonts w:ascii="Times New Roman" w:cs="Times New Roman" w:eastAsia="Times New Roman" w:hAnsi="Times New Roman"/>
          <w:sz w:val="10"/>
          <w:szCs w:val="10"/>
          <w:color w:val="auto"/>
        </w:rPr>
        <w:t>61.9% based on a group of similar companies, a risk-free rate available on the issuance date, the exercise price of £.0001 per share, and the fair value of the ordinary shares of the Company based on a recent financing. The Company assumed an exercise period of 2.5 years and a dividend payment rate of nil.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11.Share-based Compensation</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11.1 2022 LTIP Plan</w:t>
      </w:r>
    </w:p>
    <w:p>
      <w:pPr>
        <w:spacing w:after="0" w:line="60"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In November 2022, the Company’s Board approved the 2022 Long-Term Incentive Plan (the “2022 LTIP”) . Under the 2022 LTIP, as of December 31, 2022, the Company was authorized to issue a maximum number of 52,696,461 ordinary shares before any grants made in the year to directors, shareholders, consultants or financers to purchase or acquire ordinary shares. After awarding 1,700,000 warrants (note 8), 5,000,000 (note 9.1) and 27,246,461 (note 9.2) ordinary shares to financers, a consultant and its principal shareholder and founder, respectively, the Company had 18,750,000 ordinary shares available to grant. The Company granted 15,750,000 share options in the year ended December 31, 2022.</w:t>
      </w:r>
    </w:p>
    <w:p>
      <w:pPr>
        <w:spacing w:after="0" w:line="105"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share options under the terms of the 2022 LTIP have an exercise price equal to the nominal value of £0.0001 per option. Most share options granted have service-based vesting conditions with the exception of only two employees whose combined 2,500,000 share options vest at the earlier of a 3-year requisite service period and an IPO. The Company’s Board was required to approve the grant of the Company’s Share options and therefore as a result of some grantees who had completed their requisite service period prior to the Board’s approval, a number of grantee’s options fully vested on the grant date, while the remainder of grantees</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have partially completed their requisite service period. Option holders have a 5-year period to exercise the options before they expire. Forfeitures are recognized in the period of occurrence. No share options were granted by the Company prior to 2022.</w:t>
      </w:r>
    </w:p>
    <w:p>
      <w:pPr>
        <w:spacing w:after="0" w:line="123" w:lineRule="exact"/>
        <w:rPr>
          <w:sz w:val="20"/>
          <w:szCs w:val="20"/>
          <w:color w:val="auto"/>
        </w:rPr>
      </w:pPr>
    </w:p>
    <w:tbl>
      <w:tblPr>
        <w:tblLayout w:type="fixed"/>
        <w:tblInd w:w="2120" w:type="dxa"/>
        <w:tblCellMar>
          <w:top w:w="0" w:type="dxa"/>
          <w:left w:w="0" w:type="dxa"/>
          <w:bottom w:w="0" w:type="dxa"/>
          <w:right w:w="0" w:type="dxa"/>
        </w:tblCellMar>
      </w:tblPr>
      <w:tr>
        <w:trPr>
          <w:trHeight w:val="106"/>
        </w:trPr>
        <w:tc>
          <w:tcPr>
            <w:tcW w:w="3240" w:type="dxa"/>
            <w:vAlign w:val="bottom"/>
          </w:tcPr>
          <w:p>
            <w:pPr>
              <w:spacing w:after="0"/>
              <w:rPr>
                <w:sz w:val="9"/>
                <w:szCs w:val="9"/>
                <w:color w:val="auto"/>
              </w:rPr>
            </w:pPr>
          </w:p>
        </w:tc>
        <w:tc>
          <w:tcPr>
            <w:tcW w:w="3140" w:type="dxa"/>
            <w:vAlign w:val="bottom"/>
          </w:tcPr>
          <w:p>
            <w:pPr>
              <w:jc w:val="right"/>
              <w:ind w:right="693"/>
              <w:spacing w:after="0"/>
              <w:rPr>
                <w:sz w:val="20"/>
                <w:szCs w:val="20"/>
                <w:color w:val="auto"/>
              </w:rPr>
            </w:pPr>
            <w:r>
              <w:rPr>
                <w:rFonts w:ascii="Times New Roman" w:cs="Times New Roman" w:eastAsia="Times New Roman" w:hAnsi="Times New Roman"/>
                <w:sz w:val="8"/>
                <w:szCs w:val="8"/>
                <w:b w:val="1"/>
                <w:bCs w:val="1"/>
                <w:color w:val="auto"/>
              </w:rPr>
              <w:t>2022</w:t>
            </w:r>
          </w:p>
        </w:tc>
      </w:tr>
      <w:tr>
        <w:trPr>
          <w:trHeight w:val="113"/>
        </w:trPr>
        <w:tc>
          <w:tcPr>
            <w:tcW w:w="3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Expected term—years (1)</w:t>
            </w:r>
          </w:p>
        </w:tc>
        <w:tc>
          <w:tcPr>
            <w:tcW w:w="314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2.5 – 5.1</w:t>
            </w:r>
          </w:p>
        </w:tc>
      </w:tr>
      <w:tr>
        <w:trPr>
          <w:trHeight w:val="113"/>
        </w:trPr>
        <w:tc>
          <w:tcPr>
            <w:tcW w:w="3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Current share value</w:t>
            </w:r>
          </w:p>
        </w:tc>
        <w:tc>
          <w:tcPr>
            <w:tcW w:w="3140" w:type="dxa"/>
            <w:vAlign w:val="bottom"/>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1.23</w:t>
            </w:r>
          </w:p>
        </w:tc>
      </w:tr>
      <w:tr>
        <w:trPr>
          <w:trHeight w:val="113"/>
        </w:trPr>
        <w:tc>
          <w:tcPr>
            <w:tcW w:w="3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Expected volatility (2)</w:t>
            </w:r>
          </w:p>
        </w:tc>
        <w:tc>
          <w:tcPr>
            <w:tcW w:w="314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59.6% - 63.5%</w:t>
            </w:r>
          </w:p>
        </w:tc>
      </w:tr>
      <w:tr>
        <w:trPr>
          <w:trHeight w:val="113"/>
        </w:trPr>
        <w:tc>
          <w:tcPr>
            <w:tcW w:w="3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Risk-free interest rate (3)</w:t>
            </w:r>
          </w:p>
        </w:tc>
        <w:tc>
          <w:tcPr>
            <w:tcW w:w="3140" w:type="dxa"/>
            <w:vAlign w:val="bottom"/>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3.8% - 4.2%</w:t>
            </w:r>
          </w:p>
        </w:tc>
      </w:tr>
      <w:tr>
        <w:trPr>
          <w:trHeight w:val="113"/>
        </w:trPr>
        <w:tc>
          <w:tcPr>
            <w:tcW w:w="3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Dividend yield (4)</w:t>
            </w:r>
          </w:p>
        </w:tc>
        <w:tc>
          <w:tcPr>
            <w:tcW w:w="31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0 %</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(1)The expected term is the length of time the grant is expected to be outstanding before it is exercised or terminated. This number is calculated as the midpoint between the end of the vesting term and the contractual period to exercise.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(2)Volatility, or the standard deviation of annualized returns, was calculated based on comparable companies’ reported volatilities.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(3)Risk free rate was obtained from US treasury notes for the expected terms noted as of the valuation date.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(4)The Company has assumed a dividend yield of zero as it has no plans to declare dividends in the foreseeable future.</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share option activity for the year ended December 31, 2022 was as follows:</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8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center"/>
              <w:ind w:left="159"/>
              <w:spacing w:after="0"/>
              <w:rPr>
                <w:sz w:val="20"/>
                <w:szCs w:val="20"/>
                <w:color w:val="auto"/>
              </w:rPr>
            </w:pPr>
            <w:r>
              <w:rPr>
                <w:rFonts w:ascii="Times New Roman" w:cs="Times New Roman" w:eastAsia="Times New Roman" w:hAnsi="Times New Roman"/>
                <w:sz w:val="8"/>
                <w:szCs w:val="8"/>
                <w:b w:val="1"/>
                <w:bCs w:val="1"/>
                <w:color w:val="auto"/>
              </w:rPr>
              <w:t>Weighted-</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8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jc w:val="center"/>
              <w:ind w:left="276"/>
              <w:spacing w:after="0"/>
              <w:rPr>
                <w:sz w:val="20"/>
                <w:szCs w:val="20"/>
                <w:color w:val="auto"/>
              </w:rPr>
            </w:pPr>
            <w:r>
              <w:rPr>
                <w:rFonts w:ascii="Times New Roman" w:cs="Times New Roman" w:eastAsia="Times New Roman" w:hAnsi="Times New Roman"/>
                <w:sz w:val="8"/>
                <w:szCs w:val="8"/>
                <w:b w:val="1"/>
                <w:bCs w:val="1"/>
                <w:color w:val="auto"/>
              </w:rPr>
              <w:t>Weighted-</w:t>
            </w: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Average</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Aggregate</w:t>
            </w:r>
          </w:p>
        </w:tc>
      </w:tr>
      <w:tr>
        <w:trPr>
          <w:trHeight w:val="98"/>
        </w:trPr>
        <w:tc>
          <w:tcPr>
            <w:tcW w:w="4860" w:type="dxa"/>
            <w:vAlign w:val="bottom"/>
          </w:tcPr>
          <w:p>
            <w:pPr>
              <w:spacing w:after="0"/>
              <w:rPr>
                <w:sz w:val="8"/>
                <w:szCs w:val="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Number of</w:t>
            </w:r>
          </w:p>
        </w:tc>
        <w:tc>
          <w:tcPr>
            <w:tcW w:w="180" w:type="dxa"/>
            <w:vAlign w:val="bottom"/>
          </w:tcPr>
          <w:p>
            <w:pPr>
              <w:spacing w:after="0"/>
              <w:rPr>
                <w:sz w:val="8"/>
                <w:szCs w:val="8"/>
                <w:color w:val="auto"/>
              </w:rPr>
            </w:pPr>
          </w:p>
        </w:tc>
        <w:tc>
          <w:tcPr>
            <w:tcW w:w="760" w:type="dxa"/>
            <w:vAlign w:val="bottom"/>
          </w:tcPr>
          <w:p>
            <w:pPr>
              <w:jc w:val="center"/>
              <w:ind w:left="296"/>
              <w:spacing w:after="0"/>
              <w:rPr>
                <w:sz w:val="20"/>
                <w:szCs w:val="20"/>
                <w:color w:val="auto"/>
              </w:rPr>
            </w:pPr>
            <w:r>
              <w:rPr>
                <w:rFonts w:ascii="Times New Roman" w:cs="Times New Roman" w:eastAsia="Times New Roman" w:hAnsi="Times New Roman"/>
                <w:sz w:val="8"/>
                <w:szCs w:val="8"/>
                <w:b w:val="1"/>
                <w:bCs w:val="1"/>
                <w:color w:val="auto"/>
              </w:rPr>
              <w:t>Average</w:t>
            </w: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Remaining</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Intrinsic</w:t>
            </w:r>
          </w:p>
        </w:tc>
      </w:tr>
      <w:tr>
        <w:trPr>
          <w:trHeight w:val="98"/>
        </w:trPr>
        <w:tc>
          <w:tcPr>
            <w:tcW w:w="4860" w:type="dxa"/>
            <w:vAlign w:val="bottom"/>
          </w:tcPr>
          <w:p>
            <w:pPr>
              <w:spacing w:after="0"/>
              <w:rPr>
                <w:sz w:val="8"/>
                <w:szCs w:val="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share</w:t>
            </w:r>
          </w:p>
        </w:tc>
        <w:tc>
          <w:tcPr>
            <w:tcW w:w="180" w:type="dxa"/>
            <w:vAlign w:val="bottom"/>
          </w:tcPr>
          <w:p>
            <w:pPr>
              <w:spacing w:after="0"/>
              <w:rPr>
                <w:sz w:val="8"/>
                <w:szCs w:val="8"/>
                <w:color w:val="auto"/>
              </w:rPr>
            </w:pPr>
          </w:p>
        </w:tc>
        <w:tc>
          <w:tcPr>
            <w:tcW w:w="760" w:type="dxa"/>
            <w:vAlign w:val="bottom"/>
          </w:tcPr>
          <w:p>
            <w:pPr>
              <w:jc w:val="center"/>
              <w:ind w:left="296"/>
              <w:spacing w:after="0"/>
              <w:rPr>
                <w:sz w:val="20"/>
                <w:szCs w:val="20"/>
                <w:color w:val="auto"/>
              </w:rPr>
            </w:pPr>
            <w:r>
              <w:rPr>
                <w:rFonts w:ascii="Times New Roman" w:cs="Times New Roman" w:eastAsia="Times New Roman" w:hAnsi="Times New Roman"/>
                <w:sz w:val="8"/>
                <w:szCs w:val="8"/>
                <w:b w:val="1"/>
                <w:bCs w:val="1"/>
                <w:color w:val="auto"/>
              </w:rPr>
              <w:t>Exercise</w:t>
            </w: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Contractual</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w w:val="99"/>
              </w:rPr>
              <w:t>Value (In</w:t>
            </w:r>
          </w:p>
        </w:tc>
      </w:tr>
      <w:tr>
        <w:trPr>
          <w:trHeight w:val="106"/>
        </w:trPr>
        <w:tc>
          <w:tcPr>
            <w:tcW w:w="4860" w:type="dxa"/>
            <w:vAlign w:val="bottom"/>
          </w:tcPr>
          <w:p>
            <w:pPr>
              <w:spacing w:after="0"/>
              <w:rPr>
                <w:sz w:val="9"/>
                <w:szCs w:val="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options</w:t>
            </w:r>
          </w:p>
        </w:tc>
        <w:tc>
          <w:tcPr>
            <w:tcW w:w="180" w:type="dxa"/>
            <w:vAlign w:val="bottom"/>
          </w:tcPr>
          <w:p>
            <w:pPr>
              <w:spacing w:after="0"/>
              <w:rPr>
                <w:sz w:val="9"/>
                <w:szCs w:val="9"/>
                <w:color w:val="auto"/>
              </w:rPr>
            </w:pPr>
          </w:p>
        </w:tc>
        <w:tc>
          <w:tcPr>
            <w:tcW w:w="760" w:type="dxa"/>
            <w:vAlign w:val="bottom"/>
          </w:tcPr>
          <w:p>
            <w:pPr>
              <w:jc w:val="center"/>
              <w:ind w:left="296"/>
              <w:spacing w:after="0"/>
              <w:rPr>
                <w:sz w:val="20"/>
                <w:szCs w:val="20"/>
                <w:color w:val="auto"/>
              </w:rPr>
            </w:pPr>
            <w:r>
              <w:rPr>
                <w:rFonts w:ascii="Times New Roman" w:cs="Times New Roman" w:eastAsia="Times New Roman" w:hAnsi="Times New Roman"/>
                <w:sz w:val="8"/>
                <w:szCs w:val="8"/>
                <w:b w:val="1"/>
                <w:bCs w:val="1"/>
                <w:color w:val="auto"/>
              </w:rPr>
              <w:t>Price</w:t>
            </w: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life (years)</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millions)</w:t>
            </w:r>
          </w:p>
        </w:tc>
      </w:tr>
      <w:tr>
        <w:trPr>
          <w:trHeight w:val="113"/>
        </w:trPr>
        <w:tc>
          <w:tcPr>
            <w:tcW w:w="48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Outstanding as of December 31, 2021</w:t>
            </w:r>
          </w:p>
        </w:tc>
        <w:tc>
          <w:tcPr>
            <w:tcW w:w="10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300" w:type="dxa"/>
            <w:vAlign w:val="bottom"/>
            <w:gridSpan w:val="3"/>
            <w:shd w:val="clear" w:color="auto" w:fill="CFF0FC"/>
          </w:tcPr>
          <w:p>
            <w:pPr>
              <w:jc w:val="right"/>
              <w:ind w:right="939"/>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48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Issued</w:t>
            </w:r>
          </w:p>
        </w:tc>
        <w:tc>
          <w:tcPr>
            <w:tcW w:w="10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15,750,000</w:t>
            </w:r>
          </w:p>
        </w:tc>
        <w:tc>
          <w:tcPr>
            <w:tcW w:w="940" w:type="dxa"/>
            <w:vAlign w:val="bottom"/>
            <w:gridSpan w:val="2"/>
          </w:tcPr>
          <w:p>
            <w:pPr>
              <w:jc w:val="right"/>
              <w:ind w:right="656"/>
              <w:spacing w:after="0" w:line="113"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0.0001</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48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Exercised</w:t>
            </w:r>
          </w:p>
        </w:tc>
        <w:tc>
          <w:tcPr>
            <w:tcW w:w="10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300" w:type="dxa"/>
            <w:vAlign w:val="bottom"/>
            <w:gridSpan w:val="3"/>
            <w:shd w:val="clear" w:color="auto" w:fill="CFF0FC"/>
          </w:tcPr>
          <w:p>
            <w:pPr>
              <w:jc w:val="right"/>
              <w:ind w:right="939"/>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48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Cancelled/Forfeited</w:t>
            </w:r>
          </w:p>
        </w:tc>
        <w:tc>
          <w:tcPr>
            <w:tcW w:w="10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00" w:type="dxa"/>
            <w:vAlign w:val="bottom"/>
            <w:gridSpan w:val="3"/>
          </w:tcPr>
          <w:p>
            <w:pPr>
              <w:jc w:val="right"/>
              <w:ind w:right="939"/>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5"/>
        </w:trPr>
        <w:tc>
          <w:tcPr>
            <w:tcW w:w="4860" w:type="dxa"/>
            <w:vAlign w:val="bottom"/>
            <w:tcBorders>
              <w:bottom w:val="single" w:sz="8" w:color="CFF0FC"/>
            </w:tcBorders>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Outstanding as of December 31, 2022</w:t>
            </w:r>
          </w:p>
        </w:tc>
        <w:tc>
          <w:tcPr>
            <w:tcW w:w="100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15,750,000</w:t>
            </w:r>
          </w:p>
        </w:tc>
        <w:tc>
          <w:tcPr>
            <w:tcW w:w="18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auto"/>
            </w:tcBorders>
            <w:shd w:val="clear" w:color="auto" w:fill="CFF0FC"/>
          </w:tcPr>
          <w:p>
            <w:pPr>
              <w:jc w:val="right"/>
              <w:ind w:right="656"/>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3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0.0001</w:t>
            </w:r>
          </w:p>
        </w:tc>
        <w:tc>
          <w:tcPr>
            <w:tcW w:w="18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6.5</w:t>
            </w:r>
          </w:p>
        </w:tc>
        <w:tc>
          <w:tcPr>
            <w:tcW w:w="20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19.2</w:t>
            </w:r>
          </w:p>
        </w:tc>
        <w:tc>
          <w:tcPr>
            <w:tcW w:w="100" w:type="dxa"/>
            <w:vAlign w:val="bottom"/>
            <w:tcBorders>
              <w:bottom w:val="single" w:sz="8" w:color="CFF0FC"/>
            </w:tcBorders>
            <w:shd w:val="clear" w:color="auto" w:fill="CFF0FC"/>
          </w:tcPr>
          <w:p>
            <w:pPr>
              <w:spacing w:after="0"/>
              <w:rPr>
                <w:sz w:val="10"/>
                <w:szCs w:val="10"/>
                <w:color w:val="auto"/>
              </w:rPr>
            </w:pPr>
          </w:p>
        </w:tc>
      </w:tr>
      <w:tr>
        <w:trPr>
          <w:trHeight w:val="113"/>
        </w:trPr>
        <w:tc>
          <w:tcPr>
            <w:tcW w:w="48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Vested and exercisable</w:t>
            </w:r>
          </w:p>
        </w:tc>
        <w:tc>
          <w:tcPr>
            <w:tcW w:w="10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5,700,000</w:t>
            </w:r>
          </w:p>
        </w:tc>
        <w:tc>
          <w:tcPr>
            <w:tcW w:w="940" w:type="dxa"/>
            <w:vAlign w:val="bottom"/>
            <w:gridSpan w:val="2"/>
          </w:tcPr>
          <w:p>
            <w:pPr>
              <w:jc w:val="right"/>
              <w:ind w:right="656"/>
              <w:spacing w:after="0" w:line="113"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0.0001</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w:t>
            </w:r>
          </w:p>
        </w:tc>
        <w:tc>
          <w:tcPr>
            <w:tcW w:w="380" w:type="dxa"/>
            <w:vAlign w:val="bottom"/>
            <w:gridSpan w:val="2"/>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7.0</w:t>
            </w:r>
          </w:p>
        </w:tc>
        <w:tc>
          <w:tcPr>
            <w:tcW w:w="100" w:type="dxa"/>
            <w:vAlign w:val="bottom"/>
          </w:tcPr>
          <w:p>
            <w:pPr>
              <w:spacing w:after="0"/>
              <w:rPr>
                <w:sz w:val="9"/>
                <w:szCs w:val="9"/>
                <w:color w:val="auto"/>
              </w:rPr>
            </w:pPr>
          </w:p>
        </w:tc>
      </w:tr>
      <w:tr>
        <w:trPr>
          <w:trHeight w:val="115"/>
        </w:trPr>
        <w:tc>
          <w:tcPr>
            <w:tcW w:w="4860" w:type="dxa"/>
            <w:vAlign w:val="bottom"/>
            <w:tcBorders>
              <w:bottom w:val="single" w:sz="8" w:color="CFF0FC"/>
            </w:tcBorders>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Vested and expected to vest</w:t>
            </w:r>
          </w:p>
        </w:tc>
        <w:tc>
          <w:tcPr>
            <w:tcW w:w="100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15,750,000</w:t>
            </w:r>
          </w:p>
        </w:tc>
        <w:tc>
          <w:tcPr>
            <w:tcW w:w="18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auto"/>
            </w:tcBorders>
            <w:shd w:val="clear" w:color="auto" w:fill="CFF0FC"/>
          </w:tcPr>
          <w:p>
            <w:pPr>
              <w:jc w:val="right"/>
              <w:ind w:right="656"/>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3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0.0001</w:t>
            </w:r>
          </w:p>
        </w:tc>
        <w:tc>
          <w:tcPr>
            <w:tcW w:w="18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6.5</w:t>
            </w:r>
          </w:p>
        </w:tc>
        <w:tc>
          <w:tcPr>
            <w:tcW w:w="20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19.2</w:t>
            </w:r>
          </w:p>
        </w:tc>
        <w:tc>
          <w:tcPr>
            <w:tcW w:w="100" w:type="dxa"/>
            <w:vAlign w:val="bottom"/>
            <w:tcBorders>
              <w:bottom w:val="single" w:sz="8" w:color="CFF0FC"/>
            </w:tcBorders>
            <w:shd w:val="clear" w:color="auto" w:fill="CFF0FC"/>
          </w:tcPr>
          <w:p>
            <w:pPr>
              <w:spacing w:after="0"/>
              <w:rPr>
                <w:sz w:val="10"/>
                <w:szCs w:val="10"/>
                <w:color w:val="auto"/>
              </w:rPr>
            </w:pP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weighted-average grant date fair-value per share of the options granted during the year December 31, 2022 was $1.20. The total fair value of the options that vested during the year ended December 31, 2022 was $6,982,500.</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 share options were exercised during the year ended December 31, 2022.</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December 31, 2022, the Company had $11.6 million of unrecognized share-based compensation expense related to share options. This cost is expected to be recognized over a weighted-average period of 15 months.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11.3 2023 LTIP Plan</w:t>
      </w:r>
    </w:p>
    <w:p>
      <w:pPr>
        <w:spacing w:after="0" w:line="60"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In September 2023, the Company’s Board approved the 2023 Long-Term Incentive Plan (the “2023 LTIP”). Under the 2023 LTIP, as of December 31, 2023, the Company was authorized to issue a maximum number of 49,305,537 ordinary shares before any grants made in the year to directors, shareholders, consultants or financers to purchase or acquire ordinary shares. The Company granted 49,305,537 share options in the year ended December 31, 2023 including 25,000,000 share options issued to DBLP Sea Cow Ltd. (principal shareholder, and company owned by founder, chairman and CEO Dan Wagner).</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2023 LTIP also amends the 2022 LTIP (issued in November 2022) to:</w:t>
      </w:r>
    </w:p>
    <w:p>
      <w:pPr>
        <w:spacing w:after="0" w:line="58" w:lineRule="exact"/>
        <w:rPr>
          <w:sz w:val="20"/>
          <w:szCs w:val="20"/>
          <w:color w:val="auto"/>
        </w:rPr>
      </w:pPr>
    </w:p>
    <w:p>
      <w:pPr>
        <w:ind w:left="5220" w:right="1920" w:hanging="4743"/>
        <w:spacing w:after="0" w:line="380" w:lineRule="auto"/>
        <w:rPr>
          <w:sz w:val="20"/>
          <w:szCs w:val="20"/>
          <w:color w:val="auto"/>
        </w:rPr>
      </w:pPr>
      <w:r>
        <w:rPr>
          <w:rFonts w:ascii="Times New Roman" w:cs="Times New Roman" w:eastAsia="Times New Roman" w:hAnsi="Times New Roman"/>
          <w:sz w:val="10"/>
          <w:szCs w:val="10"/>
          <w:color w:val="auto"/>
        </w:rPr>
        <w:t>•Amend any who grantees whose requisite service period completes in the year 2024 to complete in the month of September 2024, and therefore consolidate the end vesting date to the month of September, and 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921" w:right="700"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8" w:lineRule="exact"/>
        <w:rPr>
          <w:sz w:val="20"/>
          <w:szCs w:val="20"/>
          <w:color w:val="auto"/>
        </w:rPr>
      </w:pPr>
    </w:p>
    <w:p>
      <w:pPr>
        <w:ind w:left="480" w:right="4660"/>
        <w:spacing w:after="0" w:line="380" w:lineRule="auto"/>
        <w:rPr>
          <w:sz w:val="20"/>
          <w:szCs w:val="20"/>
          <w:color w:val="auto"/>
        </w:rPr>
      </w:pPr>
      <w:r>
        <w:rPr>
          <w:rFonts w:ascii="Times New Roman" w:cs="Times New Roman" w:eastAsia="Times New Roman" w:hAnsi="Times New Roman"/>
          <w:sz w:val="10"/>
          <w:szCs w:val="10"/>
          <w:color w:val="auto"/>
        </w:rPr>
        <w:t>•Those whose share options whose requisite service period was meant to complete in 2025 and 2026, vest in September of those years, and •Amend the vesting profile from a cliff vesting to a graded vesting.</w:t>
      </w:r>
    </w:p>
    <w:p>
      <w:pPr>
        <w:spacing w:after="0" w:line="41"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share options under the terms of the 2023 LTIP have an exercise price equal to the nominal value of £0.0001 per option. Option holders have a 5-year period to exercise the options before they expire. Forfeitures are recognized in the period of occurrence.</w:t>
      </w:r>
    </w:p>
    <w:p>
      <w:pPr>
        <w:spacing w:after="0" w:line="129"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137" w:lineRule="exact"/>
        <w:rPr>
          <w:sz w:val="20"/>
          <w:szCs w:val="20"/>
          <w:color w:val="auto"/>
        </w:rPr>
      </w:pPr>
    </w:p>
    <w:tbl>
      <w:tblPr>
        <w:tblLayout w:type="fixed"/>
        <w:tblInd w:w="2120" w:type="dxa"/>
        <w:tblCellMar>
          <w:top w:w="0" w:type="dxa"/>
          <w:left w:w="0" w:type="dxa"/>
          <w:bottom w:w="0" w:type="dxa"/>
          <w:right w:w="0" w:type="dxa"/>
        </w:tblCellMar>
      </w:tblPr>
      <w:tr>
        <w:trPr>
          <w:trHeight w:val="106"/>
        </w:trPr>
        <w:tc>
          <w:tcPr>
            <w:tcW w:w="29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200" w:type="dxa"/>
            <w:vAlign w:val="bottom"/>
          </w:tcPr>
          <w:p>
            <w:pPr>
              <w:jc w:val="right"/>
              <w:ind w:right="693"/>
              <w:spacing w:after="0"/>
              <w:rPr>
                <w:sz w:val="20"/>
                <w:szCs w:val="20"/>
                <w:color w:val="auto"/>
              </w:rPr>
            </w:pPr>
            <w:r>
              <w:rPr>
                <w:rFonts w:ascii="Times New Roman" w:cs="Times New Roman" w:eastAsia="Times New Roman" w:hAnsi="Times New Roman"/>
                <w:sz w:val="8"/>
                <w:szCs w:val="8"/>
                <w:b w:val="1"/>
                <w:bCs w:val="1"/>
                <w:color w:val="auto"/>
              </w:rPr>
              <w:t>2023</w:t>
            </w:r>
          </w:p>
        </w:tc>
      </w:tr>
      <w:tr>
        <w:trPr>
          <w:trHeight w:val="113"/>
        </w:trPr>
        <w:tc>
          <w:tcPr>
            <w:tcW w:w="29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Expected term—years (1)</w:t>
            </w:r>
          </w:p>
        </w:tc>
        <w:tc>
          <w:tcPr>
            <w:tcW w:w="2260" w:type="dxa"/>
            <w:vAlign w:val="bottom"/>
            <w:shd w:val="clear" w:color="auto" w:fill="CFF0FC"/>
          </w:tcPr>
          <w:p>
            <w:pPr>
              <w:spacing w:after="0"/>
              <w:rPr>
                <w:sz w:val="9"/>
                <w:szCs w:val="9"/>
                <w:color w:val="auto"/>
              </w:rPr>
            </w:pPr>
          </w:p>
        </w:tc>
        <w:tc>
          <w:tcPr>
            <w:tcW w:w="120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 – 5.1</w:t>
            </w:r>
          </w:p>
        </w:tc>
      </w:tr>
      <w:tr>
        <w:trPr>
          <w:trHeight w:val="113"/>
        </w:trPr>
        <w:tc>
          <w:tcPr>
            <w:tcW w:w="29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Current share value</w:t>
            </w:r>
          </w:p>
        </w:tc>
        <w:tc>
          <w:tcPr>
            <w:tcW w:w="2260" w:type="dxa"/>
            <w:vAlign w:val="bottom"/>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00" w:type="dxa"/>
            <w:vAlign w:val="bottom"/>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0.10</w:t>
            </w:r>
          </w:p>
        </w:tc>
      </w:tr>
      <w:tr>
        <w:trPr>
          <w:trHeight w:val="113"/>
        </w:trPr>
        <w:tc>
          <w:tcPr>
            <w:tcW w:w="29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Expected volatility (2)</w:t>
            </w:r>
          </w:p>
        </w:tc>
        <w:tc>
          <w:tcPr>
            <w:tcW w:w="2260" w:type="dxa"/>
            <w:vAlign w:val="bottom"/>
            <w:shd w:val="clear" w:color="auto" w:fill="CFF0FC"/>
          </w:tcPr>
          <w:p>
            <w:pPr>
              <w:spacing w:after="0"/>
              <w:rPr>
                <w:sz w:val="9"/>
                <w:szCs w:val="9"/>
                <w:color w:val="auto"/>
              </w:rPr>
            </w:pPr>
          </w:p>
        </w:tc>
        <w:tc>
          <w:tcPr>
            <w:tcW w:w="120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59.6% - 63.5%</w:t>
            </w:r>
          </w:p>
        </w:tc>
      </w:tr>
      <w:tr>
        <w:trPr>
          <w:trHeight w:val="113"/>
        </w:trPr>
        <w:tc>
          <w:tcPr>
            <w:tcW w:w="29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Risk-free interest rate (3)</w:t>
            </w:r>
          </w:p>
        </w:tc>
        <w:tc>
          <w:tcPr>
            <w:tcW w:w="2260" w:type="dxa"/>
            <w:vAlign w:val="bottom"/>
          </w:tcPr>
          <w:p>
            <w:pPr>
              <w:spacing w:after="0"/>
              <w:rPr>
                <w:sz w:val="9"/>
                <w:szCs w:val="9"/>
                <w:color w:val="auto"/>
              </w:rPr>
            </w:pPr>
          </w:p>
        </w:tc>
        <w:tc>
          <w:tcPr>
            <w:tcW w:w="1200" w:type="dxa"/>
            <w:vAlign w:val="bottom"/>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3.8% - 4.2%</w:t>
            </w:r>
          </w:p>
        </w:tc>
      </w:tr>
      <w:tr>
        <w:trPr>
          <w:trHeight w:val="113"/>
        </w:trPr>
        <w:tc>
          <w:tcPr>
            <w:tcW w:w="29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Dividend yield (4)</w:t>
            </w:r>
          </w:p>
        </w:tc>
        <w:tc>
          <w:tcPr>
            <w:tcW w:w="2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0 %</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(1)The expected term is the length of time the grant is expected to be outstanding before it is exercised or terminated. This number is calculated as the midpoint between the end of the vesting term and the contractual period to exercise.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(2)Volatility, or the standard deviation of annualized returns, was calculated based on comparable companies’ reported volatilities.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(3)Risk free rate was obtained from US treasury notes for the expected terms noted as of the valuation date.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(4)The Company has assumed a dividend yield of zero as it has no plans to declare dividends in the foreseeable future.</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share option activity for the year ended December 31, 2023 was as follows:</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8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center"/>
              <w:ind w:left="159"/>
              <w:spacing w:after="0"/>
              <w:rPr>
                <w:sz w:val="20"/>
                <w:szCs w:val="20"/>
                <w:color w:val="auto"/>
              </w:rPr>
            </w:pPr>
            <w:r>
              <w:rPr>
                <w:rFonts w:ascii="Times New Roman" w:cs="Times New Roman" w:eastAsia="Times New Roman" w:hAnsi="Times New Roman"/>
                <w:sz w:val="8"/>
                <w:szCs w:val="8"/>
                <w:b w:val="1"/>
                <w:bCs w:val="1"/>
                <w:color w:val="auto"/>
              </w:rPr>
              <w:t>Weighted-</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8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jc w:val="center"/>
              <w:ind w:left="276"/>
              <w:spacing w:after="0"/>
              <w:rPr>
                <w:sz w:val="20"/>
                <w:szCs w:val="20"/>
                <w:color w:val="auto"/>
              </w:rPr>
            </w:pPr>
            <w:r>
              <w:rPr>
                <w:rFonts w:ascii="Times New Roman" w:cs="Times New Roman" w:eastAsia="Times New Roman" w:hAnsi="Times New Roman"/>
                <w:sz w:val="8"/>
                <w:szCs w:val="8"/>
                <w:b w:val="1"/>
                <w:bCs w:val="1"/>
                <w:color w:val="auto"/>
              </w:rPr>
              <w:t>Weighted-</w:t>
            </w: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Average</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Aggregate</w:t>
            </w:r>
          </w:p>
        </w:tc>
      </w:tr>
      <w:tr>
        <w:trPr>
          <w:trHeight w:val="98"/>
        </w:trPr>
        <w:tc>
          <w:tcPr>
            <w:tcW w:w="4860" w:type="dxa"/>
            <w:vAlign w:val="bottom"/>
          </w:tcPr>
          <w:p>
            <w:pPr>
              <w:spacing w:after="0"/>
              <w:rPr>
                <w:sz w:val="8"/>
                <w:szCs w:val="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Number of</w:t>
            </w:r>
          </w:p>
        </w:tc>
        <w:tc>
          <w:tcPr>
            <w:tcW w:w="180" w:type="dxa"/>
            <w:vAlign w:val="bottom"/>
          </w:tcPr>
          <w:p>
            <w:pPr>
              <w:spacing w:after="0"/>
              <w:rPr>
                <w:sz w:val="8"/>
                <w:szCs w:val="8"/>
                <w:color w:val="auto"/>
              </w:rPr>
            </w:pPr>
          </w:p>
        </w:tc>
        <w:tc>
          <w:tcPr>
            <w:tcW w:w="760" w:type="dxa"/>
            <w:vAlign w:val="bottom"/>
          </w:tcPr>
          <w:p>
            <w:pPr>
              <w:jc w:val="center"/>
              <w:ind w:left="296"/>
              <w:spacing w:after="0"/>
              <w:rPr>
                <w:sz w:val="20"/>
                <w:szCs w:val="20"/>
                <w:color w:val="auto"/>
              </w:rPr>
            </w:pPr>
            <w:r>
              <w:rPr>
                <w:rFonts w:ascii="Times New Roman" w:cs="Times New Roman" w:eastAsia="Times New Roman" w:hAnsi="Times New Roman"/>
                <w:sz w:val="8"/>
                <w:szCs w:val="8"/>
                <w:b w:val="1"/>
                <w:bCs w:val="1"/>
                <w:color w:val="auto"/>
              </w:rPr>
              <w:t>Average</w:t>
            </w: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Remaining</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Intrinsic</w:t>
            </w:r>
          </w:p>
        </w:tc>
      </w:tr>
      <w:tr>
        <w:trPr>
          <w:trHeight w:val="98"/>
        </w:trPr>
        <w:tc>
          <w:tcPr>
            <w:tcW w:w="4860" w:type="dxa"/>
            <w:vAlign w:val="bottom"/>
          </w:tcPr>
          <w:p>
            <w:pPr>
              <w:spacing w:after="0"/>
              <w:rPr>
                <w:sz w:val="8"/>
                <w:szCs w:val="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share</w:t>
            </w:r>
          </w:p>
        </w:tc>
        <w:tc>
          <w:tcPr>
            <w:tcW w:w="180" w:type="dxa"/>
            <w:vAlign w:val="bottom"/>
          </w:tcPr>
          <w:p>
            <w:pPr>
              <w:spacing w:after="0"/>
              <w:rPr>
                <w:sz w:val="8"/>
                <w:szCs w:val="8"/>
                <w:color w:val="auto"/>
              </w:rPr>
            </w:pPr>
          </w:p>
        </w:tc>
        <w:tc>
          <w:tcPr>
            <w:tcW w:w="760" w:type="dxa"/>
            <w:vAlign w:val="bottom"/>
          </w:tcPr>
          <w:p>
            <w:pPr>
              <w:jc w:val="center"/>
              <w:ind w:left="296"/>
              <w:spacing w:after="0"/>
              <w:rPr>
                <w:sz w:val="20"/>
                <w:szCs w:val="20"/>
                <w:color w:val="auto"/>
              </w:rPr>
            </w:pPr>
            <w:r>
              <w:rPr>
                <w:rFonts w:ascii="Times New Roman" w:cs="Times New Roman" w:eastAsia="Times New Roman" w:hAnsi="Times New Roman"/>
                <w:sz w:val="8"/>
                <w:szCs w:val="8"/>
                <w:b w:val="1"/>
                <w:bCs w:val="1"/>
                <w:color w:val="auto"/>
              </w:rPr>
              <w:t>Exercise</w:t>
            </w: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Contractual</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w w:val="99"/>
              </w:rPr>
              <w:t>Value (In</w:t>
            </w:r>
          </w:p>
        </w:tc>
      </w:tr>
      <w:tr>
        <w:trPr>
          <w:trHeight w:val="106"/>
        </w:trPr>
        <w:tc>
          <w:tcPr>
            <w:tcW w:w="4860" w:type="dxa"/>
            <w:vAlign w:val="bottom"/>
          </w:tcPr>
          <w:p>
            <w:pPr>
              <w:spacing w:after="0"/>
              <w:rPr>
                <w:sz w:val="9"/>
                <w:szCs w:val="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options</w:t>
            </w:r>
          </w:p>
        </w:tc>
        <w:tc>
          <w:tcPr>
            <w:tcW w:w="180" w:type="dxa"/>
            <w:vAlign w:val="bottom"/>
          </w:tcPr>
          <w:p>
            <w:pPr>
              <w:spacing w:after="0"/>
              <w:rPr>
                <w:sz w:val="9"/>
                <w:szCs w:val="9"/>
                <w:color w:val="auto"/>
              </w:rPr>
            </w:pPr>
          </w:p>
        </w:tc>
        <w:tc>
          <w:tcPr>
            <w:tcW w:w="760" w:type="dxa"/>
            <w:vAlign w:val="bottom"/>
          </w:tcPr>
          <w:p>
            <w:pPr>
              <w:jc w:val="center"/>
              <w:ind w:left="296"/>
              <w:spacing w:after="0"/>
              <w:rPr>
                <w:sz w:val="20"/>
                <w:szCs w:val="20"/>
                <w:color w:val="auto"/>
              </w:rPr>
            </w:pPr>
            <w:r>
              <w:rPr>
                <w:rFonts w:ascii="Times New Roman" w:cs="Times New Roman" w:eastAsia="Times New Roman" w:hAnsi="Times New Roman"/>
                <w:sz w:val="8"/>
                <w:szCs w:val="8"/>
                <w:b w:val="1"/>
                <w:bCs w:val="1"/>
                <w:color w:val="auto"/>
              </w:rPr>
              <w:t>Price</w:t>
            </w: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life (years)</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millions)</w:t>
            </w:r>
          </w:p>
        </w:tc>
      </w:tr>
      <w:tr>
        <w:trPr>
          <w:trHeight w:val="113"/>
        </w:trPr>
        <w:tc>
          <w:tcPr>
            <w:tcW w:w="48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Outstanding as of December 31, 2022</w:t>
            </w:r>
          </w:p>
        </w:tc>
        <w:tc>
          <w:tcPr>
            <w:tcW w:w="10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15,750,000</w:t>
            </w:r>
          </w:p>
        </w:tc>
        <w:tc>
          <w:tcPr>
            <w:tcW w:w="940" w:type="dxa"/>
            <w:vAlign w:val="bottom"/>
            <w:gridSpan w:val="2"/>
            <w:shd w:val="clear" w:color="auto" w:fill="CFF0FC"/>
          </w:tcPr>
          <w:p>
            <w:pPr>
              <w:jc w:val="right"/>
              <w:ind w:right="656"/>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3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0.0001</w:t>
            </w:r>
          </w:p>
        </w:tc>
        <w:tc>
          <w:tcPr>
            <w:tcW w:w="18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6.5</w:t>
            </w:r>
          </w:p>
        </w:tc>
        <w:tc>
          <w:tcPr>
            <w:tcW w:w="380" w:type="dxa"/>
            <w:vAlign w:val="bottom"/>
            <w:gridSpan w:val="2"/>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19.2</w:t>
            </w:r>
          </w:p>
        </w:tc>
        <w:tc>
          <w:tcPr>
            <w:tcW w:w="100" w:type="dxa"/>
            <w:vAlign w:val="bottom"/>
            <w:shd w:val="clear" w:color="auto" w:fill="CFF0FC"/>
          </w:tcPr>
          <w:p>
            <w:pPr>
              <w:spacing w:after="0"/>
              <w:rPr>
                <w:sz w:val="9"/>
                <w:szCs w:val="9"/>
                <w:color w:val="auto"/>
              </w:rPr>
            </w:pPr>
          </w:p>
        </w:tc>
      </w:tr>
      <w:tr>
        <w:trPr>
          <w:trHeight w:val="113"/>
        </w:trPr>
        <w:tc>
          <w:tcPr>
            <w:tcW w:w="48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Issued</w:t>
            </w:r>
          </w:p>
        </w:tc>
        <w:tc>
          <w:tcPr>
            <w:tcW w:w="10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49,305,537</w:t>
            </w:r>
          </w:p>
        </w:tc>
        <w:tc>
          <w:tcPr>
            <w:tcW w:w="940" w:type="dxa"/>
            <w:vAlign w:val="bottom"/>
            <w:gridSpan w:val="2"/>
          </w:tcPr>
          <w:p>
            <w:pPr>
              <w:jc w:val="right"/>
              <w:ind w:right="656"/>
              <w:spacing w:after="0" w:line="113"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0.0001</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5.9</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4.9</w:t>
            </w:r>
          </w:p>
        </w:tc>
        <w:tc>
          <w:tcPr>
            <w:tcW w:w="100" w:type="dxa"/>
            <w:vAlign w:val="bottom"/>
          </w:tcPr>
          <w:p>
            <w:pPr>
              <w:spacing w:after="0"/>
              <w:rPr>
                <w:sz w:val="9"/>
                <w:szCs w:val="9"/>
                <w:color w:val="auto"/>
              </w:rPr>
            </w:pPr>
          </w:p>
        </w:tc>
      </w:tr>
      <w:tr>
        <w:trPr>
          <w:trHeight w:val="113"/>
        </w:trPr>
        <w:tc>
          <w:tcPr>
            <w:tcW w:w="48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Exercised</w:t>
            </w:r>
          </w:p>
        </w:tc>
        <w:tc>
          <w:tcPr>
            <w:tcW w:w="10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300" w:type="dxa"/>
            <w:vAlign w:val="bottom"/>
            <w:gridSpan w:val="3"/>
            <w:shd w:val="clear" w:color="auto" w:fill="CFF0FC"/>
          </w:tcPr>
          <w:p>
            <w:pPr>
              <w:jc w:val="right"/>
              <w:ind w:right="939"/>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48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Cancelled/Forfeited</w:t>
            </w:r>
          </w:p>
        </w:tc>
        <w:tc>
          <w:tcPr>
            <w:tcW w:w="10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00" w:type="dxa"/>
            <w:vAlign w:val="bottom"/>
            <w:gridSpan w:val="3"/>
          </w:tcPr>
          <w:p>
            <w:pPr>
              <w:jc w:val="right"/>
              <w:ind w:right="939"/>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5"/>
        </w:trPr>
        <w:tc>
          <w:tcPr>
            <w:tcW w:w="4860" w:type="dxa"/>
            <w:vAlign w:val="bottom"/>
            <w:tcBorders>
              <w:bottom w:val="single" w:sz="8" w:color="CFF0FC"/>
            </w:tcBorders>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Outstanding as of December 31, 2023</w:t>
            </w:r>
          </w:p>
        </w:tc>
        <w:tc>
          <w:tcPr>
            <w:tcW w:w="100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65,055,537</w:t>
            </w:r>
          </w:p>
        </w:tc>
        <w:tc>
          <w:tcPr>
            <w:tcW w:w="18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auto"/>
            </w:tcBorders>
            <w:shd w:val="clear" w:color="auto" w:fill="CFF0FC"/>
          </w:tcPr>
          <w:p>
            <w:pPr>
              <w:jc w:val="right"/>
              <w:ind w:right="656"/>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3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0.0001</w:t>
            </w:r>
          </w:p>
        </w:tc>
        <w:tc>
          <w:tcPr>
            <w:tcW w:w="18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5.5</w:t>
            </w:r>
          </w:p>
        </w:tc>
        <w:tc>
          <w:tcPr>
            <w:tcW w:w="20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24.1</w:t>
            </w:r>
          </w:p>
        </w:tc>
        <w:tc>
          <w:tcPr>
            <w:tcW w:w="100" w:type="dxa"/>
            <w:vAlign w:val="bottom"/>
            <w:tcBorders>
              <w:bottom w:val="single" w:sz="8" w:color="CFF0FC"/>
            </w:tcBorders>
            <w:shd w:val="clear" w:color="auto" w:fill="CFF0FC"/>
          </w:tcPr>
          <w:p>
            <w:pPr>
              <w:spacing w:after="0"/>
              <w:rPr>
                <w:sz w:val="10"/>
                <w:szCs w:val="10"/>
                <w:color w:val="auto"/>
              </w:rPr>
            </w:pPr>
          </w:p>
        </w:tc>
      </w:tr>
      <w:tr>
        <w:trPr>
          <w:trHeight w:val="113"/>
        </w:trPr>
        <w:tc>
          <w:tcPr>
            <w:tcW w:w="48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Vested and exercisable</w:t>
            </w:r>
          </w:p>
        </w:tc>
        <w:tc>
          <w:tcPr>
            <w:tcW w:w="10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11,600,000</w:t>
            </w:r>
          </w:p>
        </w:tc>
        <w:tc>
          <w:tcPr>
            <w:tcW w:w="940" w:type="dxa"/>
            <w:vAlign w:val="bottom"/>
            <w:gridSpan w:val="2"/>
          </w:tcPr>
          <w:p>
            <w:pPr>
              <w:jc w:val="right"/>
              <w:ind w:right="656"/>
              <w:spacing w:after="0" w:line="113"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0.0001</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w:t>
            </w:r>
          </w:p>
        </w:tc>
        <w:tc>
          <w:tcPr>
            <w:tcW w:w="380" w:type="dxa"/>
            <w:vAlign w:val="bottom"/>
            <w:gridSpan w:val="2"/>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13.9</w:t>
            </w:r>
          </w:p>
        </w:tc>
        <w:tc>
          <w:tcPr>
            <w:tcW w:w="100" w:type="dxa"/>
            <w:vAlign w:val="bottom"/>
          </w:tcPr>
          <w:p>
            <w:pPr>
              <w:spacing w:after="0"/>
              <w:rPr>
                <w:sz w:val="9"/>
                <w:szCs w:val="9"/>
                <w:color w:val="auto"/>
              </w:rPr>
            </w:pPr>
          </w:p>
        </w:tc>
      </w:tr>
      <w:tr>
        <w:trPr>
          <w:trHeight w:val="115"/>
        </w:trPr>
        <w:tc>
          <w:tcPr>
            <w:tcW w:w="4860" w:type="dxa"/>
            <w:vAlign w:val="bottom"/>
            <w:tcBorders>
              <w:bottom w:val="single" w:sz="8" w:color="CFF0FC"/>
            </w:tcBorders>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Vested and expected to vest</w:t>
            </w:r>
          </w:p>
        </w:tc>
        <w:tc>
          <w:tcPr>
            <w:tcW w:w="100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65,055,537</w:t>
            </w:r>
          </w:p>
        </w:tc>
        <w:tc>
          <w:tcPr>
            <w:tcW w:w="18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auto"/>
            </w:tcBorders>
            <w:shd w:val="clear" w:color="auto" w:fill="CFF0FC"/>
          </w:tcPr>
          <w:p>
            <w:pPr>
              <w:jc w:val="right"/>
              <w:ind w:right="656"/>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3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0.0001</w:t>
            </w:r>
          </w:p>
        </w:tc>
        <w:tc>
          <w:tcPr>
            <w:tcW w:w="18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6.5</w:t>
            </w:r>
          </w:p>
        </w:tc>
        <w:tc>
          <w:tcPr>
            <w:tcW w:w="20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24.1</w:t>
            </w:r>
          </w:p>
        </w:tc>
        <w:tc>
          <w:tcPr>
            <w:tcW w:w="100" w:type="dxa"/>
            <w:vAlign w:val="bottom"/>
            <w:tcBorders>
              <w:bottom w:val="single" w:sz="8" w:color="CFF0FC"/>
            </w:tcBorders>
            <w:shd w:val="clear" w:color="auto" w:fill="CFF0FC"/>
          </w:tcPr>
          <w:p>
            <w:pPr>
              <w:spacing w:after="0"/>
              <w:rPr>
                <w:sz w:val="10"/>
                <w:szCs w:val="10"/>
                <w:color w:val="auto"/>
              </w:rPr>
            </w:pP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weighted-average grant date fair-value per share of the options granted during the year December 31, 2023 was $.10. The total fair value of the options that vested during the year ended December 31, 2022 was $8,725,218.</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 share options were exercised during the year ended December 31, 2023.</w:t>
      </w:r>
    </w:p>
    <w:p>
      <w:pPr>
        <w:spacing w:after="0" w:line="118" w:lineRule="exact"/>
        <w:rPr>
          <w:sz w:val="20"/>
          <w:szCs w:val="20"/>
          <w:color w:val="auto"/>
        </w:rPr>
      </w:pPr>
    </w:p>
    <w:p>
      <w:pPr>
        <w:ind w:left="5220" w:right="1520" w:hanging="4743"/>
        <w:spacing w:after="0" w:line="380" w:lineRule="auto"/>
        <w:rPr>
          <w:sz w:val="20"/>
          <w:szCs w:val="20"/>
          <w:color w:val="auto"/>
        </w:rPr>
      </w:pPr>
      <w:r>
        <w:rPr>
          <w:rFonts w:ascii="Times New Roman" w:cs="Times New Roman" w:eastAsia="Times New Roman" w:hAnsi="Times New Roman"/>
          <w:sz w:val="10"/>
          <w:szCs w:val="10"/>
          <w:color w:val="auto"/>
        </w:rPr>
        <w:t>As of December 31, 2023, the Company had $7.0 million of unrecognized share-based compensation expense related to share options. This cost is expected to be recognized over a weighted-average period of 19 months. 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921" w:right="700"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12.Accrued expenses and other payables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00" w:type="dxa"/>
            <w:vAlign w:val="bottom"/>
          </w:tcPr>
          <w:p>
            <w:pPr>
              <w:spacing w:after="0"/>
              <w:rPr>
                <w:sz w:val="8"/>
                <w:szCs w:val="8"/>
                <w:color w:val="auto"/>
              </w:rPr>
            </w:pPr>
          </w:p>
        </w:tc>
        <w:tc>
          <w:tcPr>
            <w:tcW w:w="980" w:type="dxa"/>
            <w:vAlign w:val="bottom"/>
          </w:tcPr>
          <w:p>
            <w:pPr>
              <w:jc w:val="right"/>
              <w:ind w:right="19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8"/>
                <w:szCs w:val="8"/>
                <w:color w:val="auto"/>
              </w:rPr>
            </w:pPr>
          </w:p>
        </w:tc>
      </w:tr>
      <w:tr>
        <w:trPr>
          <w:trHeight w:val="106"/>
        </w:trPr>
        <w:tc>
          <w:tcPr>
            <w:tcW w:w="15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00" w:type="dxa"/>
            <w:vAlign w:val="bottom"/>
          </w:tcPr>
          <w:p>
            <w:pPr>
              <w:spacing w:after="0"/>
              <w:rPr>
                <w:sz w:val="9"/>
                <w:szCs w:val="9"/>
                <w:color w:val="auto"/>
              </w:rPr>
            </w:pPr>
          </w:p>
        </w:tc>
        <w:tc>
          <w:tcPr>
            <w:tcW w:w="980" w:type="dxa"/>
            <w:vAlign w:val="bottom"/>
          </w:tcPr>
          <w:p>
            <w:pPr>
              <w:jc w:val="right"/>
              <w:ind w:right="31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Employee related payables</w:t>
            </w:r>
          </w:p>
        </w:tc>
        <w:tc>
          <w:tcPr>
            <w:tcW w:w="26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2,632,334</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763,181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Accrued expenses</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1,323,842</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1,686,609</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VAT, duty and tax liability</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188,766</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11,515</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347,848</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179,079</w:t>
            </w: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600" w:type="dxa"/>
            <w:vAlign w:val="bottom"/>
            <w:tcBorders>
              <w:bottom w:val="single" w:sz="8" w:color="CFF0FC"/>
            </w:tcBorders>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25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9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4,492,790</w:t>
            </w:r>
          </w:p>
        </w:tc>
        <w:tc>
          <w:tcPr>
            <w:tcW w:w="16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980" w:type="dxa"/>
            <w:vAlign w:val="bottom"/>
            <w:tcBorders>
              <w:bottom w:val="single" w:sz="8" w:color="auto"/>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b w:val="1"/>
                <w:bCs w:val="1"/>
                <w:color w:val="auto"/>
              </w:rPr>
              <w:t>2,640,384</w:t>
            </w:r>
          </w:p>
        </w:tc>
        <w:tc>
          <w:tcPr>
            <w:tcW w:w="1600" w:type="dxa"/>
            <w:vAlign w:val="bottom"/>
          </w:tcPr>
          <w:p>
            <w:pPr>
              <w:spacing w:after="0"/>
              <w:rPr>
                <w:sz w:val="10"/>
                <w:szCs w:val="10"/>
                <w:color w:val="auto"/>
              </w:rPr>
            </w:pPr>
          </w:p>
        </w:tc>
      </w:tr>
      <w:tr>
        <w:trPr>
          <w:trHeight w:val="321"/>
        </w:trPr>
        <w:tc>
          <w:tcPr>
            <w:tcW w:w="41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13.Expenses and other Non-operating (income) expense, net</w:t>
            </w: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3"/>
        </w:trPr>
        <w:tc>
          <w:tcPr>
            <w:tcW w:w="41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Sales and marketing expenses</w:t>
            </w: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41"/>
        </w:trPr>
        <w:tc>
          <w:tcPr>
            <w:tcW w:w="1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00" w:type="dxa"/>
            <w:vAlign w:val="bottom"/>
          </w:tcPr>
          <w:p>
            <w:pPr>
              <w:spacing w:after="0"/>
              <w:rPr>
                <w:sz w:val="20"/>
                <w:szCs w:val="20"/>
                <w:color w:val="auto"/>
              </w:rPr>
            </w:pPr>
          </w:p>
        </w:tc>
        <w:tc>
          <w:tcPr>
            <w:tcW w:w="98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20"/>
                <w:szCs w:val="20"/>
                <w:color w:val="auto"/>
              </w:rPr>
            </w:pPr>
          </w:p>
        </w:tc>
      </w:tr>
      <w:tr>
        <w:trPr>
          <w:trHeight w:val="106"/>
        </w:trPr>
        <w:tc>
          <w:tcPr>
            <w:tcW w:w="15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00" w:type="dxa"/>
            <w:vAlign w:val="bottom"/>
          </w:tcPr>
          <w:p>
            <w:pPr>
              <w:spacing w:after="0"/>
              <w:rPr>
                <w:sz w:val="9"/>
                <w:szCs w:val="9"/>
                <w:color w:val="auto"/>
              </w:rPr>
            </w:pPr>
          </w:p>
        </w:tc>
        <w:tc>
          <w:tcPr>
            <w:tcW w:w="98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Advertisement and publicity expenses</w:t>
            </w:r>
          </w:p>
        </w:tc>
        <w:tc>
          <w:tcPr>
            <w:tcW w:w="26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144,584</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635,166</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Employee salaries and benefits</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1,371,468</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1,788,941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Consultancy charges</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1,602,332</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1,538,729</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payments to employees</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2,649,012</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375,721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payments to related parties</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963,858</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25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6,731,254</w:t>
            </w:r>
          </w:p>
        </w:tc>
        <w:tc>
          <w:tcPr>
            <w:tcW w:w="16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14"/>
              <w:spacing w:after="0" w:line="113" w:lineRule="exact"/>
              <w:rPr>
                <w:sz w:val="20"/>
                <w:szCs w:val="20"/>
                <w:color w:val="auto"/>
              </w:rPr>
            </w:pPr>
            <w:r>
              <w:rPr>
                <w:rFonts w:ascii="Times New Roman" w:cs="Times New Roman" w:eastAsia="Times New Roman" w:hAnsi="Times New Roman"/>
                <w:sz w:val="10"/>
                <w:szCs w:val="10"/>
                <w:b w:val="1"/>
                <w:bCs w:val="1"/>
                <w:color w:val="auto"/>
              </w:rPr>
              <w:t>4,338,557</w:t>
            </w:r>
          </w:p>
        </w:tc>
        <w:tc>
          <w:tcPr>
            <w:tcW w:w="1600" w:type="dxa"/>
            <w:vAlign w:val="bottom"/>
          </w:tcPr>
          <w:p>
            <w:pPr>
              <w:spacing w:after="0"/>
              <w:rPr>
                <w:sz w:val="10"/>
                <w:szCs w:val="10"/>
                <w:color w:val="auto"/>
              </w:rPr>
            </w:pPr>
          </w:p>
        </w:tc>
      </w:tr>
      <w:tr>
        <w:trPr>
          <w:trHeight w:val="261"/>
        </w:trPr>
        <w:tc>
          <w:tcPr>
            <w:tcW w:w="41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General and administrative expenses</w:t>
            </w:r>
          </w:p>
        </w:tc>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41"/>
        </w:trPr>
        <w:tc>
          <w:tcPr>
            <w:tcW w:w="1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00" w:type="dxa"/>
            <w:vAlign w:val="bottom"/>
          </w:tcPr>
          <w:p>
            <w:pPr>
              <w:spacing w:after="0"/>
              <w:rPr>
                <w:sz w:val="20"/>
                <w:szCs w:val="20"/>
                <w:color w:val="auto"/>
              </w:rPr>
            </w:pPr>
          </w:p>
        </w:tc>
        <w:tc>
          <w:tcPr>
            <w:tcW w:w="98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20"/>
                <w:szCs w:val="20"/>
                <w:color w:val="auto"/>
              </w:rPr>
            </w:pPr>
          </w:p>
        </w:tc>
      </w:tr>
      <w:tr>
        <w:trPr>
          <w:trHeight w:val="106"/>
        </w:trPr>
        <w:tc>
          <w:tcPr>
            <w:tcW w:w="15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00" w:type="dxa"/>
            <w:vAlign w:val="bottom"/>
          </w:tcPr>
          <w:p>
            <w:pPr>
              <w:spacing w:after="0"/>
              <w:rPr>
                <w:sz w:val="9"/>
                <w:szCs w:val="9"/>
                <w:color w:val="auto"/>
              </w:rPr>
            </w:pPr>
          </w:p>
        </w:tc>
        <w:tc>
          <w:tcPr>
            <w:tcW w:w="98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IT expenses</w:t>
            </w:r>
          </w:p>
        </w:tc>
        <w:tc>
          <w:tcPr>
            <w:tcW w:w="26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1,135,355</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1,066,708</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Legal and professional expenses</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2,274,891</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5,569,989</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Business development expenses</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777,161</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7,136,168</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Employee salaries and benefits</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4,340,558</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3,506,501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Consultancy charges</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3,472,170</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8,223,297</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payments to employees</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2,543,621</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1,739,294</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payments to related parties</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2,083,647</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39,501,701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payments for consultancy</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485,080</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18,417,816</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874,045</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1,479,026</w:t>
            </w: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25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17,986,528</w:t>
            </w:r>
          </w:p>
        </w:tc>
        <w:tc>
          <w:tcPr>
            <w:tcW w:w="16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34"/>
              <w:spacing w:after="0" w:line="113" w:lineRule="exact"/>
              <w:rPr>
                <w:sz w:val="20"/>
                <w:szCs w:val="20"/>
                <w:color w:val="auto"/>
              </w:rPr>
            </w:pPr>
            <w:r>
              <w:rPr>
                <w:rFonts w:ascii="Times New Roman" w:cs="Times New Roman" w:eastAsia="Times New Roman" w:hAnsi="Times New Roman"/>
                <w:sz w:val="10"/>
                <w:szCs w:val="10"/>
                <w:b w:val="1"/>
                <w:bCs w:val="1"/>
                <w:color w:val="auto"/>
              </w:rPr>
              <w:t>86,640,500</w:t>
            </w:r>
          </w:p>
        </w:tc>
        <w:tc>
          <w:tcPr>
            <w:tcW w:w="1600" w:type="dxa"/>
            <w:vAlign w:val="bottom"/>
          </w:tcPr>
          <w:p>
            <w:pPr>
              <w:spacing w:after="0"/>
              <w:rPr>
                <w:sz w:val="10"/>
                <w:szCs w:val="10"/>
                <w:color w:val="auto"/>
              </w:rPr>
            </w:pPr>
          </w:p>
        </w:tc>
      </w:tr>
      <w:tr>
        <w:trPr>
          <w:trHeight w:val="261"/>
        </w:trPr>
        <w:tc>
          <w:tcPr>
            <w:tcW w:w="41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Other non-operating (income) expense, net</w:t>
            </w:r>
          </w:p>
        </w:tc>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41"/>
        </w:trPr>
        <w:tc>
          <w:tcPr>
            <w:tcW w:w="1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00" w:type="dxa"/>
            <w:vAlign w:val="bottom"/>
          </w:tcPr>
          <w:p>
            <w:pPr>
              <w:spacing w:after="0"/>
              <w:rPr>
                <w:sz w:val="20"/>
                <w:szCs w:val="20"/>
                <w:color w:val="auto"/>
              </w:rPr>
            </w:pPr>
          </w:p>
        </w:tc>
        <w:tc>
          <w:tcPr>
            <w:tcW w:w="98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20"/>
                <w:szCs w:val="20"/>
                <w:color w:val="auto"/>
              </w:rPr>
            </w:pPr>
          </w:p>
        </w:tc>
      </w:tr>
      <w:tr>
        <w:trPr>
          <w:trHeight w:val="106"/>
        </w:trPr>
        <w:tc>
          <w:tcPr>
            <w:tcW w:w="15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00" w:type="dxa"/>
            <w:vAlign w:val="bottom"/>
          </w:tcPr>
          <w:p>
            <w:pPr>
              <w:spacing w:after="0"/>
              <w:rPr>
                <w:sz w:val="9"/>
                <w:szCs w:val="9"/>
                <w:color w:val="auto"/>
              </w:rPr>
            </w:pPr>
          </w:p>
        </w:tc>
        <w:tc>
          <w:tcPr>
            <w:tcW w:w="98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Foreign exchange loss</w:t>
            </w:r>
          </w:p>
        </w:tc>
        <w:tc>
          <w:tcPr>
            <w:tcW w:w="26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375,298</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194,524</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R&amp;D credits</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(497,978 )</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(467,563 )</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net</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(2,686 )</w:t>
            </w: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16,380</w:t>
            </w: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600" w:type="dxa"/>
            <w:vAlign w:val="bottom"/>
          </w:tcPr>
          <w:p>
            <w:pPr>
              <w:ind w:left="20"/>
              <w:spacing w:after="0" w:line="93" w:lineRule="exact"/>
              <w:rPr>
                <w:sz w:val="20"/>
                <w:szCs w:val="20"/>
                <w:color w:val="auto"/>
              </w:rPr>
            </w:pPr>
            <w:r>
              <w:rPr>
                <w:rFonts w:ascii="Times New Roman" w:cs="Times New Roman" w:eastAsia="Times New Roman" w:hAnsi="Times New Roman"/>
                <w:sz w:val="10"/>
                <w:szCs w:val="10"/>
                <w:b w:val="1"/>
                <w:bCs w:val="1"/>
                <w:color w:val="auto"/>
              </w:rPr>
              <w:t>Total</w:t>
            </w:r>
          </w:p>
        </w:tc>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125,366</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right"/>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(256,659 </w:t>
            </w:r>
            <w:r>
              <w:rPr>
                <w:rFonts w:ascii="Times New Roman" w:cs="Times New Roman" w:eastAsia="Times New Roman" w:hAnsi="Times New Roman"/>
                <w:sz w:val="10"/>
                <w:szCs w:val="10"/>
                <w:b w:val="1"/>
                <w:bCs w:val="1"/>
                <w:color w:val="auto"/>
                <w:vertAlign w:val="subscript"/>
              </w:rPr>
              <w:t>)</w:t>
            </w:r>
          </w:p>
        </w:tc>
        <w:tc>
          <w:tcPr>
            <w:tcW w:w="1600" w:type="dxa"/>
            <w:vAlign w:val="bottom"/>
          </w:tcPr>
          <w:p>
            <w:pPr>
              <w:spacing w:after="0"/>
              <w:rPr>
                <w:sz w:val="10"/>
                <w:szCs w:val="10"/>
                <w:color w:val="auto"/>
              </w:rPr>
            </w:pPr>
          </w:p>
        </w:tc>
      </w:tr>
      <w:tr>
        <w:trPr>
          <w:trHeight w:val="290"/>
        </w:trPr>
        <w:tc>
          <w:tcPr>
            <w:tcW w:w="1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520" w:type="dxa"/>
            <w:vAlign w:val="bottom"/>
          </w:tcPr>
          <w:p>
            <w:pPr>
              <w:ind w:left="1040"/>
              <w:spacing w:after="0"/>
              <w:rPr>
                <w:sz w:val="20"/>
                <w:szCs w:val="20"/>
                <w:color w:val="auto"/>
              </w:rPr>
            </w:pPr>
            <w:r>
              <w:rPr>
                <w:rFonts w:ascii="Times New Roman" w:cs="Times New Roman" w:eastAsia="Times New Roman" w:hAnsi="Times New Roman"/>
                <w:sz w:val="10"/>
                <w:szCs w:val="10"/>
                <w:color w:val="auto"/>
              </w:rPr>
              <w:t>F-54</w:t>
            </w: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600" w:type="dxa"/>
            <w:vAlign w:val="bottom"/>
            <w:tcBorders>
              <w:bottom w:val="single" w:sz="8" w:color="EEEEEE"/>
            </w:tcBorders>
          </w:tcPr>
          <w:p>
            <w:pPr>
              <w:spacing w:after="0"/>
              <w:rPr>
                <w:sz w:val="24"/>
                <w:szCs w:val="24"/>
                <w:color w:val="auto"/>
              </w:rPr>
            </w:pPr>
          </w:p>
        </w:tc>
        <w:tc>
          <w:tcPr>
            <w:tcW w:w="25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14.Related party disclosures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80" w:type="dxa"/>
            <w:vAlign w:val="bottom"/>
          </w:tcPr>
          <w:p>
            <w:pPr>
              <w:spacing w:after="0"/>
              <w:rPr>
                <w:sz w:val="10"/>
                <w:szCs w:val="10"/>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Key managerial personnel (KMP) and Members of their immediate families</w:t>
            </w:r>
          </w:p>
        </w:tc>
        <w:tc>
          <w:tcPr>
            <w:tcW w:w="3180" w:type="dxa"/>
            <w:vAlign w:val="bottom"/>
          </w:tcPr>
          <w:p>
            <w:pPr>
              <w:spacing w:after="0"/>
              <w:rPr>
                <w:sz w:val="10"/>
                <w:szCs w:val="10"/>
                <w:color w:val="auto"/>
              </w:rPr>
            </w:pPr>
          </w:p>
        </w:tc>
      </w:tr>
      <w:tr>
        <w:trPr>
          <w:trHeight w:val="20"/>
        </w:trPr>
        <w:tc>
          <w:tcPr>
            <w:tcW w:w="48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58"/>
        </w:trPr>
        <w:tc>
          <w:tcPr>
            <w:tcW w:w="42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Dan Wagner</w:t>
            </w:r>
          </w:p>
        </w:tc>
        <w:tc>
          <w:tcPr>
            <w:tcW w:w="31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Director and chief executive officer</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Chief financial officer</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Sauvik Banerjjee</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w w:val="96"/>
              </w:rPr>
              <w:t>Chief executive officer, products, technology and digital services</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Salman Ahmad</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Chief technical officer</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Chief commercial officer</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Arthur Yao (1)</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Chief executive officer, Rezolve China</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Non-executive deputy chairman</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Sir David Wright</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Non-executive director</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Non-executive director</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Derek Smith</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Non-executive director</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Igor Lychagov</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Non-Executive director (resigned May 19, 2023)</w:t>
            </w:r>
          </w:p>
        </w:tc>
      </w:tr>
      <w:tr>
        <w:trPr>
          <w:trHeight w:val="125"/>
        </w:trPr>
        <w:tc>
          <w:tcPr>
            <w:tcW w:w="42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Susan Wagner</w:t>
            </w:r>
          </w:p>
        </w:tc>
        <w:tc>
          <w:tcPr>
            <w:tcW w:w="31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Member</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(1)Amounts paid to Arthur Yao were paid out of Rezolve Limited in the UK. The Company’s operations in China have since been approved for a planned liquidation through the Demerger (Refer to Note 2.1—Basis of presentation).</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Transactions and outstanding balances of related parties were as follows: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u w:val="single" w:color="auto"/>
          <w:color w:val="auto"/>
        </w:rPr>
        <w:t>Transactions during the year</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220" w:type="dxa"/>
            <w:vAlign w:val="bottom"/>
          </w:tcPr>
          <w:p>
            <w:pPr>
              <w:jc w:val="right"/>
              <w:ind w:right="372"/>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80" w:type="dxa"/>
            <w:vAlign w:val="bottom"/>
          </w:tcPr>
          <w:p>
            <w:pPr>
              <w:spacing w:after="0"/>
              <w:rPr>
                <w:sz w:val="8"/>
                <w:szCs w:val="8"/>
                <w:color w:val="auto"/>
              </w:rPr>
            </w:pPr>
          </w:p>
        </w:tc>
        <w:tc>
          <w:tcPr>
            <w:tcW w:w="1180" w:type="dxa"/>
            <w:vAlign w:val="bottom"/>
          </w:tcPr>
          <w:p>
            <w:pPr>
              <w:jc w:val="right"/>
              <w:ind w:right="332"/>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8"/>
                <w:szCs w:val="8"/>
                <w:color w:val="auto"/>
              </w:rPr>
            </w:pPr>
          </w:p>
        </w:tc>
      </w:tr>
      <w:tr>
        <w:trPr>
          <w:trHeight w:val="106"/>
        </w:trPr>
        <w:tc>
          <w:tcPr>
            <w:tcW w:w="158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220" w:type="dxa"/>
            <w:vAlign w:val="bottom"/>
          </w:tcPr>
          <w:p>
            <w:pPr>
              <w:jc w:val="right"/>
              <w:ind w:right="492"/>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80" w:type="dxa"/>
            <w:vAlign w:val="bottom"/>
          </w:tcPr>
          <w:p>
            <w:pPr>
              <w:spacing w:after="0"/>
              <w:rPr>
                <w:sz w:val="9"/>
                <w:szCs w:val="9"/>
                <w:color w:val="auto"/>
              </w:rPr>
            </w:pPr>
          </w:p>
        </w:tc>
        <w:tc>
          <w:tcPr>
            <w:tcW w:w="1180" w:type="dxa"/>
            <w:vAlign w:val="bottom"/>
          </w:tcPr>
          <w:p>
            <w:pPr>
              <w:jc w:val="right"/>
              <w:ind w:right="452"/>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Share Capital Issued at nominal value</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r>
      <w:tr>
        <w:trPr>
          <w:trHeight w:val="106"/>
        </w:trPr>
        <w:tc>
          <w:tcPr>
            <w:tcW w:w="1580" w:type="dxa"/>
            <w:vAlign w:val="bottom"/>
          </w:tcPr>
          <w:p>
            <w:pPr>
              <w:spacing w:after="0"/>
              <w:rPr>
                <w:sz w:val="9"/>
                <w:szCs w:val="9"/>
                <w:color w:val="auto"/>
              </w:rPr>
            </w:pPr>
          </w:p>
        </w:tc>
        <w:tc>
          <w:tcPr>
            <w:tcW w:w="2880" w:type="dxa"/>
            <w:vAlign w:val="bottom"/>
          </w:tcPr>
          <w:p>
            <w:pPr>
              <w:ind w:left="20"/>
              <w:spacing w:after="0" w:line="106" w:lineRule="exact"/>
              <w:rPr>
                <w:sz w:val="20"/>
                <w:szCs w:val="20"/>
                <w:color w:val="auto"/>
              </w:rPr>
            </w:pPr>
            <w:r>
              <w:rPr>
                <w:rFonts w:ascii="Times New Roman" w:cs="Times New Roman" w:eastAsia="Times New Roman" w:hAnsi="Times New Roman"/>
                <w:sz w:val="10"/>
                <w:szCs w:val="10"/>
                <w:color w:val="auto"/>
              </w:rPr>
              <w:t>DBLP Sea Cow (2) (number of ordinary shares issued</w:t>
            </w:r>
          </w:p>
        </w:tc>
        <w:tc>
          <w:tcPr>
            <w:tcW w:w="1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119"/>
        </w:trPr>
        <w:tc>
          <w:tcPr>
            <w:tcW w:w="1580" w:type="dxa"/>
            <w:vAlign w:val="bottom"/>
          </w:tcPr>
          <w:p>
            <w:pPr>
              <w:spacing w:after="0"/>
              <w:rPr>
                <w:sz w:val="10"/>
                <w:szCs w:val="10"/>
                <w:color w:val="auto"/>
              </w:rPr>
            </w:pPr>
          </w:p>
        </w:tc>
        <w:tc>
          <w:tcPr>
            <w:tcW w:w="28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in 2–23 – Nil and 2–22 – 27,246,461)</w:t>
            </w:r>
          </w:p>
        </w:tc>
        <w:tc>
          <w:tcPr>
            <w:tcW w:w="18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3,225</w:t>
            </w:r>
          </w:p>
        </w:tc>
        <w:tc>
          <w:tcPr>
            <w:tcW w:w="1600" w:type="dxa"/>
            <w:vAlign w:val="bottom"/>
          </w:tcPr>
          <w:p>
            <w:pPr>
              <w:spacing w:after="0"/>
              <w:rPr>
                <w:sz w:val="10"/>
                <w:szCs w:val="10"/>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Loans Repaid</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(2)</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250,000</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Loans taken</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132,269</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Loans Taken</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191,405</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Igor Lychagov</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5,587,343</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Managerial remuneration</w:t>
            </w:r>
          </w:p>
        </w:tc>
        <w:tc>
          <w:tcPr>
            <w:tcW w:w="1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Key Management Personnel</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296,067</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298,654</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Salman Ahmad</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222,535</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207,395</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271,395</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273,761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Banerjee</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393,440</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188,972</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1,183,437</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968,782</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Sales and marketing</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393,440</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188,972</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General and Administrative</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789,997</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779,810</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spacing w:after="0"/>
              <w:rPr>
                <w:sz w:val="9"/>
                <w:szCs w:val="9"/>
                <w:color w:val="auto"/>
              </w:rPr>
            </w:pP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1,183,437</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968,782</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Share-based compensation</w:t>
            </w:r>
          </w:p>
        </w:tc>
        <w:tc>
          <w:tcPr>
            <w:tcW w:w="1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(2)</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756,944</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33,374,018</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1,326,703</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2,449,787</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60,556</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 (1)</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60,556</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Banerjee</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842,746</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Derek Smith</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3,677,896</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3,047,505</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39,501,701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Sales and marketing</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963,858</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General and Administrative</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2,083,647</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39,501,701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spacing w:after="0"/>
              <w:rPr>
                <w:sz w:val="9"/>
                <w:szCs w:val="9"/>
                <w:color w:val="auto"/>
              </w:rPr>
            </w:pP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3,047,505</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39,501,701</w:t>
            </w:r>
          </w:p>
        </w:tc>
        <w:tc>
          <w:tcPr>
            <w:tcW w:w="1600" w:type="dxa"/>
            <w:vAlign w:val="bottom"/>
          </w:tcPr>
          <w:p>
            <w:pPr>
              <w:spacing w:after="0"/>
              <w:rPr>
                <w:sz w:val="9"/>
                <w:szCs w:val="9"/>
                <w:color w:val="auto"/>
              </w:rPr>
            </w:pPr>
          </w:p>
        </w:tc>
      </w:tr>
      <w:tr>
        <w:trPr>
          <w:trHeight w:val="290"/>
        </w:trPr>
        <w:tc>
          <w:tcPr>
            <w:tcW w:w="15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80" w:type="dxa"/>
            <w:vAlign w:val="bottom"/>
          </w:tcPr>
          <w:p>
            <w:pPr>
              <w:jc w:val="right"/>
              <w:ind w:right="891"/>
              <w:spacing w:after="0"/>
              <w:rPr>
                <w:sz w:val="20"/>
                <w:szCs w:val="20"/>
                <w:color w:val="auto"/>
              </w:rPr>
            </w:pPr>
            <w:r>
              <w:rPr>
                <w:rFonts w:ascii="Times New Roman" w:cs="Times New Roman" w:eastAsia="Times New Roman" w:hAnsi="Times New Roman"/>
                <w:sz w:val="10"/>
                <w:szCs w:val="10"/>
                <w:color w:val="auto"/>
              </w:rPr>
              <w:t>F-55</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880" w:type="dxa"/>
            <w:vAlign w:val="bottom"/>
            <w:tcBorders>
              <w:bottom w:val="single" w:sz="8" w:color="EEEEEE"/>
            </w:tcBorders>
          </w:tcPr>
          <w:p>
            <w:pPr>
              <w:spacing w:after="0"/>
              <w:rPr>
                <w:sz w:val="24"/>
                <w:szCs w:val="24"/>
                <w:color w:val="auto"/>
              </w:rPr>
            </w:pPr>
          </w:p>
        </w:tc>
        <w:tc>
          <w:tcPr>
            <w:tcW w:w="1880" w:type="dxa"/>
            <w:vAlign w:val="bottom"/>
            <w:tcBorders>
              <w:bottom w:val="single" w:sz="8" w:color="EEEEEE"/>
            </w:tcBorders>
          </w:tcPr>
          <w:p>
            <w:pPr>
              <w:spacing w:after="0"/>
              <w:rPr>
                <w:sz w:val="24"/>
                <w:szCs w:val="24"/>
                <w:color w:val="auto"/>
              </w:rPr>
            </w:pPr>
          </w:p>
        </w:tc>
        <w:tc>
          <w:tcPr>
            <w:tcW w:w="122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18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20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3100" w:type="dxa"/>
            <w:vAlign w:val="bottom"/>
          </w:tcPr>
          <w:p>
            <w:pPr>
              <w:spacing w:after="0"/>
              <w:rPr>
                <w:sz w:val="8"/>
                <w:szCs w:val="8"/>
                <w:color w:val="auto"/>
              </w:rPr>
            </w:pPr>
          </w:p>
        </w:tc>
        <w:tc>
          <w:tcPr>
            <w:tcW w:w="3040" w:type="dxa"/>
            <w:vAlign w:val="bottom"/>
          </w:tcPr>
          <w:p>
            <w:pPr>
              <w:jc w:val="right"/>
              <w:ind w:right="532"/>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300" w:type="dxa"/>
            <w:vAlign w:val="bottom"/>
          </w:tcPr>
          <w:p>
            <w:pPr>
              <w:jc w:val="right"/>
              <w:ind w:right="332"/>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3100" w:type="dxa"/>
            <w:vAlign w:val="bottom"/>
          </w:tcPr>
          <w:p>
            <w:pPr>
              <w:spacing w:after="0"/>
              <w:rPr>
                <w:sz w:val="9"/>
                <w:szCs w:val="9"/>
                <w:color w:val="auto"/>
              </w:rPr>
            </w:pPr>
          </w:p>
        </w:tc>
        <w:tc>
          <w:tcPr>
            <w:tcW w:w="3040" w:type="dxa"/>
            <w:vAlign w:val="bottom"/>
          </w:tcPr>
          <w:p>
            <w:pPr>
              <w:jc w:val="right"/>
              <w:ind w:right="652"/>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300" w:type="dxa"/>
            <w:vAlign w:val="bottom"/>
          </w:tcPr>
          <w:p>
            <w:pPr>
              <w:jc w:val="right"/>
              <w:ind w:right="45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Consulting fees</w:t>
            </w:r>
          </w:p>
        </w:tc>
        <w:tc>
          <w:tcPr>
            <w:tcW w:w="304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(2)</w:t>
            </w: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300,000</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300,000</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414,926</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380,805</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 (1)</w:t>
            </w: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300,000</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300,000</w:t>
            </w:r>
          </w:p>
        </w:tc>
      </w:tr>
      <w:tr>
        <w:trPr>
          <w:trHeight w:val="113"/>
        </w:trPr>
        <w:tc>
          <w:tcPr>
            <w:tcW w:w="3100" w:type="dxa"/>
            <w:vAlign w:val="bottom"/>
            <w:shd w:val="clear" w:color="auto" w:fill="CFF0FC"/>
          </w:tcPr>
          <w:p>
            <w:pPr>
              <w:spacing w:after="0"/>
              <w:rPr>
                <w:sz w:val="9"/>
                <w:szCs w:val="9"/>
                <w:color w:val="auto"/>
              </w:rPr>
            </w:pP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1,014,926</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980,805</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Sales and marketing</w:t>
            </w: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714,926</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680,805</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General and Administrative</w:t>
            </w: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300,000</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300,000</w:t>
            </w:r>
          </w:p>
        </w:tc>
      </w:tr>
      <w:tr>
        <w:trPr>
          <w:trHeight w:val="113"/>
        </w:trPr>
        <w:tc>
          <w:tcPr>
            <w:tcW w:w="3100" w:type="dxa"/>
            <w:vAlign w:val="bottom"/>
          </w:tcPr>
          <w:p>
            <w:pPr>
              <w:spacing w:after="0"/>
              <w:rPr>
                <w:sz w:val="9"/>
                <w:szCs w:val="9"/>
                <w:color w:val="auto"/>
              </w:rPr>
            </w:pP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1,014,926</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980,805</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Director remuneration</w:t>
            </w:r>
          </w:p>
        </w:tc>
        <w:tc>
          <w:tcPr>
            <w:tcW w:w="304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Sir David Wright</w:t>
            </w: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92,521</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87,107</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380,084</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376,428</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92,521</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93,329</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Derek Smith</w:t>
            </w: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92,521</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93,329</w:t>
            </w:r>
          </w:p>
        </w:tc>
      </w:tr>
      <w:tr>
        <w:trPr>
          <w:trHeight w:val="113"/>
        </w:trPr>
        <w:tc>
          <w:tcPr>
            <w:tcW w:w="3100" w:type="dxa"/>
            <w:vAlign w:val="bottom"/>
          </w:tcPr>
          <w:p>
            <w:pPr>
              <w:spacing w:after="0"/>
              <w:rPr>
                <w:sz w:val="9"/>
                <w:szCs w:val="9"/>
                <w:color w:val="auto"/>
              </w:rPr>
            </w:pP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657,647</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650,193</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Sales and marketing</w:t>
            </w: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General and Administrative</w:t>
            </w: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657,647</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650,193</w:t>
            </w:r>
          </w:p>
        </w:tc>
      </w:tr>
      <w:tr>
        <w:trPr>
          <w:trHeight w:val="113"/>
        </w:trPr>
        <w:tc>
          <w:tcPr>
            <w:tcW w:w="3100" w:type="dxa"/>
            <w:vAlign w:val="bottom"/>
            <w:shd w:val="clear" w:color="auto" w:fill="CFF0FC"/>
          </w:tcPr>
          <w:p>
            <w:pPr>
              <w:spacing w:after="0"/>
              <w:rPr>
                <w:sz w:val="9"/>
                <w:szCs w:val="9"/>
                <w:color w:val="auto"/>
              </w:rPr>
            </w:pP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657,647</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650,193</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Management remuneration</w:t>
            </w:r>
          </w:p>
        </w:tc>
        <w:tc>
          <w:tcPr>
            <w:tcW w:w="304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Sales and marketing</w:t>
            </w: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2,072,224</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869,777</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General and Administrative</w:t>
            </w: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3,831,291</w:t>
            </w:r>
          </w:p>
        </w:tc>
        <w:tc>
          <w:tcPr>
            <w:tcW w:w="130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41,231,704</w:t>
            </w:r>
          </w:p>
        </w:tc>
      </w:tr>
      <w:tr>
        <w:trPr>
          <w:trHeight w:val="113"/>
        </w:trPr>
        <w:tc>
          <w:tcPr>
            <w:tcW w:w="3100" w:type="dxa"/>
            <w:vAlign w:val="bottom"/>
            <w:shd w:val="clear" w:color="auto" w:fill="CFF0FC"/>
          </w:tcPr>
          <w:p>
            <w:pPr>
              <w:spacing w:after="0"/>
              <w:rPr>
                <w:sz w:val="9"/>
                <w:szCs w:val="9"/>
                <w:color w:val="auto"/>
              </w:rPr>
            </w:pP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5,903,515</w:t>
            </w:r>
          </w:p>
        </w:tc>
        <w:tc>
          <w:tcPr>
            <w:tcW w:w="130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42,101,481</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Business development expenses</w:t>
            </w:r>
          </w:p>
        </w:tc>
        <w:tc>
          <w:tcPr>
            <w:tcW w:w="304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Rezolve China (3)</w:t>
            </w: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777,161</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7,136,168</w:t>
            </w: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(2)DBLP Sea Cow Ltd. (a company incorporated in the Seychelles) (“DBLP Sea Cow”) is wholly legally owned by Dan Wagner, Chief Executive Officer of Rezolve.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(3)The Company has expensed all cash transferred to its subsidiary Rezolve China. Please refer to the basis of presentation discussed in note 2.1.</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u w:val="single" w:color="auto"/>
          <w:color w:val="auto"/>
        </w:rPr>
        <w:t>Outstanding balances as at reporting date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3640" w:type="dxa"/>
            <w:vAlign w:val="bottom"/>
          </w:tcPr>
          <w:p>
            <w:pPr>
              <w:jc w:val="center"/>
              <w:ind w:left="1754"/>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8"/>
                <w:szCs w:val="8"/>
                <w:color w:val="auto"/>
              </w:rPr>
            </w:pPr>
          </w:p>
        </w:tc>
      </w:tr>
      <w:tr>
        <w:trPr>
          <w:trHeight w:val="98"/>
        </w:trPr>
        <w:tc>
          <w:tcPr>
            <w:tcW w:w="15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3640" w:type="dxa"/>
            <w:vAlign w:val="bottom"/>
          </w:tcPr>
          <w:p>
            <w:pPr>
              <w:jc w:val="center"/>
              <w:ind w:left="1754"/>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600" w:type="dxa"/>
            <w:vAlign w:val="bottom"/>
          </w:tcPr>
          <w:p>
            <w:pPr>
              <w:spacing w:after="0"/>
              <w:rPr>
                <w:sz w:val="8"/>
                <w:szCs w:val="8"/>
                <w:color w:val="auto"/>
              </w:rPr>
            </w:pPr>
          </w:p>
        </w:tc>
      </w:tr>
      <w:tr>
        <w:trPr>
          <w:trHeight w:val="106"/>
        </w:trPr>
        <w:tc>
          <w:tcPr>
            <w:tcW w:w="1580" w:type="dxa"/>
            <w:vAlign w:val="bottom"/>
          </w:tcPr>
          <w:p>
            <w:pPr>
              <w:spacing w:after="0"/>
              <w:rPr>
                <w:sz w:val="9"/>
                <w:szCs w:val="9"/>
                <w:color w:val="auto"/>
              </w:rPr>
            </w:pPr>
          </w:p>
        </w:tc>
        <w:tc>
          <w:tcPr>
            <w:tcW w:w="2500" w:type="dxa"/>
            <w:vAlign w:val="bottom"/>
          </w:tcPr>
          <w:p>
            <w:pPr>
              <w:spacing w:after="0"/>
              <w:rPr>
                <w:sz w:val="9"/>
                <w:szCs w:val="9"/>
                <w:color w:val="auto"/>
              </w:rPr>
            </w:pPr>
          </w:p>
        </w:tc>
        <w:tc>
          <w:tcPr>
            <w:tcW w:w="3640" w:type="dxa"/>
            <w:vAlign w:val="bottom"/>
          </w:tcPr>
          <w:p>
            <w:pPr>
              <w:jc w:val="center"/>
              <w:ind w:left="175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5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Short term debt to related party</w:t>
            </w:r>
          </w:p>
        </w:tc>
        <w:tc>
          <w:tcPr>
            <w:tcW w:w="364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5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(2)</w:t>
            </w:r>
          </w:p>
        </w:tc>
        <w:tc>
          <w:tcPr>
            <w:tcW w:w="3640" w:type="dxa"/>
            <w:vAlign w:val="bottom"/>
          </w:tcPr>
          <w:p>
            <w:pPr>
              <w:jc w:val="right"/>
              <w:ind w:right="214"/>
              <w:spacing w:after="0" w:line="113" w:lineRule="exact"/>
              <w:rPr>
                <w:sz w:val="20"/>
                <w:szCs w:val="20"/>
                <w:color w:val="auto"/>
              </w:rPr>
            </w:pPr>
            <w:r>
              <w:rPr>
                <w:rFonts w:ascii="Times New Roman" w:cs="Times New Roman" w:eastAsia="Times New Roman" w:hAnsi="Times New Roman"/>
                <w:sz w:val="10"/>
                <w:szCs w:val="10"/>
                <w:color w:val="auto"/>
              </w:rPr>
              <w:t>447,067</w:t>
            </w:r>
          </w:p>
        </w:tc>
        <w:tc>
          <w:tcPr>
            <w:tcW w:w="130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697,067</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5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3640" w:type="dxa"/>
            <w:vAlign w:val="bottom"/>
            <w:shd w:val="clear" w:color="auto" w:fill="CFF0FC"/>
          </w:tcPr>
          <w:p>
            <w:pPr>
              <w:jc w:val="right"/>
              <w:ind w:right="214"/>
              <w:spacing w:after="0" w:line="113" w:lineRule="exact"/>
              <w:rPr>
                <w:sz w:val="20"/>
                <w:szCs w:val="20"/>
                <w:color w:val="auto"/>
              </w:rPr>
            </w:pPr>
            <w:r>
              <w:rPr>
                <w:rFonts w:ascii="Times New Roman" w:cs="Times New Roman" w:eastAsia="Times New Roman" w:hAnsi="Times New Roman"/>
                <w:sz w:val="10"/>
                <w:szCs w:val="10"/>
                <w:color w:val="auto"/>
              </w:rPr>
              <w:t>191,405</w:t>
            </w:r>
          </w:p>
        </w:tc>
        <w:tc>
          <w:tcPr>
            <w:tcW w:w="1300" w:type="dxa"/>
            <w:vAlign w:val="bottom"/>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5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Igor Lychagov</w:t>
            </w:r>
          </w:p>
        </w:tc>
        <w:tc>
          <w:tcPr>
            <w:tcW w:w="3640" w:type="dxa"/>
            <w:vAlign w:val="bottom"/>
          </w:tcPr>
          <w:p>
            <w:pPr>
              <w:jc w:val="right"/>
              <w:ind w:right="214"/>
              <w:spacing w:after="0" w:line="113" w:lineRule="exact"/>
              <w:rPr>
                <w:sz w:val="20"/>
                <w:szCs w:val="20"/>
                <w:color w:val="auto"/>
              </w:rPr>
            </w:pPr>
            <w:r>
              <w:rPr>
                <w:rFonts w:ascii="Times New Roman" w:cs="Times New Roman" w:eastAsia="Times New Roman" w:hAnsi="Times New Roman"/>
                <w:sz w:val="10"/>
                <w:szCs w:val="10"/>
                <w:color w:val="auto"/>
              </w:rPr>
              <w:t>5,587,343</w:t>
            </w:r>
          </w:p>
        </w:tc>
        <w:tc>
          <w:tcPr>
            <w:tcW w:w="130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500" w:type="dxa"/>
            <w:vAlign w:val="bottom"/>
            <w:shd w:val="clear" w:color="auto" w:fill="CFF0FC"/>
          </w:tcPr>
          <w:p>
            <w:pPr>
              <w:spacing w:after="0"/>
              <w:rPr>
                <w:sz w:val="9"/>
                <w:szCs w:val="9"/>
                <w:color w:val="auto"/>
              </w:rPr>
            </w:pPr>
          </w:p>
        </w:tc>
        <w:tc>
          <w:tcPr>
            <w:tcW w:w="3640" w:type="dxa"/>
            <w:vAlign w:val="bottom"/>
            <w:shd w:val="clear" w:color="auto" w:fill="CFF0FC"/>
          </w:tcPr>
          <w:p>
            <w:pPr>
              <w:jc w:val="right"/>
              <w:ind w:right="214"/>
              <w:spacing w:after="0" w:line="113" w:lineRule="exact"/>
              <w:rPr>
                <w:sz w:val="20"/>
                <w:szCs w:val="20"/>
                <w:color w:val="auto"/>
              </w:rPr>
            </w:pPr>
            <w:r>
              <w:rPr>
                <w:rFonts w:ascii="Times New Roman" w:cs="Times New Roman" w:eastAsia="Times New Roman" w:hAnsi="Times New Roman"/>
                <w:sz w:val="10"/>
                <w:szCs w:val="10"/>
                <w:color w:val="auto"/>
              </w:rPr>
              <w:t>6,225,815</w:t>
            </w:r>
          </w:p>
        </w:tc>
        <w:tc>
          <w:tcPr>
            <w:tcW w:w="1300" w:type="dxa"/>
            <w:vAlign w:val="bottom"/>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697,067</w:t>
            </w:r>
          </w:p>
        </w:tc>
        <w:tc>
          <w:tcPr>
            <w:tcW w:w="1600" w:type="dxa"/>
            <w:vAlign w:val="bottom"/>
          </w:tcPr>
          <w:p>
            <w:pPr>
              <w:spacing w:after="0"/>
              <w:rPr>
                <w:sz w:val="9"/>
                <w:szCs w:val="9"/>
                <w:color w:val="auto"/>
              </w:rPr>
            </w:pPr>
          </w:p>
        </w:tc>
      </w:tr>
      <w:tr>
        <w:trPr>
          <w:trHeight w:val="291"/>
        </w:trPr>
        <w:tc>
          <w:tcPr>
            <w:tcW w:w="15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640" w:type="dxa"/>
            <w:vAlign w:val="bottom"/>
          </w:tcPr>
          <w:p>
            <w:pPr>
              <w:jc w:val="right"/>
              <w:ind w:right="2274"/>
              <w:spacing w:after="0"/>
              <w:rPr>
                <w:sz w:val="20"/>
                <w:szCs w:val="20"/>
                <w:color w:val="auto"/>
              </w:rPr>
            </w:pPr>
            <w:r>
              <w:rPr>
                <w:rFonts w:ascii="Times New Roman" w:cs="Times New Roman" w:eastAsia="Times New Roman" w:hAnsi="Times New Roman"/>
                <w:sz w:val="10"/>
                <w:szCs w:val="10"/>
                <w:color w:val="auto"/>
              </w:rPr>
              <w:t>F-56</w:t>
            </w:r>
          </w:p>
        </w:tc>
        <w:tc>
          <w:tcPr>
            <w:tcW w:w="13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500" w:type="dxa"/>
            <w:vAlign w:val="bottom"/>
            <w:tcBorders>
              <w:bottom w:val="single" w:sz="8" w:color="EEEEEE"/>
            </w:tcBorders>
          </w:tcPr>
          <w:p>
            <w:pPr>
              <w:spacing w:after="0"/>
              <w:rPr>
                <w:sz w:val="24"/>
                <w:szCs w:val="24"/>
                <w:color w:val="auto"/>
              </w:rPr>
            </w:pPr>
          </w:p>
        </w:tc>
        <w:tc>
          <w:tcPr>
            <w:tcW w:w="3640" w:type="dxa"/>
            <w:vAlign w:val="bottom"/>
            <w:tcBorders>
              <w:bottom w:val="single" w:sz="8" w:color="EEEEEE"/>
            </w:tcBorders>
          </w:tcPr>
          <w:p>
            <w:pPr>
              <w:spacing w:after="0"/>
              <w:rPr>
                <w:sz w:val="24"/>
                <w:szCs w:val="24"/>
                <w:color w:val="auto"/>
              </w:rPr>
            </w:pPr>
          </w:p>
        </w:tc>
        <w:tc>
          <w:tcPr>
            <w:tcW w:w="130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20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3100" w:type="dxa"/>
            <w:vAlign w:val="bottom"/>
          </w:tcPr>
          <w:p>
            <w:pPr>
              <w:spacing w:after="0"/>
              <w:rPr>
                <w:sz w:val="8"/>
                <w:szCs w:val="8"/>
                <w:color w:val="auto"/>
              </w:rPr>
            </w:pPr>
          </w:p>
        </w:tc>
        <w:tc>
          <w:tcPr>
            <w:tcW w:w="3040" w:type="dxa"/>
            <w:vAlign w:val="bottom"/>
          </w:tcPr>
          <w:p>
            <w:pPr>
              <w:jc w:val="center"/>
              <w:ind w:left="1153"/>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98"/>
        </w:trPr>
        <w:tc>
          <w:tcPr>
            <w:tcW w:w="3100" w:type="dxa"/>
            <w:vAlign w:val="bottom"/>
          </w:tcPr>
          <w:p>
            <w:pPr>
              <w:spacing w:after="0"/>
              <w:rPr>
                <w:sz w:val="8"/>
                <w:szCs w:val="8"/>
                <w:color w:val="auto"/>
              </w:rPr>
            </w:pPr>
          </w:p>
        </w:tc>
        <w:tc>
          <w:tcPr>
            <w:tcW w:w="3040" w:type="dxa"/>
            <w:vAlign w:val="bottom"/>
          </w:tcPr>
          <w:p>
            <w:pPr>
              <w:jc w:val="center"/>
              <w:ind w:left="1153"/>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8"/>
                <w:szCs w:val="8"/>
                <w:b w:val="1"/>
                <w:bCs w:val="1"/>
                <w:color w:val="auto"/>
                <w:w w:val="98"/>
              </w:rPr>
              <w:t>$</w:t>
            </w:r>
          </w:p>
        </w:tc>
      </w:tr>
      <w:tr>
        <w:trPr>
          <w:trHeight w:val="106"/>
        </w:trPr>
        <w:tc>
          <w:tcPr>
            <w:tcW w:w="3100" w:type="dxa"/>
            <w:vAlign w:val="bottom"/>
          </w:tcPr>
          <w:p>
            <w:pPr>
              <w:spacing w:after="0"/>
              <w:rPr>
                <w:sz w:val="9"/>
                <w:szCs w:val="9"/>
                <w:color w:val="auto"/>
              </w:rPr>
            </w:pPr>
          </w:p>
        </w:tc>
        <w:tc>
          <w:tcPr>
            <w:tcW w:w="3040" w:type="dxa"/>
            <w:vAlign w:val="bottom"/>
          </w:tcPr>
          <w:p>
            <w:pPr>
              <w:jc w:val="center"/>
              <w:ind w:left="1153"/>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Due to related party</w:t>
            </w:r>
          </w:p>
        </w:tc>
        <w:tc>
          <w:tcPr>
            <w:tcW w:w="304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(2)</w:t>
            </w:r>
          </w:p>
        </w:tc>
        <w:tc>
          <w:tcPr>
            <w:tcW w:w="3040" w:type="dxa"/>
            <w:vAlign w:val="bottom"/>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350,000</w:t>
            </w:r>
          </w:p>
        </w:tc>
        <w:tc>
          <w:tcPr>
            <w:tcW w:w="130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225,000</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3040" w:type="dxa"/>
            <w:vAlign w:val="bottom"/>
            <w:shd w:val="clear" w:color="auto" w:fill="CFF0FC"/>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147,605</w:t>
            </w:r>
          </w:p>
        </w:tc>
        <w:tc>
          <w:tcPr>
            <w:tcW w:w="130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172,476</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3040" w:type="dxa"/>
            <w:vAlign w:val="bottom"/>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0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535</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w:t>
            </w:r>
          </w:p>
        </w:tc>
        <w:tc>
          <w:tcPr>
            <w:tcW w:w="3040" w:type="dxa"/>
            <w:vAlign w:val="bottom"/>
            <w:shd w:val="clear" w:color="auto" w:fill="CFF0FC"/>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61,945</w:t>
            </w:r>
          </w:p>
        </w:tc>
        <w:tc>
          <w:tcPr>
            <w:tcW w:w="130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51,414</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3040" w:type="dxa"/>
            <w:vAlign w:val="bottom"/>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31,248</w:t>
            </w:r>
          </w:p>
        </w:tc>
        <w:tc>
          <w:tcPr>
            <w:tcW w:w="130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42,906</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3040" w:type="dxa"/>
            <w:vAlign w:val="bottom"/>
            <w:shd w:val="clear" w:color="auto" w:fill="CFF0FC"/>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1,133</w:t>
            </w:r>
          </w:p>
        </w:tc>
        <w:tc>
          <w:tcPr>
            <w:tcW w:w="130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Banerjjee</w:t>
            </w:r>
          </w:p>
        </w:tc>
        <w:tc>
          <w:tcPr>
            <w:tcW w:w="3040" w:type="dxa"/>
            <w:vAlign w:val="bottom"/>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58,320</w:t>
            </w:r>
          </w:p>
        </w:tc>
        <w:tc>
          <w:tcPr>
            <w:tcW w:w="130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3040" w:type="dxa"/>
            <w:vAlign w:val="bottom"/>
            <w:shd w:val="clear" w:color="auto" w:fill="CFF0FC"/>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127,325</w:t>
            </w:r>
          </w:p>
        </w:tc>
        <w:tc>
          <w:tcPr>
            <w:tcW w:w="130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129,460</w:t>
            </w:r>
          </w:p>
        </w:tc>
      </w:tr>
      <w:tr>
        <w:trPr>
          <w:trHeight w:val="113"/>
        </w:trPr>
        <w:tc>
          <w:tcPr>
            <w:tcW w:w="3100" w:type="dxa"/>
            <w:vAlign w:val="bottom"/>
          </w:tcPr>
          <w:p>
            <w:pPr>
              <w:spacing w:after="0"/>
              <w:rPr>
                <w:sz w:val="9"/>
                <w:szCs w:val="9"/>
                <w:color w:val="auto"/>
              </w:rPr>
            </w:pPr>
          </w:p>
        </w:tc>
        <w:tc>
          <w:tcPr>
            <w:tcW w:w="3040" w:type="dxa"/>
            <w:vAlign w:val="bottom"/>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777,576</w:t>
            </w:r>
          </w:p>
        </w:tc>
        <w:tc>
          <w:tcPr>
            <w:tcW w:w="130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621,791</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Short term convertible debt</w:t>
            </w:r>
          </w:p>
        </w:tc>
        <w:tc>
          <w:tcPr>
            <w:tcW w:w="304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3040" w:type="dxa"/>
            <w:vAlign w:val="bottom"/>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132,269</w:t>
            </w:r>
          </w:p>
        </w:tc>
        <w:tc>
          <w:tcPr>
            <w:tcW w:w="130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Share Subscription Receivables</w:t>
            </w:r>
          </w:p>
        </w:tc>
        <w:tc>
          <w:tcPr>
            <w:tcW w:w="304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3040" w:type="dxa"/>
            <w:vAlign w:val="bottom"/>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111,845</w:t>
            </w:r>
          </w:p>
        </w:tc>
        <w:tc>
          <w:tcPr>
            <w:tcW w:w="130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111,845</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(2)</w:t>
            </w:r>
          </w:p>
        </w:tc>
        <w:tc>
          <w:tcPr>
            <w:tcW w:w="3040" w:type="dxa"/>
            <w:vAlign w:val="bottom"/>
            <w:shd w:val="clear" w:color="auto" w:fill="CFF0FC"/>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7,999</w:t>
            </w:r>
          </w:p>
        </w:tc>
        <w:tc>
          <w:tcPr>
            <w:tcW w:w="130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7,999</w:t>
            </w:r>
          </w:p>
        </w:tc>
      </w:tr>
      <w:tr>
        <w:trPr>
          <w:trHeight w:val="125"/>
        </w:trPr>
        <w:tc>
          <w:tcPr>
            <w:tcW w:w="3100" w:type="dxa"/>
            <w:vAlign w:val="bottom"/>
          </w:tcPr>
          <w:p>
            <w:pPr>
              <w:spacing w:after="0"/>
              <w:rPr>
                <w:sz w:val="10"/>
                <w:szCs w:val="10"/>
                <w:color w:val="auto"/>
              </w:rPr>
            </w:pPr>
          </w:p>
        </w:tc>
        <w:tc>
          <w:tcPr>
            <w:tcW w:w="3040" w:type="dxa"/>
            <w:vAlign w:val="bottom"/>
          </w:tcPr>
          <w:p>
            <w:pPr>
              <w:jc w:val="right"/>
              <w:ind w:right="213"/>
              <w:spacing w:after="0"/>
              <w:rPr>
                <w:sz w:val="20"/>
                <w:szCs w:val="20"/>
                <w:color w:val="auto"/>
              </w:rPr>
            </w:pPr>
            <w:r>
              <w:rPr>
                <w:rFonts w:ascii="Times New Roman" w:cs="Times New Roman" w:eastAsia="Times New Roman" w:hAnsi="Times New Roman"/>
                <w:sz w:val="10"/>
                <w:szCs w:val="10"/>
                <w:color w:val="auto"/>
              </w:rPr>
              <w:t>119,844</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119,844</w:t>
            </w: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(2)DBLP Sea Cow Ltd. (a company incorporated in the Seychelles) (“DBLP Sea Cow”) is wholly legally owned by Dan Wagner, Chief Executive Officer of Rezolve.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15.Operating leases as lessee</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The Company leased its head office space under a short-term lease which expired in the financial year 2021. The only other lease arrangement in place during the years ended December 31, 2022 and 2021 was for the Company’s Taiwanese subsidiary, Jaymax, which had a two-year lease in place since October 1, 2021. This lease was terminated in December 2022 to which an immaterial termination fee was incurred.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16.Income taxes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files its primary tax return in the United Kingdom (“the UK”). Its subsidiaries file income tax returns in the US, Spain, India and Taiwan. The income taxes of the Company are presented on a separate return basis for each tax-paying entity.</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components of our loss (income) before income taxes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40" w:type="dxa"/>
            <w:vAlign w:val="bottom"/>
          </w:tcPr>
          <w:p>
            <w:pPr>
              <w:spacing w:after="0"/>
              <w:rPr>
                <w:sz w:val="8"/>
                <w:szCs w:val="8"/>
                <w:color w:val="auto"/>
              </w:rPr>
            </w:pPr>
          </w:p>
        </w:tc>
        <w:tc>
          <w:tcPr>
            <w:tcW w:w="1100" w:type="dxa"/>
            <w:vAlign w:val="bottom"/>
          </w:tcPr>
          <w:p>
            <w:pPr>
              <w:jc w:val="right"/>
              <w:ind w:right="27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8"/>
                <w:szCs w:val="8"/>
                <w:color w:val="auto"/>
              </w:rPr>
            </w:pPr>
          </w:p>
        </w:tc>
      </w:tr>
      <w:tr>
        <w:trPr>
          <w:trHeight w:val="106"/>
        </w:trPr>
        <w:tc>
          <w:tcPr>
            <w:tcW w:w="15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40" w:type="dxa"/>
            <w:vAlign w:val="bottom"/>
          </w:tcPr>
          <w:p>
            <w:pPr>
              <w:spacing w:after="0"/>
              <w:rPr>
                <w:sz w:val="9"/>
                <w:szCs w:val="9"/>
                <w:color w:val="auto"/>
              </w:rPr>
            </w:pPr>
          </w:p>
        </w:tc>
        <w:tc>
          <w:tcPr>
            <w:tcW w:w="1100" w:type="dxa"/>
            <w:vAlign w:val="bottom"/>
          </w:tcPr>
          <w:p>
            <w:pPr>
              <w:jc w:val="right"/>
              <w:ind w:right="39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UK</w:t>
            </w:r>
          </w:p>
        </w:tc>
        <w:tc>
          <w:tcPr>
            <w:tcW w:w="2780" w:type="dxa"/>
            <w:vAlign w:val="bottom"/>
            <w:gridSpan w:val="3"/>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29,427,631</w:t>
            </w:r>
          </w:p>
        </w:tc>
        <w:tc>
          <w:tcPr>
            <w:tcW w:w="1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4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right w:val="single" w:sz="8" w:color="CFF0FC"/>
            </w:tcBorders>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107,945,740</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2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US</w:t>
            </w:r>
          </w:p>
        </w:tc>
        <w:tc>
          <w:tcPr>
            <w:tcW w:w="2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994,933</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634,526</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Spain</w:t>
            </w:r>
          </w:p>
        </w:tc>
        <w:tc>
          <w:tcPr>
            <w:tcW w:w="26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298,927</w:t>
            </w:r>
          </w:p>
        </w:tc>
        <w:tc>
          <w:tcPr>
            <w:tcW w:w="1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100" w:type="dxa"/>
            <w:vAlign w:val="bottom"/>
            <w:tcBorders>
              <w:right w:val="single" w:sz="8" w:color="CFF0FC"/>
            </w:tcBorders>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381,321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2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India</w:t>
            </w:r>
          </w:p>
        </w:tc>
        <w:tc>
          <w:tcPr>
            <w:tcW w:w="2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(92,982 )</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(300,433 )</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Taiwan</w:t>
            </w:r>
          </w:p>
        </w:tc>
        <w:tc>
          <w:tcPr>
            <w:tcW w:w="26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44,181</w:t>
            </w:r>
          </w:p>
        </w:tc>
        <w:tc>
          <w:tcPr>
            <w:tcW w:w="1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100" w:type="dxa"/>
            <w:vAlign w:val="bottom"/>
            <w:tcBorders>
              <w:right w:val="single" w:sz="8" w:color="CFF0FC"/>
            </w:tcBorders>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2,051,794</w:t>
            </w: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2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2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30,672,980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34"/>
              <w:spacing w:after="0" w:line="113" w:lineRule="exact"/>
              <w:rPr>
                <w:sz w:val="20"/>
                <w:szCs w:val="20"/>
                <w:color w:val="auto"/>
              </w:rPr>
            </w:pPr>
            <w:r>
              <w:rPr>
                <w:rFonts w:ascii="Times New Roman" w:cs="Times New Roman" w:eastAsia="Times New Roman" w:hAnsi="Times New Roman"/>
                <w:sz w:val="10"/>
                <w:szCs w:val="10"/>
                <w:b w:val="1"/>
                <w:bCs w:val="1"/>
                <w:color w:val="auto"/>
              </w:rPr>
              <w:t>110,712,948</w:t>
            </w:r>
          </w:p>
        </w:tc>
        <w:tc>
          <w:tcPr>
            <w:tcW w:w="1600" w:type="dxa"/>
            <w:vAlign w:val="bottom"/>
          </w:tcPr>
          <w:p>
            <w:pPr>
              <w:spacing w:after="0"/>
              <w:rPr>
                <w:sz w:val="10"/>
                <w:szCs w:val="10"/>
                <w:color w:val="auto"/>
              </w:rPr>
            </w:pPr>
          </w:p>
        </w:tc>
      </w:tr>
      <w:tr>
        <w:trPr>
          <w:trHeight w:val="261"/>
        </w:trPr>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Current Income tax expense (benefit) consists of:</w:t>
            </w:r>
          </w:p>
        </w:tc>
        <w:tc>
          <w:tcPr>
            <w:tcW w:w="2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41"/>
        </w:trPr>
        <w:tc>
          <w:tcPr>
            <w:tcW w:w="15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40" w:type="dxa"/>
            <w:vAlign w:val="bottom"/>
          </w:tcPr>
          <w:p>
            <w:pPr>
              <w:spacing w:after="0"/>
              <w:rPr>
                <w:sz w:val="20"/>
                <w:szCs w:val="20"/>
                <w:color w:val="auto"/>
              </w:rPr>
            </w:pPr>
          </w:p>
        </w:tc>
        <w:tc>
          <w:tcPr>
            <w:tcW w:w="1100" w:type="dxa"/>
            <w:vAlign w:val="bottom"/>
          </w:tcPr>
          <w:p>
            <w:pPr>
              <w:jc w:val="right"/>
              <w:ind w:right="29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20"/>
                <w:szCs w:val="20"/>
                <w:color w:val="auto"/>
              </w:rPr>
            </w:pPr>
          </w:p>
        </w:tc>
      </w:tr>
      <w:tr>
        <w:trPr>
          <w:trHeight w:val="106"/>
        </w:trPr>
        <w:tc>
          <w:tcPr>
            <w:tcW w:w="15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40" w:type="dxa"/>
            <w:vAlign w:val="bottom"/>
          </w:tcPr>
          <w:p>
            <w:pPr>
              <w:spacing w:after="0"/>
              <w:rPr>
                <w:sz w:val="9"/>
                <w:szCs w:val="9"/>
                <w:color w:val="auto"/>
              </w:rPr>
            </w:pPr>
          </w:p>
        </w:tc>
        <w:tc>
          <w:tcPr>
            <w:tcW w:w="1100" w:type="dxa"/>
            <w:vAlign w:val="bottom"/>
          </w:tcPr>
          <w:p>
            <w:pPr>
              <w:jc w:val="right"/>
              <w:ind w:right="41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Taiwan</w:t>
            </w:r>
          </w:p>
        </w:tc>
        <w:tc>
          <w:tcPr>
            <w:tcW w:w="26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0" w:type="dxa"/>
            <w:vAlign w:val="bottom"/>
            <w:gridSpan w:val="3"/>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FF0FC"/>
          </w:tcPr>
          <w:p>
            <w:pPr>
              <w:spacing w:after="0"/>
              <w:rPr>
                <w:sz w:val="9"/>
                <w:szCs w:val="9"/>
                <w:color w:val="auto"/>
              </w:rPr>
            </w:pPr>
          </w:p>
        </w:tc>
        <w:tc>
          <w:tcPr>
            <w:tcW w:w="1100" w:type="dxa"/>
            <w:vAlign w:val="bottom"/>
            <w:tcBorders>
              <w:right w:val="single" w:sz="8" w:color="CFF0FC"/>
            </w:tcBorders>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10,639</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2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India</w:t>
            </w:r>
          </w:p>
        </w:tc>
        <w:tc>
          <w:tcPr>
            <w:tcW w:w="2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63,408</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28,126</w:t>
            </w: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220" w:type="dxa"/>
            <w:vAlign w:val="bottom"/>
            <w:tcBorders>
              <w:bottom w:val="single" w:sz="8" w:color="CFF0FC"/>
            </w:tcBorders>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260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auto"/>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10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63,408</w:t>
            </w:r>
          </w:p>
        </w:tc>
        <w:tc>
          <w:tcPr>
            <w:tcW w:w="14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auto"/>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1100" w:type="dxa"/>
            <w:vAlign w:val="bottom"/>
            <w:tcBorders>
              <w:bottom w:val="single" w:sz="8" w:color="auto"/>
              <w:right w:val="single" w:sz="8" w:color="CFF0FC"/>
            </w:tcBorders>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b w:val="1"/>
                <w:bCs w:val="1"/>
                <w:color w:val="auto"/>
              </w:rPr>
              <w:t>38,765</w:t>
            </w:r>
          </w:p>
        </w:tc>
        <w:tc>
          <w:tcPr>
            <w:tcW w:w="1600" w:type="dxa"/>
            <w:vAlign w:val="bottom"/>
          </w:tcPr>
          <w:p>
            <w:pPr>
              <w:spacing w:after="0"/>
              <w:rPr>
                <w:sz w:val="10"/>
                <w:szCs w:val="10"/>
                <w:color w:val="auto"/>
              </w:rPr>
            </w:pPr>
          </w:p>
        </w:tc>
      </w:tr>
      <w:tr>
        <w:trPr>
          <w:trHeight w:val="290"/>
        </w:trPr>
        <w:tc>
          <w:tcPr>
            <w:tcW w:w="15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780" w:type="dxa"/>
            <w:vAlign w:val="bottom"/>
            <w:gridSpan w:val="3"/>
          </w:tcPr>
          <w:p>
            <w:pPr>
              <w:jc w:val="right"/>
              <w:ind w:right="1180"/>
              <w:spacing w:after="0"/>
              <w:rPr>
                <w:sz w:val="20"/>
                <w:szCs w:val="20"/>
                <w:color w:val="auto"/>
              </w:rPr>
            </w:pPr>
            <w:r>
              <w:rPr>
                <w:rFonts w:ascii="Times New Roman" w:cs="Times New Roman" w:eastAsia="Times New Roman" w:hAnsi="Times New Roman"/>
                <w:sz w:val="10"/>
                <w:szCs w:val="10"/>
                <w:color w:val="auto"/>
              </w:rPr>
              <w:t>F-57</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220" w:type="dxa"/>
            <w:vAlign w:val="bottom"/>
            <w:tcBorders>
              <w:bottom w:val="single" w:sz="8" w:color="EEEEEE"/>
            </w:tcBorders>
          </w:tcPr>
          <w:p>
            <w:pPr>
              <w:spacing w:after="0"/>
              <w:rPr>
                <w:sz w:val="24"/>
                <w:szCs w:val="24"/>
                <w:color w:val="auto"/>
              </w:rPr>
            </w:pPr>
          </w:p>
        </w:tc>
        <w:tc>
          <w:tcPr>
            <w:tcW w:w="260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10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Income tax benefit attributable to our loss before income taxes differs from the amounts computed using the applicable income tax rate as a result of the following factors:</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35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40" w:type="dxa"/>
            <w:vAlign w:val="bottom"/>
          </w:tcPr>
          <w:p>
            <w:pPr>
              <w:jc w:val="right"/>
              <w:ind w:right="333"/>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20" w:type="dxa"/>
            <w:vAlign w:val="bottom"/>
          </w:tcPr>
          <w:p>
            <w:pPr>
              <w:spacing w:after="0"/>
              <w:rPr>
                <w:sz w:val="8"/>
                <w:szCs w:val="8"/>
                <w:color w:val="auto"/>
              </w:rPr>
            </w:pP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35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140" w:type="dxa"/>
            <w:vAlign w:val="bottom"/>
          </w:tcPr>
          <w:p>
            <w:pPr>
              <w:jc w:val="right"/>
              <w:ind w:right="433"/>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20" w:type="dxa"/>
            <w:vAlign w:val="bottom"/>
          </w:tcPr>
          <w:p>
            <w:pPr>
              <w:spacing w:after="0"/>
              <w:rPr>
                <w:sz w:val="9"/>
                <w:szCs w:val="9"/>
                <w:color w:val="auto"/>
              </w:rPr>
            </w:pPr>
          </w:p>
        </w:tc>
        <w:tc>
          <w:tcPr>
            <w:tcW w:w="1080" w:type="dxa"/>
            <w:vAlign w:val="bottom"/>
          </w:tcPr>
          <w:p>
            <w:pPr>
              <w:jc w:val="right"/>
              <w:ind w:right="393"/>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Loss before income taxes</w:t>
            </w:r>
          </w:p>
        </w:tc>
        <w:tc>
          <w:tcPr>
            <w:tcW w:w="144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4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(30,672,690 )</w:t>
            </w:r>
          </w:p>
        </w:tc>
        <w:tc>
          <w:tcPr>
            <w:tcW w:w="22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(110,712,948 )</w:t>
            </w:r>
          </w:p>
        </w:tc>
      </w:tr>
      <w:tr>
        <w:trPr>
          <w:trHeight w:val="113"/>
        </w:trPr>
        <w:tc>
          <w:tcPr>
            <w:tcW w:w="35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Income tax benefit at statutory tax rates (a)</w:t>
            </w:r>
          </w:p>
        </w:tc>
        <w:tc>
          <w:tcPr>
            <w:tcW w:w="1440" w:type="dxa"/>
            <w:vAlign w:val="bottom"/>
          </w:tcPr>
          <w:p>
            <w:pPr>
              <w:spacing w:after="0"/>
              <w:rPr>
                <w:sz w:val="9"/>
                <w:szCs w:val="9"/>
                <w:color w:val="auto"/>
              </w:rPr>
            </w:pPr>
          </w:p>
        </w:tc>
        <w:tc>
          <w:tcPr>
            <w:tcW w:w="1140" w:type="dxa"/>
            <w:vAlign w:val="bottom"/>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7,208,082</w:t>
            </w:r>
          </w:p>
        </w:tc>
        <w:tc>
          <w:tcPr>
            <w:tcW w:w="220" w:type="dxa"/>
            <w:vAlign w:val="bottom"/>
          </w:tcPr>
          <w:p>
            <w:pPr>
              <w:spacing w:after="0"/>
              <w:rPr>
                <w:sz w:val="9"/>
                <w:szCs w:val="9"/>
                <w:color w:val="auto"/>
              </w:rPr>
            </w:pPr>
          </w:p>
        </w:tc>
        <w:tc>
          <w:tcPr>
            <w:tcW w:w="108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21,035,460</w:t>
            </w:r>
          </w:p>
        </w:tc>
      </w:tr>
      <w:tr>
        <w:trPr>
          <w:trHeight w:val="113"/>
        </w:trPr>
        <w:tc>
          <w:tcPr>
            <w:tcW w:w="3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Effect of:</w:t>
            </w:r>
          </w:p>
        </w:tc>
        <w:tc>
          <w:tcPr>
            <w:tcW w:w="144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r>
      <w:tr>
        <w:trPr>
          <w:trHeight w:val="106"/>
        </w:trPr>
        <w:tc>
          <w:tcPr>
            <w:tcW w:w="3560" w:type="dxa"/>
            <w:vAlign w:val="bottom"/>
          </w:tcPr>
          <w:p>
            <w:pPr>
              <w:ind w:left="20"/>
              <w:spacing w:after="0" w:line="106" w:lineRule="exact"/>
              <w:rPr>
                <w:sz w:val="20"/>
                <w:szCs w:val="20"/>
                <w:color w:val="auto"/>
              </w:rPr>
            </w:pPr>
            <w:r>
              <w:rPr>
                <w:rFonts w:ascii="Times New Roman" w:cs="Times New Roman" w:eastAsia="Times New Roman" w:hAnsi="Times New Roman"/>
                <w:sz w:val="10"/>
                <w:szCs w:val="10"/>
                <w:color w:val="auto"/>
              </w:rPr>
              <w:t>Non-deductible or non-taxable foreign currency exchange</w:t>
            </w:r>
          </w:p>
        </w:tc>
        <w:tc>
          <w:tcPr>
            <w:tcW w:w="1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19"/>
        </w:trPr>
        <w:tc>
          <w:tcPr>
            <w:tcW w:w="356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results</w:t>
            </w:r>
          </w:p>
        </w:tc>
        <w:tc>
          <w:tcPr>
            <w:tcW w:w="1440" w:type="dxa"/>
            <w:vAlign w:val="bottom"/>
          </w:tcPr>
          <w:p>
            <w:pPr>
              <w:spacing w:after="0"/>
              <w:rPr>
                <w:sz w:val="10"/>
                <w:szCs w:val="10"/>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(88,195 )</w:t>
            </w:r>
          </w:p>
        </w:tc>
        <w:tc>
          <w:tcPr>
            <w:tcW w:w="22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(214,299 )</w:t>
            </w:r>
          </w:p>
        </w:tc>
      </w:tr>
      <w:tr>
        <w:trPr>
          <w:trHeight w:val="113"/>
        </w:trPr>
        <w:tc>
          <w:tcPr>
            <w:tcW w:w="3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International rate differences (b)</w:t>
            </w:r>
          </w:p>
        </w:tc>
        <w:tc>
          <w:tcPr>
            <w:tcW w:w="1440" w:type="dxa"/>
            <w:vAlign w:val="bottom"/>
            <w:shd w:val="clear" w:color="auto" w:fill="CFF0FC"/>
          </w:tcPr>
          <w:p>
            <w:pPr>
              <w:spacing w:after="0"/>
              <w:rPr>
                <w:sz w:val="9"/>
                <w:szCs w:val="9"/>
                <w:color w:val="auto"/>
              </w:rPr>
            </w:pPr>
          </w:p>
        </w:tc>
        <w:tc>
          <w:tcPr>
            <w:tcW w:w="114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(9,845 )</w:t>
            </w:r>
          </w:p>
        </w:tc>
        <w:tc>
          <w:tcPr>
            <w:tcW w:w="220" w:type="dxa"/>
            <w:vAlign w:val="bottom"/>
            <w:shd w:val="clear" w:color="auto" w:fill="CFF0FC"/>
          </w:tcPr>
          <w:p>
            <w:pPr>
              <w:spacing w:after="0"/>
              <w:rPr>
                <w:sz w:val="9"/>
                <w:szCs w:val="9"/>
                <w:color w:val="auto"/>
              </w:rPr>
            </w:pPr>
          </w:p>
        </w:tc>
        <w:tc>
          <w:tcPr>
            <w:tcW w:w="108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282,884</w:t>
            </w:r>
          </w:p>
        </w:tc>
      </w:tr>
      <w:tr>
        <w:trPr>
          <w:trHeight w:val="113"/>
        </w:trPr>
        <w:tc>
          <w:tcPr>
            <w:tcW w:w="35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Non-deductible expenses</w:t>
            </w:r>
          </w:p>
        </w:tc>
        <w:tc>
          <w:tcPr>
            <w:tcW w:w="1440" w:type="dxa"/>
            <w:vAlign w:val="bottom"/>
          </w:tcPr>
          <w:p>
            <w:pPr>
              <w:spacing w:after="0"/>
              <w:rPr>
                <w:sz w:val="9"/>
                <w:szCs w:val="9"/>
                <w:color w:val="auto"/>
              </w:rPr>
            </w:pPr>
          </w:p>
        </w:tc>
        <w:tc>
          <w:tcPr>
            <w:tcW w:w="114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(2,050,426 )</w:t>
            </w:r>
          </w:p>
        </w:tc>
        <w:tc>
          <w:tcPr>
            <w:tcW w:w="220" w:type="dxa"/>
            <w:vAlign w:val="bottom"/>
          </w:tcPr>
          <w:p>
            <w:pPr>
              <w:spacing w:after="0"/>
              <w:rPr>
                <w:sz w:val="9"/>
                <w:szCs w:val="9"/>
                <w:color w:val="auto"/>
              </w:rPr>
            </w:pPr>
          </w:p>
        </w:tc>
        <w:tc>
          <w:tcPr>
            <w:tcW w:w="10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(14,818,455 )</w:t>
            </w:r>
          </w:p>
        </w:tc>
      </w:tr>
      <w:tr>
        <w:trPr>
          <w:trHeight w:val="113"/>
        </w:trPr>
        <w:tc>
          <w:tcPr>
            <w:tcW w:w="3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Change in valuation allowance</w:t>
            </w:r>
          </w:p>
        </w:tc>
        <w:tc>
          <w:tcPr>
            <w:tcW w:w="1440" w:type="dxa"/>
            <w:vAlign w:val="bottom"/>
            <w:shd w:val="clear" w:color="auto" w:fill="CFF0FC"/>
          </w:tcPr>
          <w:p>
            <w:pPr>
              <w:spacing w:after="0"/>
              <w:rPr>
                <w:sz w:val="9"/>
                <w:szCs w:val="9"/>
                <w:color w:val="auto"/>
              </w:rPr>
            </w:pPr>
          </w:p>
        </w:tc>
        <w:tc>
          <w:tcPr>
            <w:tcW w:w="114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(4,996,208 )</w:t>
            </w:r>
          </w:p>
        </w:tc>
        <w:tc>
          <w:tcPr>
            <w:tcW w:w="220" w:type="dxa"/>
            <w:vAlign w:val="bottom"/>
            <w:shd w:val="clear" w:color="auto" w:fill="CFF0FC"/>
          </w:tcPr>
          <w:p>
            <w:pPr>
              <w:spacing w:after="0"/>
              <w:rPr>
                <w:sz w:val="9"/>
                <w:szCs w:val="9"/>
                <w:color w:val="auto"/>
              </w:rPr>
            </w:pPr>
          </w:p>
        </w:tc>
        <w:tc>
          <w:tcPr>
            <w:tcW w:w="10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(6,246,825 )</w:t>
            </w:r>
          </w:p>
        </w:tc>
      </w:tr>
      <w:tr>
        <w:trPr>
          <w:trHeight w:val="125"/>
        </w:trPr>
        <w:tc>
          <w:tcPr>
            <w:tcW w:w="3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Income tax expense</w:t>
            </w:r>
          </w:p>
        </w:tc>
        <w:tc>
          <w:tcPr>
            <w:tcW w:w="1440" w:type="dxa"/>
            <w:vAlign w:val="bottom"/>
          </w:tcPr>
          <w:p>
            <w:pPr>
              <w:spacing w:after="0"/>
              <w:rPr>
                <w:sz w:val="10"/>
                <w:szCs w:val="10"/>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0"/>
                <w:szCs w:val="10"/>
                <w:color w:val="auto"/>
              </w:rPr>
              <w:t>63,408</w:t>
            </w:r>
          </w:p>
        </w:tc>
        <w:tc>
          <w:tcPr>
            <w:tcW w:w="220" w:type="dxa"/>
            <w:vAlign w:val="bottom"/>
          </w:tcPr>
          <w:p>
            <w:pPr>
              <w:spacing w:after="0"/>
              <w:rPr>
                <w:sz w:val="10"/>
                <w:szCs w:val="1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38,765</w:t>
            </w:r>
          </w:p>
        </w:tc>
      </w:tr>
    </w:tbl>
    <w:p>
      <w:pPr>
        <w:spacing w:after="0" w:line="123" w:lineRule="exact"/>
        <w:rPr>
          <w:sz w:val="20"/>
          <w:szCs w:val="20"/>
          <w:color w:val="auto"/>
        </w:rPr>
      </w:pPr>
    </w:p>
    <w:p>
      <w:pPr>
        <w:ind w:left="480" w:right="20"/>
        <w:spacing w:after="0" w:line="255" w:lineRule="auto"/>
        <w:rPr>
          <w:sz w:val="20"/>
          <w:szCs w:val="20"/>
          <w:color w:val="auto"/>
        </w:rPr>
      </w:pPr>
      <w:r>
        <w:rPr>
          <w:rFonts w:ascii="Times New Roman" w:cs="Times New Roman" w:eastAsia="Times New Roman" w:hAnsi="Times New Roman"/>
          <w:sz w:val="10"/>
          <w:szCs w:val="10"/>
          <w:color w:val="auto"/>
        </w:rPr>
        <w:t>(a)The statutory or “expected” tax rates are the U.K. rates of 23.5% for 2023 and 19.0% for 2022 and 2021. The 2023 statutory rate represents that blended rate in effect for the year ended December 31, 2023 based on the 19.0% statutory rate that was in effect for the first quarter of 2023 and the 25.0% statutory rate that was in effect for the remainder of 2023.</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(b)Amounts reflect adjustments (either a benefit or expense) to the “expected” tax expense for statutory rates in jurisdictions in which we operate outside of the UK.</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and its subsidiaries are liable to income taxes in their respective jurisdiction. The Company has unused tax losses as follows as at December 31, 2023:</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6"/>
        </w:trPr>
        <w:tc>
          <w:tcPr>
            <w:tcW w:w="310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Subsidiaries in Jurisdiction</w:t>
            </w:r>
          </w:p>
        </w:tc>
        <w:tc>
          <w:tcPr>
            <w:tcW w:w="3260" w:type="dxa"/>
            <w:vAlign w:val="bottom"/>
          </w:tcPr>
          <w:p>
            <w:pPr>
              <w:jc w:val="right"/>
              <w:ind w:right="293"/>
              <w:spacing w:after="0"/>
              <w:rPr>
                <w:sz w:val="20"/>
                <w:szCs w:val="20"/>
                <w:color w:val="auto"/>
              </w:rPr>
            </w:pPr>
            <w:r>
              <w:rPr>
                <w:rFonts w:ascii="Times New Roman" w:cs="Times New Roman" w:eastAsia="Times New Roman" w:hAnsi="Times New Roman"/>
                <w:sz w:val="8"/>
                <w:szCs w:val="8"/>
                <w:b w:val="1"/>
                <w:bCs w:val="1"/>
                <w:color w:val="auto"/>
              </w:rPr>
              <w:t>Tax loss carryforward</w:t>
            </w: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8"/>
                <w:szCs w:val="8"/>
                <w:b w:val="1"/>
                <w:bCs w:val="1"/>
                <w:color w:val="auto"/>
              </w:rPr>
              <w:t>Expiration date</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UK (1)</w:t>
            </w:r>
          </w:p>
        </w:tc>
        <w:tc>
          <w:tcPr>
            <w:tcW w:w="3260" w:type="dxa"/>
            <w:vAlign w:val="bottom"/>
            <w:shd w:val="clear" w:color="auto" w:fill="CFF0FC"/>
          </w:tcPr>
          <w:p>
            <w:pPr>
              <w:jc w:val="right"/>
              <w:ind w:right="173"/>
              <w:spacing w:after="0" w:line="113" w:lineRule="exact"/>
              <w:rPr>
                <w:sz w:val="20"/>
                <w:szCs w:val="20"/>
                <w:color w:val="auto"/>
              </w:rPr>
            </w:pPr>
            <w:r>
              <w:rPr>
                <w:rFonts w:ascii="Times New Roman" w:cs="Times New Roman" w:eastAsia="Times New Roman" w:hAnsi="Times New Roman"/>
                <w:sz w:val="10"/>
                <w:szCs w:val="10"/>
                <w:color w:val="auto"/>
              </w:rPr>
              <w:t>191,771,010</w:t>
            </w:r>
          </w:p>
        </w:tc>
        <w:tc>
          <w:tcPr>
            <w:tcW w:w="10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(1 )</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US</w:t>
            </w:r>
          </w:p>
        </w:tc>
        <w:tc>
          <w:tcPr>
            <w:tcW w:w="3260" w:type="dxa"/>
            <w:vAlign w:val="bottom"/>
          </w:tcPr>
          <w:p>
            <w:pPr>
              <w:jc w:val="right"/>
              <w:ind w:right="173"/>
              <w:spacing w:after="0" w:line="113" w:lineRule="exact"/>
              <w:rPr>
                <w:sz w:val="20"/>
                <w:szCs w:val="20"/>
                <w:color w:val="auto"/>
              </w:rPr>
            </w:pPr>
            <w:r>
              <w:rPr>
                <w:rFonts w:ascii="Times New Roman" w:cs="Times New Roman" w:eastAsia="Times New Roman" w:hAnsi="Times New Roman"/>
                <w:sz w:val="10"/>
                <w:szCs w:val="10"/>
                <w:color w:val="auto"/>
              </w:rPr>
              <w:t>5,542,459</w:t>
            </w:r>
          </w:p>
        </w:tc>
        <w:tc>
          <w:tcPr>
            <w:tcW w:w="108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Indefinite</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Spain</w:t>
            </w:r>
          </w:p>
        </w:tc>
        <w:tc>
          <w:tcPr>
            <w:tcW w:w="3260" w:type="dxa"/>
            <w:vAlign w:val="bottom"/>
            <w:shd w:val="clear" w:color="auto" w:fill="CFF0FC"/>
          </w:tcPr>
          <w:p>
            <w:pPr>
              <w:jc w:val="right"/>
              <w:ind w:right="153"/>
              <w:spacing w:after="0" w:line="113" w:lineRule="exact"/>
              <w:rPr>
                <w:sz w:val="20"/>
                <w:szCs w:val="20"/>
                <w:color w:val="auto"/>
              </w:rPr>
            </w:pPr>
            <w:r>
              <w:rPr>
                <w:rFonts w:ascii="Times New Roman" w:cs="Times New Roman" w:eastAsia="Times New Roman" w:hAnsi="Times New Roman"/>
                <w:sz w:val="10"/>
                <w:szCs w:val="10"/>
                <w:color w:val="auto"/>
              </w:rPr>
              <w:t>844,411</w:t>
            </w:r>
          </w:p>
        </w:tc>
        <w:tc>
          <w:tcPr>
            <w:tcW w:w="108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Indefinite</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India</w:t>
            </w:r>
          </w:p>
        </w:tc>
        <w:tc>
          <w:tcPr>
            <w:tcW w:w="3260" w:type="dxa"/>
            <w:vAlign w:val="bottom"/>
          </w:tcPr>
          <w:p>
            <w:pPr>
              <w:jc w:val="right"/>
              <w:ind w:right="173"/>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N/A</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Taiwan</w:t>
            </w:r>
          </w:p>
        </w:tc>
        <w:tc>
          <w:tcPr>
            <w:tcW w:w="3260" w:type="dxa"/>
            <w:vAlign w:val="bottom"/>
            <w:shd w:val="clear" w:color="auto" w:fill="CFF0FC"/>
          </w:tcPr>
          <w:p>
            <w:pPr>
              <w:jc w:val="right"/>
              <w:ind w:right="173"/>
              <w:spacing w:after="0" w:line="113" w:lineRule="exact"/>
              <w:rPr>
                <w:sz w:val="20"/>
                <w:szCs w:val="20"/>
                <w:color w:val="auto"/>
              </w:rPr>
            </w:pPr>
            <w:r>
              <w:rPr>
                <w:rFonts w:ascii="Times New Roman" w:cs="Times New Roman" w:eastAsia="Times New Roman" w:hAnsi="Times New Roman"/>
                <w:sz w:val="10"/>
                <w:szCs w:val="10"/>
                <w:color w:val="auto"/>
              </w:rPr>
              <w:t>2,359,658</w:t>
            </w:r>
          </w:p>
        </w:tc>
        <w:tc>
          <w:tcPr>
            <w:tcW w:w="108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10 years</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(1)Tax losses carried forward in Rezolve Limited will not be transferred to Rezolve AI Limited in the Demerger. As a result, all tax losses previously created in the UK will be lost upon completion of the Demerger.</w:t>
      </w:r>
    </w:p>
    <w:p>
      <w:pPr>
        <w:spacing w:after="0" w:line="58" w:lineRule="exact"/>
        <w:rPr>
          <w:sz w:val="20"/>
          <w:szCs w:val="20"/>
          <w:color w:val="auto"/>
        </w:rPr>
      </w:pPr>
    </w:p>
    <w:p>
      <w:pPr>
        <w:ind w:left="480" w:right="120"/>
        <w:spacing w:after="0" w:line="255" w:lineRule="auto"/>
        <w:rPr>
          <w:sz w:val="20"/>
          <w:szCs w:val="20"/>
          <w:color w:val="auto"/>
        </w:rPr>
      </w:pPr>
      <w:r>
        <w:rPr>
          <w:rFonts w:ascii="Times New Roman" w:cs="Times New Roman" w:eastAsia="Times New Roman" w:hAnsi="Times New Roman"/>
          <w:sz w:val="10"/>
          <w:szCs w:val="10"/>
          <w:color w:val="auto"/>
        </w:rPr>
        <w:t>(2)The Company has created a valuation allowance against the deferred tax asset resulting from such losses due to the Company’s history of past losses and lack of conclusive evidence to support the view that sufficient taxable profit will be generated in the future by the operating entities to offset such losses.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changes in our unrecognized tax benefits for the indicated periods are summarized below:</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36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960" w:type="dxa"/>
            <w:vAlign w:val="bottom"/>
          </w:tcPr>
          <w:p>
            <w:pPr>
              <w:jc w:val="right"/>
              <w:ind w:right="493"/>
              <w:spacing w:after="0"/>
              <w:rPr>
                <w:sz w:val="20"/>
                <w:szCs w:val="20"/>
                <w:color w:val="auto"/>
              </w:rPr>
            </w:pPr>
            <w:r>
              <w:rPr>
                <w:rFonts w:ascii="Times New Roman" w:cs="Times New Roman" w:eastAsia="Times New Roman" w:hAnsi="Times New Roman"/>
                <w:sz w:val="8"/>
                <w:szCs w:val="8"/>
                <w:b w:val="1"/>
                <w:bCs w:val="1"/>
                <w:color w:val="auto"/>
              </w:rPr>
              <w:t>2023</w:t>
            </w:r>
          </w:p>
        </w:tc>
        <w:tc>
          <w:tcPr>
            <w:tcW w:w="260" w:type="dxa"/>
            <w:vAlign w:val="bottom"/>
          </w:tcPr>
          <w:p>
            <w:pPr>
              <w:spacing w:after="0"/>
              <w:rPr>
                <w:sz w:val="8"/>
                <w:szCs w:val="8"/>
                <w:color w:val="auto"/>
              </w:rPr>
            </w:pPr>
          </w:p>
        </w:tc>
        <w:tc>
          <w:tcPr>
            <w:tcW w:w="920" w:type="dxa"/>
            <w:vAlign w:val="bottom"/>
          </w:tcPr>
          <w:p>
            <w:pPr>
              <w:jc w:val="right"/>
              <w:ind w:right="453"/>
              <w:spacing w:after="0"/>
              <w:rPr>
                <w:sz w:val="20"/>
                <w:szCs w:val="20"/>
                <w:color w:val="auto"/>
              </w:rPr>
            </w:pPr>
            <w:r>
              <w:rPr>
                <w:rFonts w:ascii="Times New Roman" w:cs="Times New Roman" w:eastAsia="Times New Roman" w:hAnsi="Times New Roman"/>
                <w:sz w:val="8"/>
                <w:szCs w:val="8"/>
                <w:b w:val="1"/>
                <w:bCs w:val="1"/>
                <w:color w:val="auto"/>
              </w:rPr>
              <w:t>2022</w:t>
            </w:r>
          </w:p>
        </w:tc>
      </w:tr>
      <w:tr>
        <w:trPr>
          <w:trHeight w:val="106"/>
        </w:trPr>
        <w:tc>
          <w:tcPr>
            <w:tcW w:w="36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960" w:type="dxa"/>
            <w:vAlign w:val="bottom"/>
          </w:tcPr>
          <w:p>
            <w:pPr>
              <w:jc w:val="right"/>
              <w:ind w:right="373"/>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60" w:type="dxa"/>
            <w:vAlign w:val="bottom"/>
          </w:tcPr>
          <w:p>
            <w:pPr>
              <w:spacing w:after="0"/>
              <w:rPr>
                <w:sz w:val="9"/>
                <w:szCs w:val="9"/>
                <w:color w:val="auto"/>
              </w:rPr>
            </w:pPr>
          </w:p>
        </w:tc>
        <w:tc>
          <w:tcPr>
            <w:tcW w:w="920" w:type="dxa"/>
            <w:vAlign w:val="bottom"/>
          </w:tcPr>
          <w:p>
            <w:pPr>
              <w:jc w:val="right"/>
              <w:ind w:right="313"/>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6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Balance at January 1</w:t>
            </w:r>
          </w:p>
        </w:tc>
        <w:tc>
          <w:tcPr>
            <w:tcW w:w="1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24,388,433</w:t>
            </w:r>
          </w:p>
        </w:tc>
        <w:tc>
          <w:tcPr>
            <w:tcW w:w="2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11,811,695</w:t>
            </w:r>
          </w:p>
        </w:tc>
      </w:tr>
      <w:tr>
        <w:trPr>
          <w:trHeight w:val="113"/>
        </w:trPr>
        <w:tc>
          <w:tcPr>
            <w:tcW w:w="36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Effect of rate changes</w:t>
            </w:r>
          </w:p>
        </w:tc>
        <w:tc>
          <w:tcPr>
            <w:tcW w:w="1660" w:type="dxa"/>
            <w:vAlign w:val="bottom"/>
          </w:tcPr>
          <w:p>
            <w:pPr>
              <w:spacing w:after="0"/>
              <w:rPr>
                <w:sz w:val="9"/>
                <w:szCs w:val="9"/>
                <w:color w:val="auto"/>
              </w:rPr>
            </w:pPr>
          </w:p>
        </w:tc>
        <w:tc>
          <w:tcPr>
            <w:tcW w:w="960" w:type="dxa"/>
            <w:vAlign w:val="bottom"/>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9"/>
                <w:szCs w:val="9"/>
                <w:color w:val="auto"/>
              </w:rPr>
            </w:pPr>
          </w:p>
        </w:tc>
        <w:tc>
          <w:tcPr>
            <w:tcW w:w="92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6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Additions based on tax positions related to current year</w:t>
            </w:r>
          </w:p>
        </w:tc>
        <w:tc>
          <w:tcPr>
            <w:tcW w:w="166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6,882,336</w:t>
            </w:r>
          </w:p>
        </w:tc>
        <w:tc>
          <w:tcPr>
            <w:tcW w:w="26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13,857,760</w:t>
            </w:r>
          </w:p>
        </w:tc>
      </w:tr>
      <w:tr>
        <w:trPr>
          <w:trHeight w:val="113"/>
        </w:trPr>
        <w:tc>
          <w:tcPr>
            <w:tcW w:w="36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Foreign currency translation</w:t>
            </w:r>
          </w:p>
        </w:tc>
        <w:tc>
          <w:tcPr>
            <w:tcW w:w="1660" w:type="dxa"/>
            <w:vAlign w:val="bottom"/>
          </w:tcPr>
          <w:p>
            <w:pPr>
              <w:spacing w:after="0"/>
              <w:rPr>
                <w:sz w:val="9"/>
                <w:szCs w:val="9"/>
                <w:color w:val="auto"/>
              </w:rPr>
            </w:pPr>
          </w:p>
        </w:tc>
        <w:tc>
          <w:tcPr>
            <w:tcW w:w="960" w:type="dxa"/>
            <w:vAlign w:val="bottom"/>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2,483,300</w:t>
            </w:r>
          </w:p>
        </w:tc>
        <w:tc>
          <w:tcPr>
            <w:tcW w:w="26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(1,281,022 )</w:t>
            </w:r>
          </w:p>
        </w:tc>
      </w:tr>
      <w:tr>
        <w:trPr>
          <w:trHeight w:val="113"/>
        </w:trPr>
        <w:tc>
          <w:tcPr>
            <w:tcW w:w="36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Balance at December 31</w:t>
            </w:r>
          </w:p>
        </w:tc>
        <w:tc>
          <w:tcPr>
            <w:tcW w:w="166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33,754,069</w:t>
            </w:r>
          </w:p>
        </w:tc>
        <w:tc>
          <w:tcPr>
            <w:tcW w:w="26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24,388,433</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 assurance can be given that any of these tax benefits will be recognized or realized.</w:t>
      </w:r>
    </w:p>
    <w:p>
      <w:pPr>
        <w:spacing w:after="0" w:line="118" w:lineRule="exact"/>
        <w:rPr>
          <w:sz w:val="20"/>
          <w:szCs w:val="20"/>
          <w:color w:val="auto"/>
        </w:rPr>
      </w:pPr>
    </w:p>
    <w:p>
      <w:pPr>
        <w:jc w:val="center"/>
        <w:ind w:left="1120"/>
        <w:spacing w:after="0" w:line="380" w:lineRule="auto"/>
        <w:rPr>
          <w:sz w:val="20"/>
          <w:szCs w:val="20"/>
          <w:color w:val="auto"/>
        </w:rPr>
      </w:pPr>
      <w:r>
        <w:rPr>
          <w:rFonts w:ascii="Times New Roman" w:cs="Times New Roman" w:eastAsia="Times New Roman" w:hAnsi="Times New Roman"/>
          <w:sz w:val="10"/>
          <w:szCs w:val="10"/>
          <w:color w:val="auto"/>
        </w:rPr>
        <w:t>During 2024, we do not expect any material reductions to our unrecognized tax benefits related to tax positions taken as of December 31, 2023. No assurance can be given as to the nature or impact of any changes in our unrecognized tax positions during 2023. 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tax effects of temporary differences that give rise to the significant portions of our deferred tax assets and liabilities are presented below:</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3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40" w:type="dxa"/>
            <w:vAlign w:val="bottom"/>
          </w:tcPr>
          <w:p>
            <w:pPr>
              <w:jc w:val="right"/>
              <w:ind w:right="273"/>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00" w:type="dxa"/>
            <w:vAlign w:val="bottom"/>
          </w:tcPr>
          <w:p>
            <w:pPr>
              <w:spacing w:after="0"/>
              <w:rPr>
                <w:sz w:val="8"/>
                <w:szCs w:val="8"/>
                <w:color w:val="auto"/>
              </w:rPr>
            </w:pPr>
          </w:p>
        </w:tc>
        <w:tc>
          <w:tcPr>
            <w:tcW w:w="960" w:type="dxa"/>
            <w:vAlign w:val="bottom"/>
          </w:tcPr>
          <w:p>
            <w:pPr>
              <w:jc w:val="right"/>
              <w:ind w:right="193"/>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34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40" w:type="dxa"/>
            <w:vAlign w:val="bottom"/>
          </w:tcPr>
          <w:p>
            <w:pPr>
              <w:jc w:val="right"/>
              <w:ind w:right="393"/>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00" w:type="dxa"/>
            <w:vAlign w:val="bottom"/>
          </w:tcPr>
          <w:p>
            <w:pPr>
              <w:spacing w:after="0"/>
              <w:rPr>
                <w:sz w:val="9"/>
                <w:szCs w:val="9"/>
                <w:color w:val="auto"/>
              </w:rPr>
            </w:pPr>
          </w:p>
        </w:tc>
        <w:tc>
          <w:tcPr>
            <w:tcW w:w="960" w:type="dxa"/>
            <w:vAlign w:val="bottom"/>
          </w:tcPr>
          <w:p>
            <w:pPr>
              <w:jc w:val="right"/>
              <w:ind w:right="313"/>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4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Deferred tax assets:</w:t>
            </w:r>
          </w:p>
        </w:tc>
        <w:tc>
          <w:tcPr>
            <w:tcW w:w="176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r>
      <w:tr>
        <w:trPr>
          <w:trHeight w:val="113"/>
        </w:trPr>
        <w:tc>
          <w:tcPr>
            <w:tcW w:w="34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Net operating loss and other carryforwards</w:t>
            </w:r>
          </w:p>
        </w:tc>
        <w:tc>
          <w:tcPr>
            <w:tcW w:w="1760" w:type="dxa"/>
            <w:vAlign w:val="bottom"/>
          </w:tcPr>
          <w:p>
            <w:pPr>
              <w:jc w:val="right"/>
              <w:ind w:right="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33,754,069</w:t>
            </w:r>
          </w:p>
        </w:tc>
        <w:tc>
          <w:tcPr>
            <w:tcW w:w="200" w:type="dxa"/>
            <w:vAlign w:val="bottom"/>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24,388,433</w:t>
            </w:r>
          </w:p>
        </w:tc>
      </w:tr>
      <w:tr>
        <w:trPr>
          <w:trHeight w:val="113"/>
        </w:trPr>
        <w:tc>
          <w:tcPr>
            <w:tcW w:w="34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PP&amp;E</w:t>
            </w:r>
          </w:p>
        </w:tc>
        <w:tc>
          <w:tcPr>
            <w:tcW w:w="1760" w:type="dxa"/>
            <w:vAlign w:val="bottom"/>
            <w:shd w:val="clear" w:color="auto" w:fill="CFF0FC"/>
          </w:tcPr>
          <w:p>
            <w:pPr>
              <w:spacing w:after="0"/>
              <w:rPr>
                <w:sz w:val="9"/>
                <w:szCs w:val="9"/>
                <w:color w:val="auto"/>
              </w:rPr>
            </w:pPr>
          </w:p>
        </w:tc>
        <w:tc>
          <w:tcPr>
            <w:tcW w:w="104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2,661</w:t>
            </w:r>
          </w:p>
        </w:tc>
      </w:tr>
      <w:tr>
        <w:trPr>
          <w:trHeight w:val="113"/>
        </w:trPr>
        <w:tc>
          <w:tcPr>
            <w:tcW w:w="34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Short-term debt</w:t>
            </w:r>
          </w:p>
        </w:tc>
        <w:tc>
          <w:tcPr>
            <w:tcW w:w="1760" w:type="dxa"/>
            <w:vAlign w:val="bottom"/>
          </w:tcPr>
          <w:p>
            <w:pPr>
              <w:spacing w:after="0"/>
              <w:rPr>
                <w:sz w:val="9"/>
                <w:szCs w:val="9"/>
                <w:color w:val="auto"/>
              </w:rPr>
            </w:pPr>
          </w:p>
        </w:tc>
        <w:tc>
          <w:tcPr>
            <w:tcW w:w="1040" w:type="dxa"/>
            <w:vAlign w:val="bottom"/>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1,556,454</w:t>
            </w:r>
          </w:p>
        </w:tc>
        <w:tc>
          <w:tcPr>
            <w:tcW w:w="200" w:type="dxa"/>
            <w:vAlign w:val="bottom"/>
          </w:tcPr>
          <w:p>
            <w:pPr>
              <w:spacing w:after="0"/>
              <w:rPr>
                <w:sz w:val="9"/>
                <w:szCs w:val="9"/>
                <w:color w:val="auto"/>
              </w:rPr>
            </w:pPr>
          </w:p>
        </w:tc>
        <w:tc>
          <w:tcPr>
            <w:tcW w:w="96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174,267</w:t>
            </w:r>
          </w:p>
        </w:tc>
      </w:tr>
      <w:tr>
        <w:trPr>
          <w:trHeight w:val="113"/>
        </w:trPr>
        <w:tc>
          <w:tcPr>
            <w:tcW w:w="34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 liability</w:t>
            </w:r>
          </w:p>
        </w:tc>
        <w:tc>
          <w:tcPr>
            <w:tcW w:w="1760" w:type="dxa"/>
            <w:vAlign w:val="bottom"/>
            <w:shd w:val="clear" w:color="auto" w:fill="CFF0FC"/>
          </w:tcPr>
          <w:p>
            <w:pPr>
              <w:spacing w:after="0"/>
              <w:rPr>
                <w:sz w:val="9"/>
                <w:szCs w:val="9"/>
                <w:color w:val="auto"/>
              </w:rPr>
            </w:pPr>
          </w:p>
        </w:tc>
        <w:tc>
          <w:tcPr>
            <w:tcW w:w="104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327,757</w:t>
            </w:r>
          </w:p>
        </w:tc>
        <w:tc>
          <w:tcPr>
            <w:tcW w:w="20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294,404</w:t>
            </w:r>
          </w:p>
        </w:tc>
      </w:tr>
      <w:tr>
        <w:trPr>
          <w:trHeight w:val="113"/>
        </w:trPr>
        <w:tc>
          <w:tcPr>
            <w:tcW w:w="34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debt</w:t>
            </w:r>
          </w:p>
        </w:tc>
        <w:tc>
          <w:tcPr>
            <w:tcW w:w="1760" w:type="dxa"/>
            <w:vAlign w:val="bottom"/>
          </w:tcPr>
          <w:p>
            <w:pPr>
              <w:spacing w:after="0"/>
              <w:rPr>
                <w:sz w:val="9"/>
                <w:szCs w:val="9"/>
                <w:color w:val="auto"/>
              </w:rPr>
            </w:pPr>
          </w:p>
        </w:tc>
        <w:tc>
          <w:tcPr>
            <w:tcW w:w="1040" w:type="dxa"/>
            <w:vAlign w:val="bottom"/>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8,110,222</w:t>
            </w:r>
          </w:p>
        </w:tc>
        <w:tc>
          <w:tcPr>
            <w:tcW w:w="200" w:type="dxa"/>
            <w:vAlign w:val="bottom"/>
          </w:tcPr>
          <w:p>
            <w:pPr>
              <w:spacing w:after="0"/>
              <w:rPr>
                <w:sz w:val="9"/>
                <w:szCs w:val="9"/>
                <w:color w:val="auto"/>
              </w:rPr>
            </w:pPr>
          </w:p>
        </w:tc>
        <w:tc>
          <w:tcPr>
            <w:tcW w:w="96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6,325,677</w:t>
            </w:r>
          </w:p>
        </w:tc>
      </w:tr>
      <w:tr>
        <w:trPr>
          <w:trHeight w:val="113"/>
        </w:trPr>
        <w:tc>
          <w:tcPr>
            <w:tcW w:w="34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Deferred tax assets</w:t>
            </w:r>
          </w:p>
        </w:tc>
        <w:tc>
          <w:tcPr>
            <w:tcW w:w="1760" w:type="dxa"/>
            <w:vAlign w:val="bottom"/>
            <w:shd w:val="clear" w:color="auto" w:fill="CFF0FC"/>
          </w:tcPr>
          <w:p>
            <w:pPr>
              <w:spacing w:after="0"/>
              <w:rPr>
                <w:sz w:val="9"/>
                <w:szCs w:val="9"/>
                <w:color w:val="auto"/>
              </w:rPr>
            </w:pPr>
          </w:p>
        </w:tc>
        <w:tc>
          <w:tcPr>
            <w:tcW w:w="104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43,748,501</w:t>
            </w:r>
          </w:p>
        </w:tc>
        <w:tc>
          <w:tcPr>
            <w:tcW w:w="20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31,185,442</w:t>
            </w:r>
          </w:p>
        </w:tc>
      </w:tr>
      <w:tr>
        <w:trPr>
          <w:trHeight w:val="113"/>
        </w:trPr>
        <w:tc>
          <w:tcPr>
            <w:tcW w:w="34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Valuation allowance</w:t>
            </w:r>
          </w:p>
        </w:tc>
        <w:tc>
          <w:tcPr>
            <w:tcW w:w="1760" w:type="dxa"/>
            <w:vAlign w:val="bottom"/>
          </w:tcPr>
          <w:p>
            <w:pPr>
              <w:spacing w:after="0"/>
              <w:rPr>
                <w:sz w:val="9"/>
                <w:szCs w:val="9"/>
                <w:color w:val="auto"/>
              </w:rPr>
            </w:pPr>
          </w:p>
        </w:tc>
        <w:tc>
          <w:tcPr>
            <w:tcW w:w="104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(43,748,501 )</w:t>
            </w:r>
          </w:p>
        </w:tc>
        <w:tc>
          <w:tcPr>
            <w:tcW w:w="200" w:type="dxa"/>
            <w:vAlign w:val="bottom"/>
          </w:tcPr>
          <w:p>
            <w:pPr>
              <w:spacing w:after="0"/>
              <w:rPr>
                <w:sz w:val="9"/>
                <w:szCs w:val="9"/>
                <w:color w:val="auto"/>
              </w:rPr>
            </w:pPr>
          </w:p>
        </w:tc>
        <w:tc>
          <w:tcPr>
            <w:tcW w:w="9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(31,185,442 )</w:t>
            </w:r>
          </w:p>
        </w:tc>
      </w:tr>
      <w:tr>
        <w:trPr>
          <w:trHeight w:val="113"/>
        </w:trPr>
        <w:tc>
          <w:tcPr>
            <w:tcW w:w="34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Deferred tax assets, net of valuation allowance</w:t>
            </w:r>
          </w:p>
        </w:tc>
        <w:tc>
          <w:tcPr>
            <w:tcW w:w="1760" w:type="dxa"/>
            <w:vAlign w:val="bottom"/>
            <w:shd w:val="clear" w:color="auto" w:fill="CFF0FC"/>
          </w:tcPr>
          <w:p>
            <w:pPr>
              <w:spacing w:after="0"/>
              <w:rPr>
                <w:sz w:val="9"/>
                <w:szCs w:val="9"/>
                <w:color w:val="auto"/>
              </w:rPr>
            </w:pPr>
          </w:p>
        </w:tc>
        <w:tc>
          <w:tcPr>
            <w:tcW w:w="104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w:t>
            </w:r>
          </w:p>
        </w:tc>
      </w:tr>
    </w:tbl>
    <w:p>
      <w:pPr>
        <w:spacing w:after="0" w:line="136" w:lineRule="exact"/>
        <w:rPr>
          <w:sz w:val="20"/>
          <w:szCs w:val="20"/>
          <w:color w:val="auto"/>
        </w:rPr>
      </w:pPr>
    </w:p>
    <w:p>
      <w:pPr>
        <w:ind w:right="60" w:firstLine="480"/>
        <w:spacing w:after="0" w:line="285" w:lineRule="auto"/>
        <w:rPr>
          <w:sz w:val="20"/>
          <w:szCs w:val="20"/>
          <w:color w:val="auto"/>
        </w:rPr>
      </w:pPr>
      <w:r>
        <w:rPr>
          <w:rFonts w:ascii="Times New Roman" w:cs="Times New Roman" w:eastAsia="Times New Roman" w:hAnsi="Times New Roman"/>
          <w:sz w:val="9"/>
          <w:szCs w:val="9"/>
          <w:color w:val="auto"/>
        </w:rPr>
        <w:t>The Company files income tax returns as prescribed by the tax laws of its operating jurisdictions. In the normal course of business, the Company is subject to examination by tax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spacing w:after="0" w:line="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not recognized any uncertain tax position for the year ended December 31, 2023 and December 31,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17.Subsequent events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For financial statements as of December 31, 2023, we have evaluated subsequent events through April 28, 2024, which is the date such financial statements are available to be issued.</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i w:val="1"/>
          <w:iCs w:val="1"/>
          <w:u w:val="single" w:color="auto"/>
          <w:color w:val="auto"/>
        </w:rPr>
        <w:t>Igor Loan amendment</w:t>
      </w:r>
    </w:p>
    <w:p>
      <w:pPr>
        <w:spacing w:after="0" w:line="60" w:lineRule="exact"/>
        <w:rPr>
          <w:sz w:val="20"/>
          <w:szCs w:val="20"/>
          <w:color w:val="auto"/>
        </w:rPr>
      </w:pPr>
    </w:p>
    <w:p>
      <w:pPr>
        <w:ind w:left="480"/>
        <w:spacing w:after="0" w:line="239" w:lineRule="auto"/>
        <w:rPr>
          <w:sz w:val="20"/>
          <w:szCs w:val="20"/>
          <w:color w:val="auto"/>
        </w:rPr>
      </w:pPr>
      <w:r>
        <w:rPr>
          <w:rFonts w:ascii="Times New Roman" w:cs="Times New Roman" w:eastAsia="Times New Roman" w:hAnsi="Times New Roman"/>
          <w:sz w:val="10"/>
          <w:szCs w:val="10"/>
          <w:color w:val="auto"/>
        </w:rPr>
        <w:t>In March 2023, the Company obtained two unsecured convertible loans from a related party (Igor Lychagov) consisting of $2,000,000 and €2,000,000. Each loan bears a borrowing fee of $660,000 and € 660,000,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7.3). The loan principal and accrued borrowing fees were rounded to a sum of $8,000,000. The key terms of the loan amendment include that of the senior secured convertible notes, as noted below:</w:t>
      </w:r>
    </w:p>
    <w:p>
      <w:pPr>
        <w:spacing w:after="0" w:line="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interest rate was reduced to 7.5% per annum from the date that the amendment was executed.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•Conversion into ordinary shares of the Company is at the option of the investor from any date of an IPO or Business Combination with a publicly listed company.</w:t>
      </w:r>
    </w:p>
    <w:p>
      <w:pPr>
        <w:spacing w:after="0" w:line="58" w:lineRule="exact"/>
        <w:rPr>
          <w:sz w:val="20"/>
          <w:szCs w:val="20"/>
          <w:color w:val="auto"/>
        </w:rPr>
      </w:pPr>
    </w:p>
    <w:p>
      <w:pPr>
        <w:ind w:left="480" w:right="300"/>
        <w:spacing w:after="0" w:line="255" w:lineRule="auto"/>
        <w:rPr>
          <w:sz w:val="20"/>
          <w:szCs w:val="20"/>
          <w:color w:val="auto"/>
        </w:rPr>
      </w:pPr>
      <w:r>
        <w:rPr>
          <w:rFonts w:ascii="Times New Roman" w:cs="Times New Roman" w:eastAsia="Times New Roman" w:hAnsi="Times New Roman"/>
          <w:sz w:val="10"/>
          <w:szCs w:val="10"/>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01" w:lineRule="exact"/>
        <w:rPr>
          <w:sz w:val="20"/>
          <w:szCs w:val="20"/>
          <w:color w:val="auto"/>
        </w:rPr>
      </w:pPr>
    </w:p>
    <w:p>
      <w:pPr>
        <w:jc w:val="right"/>
        <w:ind w:right="5180"/>
        <w:spacing w:after="0"/>
        <w:rPr>
          <w:sz w:val="20"/>
          <w:szCs w:val="20"/>
          <w:color w:val="auto"/>
        </w:rPr>
      </w:pPr>
      <w:r>
        <w:rPr>
          <w:rFonts w:ascii="Times New Roman" w:cs="Times New Roman" w:eastAsia="Times New Roman" w:hAnsi="Times New Roman"/>
          <w:sz w:val="10"/>
          <w:szCs w:val="10"/>
          <w:color w:val="auto"/>
        </w:rPr>
        <w:t>As a result of the loan amendment and addition to the Company’s senior secured convertible notes, the default was remediated.</w:t>
      </w:r>
    </w:p>
    <w:p>
      <w:pPr>
        <w:spacing w:after="0" w:line="58" w:lineRule="exact"/>
        <w:rPr>
          <w:sz w:val="20"/>
          <w:szCs w:val="20"/>
          <w:color w:val="auto"/>
        </w:rPr>
      </w:pPr>
    </w:p>
    <w:p>
      <w:pPr>
        <w:jc w:val="right"/>
        <w:ind w:right="5220"/>
        <w:spacing w:after="0"/>
        <w:rPr>
          <w:sz w:val="20"/>
          <w:szCs w:val="20"/>
          <w:color w:val="auto"/>
        </w:rPr>
      </w:pPr>
      <w:r>
        <w:rPr>
          <w:rFonts w:ascii="Times New Roman" w:cs="Times New Roman" w:eastAsia="Times New Roman" w:hAnsi="Times New Roman"/>
          <w:sz w:val="10"/>
          <w:szCs w:val="10"/>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u w:val="single" w:color="auto"/>
          <w:color w:val="auto"/>
        </w:rPr>
        <w:t>Yorkville Standby Equity Purchase Agreement (“SEPA”)</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On 2nd February 2024, the Company obtained an unsecured loan of $2,000,000 from YA II PN, LTD (“Yorkville”) with principal amount of $2,500,000. The Yorkville Note was issued at a 20% discount to the principal amount, and has a maturity date falling 6 months from the date of issue (unless extended by Yorkville) subject to acceleration upon the occurrence of an event of default.</w:t>
      </w:r>
    </w:p>
    <w:p>
      <w:pPr>
        <w:spacing w:after="0" w:line="101" w:lineRule="exact"/>
        <w:rPr>
          <w:sz w:val="20"/>
          <w:szCs w:val="20"/>
          <w:color w:val="auto"/>
        </w:rPr>
      </w:pPr>
    </w:p>
    <w:p>
      <w:pPr>
        <w:ind w:right="340" w:firstLine="480"/>
        <w:spacing w:after="0" w:line="255" w:lineRule="auto"/>
        <w:rPr>
          <w:sz w:val="20"/>
          <w:szCs w:val="20"/>
          <w:color w:val="auto"/>
        </w:rPr>
      </w:pPr>
      <w:r>
        <w:rPr>
          <w:rFonts w:ascii="Times New Roman" w:cs="Times New Roman" w:eastAsia="Times New Roman" w:hAnsi="Times New Roman"/>
          <w:sz w:val="10"/>
          <w:szCs w:val="10"/>
          <w:color w:val="auto"/>
        </w:rPr>
        <w:t>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w:t>
      </w:r>
    </w:p>
    <w:p>
      <w:pPr>
        <w:spacing w:after="0" w:line="101" w:lineRule="exact"/>
        <w:rPr>
          <w:sz w:val="20"/>
          <w:szCs w:val="20"/>
          <w:color w:val="auto"/>
        </w:rPr>
      </w:pPr>
    </w:p>
    <w:p>
      <w:pPr>
        <w:ind w:right="160" w:firstLine="480"/>
        <w:spacing w:after="0" w:line="310" w:lineRule="auto"/>
        <w:rPr>
          <w:sz w:val="20"/>
          <w:szCs w:val="20"/>
          <w:color w:val="auto"/>
        </w:rPr>
      </w:pPr>
      <w:r>
        <w:rPr>
          <w:rFonts w:ascii="Times New Roman" w:cs="Times New Roman" w:eastAsia="Times New Roman" w:hAnsi="Times New Roman"/>
          <w:sz w:val="9"/>
          <w:szCs w:val="9"/>
          <w:color w:val="auto"/>
        </w:rPr>
        <w:t>The Yorkville Note is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78" w:lineRule="exact"/>
        <w:rPr>
          <w:sz w:val="20"/>
          <w:szCs w:val="20"/>
          <w:color w:val="auto"/>
        </w:rPr>
      </w:pPr>
    </w:p>
    <w:p>
      <w:pPr>
        <w:ind w:right="100" w:firstLine="480"/>
        <w:spacing w:after="0" w:line="310" w:lineRule="auto"/>
        <w:rPr>
          <w:sz w:val="20"/>
          <w:szCs w:val="20"/>
          <w:color w:val="auto"/>
        </w:rPr>
      </w:pPr>
      <w:r>
        <w:rPr>
          <w:rFonts w:ascii="Times New Roman" w:cs="Times New Roman" w:eastAsia="Times New Roman" w:hAnsi="Times New Roman"/>
          <w:sz w:val="9"/>
          <w:szCs w:val="9"/>
          <w:color w:val="auto"/>
        </w:rPr>
        <w:t>In connection with the Yorkville note, an additional convertible promissory note (“the Other Promissory notes”) was offered to certain other investors on the same terms as the Yorkville Note. The Other Promissory Notes have a face value of $2,877,319 and were issued at a 20% discount. The interest rate was agreed at 10.0% per annum from the date the agreement was executed. Interest increases to 18% upon the occurrence of an event of default. The Other Promissory notes have a maturity date six months from issue.</w:t>
      </w:r>
    </w:p>
    <w:p>
      <w:pPr>
        <w:spacing w:after="0" w:line="78" w:lineRule="exact"/>
        <w:rPr>
          <w:sz w:val="20"/>
          <w:szCs w:val="20"/>
          <w:color w:val="auto"/>
        </w:rPr>
      </w:pPr>
    </w:p>
    <w:p>
      <w:pPr>
        <w:ind w:firstLine="480"/>
        <w:spacing w:after="0" w:line="310" w:lineRule="auto"/>
        <w:rPr>
          <w:sz w:val="20"/>
          <w:szCs w:val="20"/>
          <w:color w:val="auto"/>
        </w:rPr>
      </w:pPr>
      <w:r>
        <w:rPr>
          <w:rFonts w:ascii="Times New Roman" w:cs="Times New Roman" w:eastAsia="Times New Roman" w:hAnsi="Times New Roman"/>
          <w:sz w:val="9"/>
          <w:szCs w:val="9"/>
          <w:color w:val="auto"/>
        </w:rPr>
        <w:t>The Other Promissory Notes are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78"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($7,500,000), which will be in three tranches, with the first tranche in an original principal amount of Two Million Five Hundred Thousand Dollars ($2,500,000) (the "</w:t>
      </w:r>
      <w:r>
        <w:rPr>
          <w:rFonts w:ascii="Times New Roman" w:cs="Times New Roman" w:eastAsia="Times New Roman" w:hAnsi="Times New Roman"/>
          <w:sz w:val="10"/>
          <w:szCs w:val="10"/>
          <w:b w:val="1"/>
          <w:bCs w:val="1"/>
          <w:i w:val="1"/>
          <w:iCs w:val="1"/>
          <w:color w:val="auto"/>
        </w:rPr>
        <w:t>First YA Note</w:t>
      </w:r>
      <w:r>
        <w:rPr>
          <w:rFonts w:ascii="Times New Roman" w:cs="Times New Roman" w:eastAsia="Times New Roman" w:hAnsi="Times New Roman"/>
          <w:sz w:val="10"/>
          <w:szCs w:val="10"/>
          <w:color w:val="auto"/>
        </w:rPr>
        <w:t>") funded upon execution of the Second A&amp;R YA Agreement, the second tranche in an original principal amount of Two Million Five Hundred Thousand Dollars ($2,500,000) funded upon filing of the Company’s F-1 registration statement, and the third tranche in an original principal amount of Two Million Five Hundred Thousand Dollars ($2,500,000) to be funded upon the effectiveness of the F-1 registration statement. The Second A&amp;R YA Agreement superseded the YA Agreement. The maturity date of the Yorkville Note and the Other Promissory Notes were extended to September 11th, 2025.</w:t>
      </w:r>
    </w:p>
    <w:p>
      <w:pPr>
        <w:spacing w:after="0" w:line="110" w:lineRule="exact"/>
        <w:rPr>
          <w:sz w:val="20"/>
          <w:szCs w:val="20"/>
          <w:color w:val="auto"/>
        </w:rPr>
      </w:pPr>
    </w:p>
    <w:p>
      <w:pPr>
        <w:ind w:firstLine="615"/>
        <w:spacing w:after="0" w:line="241" w:lineRule="auto"/>
        <w:rPr>
          <w:sz w:val="20"/>
          <w:szCs w:val="20"/>
          <w:color w:val="auto"/>
        </w:rPr>
      </w:pPr>
      <w:r>
        <w:rPr>
          <w:rFonts w:ascii="Times New Roman" w:cs="Times New Roman" w:eastAsia="Times New Roman" w:hAnsi="Times New Roman"/>
          <w:sz w:val="10"/>
          <w:szCs w:val="10"/>
          <w:color w:val="auto"/>
        </w:rPr>
        <w:t>In connection with the Second A&amp;R YA Agreement and upon effectiveness of the F-1 Registration Statement originally filed with U.S. Securities and Exchange Commission on September 6, 2024, and declared effective on November 27, 2024, on November 29, 2024, Rezolve issued YA a promissory note in the principal amount of $2,500,000 (the “</w:t>
      </w:r>
      <w:r>
        <w:rPr>
          <w:rFonts w:ascii="Times New Roman" w:cs="Times New Roman" w:eastAsia="Times New Roman" w:hAnsi="Times New Roman"/>
          <w:sz w:val="10"/>
          <w:szCs w:val="10"/>
          <w:b w:val="1"/>
          <w:bCs w:val="1"/>
          <w:i w:val="1"/>
          <w:iCs w:val="1"/>
          <w:color w:val="auto"/>
        </w:rPr>
        <w:t>Third YA Note</w:t>
      </w:r>
      <w:r>
        <w:rPr>
          <w:rFonts w:ascii="Times New Roman" w:cs="Times New Roman" w:eastAsia="Times New Roman" w:hAnsi="Times New Roman"/>
          <w:sz w:val="10"/>
          <w:szCs w:val="10"/>
          <w:color w:val="auto"/>
        </w:rPr>
        <w:t xml:space="preserve">”, and together with the </w:t>
      </w:r>
      <w:r>
        <w:rPr>
          <w:rFonts w:ascii="Times New Roman" w:cs="Times New Roman" w:eastAsia="Times New Roman" w:hAnsi="Times New Roman"/>
          <w:sz w:val="10"/>
          <w:szCs w:val="10"/>
          <w:b w:val="1"/>
          <w:bCs w:val="1"/>
          <w:i w:val="1"/>
          <w:iCs w:val="1"/>
          <w:color w:val="auto"/>
        </w:rPr>
        <w:t>First YA Note</w:t>
      </w:r>
      <w:r>
        <w:rPr>
          <w:rFonts w:ascii="Times New Roman" w:cs="Times New Roman" w:eastAsia="Times New Roman" w:hAnsi="Times New Roman"/>
          <w:sz w:val="10"/>
          <w:szCs w:val="10"/>
          <w:color w:val="auto"/>
        </w:rPr>
        <w:t xml:space="preserve"> and </w:t>
      </w:r>
      <w:r>
        <w:rPr>
          <w:rFonts w:ascii="Times New Roman" w:cs="Times New Roman" w:eastAsia="Times New Roman" w:hAnsi="Times New Roman"/>
          <w:sz w:val="10"/>
          <w:szCs w:val="10"/>
          <w:b w:val="1"/>
          <w:bCs w:val="1"/>
          <w:i w:val="1"/>
          <w:iCs w:val="1"/>
          <w:color w:val="auto"/>
        </w:rPr>
        <w:t>Second YA Note</w:t>
      </w:r>
      <w:r>
        <w:rPr>
          <w:rFonts w:ascii="Times New Roman" w:cs="Times New Roman" w:eastAsia="Times New Roman" w:hAnsi="Times New Roman"/>
          <w:sz w:val="10"/>
          <w:szCs w:val="10"/>
          <w:color w:val="auto"/>
        </w:rPr>
        <w:t>, the "</w:t>
      </w:r>
      <w:r>
        <w:rPr>
          <w:rFonts w:ascii="Times New Roman" w:cs="Times New Roman" w:eastAsia="Times New Roman" w:hAnsi="Times New Roman"/>
          <w:sz w:val="10"/>
          <w:szCs w:val="10"/>
          <w:b w:val="1"/>
          <w:bCs w:val="1"/>
          <w:i w:val="1"/>
          <w:iCs w:val="1"/>
          <w:color w:val="auto"/>
        </w:rPr>
        <w:t>YA Notes</w:t>
      </w:r>
      <w:r>
        <w:rPr>
          <w:rFonts w:ascii="Times New Roman" w:cs="Times New Roman" w:eastAsia="Times New Roman" w:hAnsi="Times New Roman"/>
          <w:sz w:val="10"/>
          <w:szCs w:val="10"/>
          <w:color w:val="auto"/>
        </w:rPr>
        <w:t>"), reflecting the third tranche of the prepaid advances. The YA Notes bear interest at an annual rate of 10% of the outstanding principal balance of the YA Notes and mature on September 11, 2025. Under the YA Notes, YA may elect to convert all or part of the amount outstanding under the Note into ordinary shares of Rezolve at the Conversion Price (as defined in the Note), subject to certain limitations. Rezolve has the right to redeem early a portion or all amounts outstanding under the Note upon 10 days written notice upon the occurrence of certain events.</w:t>
      </w:r>
    </w:p>
    <w:p>
      <w:pPr>
        <w:spacing w:after="0" w:line="101" w:lineRule="exact"/>
        <w:rPr>
          <w:sz w:val="20"/>
          <w:szCs w:val="20"/>
          <w:color w:val="auto"/>
        </w:rPr>
      </w:pPr>
    </w:p>
    <w:p>
      <w:pPr>
        <w:ind w:right="60" w:firstLine="705"/>
        <w:spacing w:after="0" w:line="255" w:lineRule="auto"/>
        <w:rPr>
          <w:sz w:val="20"/>
          <w:szCs w:val="20"/>
          <w:color w:val="auto"/>
        </w:rPr>
      </w:pPr>
      <w:r>
        <w:rPr>
          <w:rFonts w:ascii="Times New Roman" w:cs="Times New Roman" w:eastAsia="Times New Roman" w:hAnsi="Times New Roman"/>
          <w:sz w:val="10"/>
          <w:szCs w:val="10"/>
          <w:color w:val="auto"/>
        </w:rPr>
        <w:t>As of December 30, 2024, the Company satisfied all of the the principal and interest outstanding under the YA Notes. In connection therewith, the Company issued an aggregate of 5,724,154 Ordinary Shares (including in payment of a fee to YA). As of the date hereof, no amount remains outstanding under the YA Notes.</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u w:val="single" w:color="auto"/>
          <w:color w:val="auto"/>
        </w:rPr>
        <w:t>Promissory note</w:t>
      </w:r>
    </w:p>
    <w:p>
      <w:pPr>
        <w:spacing w:after="0" w:line="68" w:lineRule="exact"/>
        <w:rPr>
          <w:sz w:val="20"/>
          <w:szCs w:val="20"/>
          <w:color w:val="auto"/>
        </w:rPr>
      </w:pPr>
    </w:p>
    <w:p>
      <w:pPr>
        <w:ind w:right="60" w:firstLine="480"/>
        <w:spacing w:after="0" w:line="217" w:lineRule="auto"/>
        <w:rPr>
          <w:sz w:val="20"/>
          <w:szCs w:val="20"/>
          <w:color w:val="auto"/>
        </w:rPr>
      </w:pPr>
      <w:r>
        <w:rPr>
          <w:rFonts w:ascii="Times New Roman" w:cs="Times New Roman" w:eastAsia="Times New Roman" w:hAnsi="Times New Roman"/>
          <w:sz w:val="10"/>
          <w:szCs w:val="10"/>
          <w:color w:val="auto"/>
        </w:rPr>
        <w:t>On April 30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2024, the Company entered into a promissory note (“the promissory note”) agreement with an investor in the amount of $400,000. The promissory note bears a borrowing fee of $100,000 and matures on November 1st, 2024. The borrowing fee has been recognized in interest expense over the term of the loan using the effective interest rate method.</w:t>
      </w:r>
    </w:p>
    <w:p>
      <w:pPr>
        <w:spacing w:after="0" w:line="1" w:lineRule="exact"/>
        <w:rPr>
          <w:sz w:val="20"/>
          <w:szCs w:val="20"/>
          <w:color w:val="auto"/>
        </w:rPr>
      </w:pPr>
    </w:p>
    <w:p>
      <w:pPr>
        <w:spacing w:after="0"/>
        <w:rPr>
          <w:sz w:val="20"/>
          <w:szCs w:val="20"/>
          <w:color w:val="auto"/>
        </w:rPr>
      </w:pPr>
      <w:r>
        <w:rPr>
          <w:rFonts w:ascii="Arial" w:cs="Arial" w:eastAsia="Arial" w:hAnsi="Arial"/>
          <w:sz w:val="9"/>
          <w:szCs w:val="9"/>
          <w:color w:val="auto"/>
        </w:rPr>
        <w:t>Add to subsequent events</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b w:val="1"/>
          <w:bCs w:val="1"/>
          <w:u w:val="single" w:color="auto"/>
          <w:color w:val="auto"/>
        </w:rPr>
        <w:t>Close of business combination with Armada Acquisition Corp I. (“Armada”)</w:t>
      </w:r>
    </w:p>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On August 15, 2024, Armada Acquisition Corp. I, a Delaware corporation (“Armada”), a special acquisition corporation, the Company and Rezolve Merger Sub, Inc., a Delaware corporation (“Rezolve Merger Sub”), consummated the business combination pursuant to the terms of the Business Combination Agreement, dated as of December 17th, 2021 (as amended or supplemented from time to time, the “Business Combination Agreement”). The consummation of the acquisition of Armada resulted in Rezolve AI Limited becoming a publicly traded company with it’s shares trading on the NASDAQ from August 20,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u w:val="single" w:color="auto"/>
          <w:color w:val="auto"/>
        </w:rPr>
        <w:t>Conversion of Senior Secured Convertible Notes</w:t>
      </w:r>
    </w:p>
    <w:p>
      <w:pPr>
        <w:spacing w:after="0" w:line="2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On December 5, 2024, pursuant to the terms of the Loan Note Instrument, one of the holders of the Senior Secured Convertible Notes converted all of their $8,000,000 outstanding Convertible Notes at a conversion price of $7 per ordinary share.</w:t>
      </w:r>
    </w:p>
    <w:p>
      <w:pPr>
        <w:spacing w:after="0" w:line="108" w:lineRule="exact"/>
        <w:rPr>
          <w:sz w:val="20"/>
          <w:szCs w:val="20"/>
          <w:color w:val="auto"/>
        </w:rPr>
      </w:pPr>
    </w:p>
    <w:p>
      <w:pPr>
        <w:jc w:val="both"/>
        <w:ind w:right="160" w:firstLine="705"/>
        <w:spacing w:after="0" w:line="247" w:lineRule="auto"/>
        <w:rPr>
          <w:sz w:val="20"/>
          <w:szCs w:val="20"/>
          <w:color w:val="auto"/>
        </w:rPr>
      </w:pPr>
      <w:r>
        <w:rPr>
          <w:rFonts w:ascii="Times New Roman" w:cs="Times New Roman" w:eastAsia="Times New Roman" w:hAnsi="Times New Roman"/>
          <w:sz w:val="10"/>
          <w:szCs w:val="10"/>
          <w:color w:val="auto"/>
        </w:rPr>
        <w:t>On December 17, the Company, Apeiron Investment Group Ltd. and Bradley Wickens, the beneficial holders of the majority of Senior Secured Convertible Notes entered into an agreement (the “</w:t>
      </w:r>
      <w:r>
        <w:rPr>
          <w:rFonts w:ascii="Times New Roman" w:cs="Times New Roman" w:eastAsia="Times New Roman" w:hAnsi="Times New Roman"/>
          <w:sz w:val="10"/>
          <w:szCs w:val="10"/>
          <w:b w:val="1"/>
          <w:bCs w:val="1"/>
          <w:i w:val="1"/>
          <w:iCs w:val="1"/>
          <w:color w:val="auto"/>
        </w:rPr>
        <w:t>Agreement</w:t>
      </w:r>
      <w:r>
        <w:rPr>
          <w:rFonts w:ascii="Times New Roman" w:cs="Times New Roman" w:eastAsia="Times New Roman" w:hAnsi="Times New Roman"/>
          <w:sz w:val="10"/>
          <w:szCs w:val="10"/>
          <w:color w:val="auto"/>
        </w:rPr>
        <w:t>”) to amend the Loan Note Instrument (the “</w:t>
      </w:r>
      <w:r>
        <w:rPr>
          <w:rFonts w:ascii="Times New Roman" w:cs="Times New Roman" w:eastAsia="Times New Roman" w:hAnsi="Times New Roman"/>
          <w:sz w:val="10"/>
          <w:szCs w:val="10"/>
          <w:b w:val="1"/>
          <w:bCs w:val="1"/>
          <w:i w:val="1"/>
          <w:iCs w:val="1"/>
          <w:color w:val="auto"/>
        </w:rPr>
        <w:t>Amendment</w:t>
      </w:r>
      <w:r>
        <w:rPr>
          <w:rFonts w:ascii="Times New Roman" w:cs="Times New Roman" w:eastAsia="Times New Roman" w:hAnsi="Times New Roman"/>
          <w:sz w:val="10"/>
          <w:szCs w:val="10"/>
          <w:color w:val="auto"/>
        </w:rPr>
        <w:t>”) and that the beneficial holders shall procure that the registered nominees holding their Convertible Notes provide the necessary consents to the Amendment. Pursuant to the Amendment, the conversion price with respect to approximately $41,000,000 million of outstanding Senior Secured Convertible Notes was revised to equal $2 per ordinary share.</w:t>
      </w:r>
    </w:p>
    <w:p>
      <w:pPr>
        <w:spacing w:after="0" w:line="97" w:lineRule="exact"/>
        <w:rPr>
          <w:sz w:val="20"/>
          <w:szCs w:val="20"/>
          <w:color w:val="auto"/>
        </w:rPr>
      </w:pPr>
    </w:p>
    <w:p>
      <w:pPr>
        <w:ind w:firstLine="705"/>
        <w:spacing w:after="0" w:line="245" w:lineRule="auto"/>
        <w:rPr>
          <w:sz w:val="20"/>
          <w:szCs w:val="20"/>
          <w:color w:val="auto"/>
        </w:rPr>
      </w:pPr>
      <w:r>
        <w:rPr>
          <w:rFonts w:ascii="Times New Roman" w:cs="Times New Roman" w:eastAsia="Times New Roman" w:hAnsi="Times New Roman"/>
          <w:sz w:val="10"/>
          <w:szCs w:val="10"/>
          <w:color w:val="auto"/>
        </w:rPr>
        <w:t>Pursuant to the Agreement, Apeiron Investment Group and Bradley Wickens will also procure that the registered nominees holding approximately $41,000,000 million of outstanding Convertible Notes (on behalf of Apeiron Investment Group Ltd. and Bradley Wickens) will exercise their option to convert all such outstanding Convertible Notes, at a conversion price of $2 per ordinary share. Following such conversions, there will be approximately $0.4 million of Senior Secured Convertible Notes outstanding under the Loan Note Instrument.</w:t>
      </w:r>
    </w:p>
    <w:p>
      <w:pPr>
        <w:spacing w:after="0" w:line="1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921" w:right="700"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0"/>
          <w:szCs w:val="10"/>
          <w:b w:val="1"/>
          <w:bCs w:val="1"/>
          <w:color w:val="auto"/>
        </w:rPr>
        <w:t>PART I—FINANCIAL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w:t>
      </w:r>
      <w:r>
        <w:rPr>
          <w:rFonts w:ascii="Arial" w:cs="Arial" w:eastAsia="Arial" w:hAnsi="Arial"/>
          <w:sz w:val="10"/>
          <w:szCs w:val="10"/>
          <w:b w:val="1"/>
          <w:bCs w:val="1"/>
          <w:color w:val="auto"/>
        </w:rPr>
        <w:t xml:space="preserve"> </w:t>
      </w:r>
      <w:r>
        <w:rPr>
          <w:rFonts w:ascii="Times New Roman" w:cs="Times New Roman" w:eastAsia="Times New Roman" w:hAnsi="Times New Roman"/>
          <w:sz w:val="10"/>
          <w:szCs w:val="10"/>
          <w:b w:val="1"/>
          <w:bCs w:val="1"/>
          <w:color w:val="auto"/>
        </w:rPr>
        <w:t>1. Financial Statements.</w:t>
      </w:r>
    </w:p>
    <w:p>
      <w:pPr>
        <w:spacing w:after="0" w:line="9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0"/>
          <w:szCs w:val="10"/>
          <w:b w:val="1"/>
          <w:bCs w:val="1"/>
          <w:color w:val="auto"/>
        </w:rPr>
        <w:t>CONDENSED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280" w:type="dxa"/>
            <w:vAlign w:val="bottom"/>
          </w:tcPr>
          <w:p>
            <w:pPr>
              <w:spacing w:after="0"/>
              <w:rPr>
                <w:sz w:val="8"/>
                <w:szCs w:val="8"/>
                <w:color w:val="auto"/>
              </w:rPr>
            </w:pPr>
          </w:p>
        </w:tc>
        <w:tc>
          <w:tcPr>
            <w:tcW w:w="980" w:type="dxa"/>
            <w:vAlign w:val="bottom"/>
          </w:tcPr>
          <w:p>
            <w:pPr>
              <w:jc w:val="center"/>
              <w:ind w:left="474"/>
              <w:spacing w:after="0"/>
              <w:rPr>
                <w:sz w:val="20"/>
                <w:szCs w:val="20"/>
                <w:color w:val="auto"/>
              </w:rPr>
            </w:pPr>
            <w:r>
              <w:rPr>
                <w:rFonts w:ascii="Times New Roman" w:cs="Times New Roman" w:eastAsia="Times New Roman" w:hAnsi="Times New Roman"/>
                <w:sz w:val="8"/>
                <w:szCs w:val="8"/>
                <w:b w:val="1"/>
                <w:bCs w:val="1"/>
                <w:color w:val="auto"/>
              </w:rPr>
              <w:t>June 30,</w:t>
            </w: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0" w:type="dxa"/>
            <w:vAlign w:val="bottom"/>
          </w:tcPr>
          <w:p>
            <w:pPr>
              <w:spacing w:after="0"/>
              <w:rPr>
                <w:sz w:val="1"/>
                <w:szCs w:val="1"/>
                <w:color w:val="auto"/>
              </w:rPr>
            </w:pPr>
          </w:p>
        </w:tc>
      </w:tr>
      <w:tr>
        <w:trPr>
          <w:trHeight w:val="98"/>
        </w:trPr>
        <w:tc>
          <w:tcPr>
            <w:tcW w:w="7280" w:type="dxa"/>
            <w:vAlign w:val="bottom"/>
          </w:tcPr>
          <w:p>
            <w:pPr>
              <w:spacing w:after="0"/>
              <w:rPr>
                <w:sz w:val="8"/>
                <w:szCs w:val="8"/>
                <w:color w:val="auto"/>
              </w:rPr>
            </w:pPr>
          </w:p>
        </w:tc>
        <w:tc>
          <w:tcPr>
            <w:tcW w:w="980" w:type="dxa"/>
            <w:vAlign w:val="bottom"/>
          </w:tcPr>
          <w:p>
            <w:pPr>
              <w:jc w:val="center"/>
              <w:ind w:left="474"/>
              <w:spacing w:after="0"/>
              <w:rPr>
                <w:sz w:val="20"/>
                <w:szCs w:val="20"/>
                <w:color w:val="auto"/>
              </w:rPr>
            </w:pPr>
            <w:r>
              <w:rPr>
                <w:rFonts w:ascii="Times New Roman" w:cs="Times New Roman" w:eastAsia="Times New Roman" w:hAnsi="Times New Roman"/>
                <w:sz w:val="8"/>
                <w:szCs w:val="8"/>
                <w:b w:val="1"/>
                <w:bCs w:val="1"/>
                <w:color w:val="auto"/>
              </w:rPr>
              <w:t>2024</w:t>
            </w: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7280" w:type="dxa"/>
            <w:vAlign w:val="bottom"/>
          </w:tcPr>
          <w:p>
            <w:pPr>
              <w:spacing w:after="0"/>
              <w:rPr>
                <w:sz w:val="9"/>
                <w:szCs w:val="9"/>
                <w:color w:val="auto"/>
              </w:rPr>
            </w:pPr>
          </w:p>
        </w:tc>
        <w:tc>
          <w:tcPr>
            <w:tcW w:w="980" w:type="dxa"/>
            <w:vAlign w:val="bottom"/>
          </w:tcPr>
          <w:p>
            <w:pPr>
              <w:jc w:val="center"/>
              <w:ind w:left="474"/>
              <w:spacing w:after="0"/>
              <w:rPr>
                <w:sz w:val="20"/>
                <w:szCs w:val="20"/>
                <w:color w:val="auto"/>
              </w:rPr>
            </w:pPr>
            <w:r>
              <w:rPr>
                <w:rFonts w:ascii="Times New Roman" w:cs="Times New Roman" w:eastAsia="Times New Roman" w:hAnsi="Times New Roman"/>
                <w:sz w:val="8"/>
                <w:szCs w:val="8"/>
                <w:b w:val="1"/>
                <w:bCs w:val="1"/>
                <w:color w:val="auto"/>
              </w:rPr>
              <w:t>Unaudited</w:t>
            </w: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980" w:type="dxa"/>
            <w:vAlign w:val="bottom"/>
          </w:tcPr>
          <w:p>
            <w:pPr>
              <w:jc w:val="right"/>
              <w:ind w:right="87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13,242</w:t>
            </w:r>
          </w:p>
        </w:tc>
        <w:tc>
          <w:tcPr>
            <w:tcW w:w="280" w:type="dxa"/>
            <w:vAlign w:val="bottom"/>
          </w:tcPr>
          <w:p>
            <w:pPr>
              <w:spacing w:after="0"/>
              <w:rPr>
                <w:sz w:val="9"/>
                <w:szCs w:val="9"/>
                <w:color w:val="auto"/>
              </w:rPr>
            </w:pPr>
          </w:p>
        </w:tc>
        <w:tc>
          <w:tcPr>
            <w:tcW w:w="260" w:type="dxa"/>
            <w:vAlign w:val="bottom"/>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60,284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41,788</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33,605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55,030</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93,889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Cash held in Trust Account</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16,126,337</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25,324,028</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980" w:type="dxa"/>
            <w:vAlign w:val="bottom"/>
            <w:tcBorders>
              <w:bottom w:val="single" w:sz="8" w:color="auto"/>
            </w:tcBorders>
          </w:tcPr>
          <w:p>
            <w:pPr>
              <w:jc w:val="right"/>
              <w:ind w:right="874"/>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16,181,367</w:t>
            </w:r>
          </w:p>
        </w:tc>
        <w:tc>
          <w:tcPr>
            <w:tcW w:w="280" w:type="dxa"/>
            <w:vAlign w:val="bottom"/>
          </w:tcPr>
          <w:p>
            <w:pPr>
              <w:spacing w:after="0"/>
              <w:rPr>
                <w:sz w:val="10"/>
                <w:szCs w:val="10"/>
                <w:color w:val="auto"/>
              </w:rPr>
            </w:pPr>
          </w:p>
        </w:tc>
        <w:tc>
          <w:tcPr>
            <w:tcW w:w="2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25,417,917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728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Liabilities, Common Stock Subject to Possible Redemption and</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Stockholders’ Deficit</w:t>
            </w:r>
          </w:p>
        </w:tc>
        <w:tc>
          <w:tcPr>
            <w:tcW w:w="9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Current liabilities:</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980" w:type="dxa"/>
            <w:vAlign w:val="bottom"/>
            <w:shd w:val="clear" w:color="auto" w:fill="CFF0FC"/>
          </w:tcPr>
          <w:p>
            <w:pPr>
              <w:jc w:val="right"/>
              <w:ind w:right="87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6,035,757</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4,708,050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46,000</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12,100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50,026</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10,783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Subscription agreements liability, net</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354,503</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Promissory Notes-Related Party</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3,056,726</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2,564,439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1,395,596</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10,938,608</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8,587,123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Commitments and Contingencies (Note 5)</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Common stock subject to possible redemption, 1,417,687 and 2,363,349 shares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at redemption value of approximately $11.31 and $10.71 per share at June 30, 2024</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and September 30, 2023, respectively</w:t>
            </w:r>
          </w:p>
        </w:tc>
        <w:tc>
          <w:tcPr>
            <w:tcW w:w="98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16,040,786</w:t>
            </w: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25,316,806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Stockholders’ Deficit:</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Preferred stock, $0.0001 par value; 1,000,000 shares authorized; none issued</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or outstanding</w:t>
            </w:r>
          </w:p>
        </w:tc>
        <w:tc>
          <w:tcPr>
            <w:tcW w:w="9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6"/>
        </w:trPr>
        <w:tc>
          <w:tcPr>
            <w:tcW w:w="728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Common stock, $0.0001 par value; 100,000,000 shares authorized, 5,709,500</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ind w:left="80"/>
              <w:spacing w:after="0" w:line="113" w:lineRule="exact"/>
              <w:rPr>
                <w:sz w:val="20"/>
                <w:szCs w:val="20"/>
                <w:color w:val="auto"/>
              </w:rPr>
            </w:pPr>
            <w:r>
              <w:rPr>
                <w:rFonts w:ascii="Times New Roman" w:cs="Times New Roman" w:eastAsia="Times New Roman" w:hAnsi="Times New Roman"/>
                <w:sz w:val="10"/>
                <w:szCs w:val="10"/>
                <w:color w:val="auto"/>
              </w:rPr>
              <w:t>shares issued and outstanding (excluding 1,417,687 and 2,363,349 shares subject</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to possible redemption) at June 30, 2024 and September 30, 2023, respectively</w:t>
            </w:r>
          </w:p>
        </w:tc>
        <w:tc>
          <w:tcPr>
            <w:tcW w:w="9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261,161</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980" w:type="dxa"/>
            <w:vAlign w:val="bottom"/>
          </w:tcPr>
          <w:p>
            <w:pPr>
              <w:spacing w:after="0"/>
              <w:rPr>
                <w:sz w:val="9"/>
                <w:szCs w:val="9"/>
                <w:color w:val="auto"/>
              </w:rPr>
            </w:pPr>
          </w:p>
        </w:tc>
        <w:tc>
          <w:tcPr>
            <w:tcW w:w="80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w w:val="99"/>
              </w:rPr>
              <w:t>(11,059,758 )</w:t>
            </w:r>
          </w:p>
        </w:tc>
        <w:tc>
          <w:tcPr>
            <w:tcW w:w="260" w:type="dxa"/>
            <w:vAlign w:val="bottom"/>
          </w:tcPr>
          <w:p>
            <w:pPr>
              <w:spacing w:after="0"/>
              <w:rPr>
                <w:sz w:val="9"/>
                <w:szCs w:val="9"/>
                <w:color w:val="auto"/>
              </w:rPr>
            </w:pPr>
          </w:p>
        </w:tc>
        <w:tc>
          <w:tcPr>
            <w:tcW w:w="13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(8,486,582 )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Stockholders’ Deficit</w:t>
            </w:r>
          </w:p>
        </w:tc>
        <w:tc>
          <w:tcPr>
            <w:tcW w:w="980" w:type="dxa"/>
            <w:vAlign w:val="bottom"/>
            <w:shd w:val="clear" w:color="auto" w:fill="CFF0FC"/>
          </w:tcPr>
          <w:p>
            <w:pPr>
              <w:spacing w:after="0"/>
              <w:rPr>
                <w:sz w:val="9"/>
                <w:szCs w:val="9"/>
                <w:color w:val="auto"/>
              </w:rPr>
            </w:pPr>
          </w:p>
        </w:tc>
        <w:tc>
          <w:tcPr>
            <w:tcW w:w="80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w w:val="99"/>
              </w:rPr>
              <w:t>(10,798,027 )</w:t>
            </w:r>
          </w:p>
        </w:tc>
        <w:tc>
          <w:tcPr>
            <w:tcW w:w="26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(8,486,012 )</w:t>
            </w:r>
          </w:p>
        </w:tc>
        <w:tc>
          <w:tcPr>
            <w:tcW w:w="0" w:type="dxa"/>
            <w:vAlign w:val="bottom"/>
          </w:tcPr>
          <w:p>
            <w:pPr>
              <w:spacing w:after="0"/>
              <w:rPr>
                <w:sz w:val="1"/>
                <w:szCs w:val="1"/>
                <w:color w:val="auto"/>
              </w:rPr>
            </w:pPr>
          </w:p>
        </w:tc>
      </w:tr>
      <w:tr>
        <w:trPr>
          <w:trHeight w:val="104"/>
        </w:trPr>
        <w:tc>
          <w:tcPr>
            <w:tcW w:w="728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Total Liabilities, Common Stock Subject to Possible Redemption and</w:t>
            </w:r>
          </w:p>
        </w:tc>
        <w:tc>
          <w:tcPr>
            <w:tcW w:w="980" w:type="dxa"/>
            <w:vAlign w:val="bottom"/>
            <w:vMerge w:val="restart"/>
          </w:tcPr>
          <w:p>
            <w:pPr>
              <w:jc w:val="right"/>
              <w:ind w:right="87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16,181,367</w:t>
            </w:r>
          </w:p>
        </w:tc>
        <w:tc>
          <w:tcPr>
            <w:tcW w:w="280" w:type="dxa"/>
            <w:vAlign w:val="bottom"/>
          </w:tcPr>
          <w:p>
            <w:pPr>
              <w:spacing w:after="0"/>
              <w:rPr>
                <w:sz w:val="9"/>
                <w:szCs w:val="9"/>
                <w:color w:val="auto"/>
              </w:rPr>
            </w:pPr>
          </w:p>
        </w:tc>
        <w:tc>
          <w:tcPr>
            <w:tcW w:w="260" w:type="dxa"/>
            <w:vAlign w:val="bottom"/>
            <w:vMerge w:val="restart"/>
          </w:tcPr>
          <w:p>
            <w:pPr>
              <w:jc w:val="right"/>
              <w:ind w:right="19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25,417,917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tcPr>
          <w:p>
            <w:pPr>
              <w:ind w:left="80"/>
              <w:spacing w:after="0" w:line="79" w:lineRule="exact"/>
              <w:rPr>
                <w:sz w:val="20"/>
                <w:szCs w:val="20"/>
                <w:color w:val="auto"/>
              </w:rPr>
            </w:pPr>
            <w:r>
              <w:rPr>
                <w:rFonts w:ascii="Times New Roman" w:cs="Times New Roman" w:eastAsia="Times New Roman" w:hAnsi="Times New Roman"/>
                <w:sz w:val="9"/>
                <w:szCs w:val="9"/>
                <w:b w:val="1"/>
                <w:bCs w:val="1"/>
                <w:color w:val="auto"/>
              </w:rPr>
              <w:t>Stockholders’ Deficit</w:t>
            </w:r>
          </w:p>
        </w:tc>
        <w:tc>
          <w:tcPr>
            <w:tcW w:w="980" w:type="dxa"/>
            <w:vAlign w:val="bottom"/>
            <w:tcBorders>
              <w:bottom w:val="single" w:sz="8" w:color="auto"/>
            </w:tcBorders>
            <w:vMerge w:val="continue"/>
          </w:tcPr>
          <w:p>
            <w:pPr>
              <w:spacing w:after="0"/>
              <w:rPr>
                <w:sz w:val="8"/>
                <w:szCs w:val="8"/>
                <w:color w:val="auto"/>
              </w:rPr>
            </w:pPr>
          </w:p>
        </w:tc>
        <w:tc>
          <w:tcPr>
            <w:tcW w:w="52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STATEMENTS OF OPERATIONS</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480" w:type="dxa"/>
            <w:vAlign w:val="bottom"/>
          </w:tcPr>
          <w:p>
            <w:pPr>
              <w:spacing w:after="0"/>
              <w:rPr>
                <w:sz w:val="8"/>
                <w:szCs w:val="8"/>
                <w:color w:val="auto"/>
              </w:rPr>
            </w:pPr>
          </w:p>
        </w:tc>
        <w:tc>
          <w:tcPr>
            <w:tcW w:w="1980" w:type="dxa"/>
            <w:vAlign w:val="bottom"/>
            <w:gridSpan w:val="4"/>
          </w:tcPr>
          <w:p>
            <w:pPr>
              <w:jc w:val="right"/>
              <w:ind w:right="53"/>
              <w:spacing w:after="0"/>
              <w:rPr>
                <w:sz w:val="20"/>
                <w:szCs w:val="20"/>
                <w:color w:val="auto"/>
              </w:rPr>
            </w:pPr>
            <w:r>
              <w:rPr>
                <w:rFonts w:ascii="Times New Roman" w:cs="Times New Roman" w:eastAsia="Times New Roman" w:hAnsi="Times New Roman"/>
                <w:sz w:val="8"/>
                <w:szCs w:val="8"/>
                <w:b w:val="1"/>
                <w:bCs w:val="1"/>
                <w:color w:val="auto"/>
              </w:rPr>
              <w:t>For the Three Months Ended June 30,</w:t>
            </w: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40" w:type="dxa"/>
            <w:vAlign w:val="bottom"/>
            <w:gridSpan w:val="5"/>
          </w:tcPr>
          <w:p>
            <w:pPr>
              <w:jc w:val="right"/>
              <w:ind w:right="640"/>
              <w:spacing w:after="0"/>
              <w:rPr>
                <w:sz w:val="20"/>
                <w:szCs w:val="20"/>
                <w:color w:val="auto"/>
              </w:rPr>
            </w:pPr>
            <w:r>
              <w:rPr>
                <w:rFonts w:ascii="Times New Roman" w:cs="Times New Roman" w:eastAsia="Times New Roman" w:hAnsi="Times New Roman"/>
                <w:sz w:val="8"/>
                <w:szCs w:val="8"/>
                <w:b w:val="1"/>
                <w:bCs w:val="1"/>
                <w:color w:val="auto"/>
              </w:rPr>
              <w:t>For the Nine Months Ended June 30,</w:t>
            </w:r>
          </w:p>
        </w:tc>
        <w:tc>
          <w:tcPr>
            <w:tcW w:w="0" w:type="dxa"/>
            <w:vAlign w:val="bottom"/>
          </w:tcPr>
          <w:p>
            <w:pPr>
              <w:spacing w:after="0"/>
              <w:rPr>
                <w:sz w:val="1"/>
                <w:szCs w:val="1"/>
                <w:color w:val="auto"/>
              </w:rPr>
            </w:pPr>
          </w:p>
        </w:tc>
      </w:tr>
      <w:tr>
        <w:trPr>
          <w:trHeight w:val="106"/>
        </w:trPr>
        <w:tc>
          <w:tcPr>
            <w:tcW w:w="548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ind w:right="416"/>
              <w:spacing w:after="0"/>
              <w:rPr>
                <w:sz w:val="20"/>
                <w:szCs w:val="20"/>
                <w:color w:val="auto"/>
              </w:rPr>
            </w:pPr>
            <w:r>
              <w:rPr>
                <w:rFonts w:ascii="Times New Roman" w:cs="Times New Roman" w:eastAsia="Times New Roman" w:hAnsi="Times New Roman"/>
                <w:sz w:val="8"/>
                <w:szCs w:val="8"/>
                <w:b w:val="1"/>
                <w:bCs w:val="1"/>
                <w:color w:val="auto"/>
              </w:rPr>
              <w:t>2024</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ind w:right="4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Formation and operating costs</w:t>
            </w:r>
          </w:p>
        </w:tc>
        <w:tc>
          <w:tcPr>
            <w:tcW w:w="640" w:type="dxa"/>
            <w:vAlign w:val="bottom"/>
            <w:shd w:val="clear" w:color="auto" w:fill="CFF0FC"/>
          </w:tcPr>
          <w:p>
            <w:pPr>
              <w:jc w:val="right"/>
              <w:ind w:right="53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844,718</w:t>
            </w:r>
          </w:p>
        </w:tc>
        <w:tc>
          <w:tcPr>
            <w:tcW w:w="240" w:type="dxa"/>
            <w:vAlign w:val="bottom"/>
            <w:shd w:val="clear" w:color="auto" w:fill="CFF0FC"/>
          </w:tcPr>
          <w:p>
            <w:pPr>
              <w:spacing w:after="0"/>
              <w:rPr>
                <w:sz w:val="9"/>
                <w:szCs w:val="9"/>
                <w:color w:val="auto"/>
              </w:rPr>
            </w:pPr>
          </w:p>
        </w:tc>
        <w:tc>
          <w:tcPr>
            <w:tcW w:w="640" w:type="dxa"/>
            <w:vAlign w:val="bottom"/>
            <w:shd w:val="clear" w:color="auto" w:fill="CFF0FC"/>
          </w:tcPr>
          <w:p>
            <w:pPr>
              <w:jc w:val="right"/>
              <w:ind w:right="533"/>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775,911</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1,876,158</w:t>
            </w: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1,960,998</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64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526,209</w:t>
            </w: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134,363</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601,809</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190,289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Loss from operations</w:t>
            </w:r>
          </w:p>
        </w:tc>
        <w:tc>
          <w:tcPr>
            <w:tcW w:w="64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b w:val="1"/>
                <w:bCs w:val="1"/>
                <w:color w:val="auto"/>
                <w:w w:val="97"/>
              </w:rPr>
              <w:t>(1,370,927 )</w:t>
            </w:r>
          </w:p>
        </w:tc>
        <w:tc>
          <w:tcPr>
            <w:tcW w:w="6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(910,274 )</w:t>
            </w:r>
          </w:p>
        </w:tc>
        <w:tc>
          <w:tcPr>
            <w:tcW w:w="2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b w:val="1"/>
                <w:bCs w:val="1"/>
                <w:color w:val="auto"/>
              </w:rPr>
              <w:t>(2,477,967 )</w:t>
            </w:r>
          </w:p>
        </w:tc>
        <w:tc>
          <w:tcPr>
            <w:tcW w:w="26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(2,151,287 )</w:t>
            </w: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Other (expense) income</w:t>
            </w: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64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(220,050 )</w:t>
            </w:r>
          </w:p>
        </w:tc>
        <w:tc>
          <w:tcPr>
            <w:tcW w:w="6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(344,248 )</w:t>
            </w:r>
          </w:p>
        </w:tc>
        <w:tc>
          <w:tcPr>
            <w:tcW w:w="26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Trust interest income</w:t>
            </w:r>
          </w:p>
        </w:tc>
        <w:tc>
          <w:tcPr>
            <w:tcW w:w="64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206,289</w:t>
            </w: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433,066</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811,281</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2,697,147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Total other (expense) income, net</w:t>
            </w:r>
          </w:p>
        </w:tc>
        <w:tc>
          <w:tcPr>
            <w:tcW w:w="64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(13,761 )</w:t>
            </w:r>
          </w:p>
        </w:tc>
        <w:tc>
          <w:tcPr>
            <w:tcW w:w="64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433,066</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467,033</w:t>
            </w: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2,697,147</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Loss before provision for income taxes</w:t>
            </w:r>
          </w:p>
        </w:tc>
        <w:tc>
          <w:tcPr>
            <w:tcW w:w="640" w:type="dxa"/>
            <w:vAlign w:val="bottom"/>
          </w:tcPr>
          <w:p>
            <w:pPr>
              <w:spacing w:after="0"/>
              <w:rPr>
                <w:sz w:val="9"/>
                <w:szCs w:val="9"/>
                <w:color w:val="auto"/>
              </w:rPr>
            </w:pPr>
          </w:p>
        </w:tc>
        <w:tc>
          <w:tcPr>
            <w:tcW w:w="70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w w:val="97"/>
              </w:rPr>
              <w:t>(1,384,688 )</w:t>
            </w:r>
          </w:p>
        </w:tc>
        <w:tc>
          <w:tcPr>
            <w:tcW w:w="640" w:type="dxa"/>
            <w:vAlign w:val="bottom"/>
          </w:tcPr>
          <w:p>
            <w:pPr>
              <w:spacing w:after="0"/>
              <w:rPr>
                <w:sz w:val="9"/>
                <w:szCs w:val="9"/>
                <w:color w:val="auto"/>
              </w:rPr>
            </w:pPr>
          </w:p>
        </w:tc>
        <w:tc>
          <w:tcPr>
            <w:tcW w:w="66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(477,208 )</w:t>
            </w:r>
          </w:p>
        </w:tc>
        <w:tc>
          <w:tcPr>
            <w:tcW w:w="260" w:type="dxa"/>
            <w:vAlign w:val="bottom"/>
          </w:tcPr>
          <w:p>
            <w:pPr>
              <w:spacing w:after="0"/>
              <w:rPr>
                <w:sz w:val="9"/>
                <w:szCs w:val="9"/>
                <w:color w:val="auto"/>
              </w:rPr>
            </w:pPr>
          </w:p>
        </w:tc>
        <w:tc>
          <w:tcPr>
            <w:tcW w:w="106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(2,010,934 )</w:t>
            </w:r>
          </w:p>
        </w:tc>
        <w:tc>
          <w:tcPr>
            <w:tcW w:w="2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545,860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Provision for income taxes</w:t>
            </w:r>
          </w:p>
        </w:tc>
        <w:tc>
          <w:tcPr>
            <w:tcW w:w="64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(38,407 )</w:t>
            </w:r>
          </w:p>
        </w:tc>
        <w:tc>
          <w:tcPr>
            <w:tcW w:w="6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(82,376 )</w:t>
            </w:r>
          </w:p>
        </w:tc>
        <w:tc>
          <w:tcPr>
            <w:tcW w:w="2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(153,321 )</w:t>
            </w:r>
          </w:p>
        </w:tc>
        <w:tc>
          <w:tcPr>
            <w:tcW w:w="26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(525,560 )</w:t>
            </w:r>
          </w:p>
        </w:tc>
        <w:tc>
          <w:tcPr>
            <w:tcW w:w="0" w:type="dxa"/>
            <w:vAlign w:val="bottom"/>
          </w:tcPr>
          <w:p>
            <w:pPr>
              <w:spacing w:after="0"/>
              <w:rPr>
                <w:sz w:val="1"/>
                <w:szCs w:val="1"/>
                <w:color w:val="auto"/>
              </w:rPr>
            </w:pPr>
          </w:p>
        </w:tc>
      </w:tr>
      <w:tr>
        <w:trPr>
          <w:trHeight w:val="115"/>
        </w:trPr>
        <w:tc>
          <w:tcPr>
            <w:tcW w:w="54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Net (loss) income</w:t>
            </w:r>
          </w:p>
        </w:tc>
        <w:tc>
          <w:tcPr>
            <w:tcW w:w="640" w:type="dxa"/>
            <w:vAlign w:val="bottom"/>
          </w:tcPr>
          <w:p>
            <w:pPr>
              <w:jc w:val="right"/>
              <w:ind w:right="53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(1,423,095 </w:t>
            </w:r>
            <w:r>
              <w:rPr>
                <w:rFonts w:ascii="Times New Roman" w:cs="Times New Roman" w:eastAsia="Times New Roman" w:hAnsi="Times New Roman"/>
                <w:sz w:val="10"/>
                <w:szCs w:val="10"/>
                <w:b w:val="1"/>
                <w:bCs w:val="1"/>
                <w:color w:val="auto"/>
                <w:vertAlign w:val="subscript"/>
              </w:rPr>
              <w:t>)</w:t>
            </w:r>
          </w:p>
        </w:tc>
        <w:tc>
          <w:tcPr>
            <w:tcW w:w="640" w:type="dxa"/>
            <w:vAlign w:val="bottom"/>
          </w:tcPr>
          <w:p>
            <w:pPr>
              <w:jc w:val="right"/>
              <w:ind w:right="53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(559,584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(2,164,255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20,300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54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Basic and diluted weighted average shares outstanding, common</w:t>
            </w:r>
          </w:p>
        </w:tc>
        <w:tc>
          <w:tcPr>
            <w:tcW w:w="64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1,417,687</w:t>
            </w:r>
          </w:p>
        </w:tc>
        <w:tc>
          <w:tcPr>
            <w:tcW w:w="24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3,508,852</w:t>
            </w:r>
          </w:p>
        </w:tc>
        <w:tc>
          <w:tcPr>
            <w:tcW w:w="22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1,893,969</w:t>
            </w:r>
          </w:p>
        </w:tc>
        <w:tc>
          <w:tcPr>
            <w:tcW w:w="24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8,770,367</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5480" w:type="dxa"/>
            <w:vAlign w:val="bottom"/>
            <w:tcBorders>
              <w:bottom w:val="single" w:sz="8" w:color="CFF0FC"/>
            </w:tcBorders>
            <w:shd w:val="clear" w:color="auto" w:fill="CFF0FC"/>
          </w:tcPr>
          <w:p>
            <w:pPr>
              <w:ind w:left="80"/>
              <w:spacing w:after="0" w:line="77" w:lineRule="exact"/>
              <w:rPr>
                <w:sz w:val="20"/>
                <w:szCs w:val="20"/>
                <w:color w:val="auto"/>
              </w:rPr>
            </w:pPr>
            <w:r>
              <w:rPr>
                <w:rFonts w:ascii="Times New Roman" w:cs="Times New Roman" w:eastAsia="Times New Roman" w:hAnsi="Times New Roman"/>
                <w:sz w:val="7"/>
                <w:szCs w:val="7"/>
                <w:color w:val="auto"/>
              </w:rPr>
              <w:t>stock subject to possible redemption</w:t>
            </w:r>
          </w:p>
        </w:tc>
        <w:tc>
          <w:tcPr>
            <w:tcW w:w="640" w:type="dxa"/>
            <w:vAlign w:val="bottom"/>
            <w:tcBorders>
              <w:bottom w:val="single" w:sz="8" w:color="auto"/>
            </w:tcBorders>
            <w:shd w:val="clear" w:color="auto" w:fill="CFF0FC"/>
          </w:tcPr>
          <w:p>
            <w:pPr>
              <w:spacing w:after="0"/>
              <w:rPr>
                <w:sz w:val="8"/>
                <w:szCs w:val="8"/>
                <w:color w:val="auto"/>
              </w:rPr>
            </w:pPr>
          </w:p>
        </w:tc>
        <w:tc>
          <w:tcPr>
            <w:tcW w:w="46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640" w:type="dxa"/>
            <w:vAlign w:val="bottom"/>
            <w:tcBorders>
              <w:bottom w:val="single" w:sz="8" w:color="auto"/>
            </w:tcBorders>
            <w:shd w:val="clear" w:color="auto" w:fill="CFF0FC"/>
          </w:tcPr>
          <w:p>
            <w:pPr>
              <w:spacing w:after="0"/>
              <w:rPr>
                <w:sz w:val="8"/>
                <w:szCs w:val="8"/>
                <w:color w:val="auto"/>
              </w:rPr>
            </w:pPr>
          </w:p>
        </w:tc>
        <w:tc>
          <w:tcPr>
            <w:tcW w:w="440" w:type="dxa"/>
            <w:vAlign w:val="bottom"/>
            <w:tcBorders>
              <w:bottom w:val="single" w:sz="8" w:color="auto"/>
            </w:tcBorders>
            <w:vMerge w:val="continue"/>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260" w:type="dxa"/>
            <w:vAlign w:val="bottom"/>
            <w:tcBorders>
              <w:bottom w:val="single" w:sz="8" w:color="auto"/>
            </w:tcBorders>
            <w:shd w:val="clear" w:color="auto" w:fill="CFF0FC"/>
          </w:tcPr>
          <w:p>
            <w:pPr>
              <w:spacing w:after="0"/>
              <w:rPr>
                <w:sz w:val="8"/>
                <w:szCs w:val="8"/>
                <w:color w:val="auto"/>
              </w:rPr>
            </w:pPr>
          </w:p>
        </w:tc>
        <w:tc>
          <w:tcPr>
            <w:tcW w:w="82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260" w:type="dxa"/>
            <w:vAlign w:val="bottom"/>
            <w:tcBorders>
              <w:bottom w:val="single" w:sz="8" w:color="auto"/>
            </w:tcBorders>
            <w:shd w:val="clear" w:color="auto" w:fill="CFF0FC"/>
          </w:tcPr>
          <w:p>
            <w:pPr>
              <w:spacing w:after="0"/>
              <w:rPr>
                <w:sz w:val="8"/>
                <w:szCs w:val="8"/>
                <w:color w:val="auto"/>
              </w:rPr>
            </w:pPr>
          </w:p>
        </w:tc>
        <w:tc>
          <w:tcPr>
            <w:tcW w:w="820" w:type="dxa"/>
            <w:vAlign w:val="bottom"/>
            <w:tcBorders>
              <w:bottom w:val="single" w:sz="8" w:color="auto"/>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54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income per share</w:t>
            </w:r>
          </w:p>
        </w:tc>
        <w:tc>
          <w:tcPr>
            <w:tcW w:w="640" w:type="dxa"/>
            <w:vAlign w:val="bottom"/>
          </w:tcPr>
          <w:p>
            <w:pPr>
              <w:jc w:val="right"/>
              <w:ind w:right="53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(0.20 </w:t>
            </w:r>
            <w:r>
              <w:rPr>
                <w:rFonts w:ascii="Times New Roman" w:cs="Times New Roman" w:eastAsia="Times New Roman" w:hAnsi="Times New Roman"/>
                <w:sz w:val="10"/>
                <w:szCs w:val="10"/>
                <w:b w:val="1"/>
                <w:bCs w:val="1"/>
                <w:color w:val="auto"/>
                <w:vertAlign w:val="subscript"/>
              </w:rPr>
              <w:t>)</w:t>
            </w:r>
          </w:p>
        </w:tc>
        <w:tc>
          <w:tcPr>
            <w:tcW w:w="640" w:type="dxa"/>
            <w:vAlign w:val="bottom"/>
          </w:tcPr>
          <w:p>
            <w:pPr>
              <w:jc w:val="right"/>
              <w:ind w:right="53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(0.06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(0.28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54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Basic and diluted weighted average shares outstanding, non-</w:t>
            </w:r>
          </w:p>
        </w:tc>
        <w:tc>
          <w:tcPr>
            <w:tcW w:w="64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5,709,500</w:t>
            </w:r>
          </w:p>
        </w:tc>
        <w:tc>
          <w:tcPr>
            <w:tcW w:w="24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5,709,500</w:t>
            </w:r>
          </w:p>
        </w:tc>
        <w:tc>
          <w:tcPr>
            <w:tcW w:w="22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5,709,500</w:t>
            </w:r>
          </w:p>
        </w:tc>
        <w:tc>
          <w:tcPr>
            <w:tcW w:w="24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5,709,500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5480" w:type="dxa"/>
            <w:vAlign w:val="bottom"/>
            <w:tcBorders>
              <w:bottom w:val="single" w:sz="8" w:color="CFF0FC"/>
            </w:tcBorders>
            <w:shd w:val="clear" w:color="auto" w:fill="CFF0FC"/>
          </w:tcPr>
          <w:p>
            <w:pPr>
              <w:ind w:left="80"/>
              <w:spacing w:after="0" w:line="77" w:lineRule="exact"/>
              <w:rPr>
                <w:sz w:val="20"/>
                <w:szCs w:val="20"/>
                <w:color w:val="auto"/>
              </w:rPr>
            </w:pPr>
            <w:r>
              <w:rPr>
                <w:rFonts w:ascii="Times New Roman" w:cs="Times New Roman" w:eastAsia="Times New Roman" w:hAnsi="Times New Roman"/>
                <w:sz w:val="7"/>
                <w:szCs w:val="7"/>
                <w:color w:val="auto"/>
              </w:rPr>
              <w:t>redeemable common stock</w:t>
            </w:r>
          </w:p>
        </w:tc>
        <w:tc>
          <w:tcPr>
            <w:tcW w:w="640" w:type="dxa"/>
            <w:vAlign w:val="bottom"/>
            <w:tcBorders>
              <w:bottom w:val="single" w:sz="8" w:color="auto"/>
            </w:tcBorders>
            <w:shd w:val="clear" w:color="auto" w:fill="CFF0FC"/>
          </w:tcPr>
          <w:p>
            <w:pPr>
              <w:spacing w:after="0"/>
              <w:rPr>
                <w:sz w:val="8"/>
                <w:szCs w:val="8"/>
                <w:color w:val="auto"/>
              </w:rPr>
            </w:pPr>
          </w:p>
        </w:tc>
        <w:tc>
          <w:tcPr>
            <w:tcW w:w="46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640" w:type="dxa"/>
            <w:vAlign w:val="bottom"/>
            <w:tcBorders>
              <w:bottom w:val="single" w:sz="8" w:color="auto"/>
            </w:tcBorders>
            <w:shd w:val="clear" w:color="auto" w:fill="CFF0FC"/>
          </w:tcPr>
          <w:p>
            <w:pPr>
              <w:spacing w:after="0"/>
              <w:rPr>
                <w:sz w:val="8"/>
                <w:szCs w:val="8"/>
                <w:color w:val="auto"/>
              </w:rPr>
            </w:pPr>
          </w:p>
        </w:tc>
        <w:tc>
          <w:tcPr>
            <w:tcW w:w="440" w:type="dxa"/>
            <w:vAlign w:val="bottom"/>
            <w:tcBorders>
              <w:bottom w:val="single" w:sz="8" w:color="auto"/>
            </w:tcBorders>
            <w:vMerge w:val="continue"/>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260" w:type="dxa"/>
            <w:vAlign w:val="bottom"/>
            <w:tcBorders>
              <w:bottom w:val="single" w:sz="8" w:color="auto"/>
            </w:tcBorders>
            <w:shd w:val="clear" w:color="auto" w:fill="CFF0FC"/>
          </w:tcPr>
          <w:p>
            <w:pPr>
              <w:spacing w:after="0"/>
              <w:rPr>
                <w:sz w:val="8"/>
                <w:szCs w:val="8"/>
                <w:color w:val="auto"/>
              </w:rPr>
            </w:pPr>
          </w:p>
        </w:tc>
        <w:tc>
          <w:tcPr>
            <w:tcW w:w="82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260" w:type="dxa"/>
            <w:vAlign w:val="bottom"/>
            <w:tcBorders>
              <w:bottom w:val="single" w:sz="8" w:color="auto"/>
            </w:tcBorders>
            <w:shd w:val="clear" w:color="auto" w:fill="CFF0FC"/>
          </w:tcPr>
          <w:p>
            <w:pPr>
              <w:spacing w:after="0"/>
              <w:rPr>
                <w:sz w:val="8"/>
                <w:szCs w:val="8"/>
                <w:color w:val="auto"/>
              </w:rPr>
            </w:pPr>
          </w:p>
        </w:tc>
        <w:tc>
          <w:tcPr>
            <w:tcW w:w="820" w:type="dxa"/>
            <w:vAlign w:val="bottom"/>
            <w:tcBorders>
              <w:bottom w:val="single" w:sz="8" w:color="auto"/>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4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income per share</w:t>
            </w:r>
          </w:p>
        </w:tc>
        <w:tc>
          <w:tcPr>
            <w:tcW w:w="640" w:type="dxa"/>
            <w:vAlign w:val="bottom"/>
          </w:tcPr>
          <w:p>
            <w:pPr>
              <w:jc w:val="right"/>
              <w:ind w:right="53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(0.20 </w:t>
            </w:r>
            <w:r>
              <w:rPr>
                <w:rFonts w:ascii="Times New Roman" w:cs="Times New Roman" w:eastAsia="Times New Roman" w:hAnsi="Times New Roman"/>
                <w:sz w:val="10"/>
                <w:szCs w:val="10"/>
                <w:b w:val="1"/>
                <w:bCs w:val="1"/>
                <w:color w:val="auto"/>
                <w:vertAlign w:val="subscript"/>
              </w:rPr>
              <w:t>)</w:t>
            </w:r>
          </w:p>
        </w:tc>
        <w:tc>
          <w:tcPr>
            <w:tcW w:w="640" w:type="dxa"/>
            <w:vAlign w:val="bottom"/>
          </w:tcPr>
          <w:p>
            <w:pPr>
              <w:jc w:val="right"/>
              <w:ind w:right="53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(0.06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(0.28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STATEMENTS OF CHANGES IN STOCKHOLDERS’ DEFICIT</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 THE THREE AND NINE MONTHS ENDED JUNE 30, 2024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4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w w:val="98"/>
              </w:rPr>
              <w:t>Total</w:t>
            </w:r>
          </w:p>
        </w:tc>
      </w:tr>
      <w:tr>
        <w:trPr>
          <w:trHeight w:val="98"/>
        </w:trPr>
        <w:tc>
          <w:tcPr>
            <w:tcW w:w="4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gridSpan w:val="3"/>
          </w:tcPr>
          <w:p>
            <w:pPr>
              <w:jc w:val="right"/>
              <w:ind w:right="91"/>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Paid-in</w:t>
            </w:r>
          </w:p>
        </w:tc>
        <w:tc>
          <w:tcPr>
            <w:tcW w:w="200" w:type="dxa"/>
            <w:vAlign w:val="bottom"/>
          </w:tcPr>
          <w:p>
            <w:pPr>
              <w:spacing w:after="0"/>
              <w:rPr>
                <w:sz w:val="8"/>
                <w:szCs w:val="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200" w:type="dxa"/>
            <w:vAlign w:val="bottom"/>
          </w:tcPr>
          <w:p>
            <w:pPr>
              <w:spacing w:after="0"/>
              <w:rPr>
                <w:sz w:val="8"/>
                <w:szCs w:val="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6"/>
        </w:trPr>
        <w:tc>
          <w:tcPr>
            <w:tcW w:w="4060" w:type="dxa"/>
            <w:vAlign w:val="bottom"/>
          </w:tcPr>
          <w:p>
            <w:pPr>
              <w:spacing w:after="0"/>
              <w:rPr>
                <w:sz w:val="9"/>
                <w:szCs w:val="9"/>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8"/>
                <w:szCs w:val="8"/>
                <w:b w:val="1"/>
                <w:bCs w:val="1"/>
                <w:color w:val="auto"/>
              </w:rPr>
              <w:t>Shares</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8"/>
                <w:szCs w:val="8"/>
                <w:b w:val="1"/>
                <w:bCs w:val="1"/>
                <w:color w:val="auto"/>
              </w:rPr>
              <w:t>Amount</w:t>
            </w:r>
          </w:p>
        </w:tc>
        <w:tc>
          <w:tcPr>
            <w:tcW w:w="200" w:type="dxa"/>
            <w:vAlign w:val="bottom"/>
          </w:tcPr>
          <w:p>
            <w:pPr>
              <w:spacing w:after="0"/>
              <w:rPr>
                <w:sz w:val="9"/>
                <w:szCs w:val="9"/>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200" w:type="dxa"/>
            <w:vAlign w:val="bottom"/>
          </w:tcPr>
          <w:p>
            <w:pPr>
              <w:spacing w:after="0"/>
              <w:rPr>
                <w:sz w:val="9"/>
                <w:szCs w:val="9"/>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200" w:type="dxa"/>
            <w:vAlign w:val="bottom"/>
          </w:tcPr>
          <w:p>
            <w:pPr>
              <w:spacing w:after="0"/>
              <w:rPr>
                <w:sz w:val="9"/>
                <w:szCs w:val="9"/>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w w:val="96"/>
              </w:rPr>
              <w:t>Deficit</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2023</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500" w:type="dxa"/>
            <w:vAlign w:val="bottom"/>
            <w:gridSpan w:val="2"/>
            <w:shd w:val="clear" w:color="auto" w:fill="CFF0FC"/>
          </w:tcPr>
          <w:p>
            <w:pPr>
              <w:jc w:val="right"/>
              <w:ind w:right="1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(8,486,582 )</w:t>
            </w: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(8,486,012 )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100" w:type="dxa"/>
            <w:vAlign w:val="bottom"/>
          </w:tcPr>
          <w:p>
            <w:pPr>
              <w:spacing w:after="0"/>
              <w:rPr>
                <w:sz w:val="9"/>
                <w:szCs w:val="9"/>
                <w:color w:val="auto"/>
              </w:rPr>
            </w:pPr>
          </w:p>
        </w:tc>
      </w:tr>
      <w:tr>
        <w:trPr>
          <w:trHeight w:val="106"/>
        </w:trPr>
        <w:tc>
          <w:tcPr>
            <w:tcW w:w="480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Proceeds allocated to Sponsor Shares for</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subscription agreement liability (see note 4)</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100" w:type="dxa"/>
            <w:vAlign w:val="bottom"/>
            <w:shd w:val="clear" w:color="auto" w:fill="CFF0FC"/>
          </w:tcPr>
          <w:p>
            <w:pPr>
              <w:spacing w:after="0"/>
              <w:rPr>
                <w:sz w:val="10"/>
                <w:szCs w:val="10"/>
                <w:color w:val="auto"/>
              </w:rPr>
            </w:pPr>
          </w:p>
        </w:tc>
      </w:tr>
      <w:tr>
        <w:trPr>
          <w:trHeight w:val="106"/>
        </w:trPr>
        <w:tc>
          <w:tcPr>
            <w:tcW w:w="480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subject to possible redemption</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(159,034 )</w:t>
            </w:r>
          </w:p>
        </w:tc>
        <w:tc>
          <w:tcPr>
            <w:tcW w:w="200" w:type="dxa"/>
            <w:vAlign w:val="bottom"/>
          </w:tcPr>
          <w:p>
            <w:pPr>
              <w:spacing w:after="0"/>
              <w:rPr>
                <w:sz w:val="10"/>
                <w:szCs w:val="1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(308,850 )</w:t>
            </w:r>
          </w:p>
        </w:tc>
        <w:tc>
          <w:tcPr>
            <w:tcW w:w="200" w:type="dxa"/>
            <w:vAlign w:val="bottom"/>
          </w:tcPr>
          <w:p>
            <w:pPr>
              <w:spacing w:after="0"/>
              <w:rPr>
                <w:sz w:val="10"/>
                <w:szCs w:val="1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(467,884 )</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0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(360,314 )</w:t>
            </w:r>
          </w:p>
        </w:tc>
        <w:tc>
          <w:tcPr>
            <w:tcW w:w="20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(360,314 )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December 31, 2023</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500" w:type="dxa"/>
            <w:vAlign w:val="bottom"/>
            <w:gridSpan w:val="2"/>
          </w:tcPr>
          <w:p>
            <w:pPr>
              <w:jc w:val="right"/>
              <w:ind w:right="1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tcPr>
          <w:p>
            <w:pPr>
              <w:spacing w:after="0"/>
              <w:rPr>
                <w:sz w:val="9"/>
                <w:szCs w:val="9"/>
                <w:color w:val="auto"/>
              </w:rPr>
            </w:pP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(9,155,746 )</w:t>
            </w: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(9,155,176 )</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25,200</w:t>
            </w: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25,200</w:t>
            </w:r>
          </w:p>
        </w:tc>
        <w:tc>
          <w:tcPr>
            <w:tcW w:w="100" w:type="dxa"/>
            <w:vAlign w:val="bottom"/>
            <w:shd w:val="clear" w:color="auto" w:fill="CFF0FC"/>
          </w:tcPr>
          <w:p>
            <w:pPr>
              <w:spacing w:after="0"/>
              <w:rPr>
                <w:sz w:val="9"/>
                <w:szCs w:val="9"/>
                <w:color w:val="auto"/>
              </w:rPr>
            </w:pPr>
          </w:p>
        </w:tc>
      </w:tr>
      <w:tr>
        <w:trPr>
          <w:trHeight w:val="106"/>
        </w:trPr>
        <w:tc>
          <w:tcPr>
            <w:tcW w:w="480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Proceeds allocated to Sponsor Shares for</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subscription agreement liability (see note 4)</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325,826</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325,826</w:t>
            </w:r>
          </w:p>
        </w:tc>
        <w:tc>
          <w:tcPr>
            <w:tcW w:w="100" w:type="dxa"/>
            <w:vAlign w:val="bottom"/>
          </w:tcPr>
          <w:p>
            <w:pPr>
              <w:spacing w:after="0"/>
              <w:rPr>
                <w:sz w:val="10"/>
                <w:szCs w:val="10"/>
                <w:color w:val="auto"/>
              </w:rPr>
            </w:pPr>
          </w:p>
        </w:tc>
      </w:tr>
      <w:tr>
        <w:trPr>
          <w:trHeight w:val="106"/>
        </w:trPr>
        <w:tc>
          <w:tcPr>
            <w:tcW w:w="480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subject to possible redemption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0"/>
                <w:szCs w:val="10"/>
                <w:color w:val="auto"/>
              </w:rPr>
              <w:t>(347,252 )</w:t>
            </w:r>
          </w:p>
        </w:tc>
        <w:tc>
          <w:tcPr>
            <w:tcW w:w="20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(347,252 )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 on redemption</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100" w:type="dxa"/>
            <w:vAlign w:val="bottom"/>
            <w:gridSpan w:val="2"/>
          </w:tcPr>
          <w:p>
            <w:pPr>
              <w:jc w:val="right"/>
              <w:ind w:right="160"/>
              <w:spacing w:after="0" w:line="113" w:lineRule="exact"/>
              <w:rPr>
                <w:sz w:val="20"/>
                <w:szCs w:val="20"/>
                <w:color w:val="auto"/>
              </w:rPr>
            </w:pPr>
            <w:r>
              <w:rPr>
                <w:rFonts w:ascii="Times New Roman" w:cs="Times New Roman" w:eastAsia="Times New Roman" w:hAnsi="Times New Roman"/>
                <w:sz w:val="10"/>
                <w:szCs w:val="10"/>
                <w:color w:val="auto"/>
              </w:rPr>
              <w:t>(3,774 )</w:t>
            </w:r>
          </w:p>
        </w:tc>
        <w:tc>
          <w:tcPr>
            <w:tcW w:w="200" w:type="dxa"/>
            <w:vAlign w:val="bottom"/>
          </w:tcPr>
          <w:p>
            <w:pPr>
              <w:spacing w:after="0"/>
              <w:rPr>
                <w:sz w:val="9"/>
                <w:szCs w:val="9"/>
                <w:color w:val="auto"/>
              </w:rPr>
            </w:pPr>
          </w:p>
        </w:tc>
        <w:tc>
          <w:tcPr>
            <w:tcW w:w="112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(100,071 )</w:t>
            </w:r>
          </w:p>
        </w:tc>
        <w:tc>
          <w:tcPr>
            <w:tcW w:w="200" w:type="dxa"/>
            <w:vAlign w:val="bottom"/>
          </w:tcPr>
          <w:p>
            <w:pPr>
              <w:spacing w:after="0"/>
              <w:rPr>
                <w:sz w:val="9"/>
                <w:szCs w:val="9"/>
                <w:color w:val="auto"/>
              </w:rPr>
            </w:pP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(103,845 )</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0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(380,846 )</w:t>
            </w:r>
          </w:p>
        </w:tc>
        <w:tc>
          <w:tcPr>
            <w:tcW w:w="20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(380,846 )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March 31, 2024</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500" w:type="dxa"/>
            <w:vAlign w:val="bottom"/>
            <w:gridSpan w:val="2"/>
          </w:tcPr>
          <w:p>
            <w:pPr>
              <w:jc w:val="right"/>
              <w:ind w:right="1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tcPr>
          <w:p>
            <w:pPr>
              <w:spacing w:after="0"/>
              <w:rPr>
                <w:sz w:val="9"/>
                <w:szCs w:val="9"/>
                <w:color w:val="auto"/>
              </w:rPr>
            </w:pP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(9,636,663 )</w:t>
            </w: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(9,636,093 )</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526,209</w:t>
            </w: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526,209</w:t>
            </w:r>
          </w:p>
        </w:tc>
        <w:tc>
          <w:tcPr>
            <w:tcW w:w="100" w:type="dxa"/>
            <w:vAlign w:val="bottom"/>
            <w:shd w:val="clear" w:color="auto" w:fill="CFF0FC"/>
          </w:tcPr>
          <w:p>
            <w:pPr>
              <w:spacing w:after="0"/>
              <w:rPr>
                <w:sz w:val="9"/>
                <w:szCs w:val="9"/>
                <w:color w:val="auto"/>
              </w:rPr>
            </w:pPr>
          </w:p>
        </w:tc>
      </w:tr>
      <w:tr>
        <w:trPr>
          <w:trHeight w:val="106"/>
        </w:trPr>
        <w:tc>
          <w:tcPr>
            <w:tcW w:w="480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Proceeds allocated to Sponsor Shares for</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subscription agreement liability (see note 4)</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28,292</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28,292</w:t>
            </w:r>
          </w:p>
        </w:tc>
        <w:tc>
          <w:tcPr>
            <w:tcW w:w="100" w:type="dxa"/>
            <w:vAlign w:val="bottom"/>
          </w:tcPr>
          <w:p>
            <w:pPr>
              <w:spacing w:after="0"/>
              <w:rPr>
                <w:sz w:val="10"/>
                <w:szCs w:val="10"/>
                <w:color w:val="auto"/>
              </w:rPr>
            </w:pPr>
          </w:p>
        </w:tc>
      </w:tr>
      <w:tr>
        <w:trPr>
          <w:trHeight w:val="106"/>
        </w:trPr>
        <w:tc>
          <w:tcPr>
            <w:tcW w:w="480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subject to possible redemption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0"/>
                <w:szCs w:val="10"/>
                <w:color w:val="auto"/>
              </w:rPr>
              <w:t>(293,340 )</w:t>
            </w:r>
          </w:p>
        </w:tc>
        <w:tc>
          <w:tcPr>
            <w:tcW w:w="20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(293,340 )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10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12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(1,423,095 )</w:t>
            </w:r>
          </w:p>
        </w:tc>
        <w:tc>
          <w:tcPr>
            <w:tcW w:w="200" w:type="dxa"/>
            <w:vAlign w:val="bottom"/>
          </w:tcPr>
          <w:p>
            <w:pPr>
              <w:spacing w:after="0"/>
              <w:rPr>
                <w:sz w:val="9"/>
                <w:szCs w:val="9"/>
                <w:color w:val="auto"/>
              </w:rPr>
            </w:pP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(1,423,095 )</w:t>
            </w:r>
          </w:p>
        </w:tc>
      </w:tr>
      <w:tr>
        <w:trPr>
          <w:trHeight w:val="113"/>
        </w:trPr>
        <w:tc>
          <w:tcPr>
            <w:tcW w:w="4060" w:type="dxa"/>
            <w:vAlign w:val="bottom"/>
            <w:shd w:val="clear" w:color="auto" w:fill="CFF0FC"/>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 June 30, 2024</w:t>
            </w:r>
          </w:p>
        </w:tc>
        <w:tc>
          <w:tcPr>
            <w:tcW w:w="74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jc w:val="right"/>
              <w:ind w:right="17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261,161</w:t>
            </w: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shd w:val="clear" w:color="auto" w:fill="CFF0FC"/>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(11,059,758 </w:t>
            </w:r>
            <w:r>
              <w:rPr>
                <w:rFonts w:ascii="Times New Roman" w:cs="Times New Roman" w:eastAsia="Times New Roman" w:hAnsi="Times New Roman"/>
                <w:sz w:val="10"/>
                <w:szCs w:val="10"/>
                <w:b w:val="1"/>
                <w:bCs w:val="1"/>
                <w:color w:val="auto"/>
                <w:vertAlign w:val="subscript"/>
              </w:rPr>
              <w:t>)</w:t>
            </w:r>
          </w:p>
        </w:tc>
        <w:tc>
          <w:tcPr>
            <w:tcW w:w="200" w:type="dxa"/>
            <w:vAlign w:val="bottom"/>
            <w:shd w:val="clear" w:color="auto" w:fill="CFF0FC"/>
          </w:tcPr>
          <w:p>
            <w:pPr>
              <w:jc w:val="right"/>
              <w:ind w:right="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shd w:val="clear" w:color="auto" w:fill="CFF0FC"/>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(10,798,027 </w:t>
            </w:r>
            <w:r>
              <w:rPr>
                <w:rFonts w:ascii="Times New Roman" w:cs="Times New Roman" w:eastAsia="Times New Roman" w:hAnsi="Times New Roman"/>
                <w:sz w:val="10"/>
                <w:szCs w:val="10"/>
                <w:b w:val="1"/>
                <w:bCs w:val="1"/>
                <w:color w:val="auto"/>
                <w:vertAlign w:val="subscript"/>
              </w:rPr>
              <w:t>)</w:t>
            </w:r>
          </w:p>
        </w:tc>
      </w:tr>
      <w:tr>
        <w:trPr>
          <w:trHeight w:val="23"/>
        </w:trPr>
        <w:tc>
          <w:tcPr>
            <w:tcW w:w="40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61"/>
        </w:trPr>
        <w:tc>
          <w:tcPr>
            <w:tcW w:w="6760" w:type="dxa"/>
            <w:vAlign w:val="bottom"/>
            <w:gridSpan w:val="7"/>
          </w:tcPr>
          <w:p>
            <w:pPr>
              <w:ind w:left="3920"/>
              <w:spacing w:after="0"/>
              <w:rPr>
                <w:sz w:val="20"/>
                <w:szCs w:val="20"/>
                <w:color w:val="auto"/>
              </w:rPr>
            </w:pPr>
            <w:r>
              <w:rPr>
                <w:rFonts w:ascii="Times New Roman" w:cs="Times New Roman" w:eastAsia="Times New Roman" w:hAnsi="Times New Roman"/>
                <w:sz w:val="10"/>
                <w:szCs w:val="10"/>
                <w:b w:val="1"/>
                <w:bCs w:val="1"/>
                <w:color w:val="auto"/>
                <w:w w:val="99"/>
              </w:rPr>
              <w:t>FOR THE THREE AND NINE MONTHS ENDED JUNE 30, 2023</w:t>
            </w: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73"/>
        </w:trPr>
        <w:tc>
          <w:tcPr>
            <w:tcW w:w="4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w w:val="98"/>
              </w:rPr>
              <w:t>Total</w:t>
            </w:r>
          </w:p>
        </w:tc>
      </w:tr>
      <w:tr>
        <w:trPr>
          <w:trHeight w:val="98"/>
        </w:trPr>
        <w:tc>
          <w:tcPr>
            <w:tcW w:w="4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gridSpan w:val="3"/>
          </w:tcPr>
          <w:p>
            <w:pPr>
              <w:jc w:val="right"/>
              <w:ind w:right="91"/>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Paid-in</w:t>
            </w:r>
          </w:p>
        </w:tc>
        <w:tc>
          <w:tcPr>
            <w:tcW w:w="200" w:type="dxa"/>
            <w:vAlign w:val="bottom"/>
          </w:tcPr>
          <w:p>
            <w:pPr>
              <w:spacing w:after="0"/>
              <w:rPr>
                <w:sz w:val="8"/>
                <w:szCs w:val="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200" w:type="dxa"/>
            <w:vAlign w:val="bottom"/>
          </w:tcPr>
          <w:p>
            <w:pPr>
              <w:spacing w:after="0"/>
              <w:rPr>
                <w:sz w:val="8"/>
                <w:szCs w:val="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6"/>
        </w:trPr>
        <w:tc>
          <w:tcPr>
            <w:tcW w:w="4060" w:type="dxa"/>
            <w:vAlign w:val="bottom"/>
          </w:tcPr>
          <w:p>
            <w:pPr>
              <w:spacing w:after="0"/>
              <w:rPr>
                <w:sz w:val="9"/>
                <w:szCs w:val="9"/>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8"/>
                <w:szCs w:val="8"/>
                <w:b w:val="1"/>
                <w:bCs w:val="1"/>
                <w:color w:val="auto"/>
              </w:rPr>
              <w:t>Shares</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8"/>
                <w:szCs w:val="8"/>
                <w:b w:val="1"/>
                <w:bCs w:val="1"/>
                <w:color w:val="auto"/>
              </w:rPr>
              <w:t>Amount</w:t>
            </w:r>
          </w:p>
        </w:tc>
        <w:tc>
          <w:tcPr>
            <w:tcW w:w="200" w:type="dxa"/>
            <w:vAlign w:val="bottom"/>
          </w:tcPr>
          <w:p>
            <w:pPr>
              <w:spacing w:after="0"/>
              <w:rPr>
                <w:sz w:val="9"/>
                <w:szCs w:val="9"/>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200" w:type="dxa"/>
            <w:vAlign w:val="bottom"/>
          </w:tcPr>
          <w:p>
            <w:pPr>
              <w:spacing w:after="0"/>
              <w:rPr>
                <w:sz w:val="9"/>
                <w:szCs w:val="9"/>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200" w:type="dxa"/>
            <w:vAlign w:val="bottom"/>
          </w:tcPr>
          <w:p>
            <w:pPr>
              <w:spacing w:after="0"/>
              <w:rPr>
                <w:sz w:val="9"/>
                <w:szCs w:val="9"/>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w w:val="96"/>
              </w:rPr>
              <w:t>Deficit</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2022</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500" w:type="dxa"/>
            <w:vAlign w:val="bottom"/>
            <w:gridSpan w:val="2"/>
            <w:shd w:val="clear" w:color="auto" w:fill="CFF0FC"/>
          </w:tcPr>
          <w:p>
            <w:pPr>
              <w:jc w:val="right"/>
              <w:ind w:right="1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941,796</w:t>
            </w: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(4,091,693 )</w:t>
            </w: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(3,149,327 )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9"/>
                <w:szCs w:val="9"/>
                <w:color w:val="auto"/>
              </w:rPr>
            </w:pPr>
          </w:p>
        </w:tc>
      </w:tr>
      <w:tr>
        <w:trPr>
          <w:trHeight w:val="106"/>
        </w:trPr>
        <w:tc>
          <w:tcPr>
            <w:tcW w:w="480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Remeasurement of common stock subject to</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possible redemption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(2,479,343 )</w:t>
            </w:r>
          </w:p>
        </w:tc>
        <w:tc>
          <w:tcPr>
            <w:tcW w:w="2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(2,479,343 )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Net income</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10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607,027</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607,027</w:t>
            </w:r>
          </w:p>
        </w:tc>
        <w:tc>
          <w:tcPr>
            <w:tcW w:w="100" w:type="dxa"/>
            <w:vAlign w:val="bottom"/>
          </w:tcPr>
          <w:p>
            <w:pPr>
              <w:spacing w:after="0"/>
              <w:rPr>
                <w:sz w:val="9"/>
                <w:szCs w:val="9"/>
                <w:color w:val="auto"/>
              </w:rPr>
            </w:pP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December 31, 2022</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500" w:type="dxa"/>
            <w:vAlign w:val="bottom"/>
            <w:gridSpan w:val="2"/>
            <w:shd w:val="clear" w:color="auto" w:fill="CFF0FC"/>
          </w:tcPr>
          <w:p>
            <w:pPr>
              <w:jc w:val="right"/>
              <w:ind w:right="1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969,759</w:t>
            </w: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r>
              <w:rPr>
                <w:rFonts w:ascii="Arial" w:cs="Arial" w:eastAsia="Arial" w:hAnsi="Arial"/>
                <w:sz w:val="10"/>
                <w:szCs w:val="10"/>
                <w:b w:val="1"/>
                <w:bCs w:val="1"/>
                <w:color w:val="auto"/>
              </w:rPr>
              <w:t xml:space="preserve"> </w:t>
            </w:r>
            <w:r>
              <w:rPr>
                <w:rFonts w:ascii="Times New Roman" w:cs="Times New Roman" w:eastAsia="Times New Roman" w:hAnsi="Times New Roman"/>
                <w:sz w:val="10"/>
                <w:szCs w:val="10"/>
                <w:b w:val="1"/>
                <w:bCs w:val="1"/>
                <w:color w:val="auto"/>
              </w:rPr>
              <w:t>(5,964,009)</w:t>
            </w:r>
          </w:p>
        </w:tc>
        <w:tc>
          <w:tcPr>
            <w:tcW w:w="20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w:t>
            </w:r>
            <w:r>
              <w:rPr>
                <w:rFonts w:ascii="Arial" w:cs="Arial" w:eastAsia="Arial" w:hAnsi="Arial"/>
                <w:sz w:val="10"/>
                <w:szCs w:val="10"/>
                <w:b w:val="1"/>
                <w:bCs w:val="1"/>
                <w:color w:val="auto"/>
              </w:rPr>
              <w:t xml:space="preserve"> </w:t>
            </w:r>
            <w:r>
              <w:rPr>
                <w:rFonts w:ascii="Times New Roman" w:cs="Times New Roman" w:eastAsia="Times New Roman" w:hAnsi="Times New Roman"/>
                <w:sz w:val="10"/>
                <w:szCs w:val="10"/>
                <w:b w:val="1"/>
                <w:bCs w:val="1"/>
                <w:color w:val="auto"/>
              </w:rPr>
              <w:t>(4,993,680)</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9"/>
                <w:szCs w:val="9"/>
                <w:color w:val="auto"/>
              </w:rPr>
            </w:pPr>
          </w:p>
        </w:tc>
      </w:tr>
      <w:tr>
        <w:trPr>
          <w:trHeight w:val="106"/>
        </w:trPr>
        <w:tc>
          <w:tcPr>
            <w:tcW w:w="480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Capital contribution made by Sponsor related to</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the stockholder non-redemption agreements</w:t>
            </w:r>
          </w:p>
        </w:tc>
        <w:tc>
          <w:tcPr>
            <w:tcW w:w="4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1,102,909</w:t>
            </w: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06"/>
        </w:trPr>
        <w:tc>
          <w:tcPr>
            <w:tcW w:w="480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Cost of raising capital related to the stockholder</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non-redemption agreements</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(1,102,909 )</w:t>
            </w: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6"/>
        </w:trPr>
        <w:tc>
          <w:tcPr>
            <w:tcW w:w="480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Remeasurement of common stock subject to</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possible redemption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(669,074 )</w:t>
            </w:r>
          </w:p>
        </w:tc>
        <w:tc>
          <w:tcPr>
            <w:tcW w:w="2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(669,074 )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 on redemption</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100" w:type="dxa"/>
            <w:vAlign w:val="bottom"/>
            <w:gridSpan w:val="2"/>
          </w:tcPr>
          <w:p>
            <w:pPr>
              <w:jc w:val="right"/>
              <w:ind w:right="160"/>
              <w:spacing w:after="0" w:line="113" w:lineRule="exact"/>
              <w:rPr>
                <w:sz w:val="20"/>
                <w:szCs w:val="20"/>
                <w:color w:val="auto"/>
              </w:rPr>
            </w:pPr>
            <w:r>
              <w:rPr>
                <w:rFonts w:ascii="Times New Roman" w:cs="Times New Roman" w:eastAsia="Times New Roman" w:hAnsi="Times New Roman"/>
                <w:sz w:val="10"/>
                <w:szCs w:val="10"/>
                <w:color w:val="auto"/>
              </w:rPr>
              <w:t>(997,722 )</w:t>
            </w:r>
          </w:p>
        </w:tc>
        <w:tc>
          <w:tcPr>
            <w:tcW w:w="200" w:type="dxa"/>
            <w:vAlign w:val="bottom"/>
          </w:tcPr>
          <w:p>
            <w:pPr>
              <w:spacing w:after="0"/>
              <w:rPr>
                <w:sz w:val="9"/>
                <w:szCs w:val="9"/>
                <w:color w:val="auto"/>
              </w:rPr>
            </w:pPr>
          </w:p>
        </w:tc>
        <w:tc>
          <w:tcPr>
            <w:tcW w:w="112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(173,077 )</w:t>
            </w:r>
          </w:p>
        </w:tc>
        <w:tc>
          <w:tcPr>
            <w:tcW w:w="200" w:type="dxa"/>
            <w:vAlign w:val="bottom"/>
          </w:tcPr>
          <w:p>
            <w:pPr>
              <w:spacing w:after="0"/>
              <w:rPr>
                <w:sz w:val="9"/>
                <w:szCs w:val="9"/>
                <w:color w:val="auto"/>
              </w:rPr>
            </w:pP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(1,170,799 )</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0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(27,143 )</w:t>
            </w:r>
          </w:p>
        </w:tc>
        <w:tc>
          <w:tcPr>
            <w:tcW w:w="20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(27,143 )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March 31, 2023</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500" w:type="dxa"/>
            <w:vAlign w:val="bottom"/>
            <w:gridSpan w:val="2"/>
          </w:tcPr>
          <w:p>
            <w:pPr>
              <w:jc w:val="right"/>
              <w:ind w:right="1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tcPr>
          <w:p>
            <w:pPr>
              <w:spacing w:after="0"/>
              <w:rPr>
                <w:sz w:val="9"/>
                <w:szCs w:val="9"/>
                <w:color w:val="auto"/>
              </w:rPr>
            </w:pP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(6,833,303 )</w:t>
            </w: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(6,832,733 )</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134,363</w:t>
            </w: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134,363</w:t>
            </w:r>
          </w:p>
        </w:tc>
        <w:tc>
          <w:tcPr>
            <w:tcW w:w="100" w:type="dxa"/>
            <w:vAlign w:val="bottom"/>
            <w:shd w:val="clear" w:color="auto" w:fill="CFF0FC"/>
          </w:tcPr>
          <w:p>
            <w:pPr>
              <w:spacing w:after="0"/>
              <w:rPr>
                <w:sz w:val="9"/>
                <w:szCs w:val="9"/>
                <w:color w:val="auto"/>
              </w:rPr>
            </w:pPr>
          </w:p>
        </w:tc>
      </w:tr>
      <w:tr>
        <w:trPr>
          <w:trHeight w:val="106"/>
        </w:trPr>
        <w:tc>
          <w:tcPr>
            <w:tcW w:w="480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Remeasurement of common stock subject to</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possible redemption</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(329,131 )</w:t>
            </w:r>
          </w:p>
        </w:tc>
        <w:tc>
          <w:tcPr>
            <w:tcW w:w="200" w:type="dxa"/>
            <w:vAlign w:val="bottom"/>
          </w:tcPr>
          <w:p>
            <w:pPr>
              <w:spacing w:after="0"/>
              <w:rPr>
                <w:sz w:val="10"/>
                <w:szCs w:val="1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(329,131 )</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0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(559,584 )</w:t>
            </w:r>
          </w:p>
        </w:tc>
        <w:tc>
          <w:tcPr>
            <w:tcW w:w="20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(559,584 )</w:t>
            </w:r>
          </w:p>
        </w:tc>
      </w:tr>
      <w:tr>
        <w:trPr>
          <w:trHeight w:val="113"/>
        </w:trPr>
        <w:tc>
          <w:tcPr>
            <w:tcW w:w="406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 June 30, 2023</w:t>
            </w:r>
          </w:p>
        </w:tc>
        <w:tc>
          <w:tcPr>
            <w:tcW w:w="740" w:type="dxa"/>
            <w:vAlign w:val="bottom"/>
          </w:tcPr>
          <w:p>
            <w:pPr>
              <w:spacing w:after="0"/>
              <w:rPr>
                <w:sz w:val="9"/>
                <w:szCs w:val="9"/>
                <w:color w:val="auto"/>
              </w:rPr>
            </w:pPr>
          </w:p>
        </w:tc>
        <w:tc>
          <w:tcPr>
            <w:tcW w:w="4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220" w:type="dxa"/>
            <w:vAlign w:val="bottom"/>
          </w:tcPr>
          <w:p>
            <w:pPr>
              <w:spacing w:after="0"/>
              <w:rPr>
                <w:sz w:val="9"/>
                <w:szCs w:val="9"/>
                <w:color w:val="auto"/>
              </w:rPr>
            </w:pPr>
          </w:p>
        </w:tc>
        <w:tc>
          <w:tcPr>
            <w:tcW w:w="280" w:type="dxa"/>
            <w:vAlign w:val="bottom"/>
          </w:tcPr>
          <w:p>
            <w:pPr>
              <w:jc w:val="right"/>
              <w:ind w:right="17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tcPr>
          <w:p>
            <w:pPr>
              <w:spacing w:after="0"/>
              <w:rPr>
                <w:sz w:val="9"/>
                <w:szCs w:val="9"/>
                <w:color w:val="auto"/>
              </w:rPr>
            </w:pPr>
          </w:p>
        </w:tc>
        <w:tc>
          <w:tcPr>
            <w:tcW w:w="200" w:type="dxa"/>
            <w:vAlign w:val="bottom"/>
          </w:tcPr>
          <w:p>
            <w:pPr>
              <w:jc w:val="right"/>
              <w:ind w:right="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134,363</w:t>
            </w:r>
          </w:p>
        </w:tc>
        <w:tc>
          <w:tcPr>
            <w:tcW w:w="200" w:type="dxa"/>
            <w:vAlign w:val="bottom"/>
          </w:tcPr>
          <w:p>
            <w:pPr>
              <w:spacing w:after="0"/>
              <w:rPr>
                <w:sz w:val="9"/>
                <w:szCs w:val="9"/>
                <w:color w:val="auto"/>
              </w:rPr>
            </w:pPr>
          </w:p>
        </w:tc>
        <w:tc>
          <w:tcPr>
            <w:tcW w:w="200" w:type="dxa"/>
            <w:vAlign w:val="bottom"/>
          </w:tcPr>
          <w:p>
            <w:pPr>
              <w:jc w:val="right"/>
              <w:ind w:right="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(7,722,018 </w:t>
            </w:r>
            <w:r>
              <w:rPr>
                <w:rFonts w:ascii="Times New Roman" w:cs="Times New Roman" w:eastAsia="Times New Roman" w:hAnsi="Times New Roman"/>
                <w:sz w:val="10"/>
                <w:szCs w:val="10"/>
                <w:b w:val="1"/>
                <w:bCs w:val="1"/>
                <w:color w:val="auto"/>
                <w:vertAlign w:val="subscript"/>
              </w:rPr>
              <w:t>)</w:t>
            </w:r>
          </w:p>
        </w:tc>
        <w:tc>
          <w:tcPr>
            <w:tcW w:w="200" w:type="dxa"/>
            <w:vAlign w:val="bottom"/>
          </w:tcPr>
          <w:p>
            <w:pPr>
              <w:jc w:val="right"/>
              <w:ind w:right="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(7,587,085 </w:t>
            </w:r>
            <w:r>
              <w:rPr>
                <w:rFonts w:ascii="Times New Roman" w:cs="Times New Roman" w:eastAsia="Times New Roman" w:hAnsi="Times New Roman"/>
                <w:sz w:val="10"/>
                <w:szCs w:val="10"/>
                <w:b w:val="1"/>
                <w:bCs w:val="1"/>
                <w:color w:val="auto"/>
                <w:vertAlign w:val="subscript"/>
              </w:rPr>
              <w:t>)</w:t>
            </w:r>
          </w:p>
        </w:tc>
      </w:tr>
      <w:tr>
        <w:trPr>
          <w:trHeight w:val="23"/>
        </w:trPr>
        <w:tc>
          <w:tcPr>
            <w:tcW w:w="40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 CONDENSED STATEMENTS OF CASH FLOWS</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40" w:type="dxa"/>
            <w:vAlign w:val="bottom"/>
            <w:gridSpan w:val="3"/>
          </w:tcPr>
          <w:p>
            <w:pPr>
              <w:jc w:val="right"/>
              <w:ind w:right="116"/>
              <w:spacing w:after="0"/>
              <w:rPr>
                <w:sz w:val="20"/>
                <w:szCs w:val="20"/>
                <w:color w:val="auto"/>
              </w:rPr>
            </w:pPr>
            <w:r>
              <w:rPr>
                <w:rFonts w:ascii="Times New Roman" w:cs="Times New Roman" w:eastAsia="Times New Roman" w:hAnsi="Times New Roman"/>
                <w:sz w:val="8"/>
                <w:szCs w:val="8"/>
                <w:b w:val="1"/>
                <w:bCs w:val="1"/>
                <w:color w:val="auto"/>
              </w:rPr>
              <w:t>For the Nine Months Ended</w:t>
            </w: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280" w:type="dxa"/>
            <w:vAlign w:val="bottom"/>
          </w:tcPr>
          <w:p>
            <w:pPr>
              <w:spacing w:after="0"/>
              <w:rPr>
                <w:sz w:val="9"/>
                <w:szCs w:val="9"/>
                <w:color w:val="auto"/>
              </w:rPr>
            </w:pPr>
          </w:p>
        </w:tc>
        <w:tc>
          <w:tcPr>
            <w:tcW w:w="920" w:type="dxa"/>
            <w:vAlign w:val="bottom"/>
            <w:vMerge w:val="restart"/>
          </w:tcPr>
          <w:p>
            <w:pPr>
              <w:jc w:val="right"/>
              <w:ind w:right="32"/>
              <w:spacing w:after="0"/>
              <w:rPr>
                <w:sz w:val="20"/>
                <w:szCs w:val="20"/>
                <w:color w:val="auto"/>
              </w:rPr>
            </w:pPr>
            <w:r>
              <w:rPr>
                <w:rFonts w:ascii="Times New Roman" w:cs="Times New Roman" w:eastAsia="Times New Roman" w:hAnsi="Times New Roman"/>
                <w:sz w:val="8"/>
                <w:szCs w:val="8"/>
                <w:b w:val="1"/>
                <w:bCs w:val="1"/>
                <w:color w:val="auto"/>
              </w:rPr>
              <w:t>2024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June 30,</w:t>
            </w:r>
          </w:p>
        </w:tc>
        <w:tc>
          <w:tcPr>
            <w:tcW w:w="480" w:type="dxa"/>
            <w:vAlign w:val="bottom"/>
          </w:tcPr>
          <w:p>
            <w:pPr>
              <w:spacing w:after="0"/>
              <w:rPr>
                <w:sz w:val="9"/>
                <w:szCs w:val="9"/>
                <w:color w:val="auto"/>
              </w:rPr>
            </w:pPr>
          </w:p>
        </w:tc>
        <w:tc>
          <w:tcPr>
            <w:tcW w:w="980" w:type="dxa"/>
            <w:vAlign w:val="bottom"/>
            <w:vMerge w:val="restart"/>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72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 income</w:t>
            </w:r>
          </w:p>
        </w:tc>
        <w:tc>
          <w:tcPr>
            <w:tcW w:w="920" w:type="dxa"/>
            <w:vAlign w:val="bottom"/>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(2,164,255 )</w:t>
            </w:r>
          </w:p>
        </w:tc>
        <w:tc>
          <w:tcPr>
            <w:tcW w:w="480" w:type="dxa"/>
            <w:vAlign w:val="bottom"/>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20,300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Adjustments to reconcile net (loss) income to net cash used in operating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Interest earned on cash and marketable securities held in Trust Account</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(811,281 )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(2,697,147 )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344,248</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601,809</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190,289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Changes in current assets and liabilities: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(8,183 )</w:t>
            </w: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25,706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Accounts payable and accrued expenses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1,327,705</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979,793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39,243</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117,873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33,900</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(28,000 )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(636,814 )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(1,391,186 )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Withdrawals from trust for redemptions</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10,384,496</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117,079,879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Withdrawals from trust to pay for taxes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156,174</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804,072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Principal deposited in Trust Account</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(531,697 )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(1,500,000 )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provided by investing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10,008,973</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116,383,951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promissory note to related party</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492,287</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1,950,000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subscription agreement</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473,008</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8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Redemptions of shares</w:t>
            </w:r>
          </w:p>
        </w:tc>
        <w:tc>
          <w:tcPr>
            <w:tcW w:w="92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(10,384,496 )</w:t>
            </w:r>
          </w:p>
        </w:tc>
        <w:tc>
          <w:tcPr>
            <w:tcW w:w="48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(117,079,879 )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financing activities</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(9,419,201 )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(115,129,879 )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change in cash</w:t>
            </w:r>
          </w:p>
        </w:tc>
        <w:tc>
          <w:tcPr>
            <w:tcW w:w="92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(47,042 )</w:t>
            </w:r>
          </w:p>
        </w:tc>
        <w:tc>
          <w:tcPr>
            <w:tcW w:w="48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(137,114 )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beginning of the period</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60,284</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177,578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end of the period</w:t>
            </w:r>
          </w:p>
        </w:tc>
        <w:tc>
          <w:tcPr>
            <w:tcW w:w="920" w:type="dxa"/>
            <w:vAlign w:val="bottom"/>
            <w:tcBorders>
              <w:bottom w:val="single" w:sz="8" w:color="auto"/>
            </w:tcBorders>
            <w:shd w:val="clear" w:color="auto" w:fill="CFF0FC"/>
          </w:tcPr>
          <w:p>
            <w:pPr>
              <w:jc w:val="right"/>
              <w:ind w:right="812"/>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13,242</w:t>
            </w:r>
          </w:p>
        </w:tc>
        <w:tc>
          <w:tcPr>
            <w:tcW w:w="2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40,464</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Supplemental disclosure of non-cash financing activities:</w:t>
            </w: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common stock subject to possible redemption</w:t>
            </w:r>
          </w:p>
        </w:tc>
        <w:tc>
          <w:tcPr>
            <w:tcW w:w="920" w:type="dxa"/>
            <w:vAlign w:val="bottom"/>
            <w:tcBorders>
              <w:bottom w:val="single" w:sz="8" w:color="auto"/>
            </w:tcBorders>
            <w:shd w:val="clear" w:color="auto" w:fill="CFF0FC"/>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1,108,476</w:t>
            </w:r>
          </w:p>
        </w:tc>
        <w:tc>
          <w:tcPr>
            <w:tcW w:w="2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3,477,548</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 on redemptions</w:t>
            </w:r>
          </w:p>
        </w:tc>
        <w:tc>
          <w:tcPr>
            <w:tcW w:w="920" w:type="dxa"/>
            <w:vAlign w:val="bottom"/>
            <w:tcBorders>
              <w:bottom w:val="single" w:sz="8" w:color="auto"/>
            </w:tcBorders>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103,845</w:t>
            </w:r>
          </w:p>
        </w:tc>
        <w:tc>
          <w:tcPr>
            <w:tcW w:w="280" w:type="dxa"/>
            <w:vAlign w:val="bottom"/>
          </w:tcPr>
          <w:p>
            <w:pPr>
              <w:spacing w:after="0"/>
              <w:rPr>
                <w:sz w:val="10"/>
                <w:szCs w:val="10"/>
                <w:color w:val="auto"/>
              </w:rPr>
            </w:pPr>
          </w:p>
        </w:tc>
        <w:tc>
          <w:tcPr>
            <w:tcW w:w="4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1,170,799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Taxes Paid</w:t>
            </w:r>
          </w:p>
        </w:tc>
        <w:tc>
          <w:tcPr>
            <w:tcW w:w="920" w:type="dxa"/>
            <w:vAlign w:val="bottom"/>
            <w:tcBorders>
              <w:bottom w:val="single" w:sz="8" w:color="auto"/>
            </w:tcBorders>
            <w:shd w:val="clear" w:color="auto" w:fill="CFF0FC"/>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114,078</w:t>
            </w:r>
          </w:p>
        </w:tc>
        <w:tc>
          <w:tcPr>
            <w:tcW w:w="2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Cost of issuance of debt under subscription agreements</w:t>
            </w:r>
          </w:p>
        </w:tc>
        <w:tc>
          <w:tcPr>
            <w:tcW w:w="920" w:type="dxa"/>
            <w:vAlign w:val="bottom"/>
            <w:tcBorders>
              <w:bottom w:val="single" w:sz="8" w:color="auto"/>
            </w:tcBorders>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462,751</w:t>
            </w:r>
          </w:p>
        </w:tc>
        <w:tc>
          <w:tcPr>
            <w:tcW w:w="280" w:type="dxa"/>
            <w:vAlign w:val="bottom"/>
          </w:tcPr>
          <w:p>
            <w:pPr>
              <w:spacing w:after="0"/>
              <w:rPr>
                <w:sz w:val="10"/>
                <w:szCs w:val="10"/>
                <w:color w:val="auto"/>
              </w:rPr>
            </w:pPr>
          </w:p>
        </w:tc>
        <w:tc>
          <w:tcPr>
            <w:tcW w:w="4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94" w:name="page195"/>
    <w:bookmarkEnd w:id="194"/>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NOTES TO UNAUDITED CONDENSED FINANCIAL STATEMENTS</w:t>
      </w: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JUNE 30, 2024</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Note–1 - Organization, Business Operations and Going Concern</w:t>
      </w:r>
    </w:p>
    <w:p>
      <w:pPr>
        <w:spacing w:after="0" w:line="60" w:lineRule="exact"/>
        <w:rPr>
          <w:sz w:val="20"/>
          <w:szCs w:val="20"/>
          <w:color w:val="auto"/>
        </w:rPr>
      </w:pPr>
    </w:p>
    <w:p>
      <w:pPr>
        <w:jc w:val="both"/>
        <w:ind w:firstLine="480"/>
        <w:spacing w:after="0" w:line="285" w:lineRule="auto"/>
        <w:rPr>
          <w:sz w:val="20"/>
          <w:szCs w:val="20"/>
          <w:color w:val="auto"/>
        </w:rPr>
      </w:pPr>
      <w:r>
        <w:rPr>
          <w:rFonts w:ascii="Times New Roman" w:cs="Times New Roman" w:eastAsia="Times New Roman" w:hAnsi="Times New Roman"/>
          <w:sz w:val="9"/>
          <w:szCs w:val="9"/>
          <w:color w:val="auto"/>
        </w:rPr>
        <w:t>Armada Acquisition Corp. I (the “Company” or “Armada”)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89"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As of June 30, 2024, the Company had not commenced any operations. All activity for the period from November 5, 2020 (inception) through June 30, 2024,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has generated non-operating income in the form of interest income on cash and cash equivalents from the proceeds derived from the IPO.</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sponsor is Armada Sponsor LLC (the “Sponsor”).</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registration statement for the Company’s IPO was declared effective on August 12, 2021 (the “Effective Date”). On August 17, 2021, the Company commenced the IPO of 15,000,000 units at $10.00 per unit (the “Units”).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Simultaneously with the consummation of the IPO, the Company consummated the private placement of 459,500 shares of common stock (“Private Shares”) at a price of $10.00 per share for an aggregate purchase price of $4,595,000.</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Transaction costs amounted to $3,537,515, consisting of $1,500,000 of underwriting commissions, and $2,037,515 of other offering costs.</w:t>
      </w:r>
    </w:p>
    <w:p>
      <w:pPr>
        <w:spacing w:after="0" w:line="118" w:lineRule="exact"/>
        <w:rPr>
          <w:sz w:val="20"/>
          <w:szCs w:val="20"/>
          <w:color w:val="auto"/>
        </w:rPr>
      </w:pPr>
    </w:p>
    <w:p>
      <w:pPr>
        <w:ind w:right="20" w:firstLine="480"/>
        <w:spacing w:after="0" w:line="237" w:lineRule="auto"/>
        <w:rPr>
          <w:sz w:val="20"/>
          <w:szCs w:val="20"/>
          <w:color w:val="auto"/>
        </w:rPr>
      </w:pPr>
      <w:r>
        <w:rPr>
          <w:rFonts w:ascii="Times New Roman" w:cs="Times New Roman" w:eastAsia="Times New Roman" w:hAnsi="Times New Roman"/>
          <w:sz w:val="10"/>
          <w:szCs w:val="10"/>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2a- 7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except as follows: (i) the redemption of public shares held by stockholders requesting redemption in connection with the approval by the stockholders of an amendment to the Company’s charter to further extend the required time during which the Company must complete a Business Combination; (ii) the redemption of public shares held by stockholders requesting redemption in connection with the approval by the stockholders of a proposed Business Combination; (iii) upon the completion of a Business Combination; or (iv) the redemption of all remaining public shares if the Company has not completed a Business Combination during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11"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01"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195" w:name="page196"/>
    <w:bookmarkEnd w:id="195"/>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1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08" w:lineRule="exact"/>
        <w:rPr>
          <w:sz w:val="20"/>
          <w:szCs w:val="20"/>
          <w:color w:val="auto"/>
        </w:rPr>
      </w:pPr>
    </w:p>
    <w:p>
      <w:pPr>
        <w:jc w:val="both"/>
        <w:ind w:right="40" w:firstLine="480"/>
        <w:spacing w:after="0" w:line="245" w:lineRule="auto"/>
        <w:rPr>
          <w:sz w:val="20"/>
          <w:szCs w:val="20"/>
          <w:color w:val="auto"/>
        </w:rPr>
      </w:pPr>
      <w:r>
        <w:rPr>
          <w:rFonts w:ascii="Times New Roman" w:cs="Times New Roman" w:eastAsia="Times New Roman" w:hAnsi="Times New Roman"/>
          <w:sz w:val="10"/>
          <w:szCs w:val="10"/>
          <w:color w:val="auto"/>
        </w:rPr>
        <w:t>The Company had until February 17, 2023 (or 18 months following the IPO) to consummate a Business Combination (the “Combination Period”).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05" w:lineRule="exact"/>
        <w:rPr>
          <w:sz w:val="20"/>
          <w:szCs w:val="20"/>
          <w:color w:val="auto"/>
        </w:rPr>
      </w:pPr>
    </w:p>
    <w:p>
      <w:pPr>
        <w:ind w:right="140" w:firstLine="480"/>
        <w:spacing w:after="0" w:line="285" w:lineRule="auto"/>
        <w:rPr>
          <w:sz w:val="20"/>
          <w:szCs w:val="20"/>
          <w:color w:val="auto"/>
        </w:rPr>
      </w:pPr>
      <w:r>
        <w:rPr>
          <w:rFonts w:ascii="Times New Roman" w:cs="Times New Roman" w:eastAsia="Times New Roman" w:hAnsi="Times New Roman"/>
          <w:sz w:val="9"/>
          <w:szCs w:val="9"/>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 17, 2024. On February 13, 2024, the Company deposited $49,619 into the Trust Account thereby extending the Combination Period until March 17, 2024, and on each of March 13, 2024 and April 16, 2024, May 17, 2024, June 17, 2024 and July 16, 2024, the Company deposited $49,619 into the Trust Account thereby extending the Combination Period until August 17, 2024.</w:t>
      </w:r>
    </w:p>
    <w:p>
      <w:pPr>
        <w:spacing w:after="0" w:line="89"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 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1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05"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96" w:name="page197"/>
    <w:bookmarkEnd w:id="196"/>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05"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08"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08"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9"/>
          <w:szCs w:val="9"/>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 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96" w:lineRule="exact"/>
        <w:rPr>
          <w:sz w:val="20"/>
          <w:szCs w:val="20"/>
          <w:color w:val="auto"/>
        </w:rPr>
      </w:pPr>
    </w:p>
    <w:p>
      <w:pPr>
        <w:ind w:right="20" w:firstLine="480"/>
        <w:spacing w:after="0" w:line="285" w:lineRule="auto"/>
        <w:rPr>
          <w:sz w:val="20"/>
          <w:szCs w:val="20"/>
          <w:color w:val="auto"/>
        </w:rPr>
      </w:pPr>
      <w:r>
        <w:rPr>
          <w:rFonts w:ascii="Times New Roman" w:cs="Times New Roman" w:eastAsia="Times New Roman" w:hAnsi="Times New Roman"/>
          <w:sz w:val="9"/>
          <w:szCs w:val="9"/>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89"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nine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1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197" w:name="page198"/>
    <w:bookmarkEnd w:id="197"/>
    <w:p>
      <w:pPr>
        <w:ind w:right="40" w:firstLine="480"/>
        <w:spacing w:after="0" w:line="270" w:lineRule="auto"/>
        <w:rPr>
          <w:sz w:val="20"/>
          <w:szCs w:val="20"/>
          <w:color w:val="auto"/>
        </w:rPr>
      </w:pPr>
      <w:r>
        <w:rPr>
          <w:rFonts w:ascii="Times New Roman" w:cs="Times New Roman" w:eastAsia="Times New Roman" w:hAnsi="Times New Roman"/>
          <w:sz w:val="9"/>
          <w:szCs w:val="9"/>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12, 2023, October 11, 2023, November 9, 2023, December 19, 2023 and January 16, 2024 the Company borrowed $70,900 under the Extension Note on each such date and deposited the funds into the Trust Account thereby extending the Combination Period for five additional months or until February 17, 2024. Payments made on December 19, 2023 and January 16, 2024 were funded under the terms of the Subscription Agreement with Polar (see Note 4 below).</w:t>
      </w:r>
    </w:p>
    <w:p>
      <w:pPr>
        <w:spacing w:after="0" w:line="96"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nine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1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 -month extensions.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 The payments made on February 13, 2024 and March 13, 2024 were funded under the terms of the Subscription Agreement with Polar (see Note 4 below).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Liquidity and Going Concern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June 30, 2024, the Company had $13,242 of cash in its bank operating account and a working capital deficiency of approximately $10.9 million.</w:t>
      </w:r>
    </w:p>
    <w:p>
      <w:pPr>
        <w:spacing w:after="0" w:line="118"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98" w:name="page199"/>
    <w:bookmarkEnd w:id="198"/>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The aggregate balance outstanding under all promissory notes, including the Extension Note and the Second Extension Note, was $3,056,726 and $2,564,439 as of June 30, 2024, and September 30, 2023, respectively. The balance of subscription agreement liability (net of debt discount) was $354,503 as of June 30, 2024, and $0 as of September 30, 2023.</w:t>
      </w:r>
    </w:p>
    <w:p>
      <w:pPr>
        <w:spacing w:after="0" w:line="101"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Company’s assessment of going concern considerations in accordance with the Financial Accounting Standards Board’s (“FASB”) Accounting Standards Update(“ASU”) 2014- 15,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 The Company completed its Business Combination on August 15,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Risks and Uncertainties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Inflation Reduction Act of 2022</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1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08" w:lineRule="exact"/>
        <w:rPr>
          <w:sz w:val="20"/>
          <w:szCs w:val="20"/>
          <w:color w:val="auto"/>
        </w:rPr>
      </w:pPr>
    </w:p>
    <w:p>
      <w:pPr>
        <w:jc w:val="both"/>
        <w:ind w:right="260" w:firstLine="480"/>
        <w:spacing w:after="0" w:line="285" w:lineRule="auto"/>
        <w:rPr>
          <w:sz w:val="20"/>
          <w:szCs w:val="20"/>
          <w:color w:val="auto"/>
        </w:rPr>
      </w:pPr>
      <w:r>
        <w:rPr>
          <w:rFonts w:ascii="Times New Roman" w:cs="Times New Roman" w:eastAsia="Times New Roman" w:hAnsi="Times New Roman"/>
          <w:sz w:val="9"/>
          <w:szCs w:val="9"/>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As a result, $10,384,496 was removed from the Company’s Trust Account to pay such holders.</w:t>
      </w:r>
    </w:p>
    <w:p>
      <w:pPr>
        <w:spacing w:after="0" w:line="89"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Management has evaluated the requirements of the IR Act and the Company’s operations, and has determined that $1,395,596 related to the redemptions as described above is required to be recorded as a liability on the Company’s balance sheet as of June 30, 2024. This liability will be reevaluated and remeasured at the end of each quarterly period.</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199" w:name="page200"/>
    <w:bookmarkEnd w:id="199"/>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During the third quarter, the IRS issued final regulations with respect to the timing and payment of the excise tax. Pursuant to those regulations, the Company would need to file a return and remit payment for any liability incurred during the period from January 1, 2023 to December 31, 2023 on or before October 31, 2024.</w:t>
      </w:r>
    </w:p>
    <w:p>
      <w:pPr>
        <w:spacing w:after="0" w:line="101"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Company is currently evaluating its options with respect to payment of this obligation. If the Company is unable to pay its obligation in full, it will be subject to additional interest and penalties which are currently estimated at 10% interest per annum and a 5% underpayment penalty per month or portion of a month up to 25% of the total liability for any amount that is unpaid from November 1, 2024 until paid in full.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2 — Significant Accounting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Basis of Presentation</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and nine months ended June 30, 2024, are not necessarily indicative of the results that may be expected through September 30, 2024.</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unaudited condensed financial statements should be read in conjunction with the Company’s Annual Report on Form 10-K, as filed with the SEC on December 4,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Emerging Growth Company Status</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9"/>
          <w:szCs w:val="9"/>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Use of Estimates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Cash</w:t>
      </w:r>
    </w:p>
    <w:p>
      <w:pPr>
        <w:spacing w:after="0" w:line="60" w:lineRule="exact"/>
        <w:rPr>
          <w:sz w:val="20"/>
          <w:szCs w:val="20"/>
          <w:color w:val="auto"/>
        </w:rPr>
      </w:pPr>
    </w:p>
    <w:p>
      <w:pPr>
        <w:jc w:val="center"/>
        <w:ind w:right="40"/>
        <w:spacing w:after="0" w:line="380" w:lineRule="auto"/>
        <w:rPr>
          <w:sz w:val="20"/>
          <w:szCs w:val="20"/>
          <w:color w:val="auto"/>
        </w:rPr>
      </w:pPr>
      <w:r>
        <w:rPr>
          <w:rFonts w:ascii="Times New Roman" w:cs="Times New Roman" w:eastAsia="Times New Roman" w:hAnsi="Times New Roman"/>
          <w:sz w:val="10"/>
          <w:szCs w:val="10"/>
          <w:color w:val="auto"/>
        </w:rPr>
        <w:t>The Company considers all short-term investments with an original maturity of three months or less when purchased to be cash equivalents. The Company had $13,242 and $60,284 in cash as of June 30, 2024 and September 30, 2023, respectively. 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0"/>
          <w:szCs w:val="10"/>
          <w:b w:val="1"/>
          <w:bCs w:val="1"/>
          <w:i w:val="1"/>
          <w:iCs w:val="1"/>
          <w:color w:val="auto"/>
        </w:rPr>
        <w:t>Cash Held in Trust Account</w:t>
      </w:r>
    </w:p>
    <w:p>
      <w:pPr>
        <w:spacing w:after="0" w:line="60" w:lineRule="exact"/>
        <w:rPr>
          <w:sz w:val="20"/>
          <w:szCs w:val="20"/>
          <w:color w:val="auto"/>
        </w:rPr>
      </w:pPr>
    </w:p>
    <w:p>
      <w:pPr>
        <w:ind w:right="160" w:firstLine="480"/>
        <w:spacing w:after="0" w:line="245" w:lineRule="auto"/>
        <w:rPr>
          <w:sz w:val="20"/>
          <w:szCs w:val="20"/>
          <w:color w:val="auto"/>
        </w:rPr>
      </w:pPr>
      <w:r>
        <w:rPr>
          <w:rFonts w:ascii="Times New Roman" w:cs="Times New Roman" w:eastAsia="Times New Roman" w:hAnsi="Times New Roman"/>
          <w:sz w:val="10"/>
          <w:szCs w:val="10"/>
          <w:color w:val="auto"/>
        </w:rPr>
        <w:t>As of both June 30, 2024, and September 30, 2023, the assets held in the Trust Account were held in an interest-bearing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Fair Value Measurements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 defined as observable inputs such as quoted prices (unadjusted) for identical instruments in active markets;</w:t>
      </w:r>
    </w:p>
    <w:p>
      <w:pPr>
        <w:spacing w:after="0" w:line="58" w:lineRule="exact"/>
        <w:rPr>
          <w:sz w:val="20"/>
          <w:szCs w:val="20"/>
          <w:color w:val="auto"/>
        </w:rPr>
      </w:pPr>
    </w:p>
    <w:p>
      <w:pPr>
        <w:ind w:left="480" w:right="220"/>
        <w:spacing w:after="0" w:line="255" w:lineRule="auto"/>
        <w:rPr>
          <w:sz w:val="20"/>
          <w:szCs w:val="20"/>
          <w:color w:val="auto"/>
        </w:rPr>
      </w:pPr>
      <w:r>
        <w:rPr>
          <w:rFonts w:ascii="Times New Roman" w:cs="Times New Roman" w:eastAsia="Times New Roman" w:hAnsi="Times New Roman"/>
          <w:sz w:val="10"/>
          <w:szCs w:val="10"/>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41" w:lineRule="exact"/>
        <w:rPr>
          <w:sz w:val="20"/>
          <w:szCs w:val="20"/>
          <w:color w:val="auto"/>
        </w:rPr>
      </w:pPr>
    </w:p>
    <w:p>
      <w:pPr>
        <w:ind w:left="480" w:right="180"/>
        <w:spacing w:after="0" w:line="255" w:lineRule="auto"/>
        <w:rPr>
          <w:sz w:val="20"/>
          <w:szCs w:val="20"/>
          <w:color w:val="auto"/>
        </w:rPr>
      </w:pPr>
      <w:r>
        <w:rPr>
          <w:rFonts w:ascii="Times New Roman" w:cs="Times New Roman" w:eastAsia="Times New Roman" w:hAnsi="Times New Roman"/>
          <w:sz w:val="10"/>
          <w:szCs w:val="10"/>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1"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fair value of certain of the Company’s assets and liabilities, which qualify as financial instruments under ASC 820, “Fair Value Measurement,” approximates the carrying amounts represented in the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Concentration of Credit Risk</w:t>
      </w:r>
    </w:p>
    <w:p>
      <w:pPr>
        <w:spacing w:after="0" w:line="60"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Financial instruments that potentially subject the Company to concentrations of credit risk consist of a cash account in a financial institution, which, at times, may exceed the Federal Depository Insurance Corporation limit of $250,000. At June 30, 2024 and September 30, 2023, the Company has not experienced losses on this account and management believes the Company is not exposed to significant risks on such account.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Offering Costs Associated with IPO</w:t>
      </w:r>
    </w:p>
    <w:p>
      <w:pPr>
        <w:spacing w:after="0" w:line="6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the requirements of ASC340-10-S99-1and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 Subject to Possible Redemption</w:t>
      </w:r>
    </w:p>
    <w:p>
      <w:pPr>
        <w:spacing w:after="0" w:line="60" w:lineRule="exact"/>
        <w:rPr>
          <w:sz w:val="20"/>
          <w:szCs w:val="20"/>
          <w:color w:val="auto"/>
        </w:rPr>
      </w:pPr>
    </w:p>
    <w:p>
      <w:pPr>
        <w:ind w:right="100" w:firstLine="480"/>
        <w:spacing w:after="0" w:line="239" w:lineRule="auto"/>
        <w:rPr>
          <w:sz w:val="20"/>
          <w:szCs w:val="20"/>
          <w:color w:val="auto"/>
        </w:rPr>
      </w:pPr>
      <w:r>
        <w:rPr>
          <w:rFonts w:ascii="Times New Roman" w:cs="Times New Roman" w:eastAsia="Times New Roman" w:hAnsi="Times New Roman"/>
          <w:sz w:val="10"/>
          <w:szCs w:val="10"/>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1,417,687 and 2,363,349 and shares of common stock as of June 30, 2024 and September 30, 2023 subject to possible redemption are presented at redemption value as temporary equity, outside of the stockholders’ deficit section of the Company’s balance sheets.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201" w:name="page202"/>
    <w:bookmarkEnd w:id="201"/>
    <w:p>
      <w:pPr>
        <w:ind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101" w:lineRule="exact"/>
        <w:rPr>
          <w:sz w:val="20"/>
          <w:szCs w:val="20"/>
          <w:color w:val="auto"/>
        </w:rPr>
      </w:pPr>
    </w:p>
    <w:tbl>
      <w:tblPr>
        <w:tblLayout w:type="fixed"/>
        <w:tblInd w:w="480" w:type="dxa"/>
        <w:tblCellMar>
          <w:top w:w="0" w:type="dxa"/>
          <w:left w:w="0" w:type="dxa"/>
          <w:bottom w:w="0" w:type="dxa"/>
          <w:right w:w="0" w:type="dxa"/>
        </w:tblCellMar>
      </w:tblPr>
      <w:tr>
        <w:trPr>
          <w:trHeight w:val="125"/>
        </w:trPr>
        <w:tc>
          <w:tcPr>
            <w:tcW w:w="72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At June 30, 2024 and September 30, 2023, the common stock reflected in the balance sheets are reconciled in the following table:</w:t>
            </w: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2"/>
        </w:trPr>
        <w:tc>
          <w:tcPr>
            <w:tcW w:w="110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13"/>
        </w:trPr>
        <w:tc>
          <w:tcPr>
            <w:tcW w:w="1100" w:type="dxa"/>
            <w:vAlign w:val="bottom"/>
          </w:tcPr>
          <w:p>
            <w:pPr>
              <w:spacing w:after="0"/>
              <w:rPr>
                <w:sz w:val="9"/>
                <w:szCs w:val="9"/>
                <w:color w:val="auto"/>
              </w:rPr>
            </w:pPr>
          </w:p>
        </w:tc>
        <w:tc>
          <w:tcPr>
            <w:tcW w:w="61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Gross Proceeds</w:t>
            </w:r>
          </w:p>
        </w:tc>
        <w:tc>
          <w:tcPr>
            <w:tcW w:w="38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150,000,000</w:t>
            </w:r>
          </w:p>
        </w:tc>
        <w:tc>
          <w:tcPr>
            <w:tcW w:w="60" w:type="dxa"/>
            <w:vAlign w:val="bottom"/>
            <w:shd w:val="clear" w:color="auto" w:fill="CFF0FC"/>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6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Proceeds allocated to Public Warrants</w:t>
            </w:r>
          </w:p>
        </w:tc>
        <w:tc>
          <w:tcPr>
            <w:tcW w:w="380" w:type="dxa"/>
            <w:vAlign w:val="bottom"/>
          </w:tcPr>
          <w:p>
            <w:pPr>
              <w:spacing w:after="0"/>
              <w:rPr>
                <w:sz w:val="9"/>
                <w:szCs w:val="9"/>
                <w:color w:val="auto"/>
              </w:rPr>
            </w:pPr>
          </w:p>
        </w:tc>
        <w:tc>
          <w:tcPr>
            <w:tcW w:w="92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(11,700,000 )</w:t>
            </w:r>
          </w:p>
        </w:tc>
      </w:tr>
      <w:tr>
        <w:trPr>
          <w:trHeight w:val="113"/>
        </w:trPr>
        <w:tc>
          <w:tcPr>
            <w:tcW w:w="1100" w:type="dxa"/>
            <w:vAlign w:val="bottom"/>
          </w:tcPr>
          <w:p>
            <w:pPr>
              <w:spacing w:after="0"/>
              <w:rPr>
                <w:sz w:val="9"/>
                <w:szCs w:val="9"/>
                <w:color w:val="auto"/>
              </w:rPr>
            </w:pPr>
          </w:p>
        </w:tc>
        <w:tc>
          <w:tcPr>
            <w:tcW w:w="61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Issuance costs related to common stock</w:t>
            </w:r>
          </w:p>
        </w:tc>
        <w:tc>
          <w:tcPr>
            <w:tcW w:w="38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(3,261,589 )</w:t>
            </w:r>
          </w:p>
        </w:tc>
      </w:tr>
      <w:tr>
        <w:trPr>
          <w:trHeight w:val="113"/>
        </w:trPr>
        <w:tc>
          <w:tcPr>
            <w:tcW w:w="1100" w:type="dxa"/>
            <w:vAlign w:val="bottom"/>
          </w:tcPr>
          <w:p>
            <w:pPr>
              <w:spacing w:after="0"/>
              <w:rPr>
                <w:sz w:val="9"/>
                <w:szCs w:val="9"/>
                <w:color w:val="auto"/>
              </w:rPr>
            </w:pPr>
          </w:p>
        </w:tc>
        <w:tc>
          <w:tcPr>
            <w:tcW w:w="6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380" w:type="dxa"/>
            <w:vAlign w:val="bottom"/>
          </w:tcPr>
          <w:p>
            <w:pPr>
              <w:spacing w:after="0"/>
              <w:rPr>
                <w:sz w:val="9"/>
                <w:szCs w:val="9"/>
                <w:color w:val="auto"/>
              </w:rPr>
            </w:pPr>
          </w:p>
        </w:tc>
        <w:tc>
          <w:tcPr>
            <w:tcW w:w="8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14,961,589</w:t>
            </w:r>
          </w:p>
        </w:tc>
        <w:tc>
          <w:tcPr>
            <w:tcW w:w="60" w:type="dxa"/>
            <w:vAlign w:val="bottom"/>
          </w:tcPr>
          <w:p>
            <w:pPr>
              <w:spacing w:after="0"/>
              <w:rPr>
                <w:sz w:val="9"/>
                <w:szCs w:val="9"/>
                <w:color w:val="auto"/>
              </w:rPr>
            </w:pPr>
          </w:p>
        </w:tc>
      </w:tr>
      <w:tr>
        <w:trPr>
          <w:trHeight w:val="106"/>
        </w:trPr>
        <w:tc>
          <w:tcPr>
            <w:tcW w:w="1100" w:type="dxa"/>
            <w:vAlign w:val="bottom"/>
          </w:tcPr>
          <w:p>
            <w:pPr>
              <w:spacing w:after="0"/>
              <w:rPr>
                <w:sz w:val="9"/>
                <w:szCs w:val="9"/>
                <w:color w:val="auto"/>
              </w:rPr>
            </w:pPr>
          </w:p>
        </w:tc>
        <w:tc>
          <w:tcPr>
            <w:tcW w:w="6140" w:type="dxa"/>
            <w:vAlign w:val="bottom"/>
            <w:shd w:val="clear" w:color="auto" w:fill="CFF0FC"/>
          </w:tcPr>
          <w:p>
            <w:pPr>
              <w:ind w:left="20"/>
              <w:spacing w:after="0" w:line="106" w:lineRule="exact"/>
              <w:rPr>
                <w:sz w:val="20"/>
                <w:szCs w:val="20"/>
                <w:color w:val="auto"/>
              </w:rPr>
            </w:pPr>
            <w:r>
              <w:rPr>
                <w:rFonts w:ascii="Times New Roman" w:cs="Times New Roman" w:eastAsia="Times New Roman" w:hAnsi="Times New Roman"/>
                <w:sz w:val="10"/>
                <w:szCs w:val="10"/>
                <w:color w:val="auto"/>
              </w:rPr>
              <w:t>Subsequent remeasurement of carrying value to redemption value –</w:t>
            </w:r>
          </w:p>
        </w:tc>
        <w:tc>
          <w:tcPr>
            <w:tcW w:w="3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614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Trust interest income (excluding the amount that can be withdrawn</w:t>
            </w:r>
          </w:p>
        </w:tc>
        <w:tc>
          <w:tcPr>
            <w:tcW w:w="3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r>
      <w:tr>
        <w:trPr>
          <w:trHeight w:val="119"/>
        </w:trPr>
        <w:tc>
          <w:tcPr>
            <w:tcW w:w="1100" w:type="dxa"/>
            <w:vAlign w:val="bottom"/>
          </w:tcPr>
          <w:p>
            <w:pPr>
              <w:spacing w:after="0"/>
              <w:rPr>
                <w:sz w:val="10"/>
                <w:szCs w:val="10"/>
                <w:color w:val="auto"/>
              </w:rPr>
            </w:pPr>
          </w:p>
        </w:tc>
        <w:tc>
          <w:tcPr>
            <w:tcW w:w="6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from Trust Account for taxes)</w:t>
            </w:r>
          </w:p>
        </w:tc>
        <w:tc>
          <w:tcPr>
            <w:tcW w:w="38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548,862</w:t>
            </w:r>
          </w:p>
        </w:tc>
        <w:tc>
          <w:tcPr>
            <w:tcW w:w="60" w:type="dxa"/>
            <w:vAlign w:val="bottom"/>
            <w:shd w:val="clear" w:color="auto" w:fill="CFF0FC"/>
          </w:tcPr>
          <w:p>
            <w:pPr>
              <w:spacing w:after="0"/>
              <w:rPr>
                <w:sz w:val="10"/>
                <w:szCs w:val="10"/>
                <w:color w:val="auto"/>
              </w:rPr>
            </w:pPr>
          </w:p>
        </w:tc>
      </w:tr>
      <w:tr>
        <w:trPr>
          <w:trHeight w:val="113"/>
        </w:trPr>
        <w:tc>
          <w:tcPr>
            <w:tcW w:w="1100" w:type="dxa"/>
            <w:vAlign w:val="bottom"/>
          </w:tcPr>
          <w:p>
            <w:pPr>
              <w:spacing w:after="0"/>
              <w:rPr>
                <w:sz w:val="9"/>
                <w:szCs w:val="9"/>
                <w:color w:val="auto"/>
              </w:rPr>
            </w:pPr>
          </w:p>
        </w:tc>
        <w:tc>
          <w:tcPr>
            <w:tcW w:w="6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 September 30, 2022</w:t>
            </w:r>
          </w:p>
        </w:tc>
        <w:tc>
          <w:tcPr>
            <w:tcW w:w="38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150,548,862</w:t>
            </w:r>
          </w:p>
        </w:tc>
        <w:tc>
          <w:tcPr>
            <w:tcW w:w="60" w:type="dxa"/>
            <w:vAlign w:val="bottom"/>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61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Redemptions</w:t>
            </w:r>
          </w:p>
        </w:tc>
        <w:tc>
          <w:tcPr>
            <w:tcW w:w="38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(129,175,094 )</w:t>
            </w:r>
          </w:p>
        </w:tc>
      </w:tr>
      <w:tr>
        <w:trPr>
          <w:trHeight w:val="113"/>
        </w:trPr>
        <w:tc>
          <w:tcPr>
            <w:tcW w:w="1100" w:type="dxa"/>
            <w:vAlign w:val="bottom"/>
          </w:tcPr>
          <w:p>
            <w:pPr>
              <w:spacing w:after="0"/>
              <w:rPr>
                <w:sz w:val="9"/>
                <w:szCs w:val="9"/>
                <w:color w:val="auto"/>
              </w:rPr>
            </w:pPr>
          </w:p>
        </w:tc>
        <w:tc>
          <w:tcPr>
            <w:tcW w:w="6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380" w:type="dxa"/>
            <w:vAlign w:val="bottom"/>
          </w:tcPr>
          <w:p>
            <w:pPr>
              <w:spacing w:after="0"/>
              <w:rPr>
                <w:sz w:val="9"/>
                <w:szCs w:val="9"/>
                <w:color w:val="auto"/>
              </w:rPr>
            </w:pPr>
          </w:p>
        </w:tc>
        <w:tc>
          <w:tcPr>
            <w:tcW w:w="8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3,943,038</w:t>
            </w:r>
          </w:p>
        </w:tc>
        <w:tc>
          <w:tcPr>
            <w:tcW w:w="60" w:type="dxa"/>
            <w:vAlign w:val="bottom"/>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61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 September 30, 2023</w:t>
            </w:r>
          </w:p>
        </w:tc>
        <w:tc>
          <w:tcPr>
            <w:tcW w:w="38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25,316,806</w:t>
            </w:r>
          </w:p>
        </w:tc>
        <w:tc>
          <w:tcPr>
            <w:tcW w:w="60" w:type="dxa"/>
            <w:vAlign w:val="bottom"/>
            <w:shd w:val="clear" w:color="auto" w:fill="CFF0FC"/>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6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Redemptions</w:t>
            </w:r>
          </w:p>
        </w:tc>
        <w:tc>
          <w:tcPr>
            <w:tcW w:w="380" w:type="dxa"/>
            <w:vAlign w:val="bottom"/>
          </w:tcPr>
          <w:p>
            <w:pPr>
              <w:spacing w:after="0"/>
              <w:rPr>
                <w:sz w:val="9"/>
                <w:szCs w:val="9"/>
                <w:color w:val="auto"/>
              </w:rPr>
            </w:pPr>
          </w:p>
        </w:tc>
        <w:tc>
          <w:tcPr>
            <w:tcW w:w="92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(10,384,496 )</w:t>
            </w:r>
          </w:p>
        </w:tc>
      </w:tr>
      <w:tr>
        <w:trPr>
          <w:trHeight w:val="113"/>
        </w:trPr>
        <w:tc>
          <w:tcPr>
            <w:tcW w:w="1100" w:type="dxa"/>
            <w:vAlign w:val="bottom"/>
          </w:tcPr>
          <w:p>
            <w:pPr>
              <w:spacing w:after="0"/>
              <w:rPr>
                <w:sz w:val="9"/>
                <w:szCs w:val="9"/>
                <w:color w:val="auto"/>
              </w:rPr>
            </w:pPr>
          </w:p>
        </w:tc>
        <w:tc>
          <w:tcPr>
            <w:tcW w:w="61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380" w:type="dxa"/>
            <w:vAlign w:val="bottom"/>
            <w:shd w:val="clear" w:color="auto" w:fill="CFF0FC"/>
          </w:tcPr>
          <w:p>
            <w:pPr>
              <w:spacing w:after="0"/>
              <w:rPr>
                <w:sz w:val="9"/>
                <w:szCs w:val="9"/>
                <w:color w:val="auto"/>
              </w:rPr>
            </w:pPr>
          </w:p>
        </w:tc>
        <w:tc>
          <w:tcPr>
            <w:tcW w:w="8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1,108,476</w:t>
            </w:r>
          </w:p>
        </w:tc>
        <w:tc>
          <w:tcPr>
            <w:tcW w:w="60" w:type="dxa"/>
            <w:vAlign w:val="bottom"/>
            <w:shd w:val="clear" w:color="auto" w:fill="CFF0FC"/>
          </w:tcPr>
          <w:p>
            <w:pPr>
              <w:spacing w:after="0"/>
              <w:rPr>
                <w:sz w:val="9"/>
                <w:szCs w:val="9"/>
                <w:color w:val="auto"/>
              </w:rPr>
            </w:pPr>
          </w:p>
        </w:tc>
      </w:tr>
      <w:tr>
        <w:trPr>
          <w:trHeight w:val="115"/>
        </w:trPr>
        <w:tc>
          <w:tcPr>
            <w:tcW w:w="1100" w:type="dxa"/>
            <w:vAlign w:val="bottom"/>
          </w:tcPr>
          <w:p>
            <w:pPr>
              <w:spacing w:after="0"/>
              <w:rPr>
                <w:sz w:val="10"/>
                <w:szCs w:val="10"/>
                <w:color w:val="auto"/>
              </w:rPr>
            </w:pPr>
          </w:p>
        </w:tc>
        <w:tc>
          <w:tcPr>
            <w:tcW w:w="6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 June 30, 2024</w:t>
            </w:r>
          </w:p>
        </w:tc>
        <w:tc>
          <w:tcPr>
            <w:tcW w:w="380" w:type="dxa"/>
            <w:vAlign w:val="bottom"/>
            <w:tcBorders>
              <w:bottom w:val="single" w:sz="8" w:color="auto"/>
            </w:tcBorders>
          </w:tcPr>
          <w:p>
            <w:pPr>
              <w:jc w:val="right"/>
              <w:ind w:right="2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16,040,786</w:t>
            </w:r>
          </w:p>
        </w:tc>
        <w:tc>
          <w:tcPr>
            <w:tcW w:w="60" w:type="dxa"/>
            <w:vAlign w:val="bottom"/>
          </w:tcPr>
          <w:p>
            <w:pPr>
              <w:spacing w:after="0"/>
              <w:rPr>
                <w:sz w:val="10"/>
                <w:szCs w:val="1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Net (Loss) Income Per Common Stock</w:t>
      </w:r>
    </w:p>
    <w:p>
      <w:pPr>
        <w:spacing w:after="0" w:line="60" w:lineRule="exact"/>
        <w:rPr>
          <w:sz w:val="20"/>
          <w:szCs w:val="20"/>
          <w:color w:val="auto"/>
        </w:rPr>
      </w:pPr>
    </w:p>
    <w:p>
      <w:pPr>
        <w:ind w:right="42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01"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June 30, 2024 and 2023, the Company did not have any dilutive securities or other contracts that could, potentially, be exercised or converted into common stock and then share in the earnings of the Company. As a result, diluted net (loss) income per common stock is the same as basic net (loss) income per common stock for the periods presented.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Accretion of the carrying value of common stock subject to redemption value is excluded from net (loss) income per common stock because the redemption value approximates fair value.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40" w:type="dxa"/>
            <w:vAlign w:val="bottom"/>
            <w:gridSpan w:val="3"/>
          </w:tcPr>
          <w:p>
            <w:pPr>
              <w:jc w:val="right"/>
              <w:ind w:right="379"/>
              <w:spacing w:after="0"/>
              <w:rPr>
                <w:sz w:val="20"/>
                <w:szCs w:val="20"/>
                <w:color w:val="auto"/>
              </w:rPr>
            </w:pPr>
            <w:r>
              <w:rPr>
                <w:rFonts w:ascii="Times New Roman" w:cs="Times New Roman" w:eastAsia="Times New Roman" w:hAnsi="Times New Roman"/>
                <w:sz w:val="8"/>
                <w:szCs w:val="8"/>
                <w:b w:val="1"/>
                <w:bCs w:val="1"/>
                <w:color w:val="auto"/>
              </w:rPr>
              <w:t>For the Three Months Ended June 30,</w:t>
            </w: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80" w:type="dxa"/>
            <w:vAlign w:val="bottom"/>
            <w:gridSpan w:val="3"/>
          </w:tcPr>
          <w:p>
            <w:pPr>
              <w:jc w:val="right"/>
              <w:ind w:right="179"/>
              <w:spacing w:after="0"/>
              <w:rPr>
                <w:sz w:val="20"/>
                <w:szCs w:val="20"/>
                <w:color w:val="auto"/>
              </w:rPr>
            </w:pPr>
            <w:r>
              <w:rPr>
                <w:rFonts w:ascii="Times New Roman" w:cs="Times New Roman" w:eastAsia="Times New Roman" w:hAnsi="Times New Roman"/>
                <w:sz w:val="8"/>
                <w:szCs w:val="8"/>
                <w:b w:val="1"/>
                <w:bCs w:val="1"/>
                <w:color w:val="auto"/>
              </w:rPr>
              <w:t>For the Nine Months Ended June 30,</w:t>
            </w: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8"/>
        </w:trPr>
        <w:tc>
          <w:tcPr>
            <w:tcW w:w="1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jc w:val="right"/>
              <w:ind w:right="119"/>
              <w:spacing w:after="0"/>
              <w:rPr>
                <w:sz w:val="20"/>
                <w:szCs w:val="20"/>
                <w:color w:val="auto"/>
              </w:rPr>
            </w:pPr>
            <w:r>
              <w:rPr>
                <w:rFonts w:ascii="Times New Roman" w:cs="Times New Roman" w:eastAsia="Times New Roman" w:hAnsi="Times New Roman"/>
                <w:sz w:val="8"/>
                <w:szCs w:val="8"/>
                <w:b w:val="1"/>
                <w:bCs w:val="1"/>
                <w:color w:val="auto"/>
              </w:rPr>
              <w:t>2023</w:t>
            </w:r>
          </w:p>
        </w:tc>
        <w:tc>
          <w:tcPr>
            <w:tcW w:w="820" w:type="dxa"/>
            <w:vAlign w:val="bottom"/>
          </w:tcPr>
          <w:p>
            <w:pPr>
              <w:spacing w:after="0"/>
              <w:rPr>
                <w:sz w:val="8"/>
                <w:szCs w:val="8"/>
                <w:color w:val="auto"/>
              </w:rPr>
            </w:pPr>
          </w:p>
        </w:tc>
      </w:tr>
      <w:tr>
        <w:trPr>
          <w:trHeight w:val="98"/>
        </w:trPr>
        <w:tc>
          <w:tcPr>
            <w:tcW w:w="1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Common</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jc w:val="center"/>
              <w:ind w:right="259"/>
              <w:spacing w:after="0"/>
              <w:rPr>
                <w:sz w:val="20"/>
                <w:szCs w:val="20"/>
                <w:color w:val="auto"/>
              </w:rPr>
            </w:pPr>
            <w:r>
              <w:rPr>
                <w:rFonts w:ascii="Times New Roman" w:cs="Times New Roman" w:eastAsia="Times New Roman" w:hAnsi="Times New Roman"/>
                <w:sz w:val="8"/>
                <w:szCs w:val="8"/>
                <w:b w:val="1"/>
                <w:bCs w:val="1"/>
                <w:color w:val="auto"/>
              </w:rPr>
              <w:t>Common</w:t>
            </w: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Common</w:t>
            </w: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jc w:val="center"/>
              <w:ind w:right="99"/>
              <w:spacing w:after="0"/>
              <w:rPr>
                <w:sz w:val="20"/>
                <w:szCs w:val="20"/>
                <w:color w:val="auto"/>
              </w:rPr>
            </w:pPr>
            <w:r>
              <w:rPr>
                <w:rFonts w:ascii="Times New Roman" w:cs="Times New Roman" w:eastAsia="Times New Roman" w:hAnsi="Times New Roman"/>
                <w:sz w:val="8"/>
                <w:szCs w:val="8"/>
                <w:b w:val="1"/>
                <w:bCs w:val="1"/>
                <w:color w:val="auto"/>
              </w:rPr>
              <w:t>Common</w:t>
            </w: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8"/>
        </w:trPr>
        <w:tc>
          <w:tcPr>
            <w:tcW w:w="1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jc w:val="center"/>
              <w:ind w:right="299"/>
              <w:spacing w:after="0"/>
              <w:rPr>
                <w:sz w:val="20"/>
                <w:szCs w:val="20"/>
                <w:color w:val="auto"/>
              </w:rPr>
            </w:pPr>
            <w:r>
              <w:rPr>
                <w:rFonts w:ascii="Times New Roman" w:cs="Times New Roman" w:eastAsia="Times New Roman" w:hAnsi="Times New Roman"/>
                <w:sz w:val="8"/>
                <w:szCs w:val="8"/>
                <w:b w:val="1"/>
                <w:bCs w:val="1"/>
                <w:color w:val="auto"/>
              </w:rPr>
              <w:t>stock</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stock</w:t>
            </w: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stock</w:t>
            </w: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jc w:val="center"/>
              <w:ind w:right="79"/>
              <w:spacing w:after="0"/>
              <w:rPr>
                <w:sz w:val="20"/>
                <w:szCs w:val="20"/>
                <w:color w:val="auto"/>
              </w:rPr>
            </w:pPr>
            <w:r>
              <w:rPr>
                <w:rFonts w:ascii="Times New Roman" w:cs="Times New Roman" w:eastAsia="Times New Roman" w:hAnsi="Times New Roman"/>
                <w:sz w:val="8"/>
                <w:szCs w:val="8"/>
                <w:b w:val="1"/>
                <w:bCs w:val="1"/>
                <w:color w:val="auto"/>
              </w:rPr>
              <w:t>stock</w:t>
            </w: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8"/>
        </w:trPr>
        <w:tc>
          <w:tcPr>
            <w:tcW w:w="1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jc w:val="center"/>
              <w:ind w:right="299"/>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jc w:val="center"/>
              <w:ind w:right="79"/>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8"/>
        </w:trPr>
        <w:tc>
          <w:tcPr>
            <w:tcW w:w="1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140" w:type="dxa"/>
            <w:vAlign w:val="bottom"/>
          </w:tcPr>
          <w:p>
            <w:pPr>
              <w:spacing w:after="0"/>
              <w:rPr>
                <w:sz w:val="8"/>
                <w:szCs w:val="8"/>
                <w:color w:val="auto"/>
              </w:rPr>
            </w:pPr>
          </w:p>
        </w:tc>
        <w:tc>
          <w:tcPr>
            <w:tcW w:w="780" w:type="dxa"/>
            <w:vAlign w:val="bottom"/>
          </w:tcPr>
          <w:p>
            <w:pPr>
              <w:jc w:val="right"/>
              <w:ind w:right="319"/>
              <w:spacing w:after="0"/>
              <w:rPr>
                <w:sz w:val="20"/>
                <w:szCs w:val="20"/>
                <w:color w:val="auto"/>
              </w:rPr>
            </w:pPr>
            <w:r>
              <w:rPr>
                <w:rFonts w:ascii="Times New Roman" w:cs="Times New Roman" w:eastAsia="Times New Roman" w:hAnsi="Times New Roman"/>
                <w:sz w:val="8"/>
                <w:szCs w:val="8"/>
                <w:b w:val="1"/>
                <w:bCs w:val="1"/>
                <w:color w:val="auto"/>
              </w:rPr>
              <w:t>Common</w:t>
            </w:r>
          </w:p>
        </w:tc>
        <w:tc>
          <w:tcPr>
            <w:tcW w:w="200" w:type="dxa"/>
            <w:vAlign w:val="bottom"/>
          </w:tcPr>
          <w:p>
            <w:pPr>
              <w:spacing w:after="0"/>
              <w:rPr>
                <w:sz w:val="8"/>
                <w:szCs w:val="8"/>
                <w:color w:val="auto"/>
              </w:rPr>
            </w:pPr>
          </w:p>
        </w:tc>
        <w:tc>
          <w:tcPr>
            <w:tcW w:w="860" w:type="dxa"/>
            <w:vAlign w:val="bottom"/>
          </w:tcPr>
          <w:p>
            <w:pPr>
              <w:jc w:val="center"/>
              <w:ind w:right="259"/>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160" w:type="dxa"/>
            <w:vAlign w:val="bottom"/>
          </w:tcPr>
          <w:p>
            <w:pPr>
              <w:spacing w:after="0"/>
              <w:rPr>
                <w:sz w:val="8"/>
                <w:szCs w:val="8"/>
                <w:color w:val="auto"/>
              </w:rPr>
            </w:pPr>
          </w:p>
        </w:tc>
        <w:tc>
          <w:tcPr>
            <w:tcW w:w="760" w:type="dxa"/>
            <w:vAlign w:val="bottom"/>
          </w:tcPr>
          <w:p>
            <w:pPr>
              <w:jc w:val="right"/>
              <w:ind w:right="299"/>
              <w:spacing w:after="0"/>
              <w:rPr>
                <w:sz w:val="20"/>
                <w:szCs w:val="20"/>
                <w:color w:val="auto"/>
              </w:rPr>
            </w:pPr>
            <w:r>
              <w:rPr>
                <w:rFonts w:ascii="Times New Roman" w:cs="Times New Roman" w:eastAsia="Times New Roman" w:hAnsi="Times New Roman"/>
                <w:sz w:val="8"/>
                <w:szCs w:val="8"/>
                <w:b w:val="1"/>
                <w:bCs w:val="1"/>
                <w:color w:val="auto"/>
              </w:rPr>
              <w:t>Common</w:t>
            </w:r>
          </w:p>
        </w:tc>
        <w:tc>
          <w:tcPr>
            <w:tcW w:w="220" w:type="dxa"/>
            <w:vAlign w:val="bottom"/>
          </w:tcPr>
          <w:p>
            <w:pPr>
              <w:spacing w:after="0"/>
              <w:rPr>
                <w:sz w:val="8"/>
                <w:szCs w:val="8"/>
                <w:color w:val="auto"/>
              </w:rPr>
            </w:pPr>
          </w:p>
        </w:tc>
        <w:tc>
          <w:tcPr>
            <w:tcW w:w="860" w:type="dxa"/>
            <w:vAlign w:val="bottom"/>
          </w:tcPr>
          <w:p>
            <w:pPr>
              <w:jc w:val="center"/>
              <w:ind w:right="259"/>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160" w:type="dxa"/>
            <w:vAlign w:val="bottom"/>
          </w:tcPr>
          <w:p>
            <w:pPr>
              <w:spacing w:after="0"/>
              <w:rPr>
                <w:sz w:val="8"/>
                <w:szCs w:val="8"/>
                <w:color w:val="auto"/>
              </w:rPr>
            </w:pPr>
          </w:p>
        </w:tc>
        <w:tc>
          <w:tcPr>
            <w:tcW w:w="780" w:type="dxa"/>
            <w:vAlign w:val="bottom"/>
          </w:tcPr>
          <w:p>
            <w:pPr>
              <w:jc w:val="right"/>
              <w:ind w:right="319"/>
              <w:spacing w:after="0"/>
              <w:rPr>
                <w:sz w:val="20"/>
                <w:szCs w:val="20"/>
                <w:color w:val="auto"/>
              </w:rPr>
            </w:pPr>
            <w:r>
              <w:rPr>
                <w:rFonts w:ascii="Times New Roman" w:cs="Times New Roman" w:eastAsia="Times New Roman" w:hAnsi="Times New Roman"/>
                <w:sz w:val="8"/>
                <w:szCs w:val="8"/>
                <w:b w:val="1"/>
                <w:bCs w:val="1"/>
                <w:color w:val="auto"/>
              </w:rPr>
              <w:t>Common</w:t>
            </w:r>
          </w:p>
        </w:tc>
        <w:tc>
          <w:tcPr>
            <w:tcW w:w="200" w:type="dxa"/>
            <w:vAlign w:val="bottom"/>
          </w:tcPr>
          <w:p>
            <w:pPr>
              <w:spacing w:after="0"/>
              <w:rPr>
                <w:sz w:val="8"/>
                <w:szCs w:val="8"/>
                <w:color w:val="auto"/>
              </w:rPr>
            </w:pPr>
          </w:p>
        </w:tc>
        <w:tc>
          <w:tcPr>
            <w:tcW w:w="700" w:type="dxa"/>
            <w:vAlign w:val="bottom"/>
          </w:tcPr>
          <w:p>
            <w:pPr>
              <w:jc w:val="center"/>
              <w:ind w:right="99"/>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360" w:type="dxa"/>
            <w:vAlign w:val="bottom"/>
          </w:tcPr>
          <w:p>
            <w:pPr>
              <w:spacing w:after="0"/>
              <w:rPr>
                <w:sz w:val="8"/>
                <w:szCs w:val="8"/>
                <w:color w:val="auto"/>
              </w:rPr>
            </w:pPr>
          </w:p>
        </w:tc>
        <w:tc>
          <w:tcPr>
            <w:tcW w:w="820" w:type="dxa"/>
            <w:vAlign w:val="bottom"/>
          </w:tcPr>
          <w:p>
            <w:pPr>
              <w:jc w:val="right"/>
              <w:ind w:right="339"/>
              <w:spacing w:after="0"/>
              <w:rPr>
                <w:sz w:val="20"/>
                <w:szCs w:val="20"/>
                <w:color w:val="auto"/>
              </w:rPr>
            </w:pPr>
            <w:r>
              <w:rPr>
                <w:rFonts w:ascii="Times New Roman" w:cs="Times New Roman" w:eastAsia="Times New Roman" w:hAnsi="Times New Roman"/>
                <w:sz w:val="8"/>
                <w:szCs w:val="8"/>
                <w:b w:val="1"/>
                <w:bCs w:val="1"/>
                <w:color w:val="auto"/>
              </w:rPr>
              <w:t>Common</w:t>
            </w:r>
          </w:p>
        </w:tc>
      </w:tr>
      <w:tr>
        <w:trPr>
          <w:trHeight w:val="106"/>
        </w:trPr>
        <w:tc>
          <w:tcPr>
            <w:tcW w:w="1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140" w:type="dxa"/>
            <w:vAlign w:val="bottom"/>
          </w:tcPr>
          <w:p>
            <w:pPr>
              <w:spacing w:after="0"/>
              <w:rPr>
                <w:sz w:val="9"/>
                <w:szCs w:val="9"/>
                <w:color w:val="auto"/>
              </w:rPr>
            </w:pPr>
          </w:p>
        </w:tc>
        <w:tc>
          <w:tcPr>
            <w:tcW w:w="780" w:type="dxa"/>
            <w:vAlign w:val="bottom"/>
          </w:tcPr>
          <w:p>
            <w:pPr>
              <w:jc w:val="right"/>
              <w:ind w:right="399"/>
              <w:spacing w:after="0"/>
              <w:rPr>
                <w:sz w:val="20"/>
                <w:szCs w:val="20"/>
                <w:color w:val="auto"/>
              </w:rPr>
            </w:pPr>
            <w:r>
              <w:rPr>
                <w:rFonts w:ascii="Times New Roman" w:cs="Times New Roman" w:eastAsia="Times New Roman" w:hAnsi="Times New Roman"/>
                <w:sz w:val="8"/>
                <w:szCs w:val="8"/>
                <w:b w:val="1"/>
                <w:bCs w:val="1"/>
                <w:color w:val="auto"/>
              </w:rPr>
              <w:t>stock</w:t>
            </w:r>
          </w:p>
        </w:tc>
        <w:tc>
          <w:tcPr>
            <w:tcW w:w="200" w:type="dxa"/>
            <w:vAlign w:val="bottom"/>
          </w:tcPr>
          <w:p>
            <w:pPr>
              <w:spacing w:after="0"/>
              <w:rPr>
                <w:sz w:val="9"/>
                <w:szCs w:val="9"/>
                <w:color w:val="auto"/>
              </w:rPr>
            </w:pPr>
          </w:p>
        </w:tc>
        <w:tc>
          <w:tcPr>
            <w:tcW w:w="86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160" w:type="dxa"/>
            <w:vAlign w:val="bottom"/>
          </w:tcPr>
          <w:p>
            <w:pPr>
              <w:spacing w:after="0"/>
              <w:rPr>
                <w:sz w:val="9"/>
                <w:szCs w:val="9"/>
                <w:color w:val="auto"/>
              </w:rPr>
            </w:pPr>
          </w:p>
        </w:tc>
        <w:tc>
          <w:tcPr>
            <w:tcW w:w="760" w:type="dxa"/>
            <w:vAlign w:val="bottom"/>
          </w:tcPr>
          <w:p>
            <w:pPr>
              <w:jc w:val="right"/>
              <w:ind w:right="379"/>
              <w:spacing w:after="0"/>
              <w:rPr>
                <w:sz w:val="20"/>
                <w:szCs w:val="20"/>
                <w:color w:val="auto"/>
              </w:rPr>
            </w:pPr>
            <w:r>
              <w:rPr>
                <w:rFonts w:ascii="Times New Roman" w:cs="Times New Roman" w:eastAsia="Times New Roman" w:hAnsi="Times New Roman"/>
                <w:sz w:val="8"/>
                <w:szCs w:val="8"/>
                <w:b w:val="1"/>
                <w:bCs w:val="1"/>
                <w:color w:val="auto"/>
              </w:rPr>
              <w:t>stock</w:t>
            </w:r>
          </w:p>
        </w:tc>
        <w:tc>
          <w:tcPr>
            <w:tcW w:w="220" w:type="dxa"/>
            <w:vAlign w:val="bottom"/>
          </w:tcPr>
          <w:p>
            <w:pPr>
              <w:spacing w:after="0"/>
              <w:rPr>
                <w:sz w:val="9"/>
                <w:szCs w:val="9"/>
                <w:color w:val="auto"/>
              </w:rPr>
            </w:pPr>
          </w:p>
        </w:tc>
        <w:tc>
          <w:tcPr>
            <w:tcW w:w="86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160" w:type="dxa"/>
            <w:vAlign w:val="bottom"/>
          </w:tcPr>
          <w:p>
            <w:pPr>
              <w:spacing w:after="0"/>
              <w:rPr>
                <w:sz w:val="9"/>
                <w:szCs w:val="9"/>
                <w:color w:val="auto"/>
              </w:rPr>
            </w:pPr>
          </w:p>
        </w:tc>
        <w:tc>
          <w:tcPr>
            <w:tcW w:w="780" w:type="dxa"/>
            <w:vAlign w:val="bottom"/>
          </w:tcPr>
          <w:p>
            <w:pPr>
              <w:jc w:val="right"/>
              <w:ind w:right="399"/>
              <w:spacing w:after="0"/>
              <w:rPr>
                <w:sz w:val="20"/>
                <w:szCs w:val="20"/>
                <w:color w:val="auto"/>
              </w:rPr>
            </w:pPr>
            <w:r>
              <w:rPr>
                <w:rFonts w:ascii="Times New Roman" w:cs="Times New Roman" w:eastAsia="Times New Roman" w:hAnsi="Times New Roman"/>
                <w:sz w:val="8"/>
                <w:szCs w:val="8"/>
                <w:b w:val="1"/>
                <w:bCs w:val="1"/>
                <w:color w:val="auto"/>
              </w:rPr>
              <w:t>stock</w:t>
            </w:r>
          </w:p>
        </w:tc>
        <w:tc>
          <w:tcPr>
            <w:tcW w:w="200" w:type="dxa"/>
            <w:vAlign w:val="bottom"/>
          </w:tcPr>
          <w:p>
            <w:pPr>
              <w:spacing w:after="0"/>
              <w:rPr>
                <w:sz w:val="9"/>
                <w:szCs w:val="9"/>
                <w:color w:val="auto"/>
              </w:rPr>
            </w:pPr>
          </w:p>
        </w:tc>
        <w:tc>
          <w:tcPr>
            <w:tcW w:w="700" w:type="dxa"/>
            <w:vAlign w:val="bottom"/>
          </w:tcPr>
          <w:p>
            <w:pPr>
              <w:jc w:val="center"/>
              <w:ind w:right="99"/>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360" w:type="dxa"/>
            <w:vAlign w:val="bottom"/>
          </w:tcPr>
          <w:p>
            <w:pPr>
              <w:spacing w:after="0"/>
              <w:rPr>
                <w:sz w:val="9"/>
                <w:szCs w:val="9"/>
                <w:color w:val="auto"/>
              </w:rPr>
            </w:pPr>
          </w:p>
        </w:tc>
        <w:tc>
          <w:tcPr>
            <w:tcW w:w="820" w:type="dxa"/>
            <w:vAlign w:val="bottom"/>
          </w:tcPr>
          <w:p>
            <w:pPr>
              <w:jc w:val="right"/>
              <w:ind w:right="419"/>
              <w:spacing w:after="0"/>
              <w:rPr>
                <w:sz w:val="20"/>
                <w:szCs w:val="20"/>
                <w:color w:val="auto"/>
              </w:rPr>
            </w:pPr>
            <w:r>
              <w:rPr>
                <w:rFonts w:ascii="Times New Roman" w:cs="Times New Roman" w:eastAsia="Times New Roman" w:hAnsi="Times New Roman"/>
                <w:sz w:val="8"/>
                <w:szCs w:val="8"/>
                <w:b w:val="1"/>
                <w:bCs w:val="1"/>
                <w:color w:val="auto"/>
              </w:rPr>
              <w:t>stock</w:t>
            </w:r>
          </w:p>
        </w:tc>
      </w:tr>
      <w:tr>
        <w:trPr>
          <w:trHeight w:val="89"/>
        </w:trPr>
        <w:tc>
          <w:tcPr>
            <w:tcW w:w="1900" w:type="dxa"/>
            <w:vAlign w:val="bottom"/>
            <w:shd w:val="clear" w:color="auto" w:fill="CFF0FC"/>
          </w:tcPr>
          <w:p>
            <w:pPr>
              <w:spacing w:after="0" w:line="89" w:lineRule="exact"/>
              <w:rPr>
                <w:sz w:val="20"/>
                <w:szCs w:val="20"/>
                <w:color w:val="auto"/>
              </w:rPr>
            </w:pPr>
            <w:r>
              <w:rPr>
                <w:rFonts w:ascii="Times New Roman" w:cs="Times New Roman" w:eastAsia="Times New Roman" w:hAnsi="Times New Roman"/>
                <w:sz w:val="8"/>
                <w:szCs w:val="8"/>
                <w:i w:val="1"/>
                <w:iCs w:val="1"/>
                <w:color w:val="auto"/>
              </w:rPr>
              <w:t>Basic and diluted net (loss) income</w:t>
            </w:r>
          </w:p>
        </w:tc>
        <w:tc>
          <w:tcPr>
            <w:tcW w:w="84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7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r>
      <w:tr>
        <w:trPr>
          <w:trHeight w:val="106"/>
        </w:trPr>
        <w:tc>
          <w:tcPr>
            <w:tcW w:w="1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i w:val="1"/>
                <w:iCs w:val="1"/>
                <w:color w:val="auto"/>
              </w:rPr>
              <w:t>per share</w:t>
            </w:r>
          </w:p>
        </w:tc>
        <w:tc>
          <w:tcPr>
            <w:tcW w:w="84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r>
      <w:tr>
        <w:trPr>
          <w:trHeight w:val="91"/>
        </w:trPr>
        <w:tc>
          <w:tcPr>
            <w:tcW w:w="1900" w:type="dxa"/>
            <w:vAlign w:val="bottom"/>
          </w:tcPr>
          <w:p>
            <w:pPr>
              <w:spacing w:after="0" w:line="91" w:lineRule="exact"/>
              <w:rPr>
                <w:sz w:val="20"/>
                <w:szCs w:val="20"/>
                <w:color w:val="auto"/>
              </w:rPr>
            </w:pPr>
            <w:r>
              <w:rPr>
                <w:rFonts w:ascii="Times New Roman" w:cs="Times New Roman" w:eastAsia="Times New Roman" w:hAnsi="Times New Roman"/>
                <w:sz w:val="8"/>
                <w:szCs w:val="8"/>
                <w:color w:val="auto"/>
              </w:rPr>
              <w:t>Numerator: Allocation of net (loss)</w:t>
            </w:r>
          </w:p>
        </w:tc>
        <w:tc>
          <w:tcPr>
            <w:tcW w:w="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104"/>
        </w:trPr>
        <w:tc>
          <w:tcPr>
            <w:tcW w:w="1900" w:type="dxa"/>
            <w:vAlign w:val="bottom"/>
          </w:tcPr>
          <w:p>
            <w:pPr>
              <w:ind w:left="60"/>
              <w:spacing w:after="0"/>
              <w:rPr>
                <w:sz w:val="20"/>
                <w:szCs w:val="20"/>
                <w:color w:val="auto"/>
              </w:rPr>
            </w:pPr>
            <w:r>
              <w:rPr>
                <w:rFonts w:ascii="Times New Roman" w:cs="Times New Roman" w:eastAsia="Times New Roman" w:hAnsi="Times New Roman"/>
                <w:sz w:val="8"/>
                <w:szCs w:val="8"/>
                <w:color w:val="auto"/>
              </w:rPr>
              <w:t>income, as adjusted</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8"/>
                <w:szCs w:val="8"/>
                <w:color w:val="auto"/>
              </w:rPr>
              <w:t>(283,071 )</w:t>
            </w:r>
          </w:p>
        </w:tc>
        <w:tc>
          <w:tcPr>
            <w:tcW w:w="140" w:type="dxa"/>
            <w:vAlign w:val="bottom"/>
          </w:tcPr>
          <w:p>
            <w:pPr>
              <w:jc w:val="right"/>
              <w:ind w:right="74"/>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rPr>
              <w:t>(1,140,024 )</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8"/>
                <w:szCs w:val="8"/>
                <w:color w:val="auto"/>
              </w:rPr>
              <w:t>(212,999 )</w:t>
            </w:r>
          </w:p>
        </w:tc>
        <w:tc>
          <w:tcPr>
            <w:tcW w:w="16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w w:val="98"/>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(346,585 )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8"/>
                <w:szCs w:val="8"/>
                <w:color w:val="auto"/>
              </w:rPr>
              <w:t>(539,100 )</w:t>
            </w:r>
          </w:p>
        </w:tc>
        <w:tc>
          <w:tcPr>
            <w:tcW w:w="16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rPr>
              <w:t>(1,625,155 )</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12,296</w:t>
            </w:r>
          </w:p>
        </w:tc>
        <w:tc>
          <w:tcPr>
            <w:tcW w:w="36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rPr>
              <w:t>$</w:t>
            </w: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rPr>
              <w:t>8,004</w:t>
            </w:r>
          </w:p>
        </w:tc>
      </w:tr>
      <w:tr>
        <w:trPr>
          <w:trHeight w:val="98"/>
        </w:trPr>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Denominator:</w:t>
            </w:r>
          </w:p>
        </w:tc>
        <w:tc>
          <w:tcPr>
            <w:tcW w:w="84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r>
      <w:tr>
        <w:trPr>
          <w:trHeight w:val="91"/>
        </w:trPr>
        <w:tc>
          <w:tcPr>
            <w:tcW w:w="1900" w:type="dxa"/>
            <w:vAlign w:val="bottom"/>
          </w:tcPr>
          <w:p>
            <w:pPr>
              <w:spacing w:after="0" w:line="91" w:lineRule="exact"/>
              <w:rPr>
                <w:sz w:val="20"/>
                <w:szCs w:val="20"/>
                <w:color w:val="auto"/>
              </w:rPr>
            </w:pPr>
            <w:r>
              <w:rPr>
                <w:rFonts w:ascii="Times New Roman" w:cs="Times New Roman" w:eastAsia="Times New Roman" w:hAnsi="Times New Roman"/>
                <w:sz w:val="8"/>
                <w:szCs w:val="8"/>
                <w:color w:val="auto"/>
              </w:rPr>
              <w:t>Basic and diluted weighted average</w:t>
            </w:r>
          </w:p>
        </w:tc>
        <w:tc>
          <w:tcPr>
            <w:tcW w:w="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104"/>
        </w:trPr>
        <w:tc>
          <w:tcPr>
            <w:tcW w:w="1900" w:type="dxa"/>
            <w:vAlign w:val="bottom"/>
          </w:tcPr>
          <w:p>
            <w:pPr>
              <w:ind w:left="60"/>
              <w:spacing w:after="0"/>
              <w:rPr>
                <w:sz w:val="20"/>
                <w:szCs w:val="20"/>
                <w:color w:val="auto"/>
              </w:rPr>
            </w:pPr>
            <w:r>
              <w:rPr>
                <w:rFonts w:ascii="Times New Roman" w:cs="Times New Roman" w:eastAsia="Times New Roman" w:hAnsi="Times New Roman"/>
                <w:sz w:val="8"/>
                <w:szCs w:val="8"/>
                <w:color w:val="auto"/>
              </w:rPr>
              <w:t>shares outstanding</w:t>
            </w:r>
          </w:p>
        </w:tc>
        <w:tc>
          <w:tcPr>
            <w:tcW w:w="840" w:type="dxa"/>
            <w:vAlign w:val="bottom"/>
          </w:tcPr>
          <w:p>
            <w:pPr>
              <w:spacing w:after="0"/>
              <w:rPr>
                <w:sz w:val="9"/>
                <w:szCs w:val="9"/>
                <w:color w:val="auto"/>
              </w:rPr>
            </w:pPr>
          </w:p>
        </w:tc>
        <w:tc>
          <w:tcPr>
            <w:tcW w:w="880" w:type="dxa"/>
            <w:vAlign w:val="bottom"/>
          </w:tcPr>
          <w:p>
            <w:pPr>
              <w:jc w:val="right"/>
              <w:ind w:right="179"/>
              <w:spacing w:after="0"/>
              <w:rPr>
                <w:sz w:val="20"/>
                <w:szCs w:val="20"/>
                <w:color w:val="auto"/>
              </w:rPr>
            </w:pPr>
            <w:r>
              <w:rPr>
                <w:rFonts w:ascii="Times New Roman" w:cs="Times New Roman" w:eastAsia="Times New Roman" w:hAnsi="Times New Roman"/>
                <w:sz w:val="8"/>
                <w:szCs w:val="8"/>
                <w:color w:val="auto"/>
              </w:rPr>
              <w:t>1,417,687</w:t>
            </w:r>
          </w:p>
        </w:tc>
        <w:tc>
          <w:tcPr>
            <w:tcW w:w="140" w:type="dxa"/>
            <w:vAlign w:val="bottom"/>
          </w:tcPr>
          <w:p>
            <w:pPr>
              <w:spacing w:after="0"/>
              <w:rPr>
                <w:sz w:val="9"/>
                <w:szCs w:val="9"/>
                <w:color w:val="auto"/>
              </w:rPr>
            </w:pPr>
          </w:p>
        </w:tc>
        <w:tc>
          <w:tcPr>
            <w:tcW w:w="780" w:type="dxa"/>
            <w:vAlign w:val="bottom"/>
          </w:tcPr>
          <w:p>
            <w:pPr>
              <w:jc w:val="right"/>
              <w:ind w:right="99"/>
              <w:spacing w:after="0"/>
              <w:rPr>
                <w:sz w:val="20"/>
                <w:szCs w:val="20"/>
                <w:color w:val="auto"/>
              </w:rPr>
            </w:pPr>
            <w:r>
              <w:rPr>
                <w:rFonts w:ascii="Times New Roman" w:cs="Times New Roman" w:eastAsia="Times New Roman" w:hAnsi="Times New Roman"/>
                <w:sz w:val="8"/>
                <w:szCs w:val="8"/>
                <w:color w:val="auto"/>
              </w:rPr>
              <w:t>5,709,500</w:t>
            </w:r>
          </w:p>
        </w:tc>
        <w:tc>
          <w:tcPr>
            <w:tcW w:w="200" w:type="dxa"/>
            <w:vAlign w:val="bottom"/>
          </w:tcPr>
          <w:p>
            <w:pPr>
              <w:spacing w:after="0"/>
              <w:rPr>
                <w:sz w:val="9"/>
                <w:szCs w:val="9"/>
                <w:color w:val="auto"/>
              </w:rPr>
            </w:pPr>
          </w:p>
        </w:tc>
        <w:tc>
          <w:tcPr>
            <w:tcW w:w="860" w:type="dxa"/>
            <w:vAlign w:val="bottom"/>
          </w:tcPr>
          <w:p>
            <w:pPr>
              <w:jc w:val="right"/>
              <w:ind w:right="159"/>
              <w:spacing w:after="0"/>
              <w:rPr>
                <w:sz w:val="20"/>
                <w:szCs w:val="20"/>
                <w:color w:val="auto"/>
              </w:rPr>
            </w:pPr>
            <w:r>
              <w:rPr>
                <w:rFonts w:ascii="Times New Roman" w:cs="Times New Roman" w:eastAsia="Times New Roman" w:hAnsi="Times New Roman"/>
                <w:sz w:val="8"/>
                <w:szCs w:val="8"/>
                <w:color w:val="auto"/>
              </w:rPr>
              <w:t>3,508,852</w:t>
            </w:r>
          </w:p>
        </w:tc>
        <w:tc>
          <w:tcPr>
            <w:tcW w:w="160" w:type="dxa"/>
            <w:vAlign w:val="bottom"/>
          </w:tcPr>
          <w:p>
            <w:pPr>
              <w:spacing w:after="0"/>
              <w:rPr>
                <w:sz w:val="9"/>
                <w:szCs w:val="9"/>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rPr>
              <w:t>5,709,500</w:t>
            </w:r>
          </w:p>
        </w:tc>
        <w:tc>
          <w:tcPr>
            <w:tcW w:w="220" w:type="dxa"/>
            <w:vAlign w:val="bottom"/>
          </w:tcPr>
          <w:p>
            <w:pPr>
              <w:spacing w:after="0"/>
              <w:rPr>
                <w:sz w:val="9"/>
                <w:szCs w:val="9"/>
                <w:color w:val="auto"/>
              </w:rPr>
            </w:pPr>
          </w:p>
        </w:tc>
        <w:tc>
          <w:tcPr>
            <w:tcW w:w="860" w:type="dxa"/>
            <w:vAlign w:val="bottom"/>
          </w:tcPr>
          <w:p>
            <w:pPr>
              <w:jc w:val="right"/>
              <w:ind w:right="159"/>
              <w:spacing w:after="0"/>
              <w:rPr>
                <w:sz w:val="20"/>
                <w:szCs w:val="20"/>
                <w:color w:val="auto"/>
              </w:rPr>
            </w:pPr>
            <w:r>
              <w:rPr>
                <w:rFonts w:ascii="Times New Roman" w:cs="Times New Roman" w:eastAsia="Times New Roman" w:hAnsi="Times New Roman"/>
                <w:sz w:val="8"/>
                <w:szCs w:val="8"/>
                <w:color w:val="auto"/>
              </w:rPr>
              <w:t>1,893,969</w:t>
            </w:r>
          </w:p>
        </w:tc>
        <w:tc>
          <w:tcPr>
            <w:tcW w:w="160" w:type="dxa"/>
            <w:vAlign w:val="bottom"/>
          </w:tcPr>
          <w:p>
            <w:pPr>
              <w:spacing w:after="0"/>
              <w:rPr>
                <w:sz w:val="9"/>
                <w:szCs w:val="9"/>
                <w:color w:val="auto"/>
              </w:rPr>
            </w:pPr>
          </w:p>
        </w:tc>
        <w:tc>
          <w:tcPr>
            <w:tcW w:w="780" w:type="dxa"/>
            <w:vAlign w:val="bottom"/>
          </w:tcPr>
          <w:p>
            <w:pPr>
              <w:jc w:val="right"/>
              <w:ind w:right="99"/>
              <w:spacing w:after="0"/>
              <w:rPr>
                <w:sz w:val="20"/>
                <w:szCs w:val="20"/>
                <w:color w:val="auto"/>
              </w:rPr>
            </w:pPr>
            <w:r>
              <w:rPr>
                <w:rFonts w:ascii="Times New Roman" w:cs="Times New Roman" w:eastAsia="Times New Roman" w:hAnsi="Times New Roman"/>
                <w:sz w:val="8"/>
                <w:szCs w:val="8"/>
                <w:color w:val="auto"/>
              </w:rPr>
              <w:t>5,709,500</w:t>
            </w:r>
          </w:p>
        </w:tc>
        <w:tc>
          <w:tcPr>
            <w:tcW w:w="20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8,770,367</w:t>
            </w:r>
          </w:p>
        </w:tc>
        <w:tc>
          <w:tcPr>
            <w:tcW w:w="360" w:type="dxa"/>
            <w:vAlign w:val="bottom"/>
          </w:tcPr>
          <w:p>
            <w:pPr>
              <w:spacing w:after="0"/>
              <w:rPr>
                <w:sz w:val="9"/>
                <w:szCs w:val="9"/>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rPr>
              <w:t>5,709,500</w:t>
            </w:r>
          </w:p>
        </w:tc>
      </w:tr>
      <w:tr>
        <w:trPr>
          <w:trHeight w:val="91"/>
        </w:trPr>
        <w:tc>
          <w:tcPr>
            <w:tcW w:w="190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8"/>
                <w:szCs w:val="8"/>
                <w:color w:val="auto"/>
              </w:rPr>
              <w:t>Basic and diluted net (loss) income</w:t>
            </w:r>
          </w:p>
        </w:tc>
        <w:tc>
          <w:tcPr>
            <w:tcW w:w="84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7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r>
      <w:tr>
        <w:trPr>
          <w:trHeight w:val="104"/>
        </w:trPr>
        <w:tc>
          <w:tcPr>
            <w:tcW w:w="1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per share</w:t>
            </w:r>
          </w:p>
        </w:tc>
        <w:tc>
          <w:tcPr>
            <w:tcW w:w="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8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8"/>
                <w:szCs w:val="8"/>
                <w:color w:val="auto"/>
              </w:rPr>
              <w:t>(0.20 )</w:t>
            </w:r>
          </w:p>
        </w:tc>
        <w:tc>
          <w:tcPr>
            <w:tcW w:w="1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8"/>
                <w:szCs w:val="8"/>
                <w:color w:val="auto"/>
              </w:rPr>
              <w:t>(0.20 )</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8"/>
                <w:szCs w:val="8"/>
                <w:color w:val="auto"/>
              </w:rPr>
              <w:t>(0.06 )</w:t>
            </w:r>
          </w:p>
        </w:tc>
        <w:tc>
          <w:tcPr>
            <w:tcW w:w="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8"/>
                <w:szCs w:val="8"/>
                <w:color w:val="auto"/>
                <w:w w:val="98"/>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8"/>
                <w:szCs w:val="8"/>
                <w:color w:val="auto"/>
              </w:rPr>
              <w:t>(0.06 )</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8"/>
                <w:szCs w:val="8"/>
                <w:color w:val="auto"/>
              </w:rPr>
              <w:t>(0.28 )</w:t>
            </w:r>
          </w:p>
        </w:tc>
        <w:tc>
          <w:tcPr>
            <w:tcW w:w="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8"/>
                <w:szCs w:val="8"/>
                <w:color w:val="auto"/>
              </w:rPr>
              <w:t>(0.28 )</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0.00</w:t>
            </w:r>
          </w:p>
        </w:tc>
        <w:tc>
          <w:tcPr>
            <w:tcW w:w="3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8"/>
                <w:szCs w:val="8"/>
                <w:color w:val="auto"/>
              </w:rPr>
              <w:t>$</w:t>
            </w:r>
          </w:p>
        </w:tc>
        <w:tc>
          <w:tcPr>
            <w:tcW w:w="8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8"/>
                <w:szCs w:val="8"/>
                <w:color w:val="auto"/>
              </w:rPr>
              <w:t>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Stock-Based Compensation</w:t>
      </w:r>
    </w:p>
    <w:p>
      <w:pPr>
        <w:spacing w:after="0" w:line="60"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0"/>
          <w:szCs w:val="10"/>
          <w:color w:val="auto"/>
        </w:rPr>
        <w:t>costs are recognized as an expense in the condensed statements of operations upon vesting, once the applicable performance conditions are met, with an offsetting increase to additional paid-in capital. Forfeitures are recognized as they occur.</w:t>
      </w:r>
    </w:p>
    <w:p>
      <w:pPr>
        <w:spacing w:after="0" w:line="118" w:lineRule="exact"/>
        <w:rPr>
          <w:sz w:val="20"/>
          <w:szCs w:val="20"/>
          <w:color w:val="auto"/>
        </w:rPr>
      </w:pPr>
    </w:p>
    <w:p>
      <w:pPr>
        <w:jc w:val="both"/>
        <w:ind w:right="220" w:firstLine="480"/>
        <w:spacing w:after="0" w:line="285" w:lineRule="auto"/>
        <w:rPr>
          <w:sz w:val="20"/>
          <w:szCs w:val="20"/>
          <w:color w:val="auto"/>
        </w:rPr>
      </w:pPr>
      <w:r>
        <w:rPr>
          <w:rFonts w:ascii="Times New Roman" w:cs="Times New Roman" w:eastAsia="Times New Roman" w:hAnsi="Times New Roman"/>
          <w:sz w:val="9"/>
          <w:szCs w:val="9"/>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 -classified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June 30, 2024, all shares under the June 16, 2021 grant were vested.</w:t>
      </w:r>
    </w:p>
    <w:p>
      <w:pPr>
        <w:spacing w:after="0" w:line="89" w:lineRule="exact"/>
        <w:rPr>
          <w:sz w:val="20"/>
          <w:szCs w:val="20"/>
          <w:color w:val="auto"/>
        </w:rPr>
      </w:pPr>
    </w:p>
    <w:p>
      <w:pPr>
        <w:ind w:right="220" w:firstLine="480"/>
        <w:spacing w:after="0" w:line="241" w:lineRule="auto"/>
        <w:rPr>
          <w:sz w:val="20"/>
          <w:szCs w:val="20"/>
          <w:color w:val="auto"/>
        </w:rPr>
      </w:pPr>
      <w:r>
        <w:rPr>
          <w:rFonts w:ascii="Times New Roman" w:cs="Times New Roman" w:eastAsia="Times New Roman" w:hAnsi="Times New Roman"/>
          <w:sz w:val="10"/>
          <w:szCs w:val="10"/>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$100,800 of stock-based compensation related to this grant for the nine months ended June 30, 2024.</w:t>
      </w:r>
    </w:p>
    <w:p>
      <w:pPr>
        <w:spacing w:after="0" w:line="108" w:lineRule="exact"/>
        <w:rPr>
          <w:sz w:val="20"/>
          <w:szCs w:val="20"/>
          <w:color w:val="auto"/>
        </w:rPr>
      </w:pPr>
    </w:p>
    <w:p>
      <w:pPr>
        <w:jc w:val="both"/>
        <w:ind w:right="160" w:firstLine="480"/>
        <w:spacing w:after="0" w:line="245" w:lineRule="auto"/>
        <w:rPr>
          <w:sz w:val="20"/>
          <w:szCs w:val="20"/>
          <w:color w:val="auto"/>
        </w:rPr>
      </w:pPr>
      <w:r>
        <w:rPr>
          <w:rFonts w:ascii="Times New Roman" w:cs="Times New Roman" w:eastAsia="Times New Roman" w:hAnsi="Times New Roman"/>
          <w:sz w:val="10"/>
          <w:szCs w:val="10"/>
          <w:color w:val="auto"/>
        </w:rPr>
        <w:t>On April 18, 2024, the Chief Executive Officer and President of the Company each purchased 75,000 Founder Shares (or an aggregate of 150,000 shares) from other members of the Sponsor for $.006 per share or a total of $900. The Sponsor allocated these Founder Shares from the selling members to the Chief Executive Officer and President. The aforementioned transfer is within the scope of ASC 718. Under ASC 718, stock-based compensation associated with equity-classified awards is measured at fair value upon the transfer date. The excess of the fair value of the shares purchased by executives over the price that they paid for these shares is recorded as part of the stock compensation expense in the Company’s statement of operations.</w:t>
      </w:r>
    </w:p>
    <w:p>
      <w:pPr>
        <w:spacing w:after="0" w:line="105"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recognized $601,809 and $190,289 of stock-based compensation for the nine-month periods ended June 30, 2024 and June 30, 2023, respectively and $526,209 and $134,363 of stock-based compensation for the three month periods ended June 30, 2024 and 2023,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Income Taxes</w:t>
      </w:r>
    </w:p>
    <w:p>
      <w:pPr>
        <w:spacing w:after="0" w:line="60"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7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05"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As of June 30, 2024, and September 30, 2023, the Company’s deferred tax asset had a full valuation allowance recorded against it. Our effective tax rate was (2.77)% and (17.26)% for the three months ended June 30, 2024 and 2023. Our effective tax rate was (7.62)% and 96.28% for the nine months ended June 30, 2024 and 2023. The effective tax rate differs from the statutory tax rate of 21% for the three and nine months ended June 30, 2024, and 2023, due to the valuation allowance on the deferred tax assets and permanent differences related to the business acquisition, stock-based compensation expenses and non-deductible interest.</w:t>
      </w:r>
    </w:p>
    <w:p>
      <w:pPr>
        <w:spacing w:after="0" w:line="105"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While ASC 740 identifies usage of an effective annual tax rate for purposes of an interim provision, it does allow for estimating individual elements in the current period if they are significant, unusual or infrequent. Computing the effective tax rate for the Company is complicated due to the potential impact of the timing of any Business Combination expenses and the actual interest income that will be recognized during the year. The Company has taken a position as to the calculation of income tax expense in a current period based on ASC 740 -270-25-3 which states, “If an entity is unable to estimate a part of its ordinary income (or loss) or the related tax (benefit) but is otherwise able to make a reasonable estimate, the tax (or benefit) applicable to the item that cannot be estimated shall be reported in the interim period in which the item is reported.” The Company believes its calculation to be a reliable estimate and allows it to properly take into account the usual elements that can impact its annualized book income and its impact on the effective tax rate. As such, the Company is computing its taxable income (loss) and associated income tax provision based on actual results through June 30, 2024.</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203" w:name="page204"/>
    <w:bookmarkEnd w:id="203"/>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accrued interest and penalties related to unrecognized tax benefits as income tax expense. There were no unrecognized tax benefits and no amounts accrued for interest and penalties as of June 30, 2024, and September 30, 2023. The Company is currently not aware of any issues under review that could result in significant payments, accruals or material deviation from its position.</w:t>
      </w:r>
    </w:p>
    <w:p>
      <w:pPr>
        <w:spacing w:after="0" w:line="101"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Debt Discounts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Debt discounts represent issuance costs related to subscription agreement liability, and are included in the condensed consolidated balance sheets as a direct deduction from the face amount of the subscription agreement liability. Debt discounts are amortized over the term of the related subscription agreements and are included in the interest expense.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Recent Accounting Pronouncements</w:t>
      </w:r>
    </w:p>
    <w:p>
      <w:pPr>
        <w:spacing w:after="0" w:line="60"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3 — Related Party Transactions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Founder Shares</w:t>
      </w:r>
    </w:p>
    <w:p>
      <w:pPr>
        <w:spacing w:after="0" w:line="6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10"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05" w:lineRule="exact"/>
        <w:rPr>
          <w:sz w:val="20"/>
          <w:szCs w:val="20"/>
          <w:color w:val="auto"/>
        </w:rPr>
      </w:pPr>
    </w:p>
    <w:p>
      <w:pPr>
        <w:ind w:right="20" w:firstLine="480"/>
        <w:spacing w:after="0" w:line="285" w:lineRule="auto"/>
        <w:rPr>
          <w:sz w:val="20"/>
          <w:szCs w:val="20"/>
          <w:color w:val="auto"/>
        </w:rPr>
      </w:pPr>
      <w:r>
        <w:rPr>
          <w:rFonts w:ascii="Times New Roman" w:cs="Times New Roman" w:eastAsia="Times New Roman" w:hAnsi="Times New Roman"/>
          <w:sz w:val="9"/>
          <w:szCs w:val="9"/>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Representative Common Stock</w:t>
      </w:r>
    </w:p>
    <w:p>
      <w:pPr>
        <w:spacing w:after="0" w:line="60"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 On May 29, 2021, Northland returned 87,500 shares of common stock to the Company, for no consideration, which were subsequently cancelled.</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04" w:name="page205"/>
    <w:bookmarkEnd w:id="204"/>
    <w:p>
      <w:pPr>
        <w:ind w:left="490"/>
        <w:spacing w:after="0"/>
        <w:rPr>
          <w:sz w:val="20"/>
          <w:szCs w:val="20"/>
          <w:color w:val="auto"/>
        </w:rPr>
      </w:pPr>
      <w:r>
        <w:rPr>
          <w:rFonts w:ascii="Times New Roman" w:cs="Times New Roman" w:eastAsia="Times New Roman" w:hAnsi="Times New Roman"/>
          <w:sz w:val="10"/>
          <w:szCs w:val="10"/>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18" w:lineRule="exact"/>
        <w:rPr>
          <w:sz w:val="20"/>
          <w:szCs w:val="20"/>
          <w:color w:val="auto"/>
        </w:rPr>
      </w:pPr>
    </w:p>
    <w:p>
      <w:pPr>
        <w:ind w:left="10" w:right="6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16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i w:val="1"/>
          <w:iCs w:val="1"/>
          <w:color w:val="auto"/>
        </w:rPr>
        <w:t>Promissory Notes-to Related Party</w:t>
      </w:r>
    </w:p>
    <w:p>
      <w:pPr>
        <w:spacing w:after="0" w:line="60" w:lineRule="exact"/>
        <w:rPr>
          <w:sz w:val="20"/>
          <w:szCs w:val="20"/>
          <w:color w:val="auto"/>
        </w:rPr>
      </w:pPr>
    </w:p>
    <w:p>
      <w:pPr>
        <w:ind w:left="10" w:right="120" w:firstLine="480"/>
        <w:spacing w:after="0" w:line="241" w:lineRule="auto"/>
        <w:rPr>
          <w:sz w:val="20"/>
          <w:szCs w:val="20"/>
          <w:color w:val="auto"/>
        </w:rPr>
      </w:pPr>
      <w:r>
        <w:rPr>
          <w:rFonts w:ascii="Times New Roman" w:cs="Times New Roman" w:eastAsia="Times New Roman" w:hAnsi="Times New Roman"/>
          <w:sz w:val="10"/>
          <w:szCs w:val="10"/>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the three and nine-month periods ended June 30, 2024 and 2023, respectively. These amounts were applied against the balance owing to the Sponsor under the remaining promissory note. As of June 30, 2024 and September 30, 2023, the net amount outstanding under the promissory note was $247,454 and $247,454, respectively.</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On November 10, 2022, the Sponsor loaned the Company $1,500,000 in order to cover the additional contribution to the Trust Account in connection with the Company’s exercise of the extension of the Combination Period until February 17, 2023, and</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9"/>
          <w:szCs w:val="9"/>
          <w:color w:val="auto"/>
        </w:rPr>
        <w:t>$450,000 to fund its working capital needs. The promissory notes are non-interest bearing and due on the earlier of: (i) the liquidation or release of all of the monies held in the Trust Account or (ii) the date on which the Company consummates an acquisition, merger or</w:t>
      </w:r>
    </w:p>
    <w:p>
      <w:pPr>
        <w:spacing w:after="0" w:line="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other business combination transaction involving the Company or its affiliates. The principal balance may be prepaid at any time.</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July 28, 2023, the Company issued a promissory note to the Sponsor for the aggregate amount of $125,245. The promissory note is non-interest bearing and due on the earlier of: (i) the liquidation or release of all of the monies held in the Trust Account or</w:t>
      </w:r>
    </w:p>
    <w:p>
      <w:pPr>
        <w:spacing w:after="0" w:line="19" w:lineRule="exact"/>
        <w:rPr>
          <w:sz w:val="20"/>
          <w:szCs w:val="20"/>
          <w:color w:val="auto"/>
        </w:rPr>
      </w:pPr>
    </w:p>
    <w:p>
      <w:pPr>
        <w:ind w:left="10" w:right="20" w:hanging="10"/>
        <w:spacing w:after="0" w:line="237" w:lineRule="auto"/>
        <w:tabs>
          <w:tab w:leader="none" w:pos="153"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The principal balance may be prepaid at any time. The amount outstanding under this promissory note was $125,245 as of June 30, 2024.</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August 2, 2023, the Company entered into a promissory note to the Sponsor in the amount of up to $425,402. The Extension Note is non-interest bearing and due on the earlier of: (i) the liquidation or release of all of the monies held in the Trust Account or</w:t>
      </w:r>
    </w:p>
    <w:p>
      <w:pPr>
        <w:spacing w:after="0" w:line="19" w:lineRule="exact"/>
        <w:rPr>
          <w:sz w:val="20"/>
          <w:szCs w:val="20"/>
          <w:color w:val="auto"/>
        </w:rPr>
      </w:pPr>
    </w:p>
    <w:p>
      <w:pPr>
        <w:ind w:left="10" w:hanging="10"/>
        <w:spacing w:after="0" w:line="235" w:lineRule="auto"/>
        <w:tabs>
          <w:tab w:leader="none" w:pos="153" w:val="left"/>
        </w:tabs>
        <w:numPr>
          <w:ilvl w:val="0"/>
          <w:numId w:val="1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 December 17, 2023. On December 19, 2023, the Company borrowed an additional $70,900 under the Extension Note and deposited the funds into the Trust Account thereby extending the Termination Date to January 17, 2024. As of June 30, 2024,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109" w:lineRule="exact"/>
        <w:rPr>
          <w:sz w:val="20"/>
          <w:szCs w:val="20"/>
          <w:color w:val="auto"/>
        </w:rPr>
      </w:pPr>
    </w:p>
    <w:p>
      <w:pPr>
        <w:ind w:left="10" w:right="220" w:firstLine="480"/>
        <w:spacing w:after="0" w:line="245" w:lineRule="auto"/>
        <w:rPr>
          <w:sz w:val="20"/>
          <w:szCs w:val="20"/>
          <w:color w:val="auto"/>
        </w:rPr>
      </w:pPr>
      <w:r>
        <w:rPr>
          <w:rFonts w:ascii="Times New Roman" w:cs="Times New Roman" w:eastAsia="Times New Roman" w:hAnsi="Times New Roman"/>
          <w:sz w:val="10"/>
          <w:szCs w:val="10"/>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June 30, 2024.</w:t>
      </w:r>
    </w:p>
    <w:p>
      <w:pPr>
        <w:spacing w:after="0" w:line="105" w:lineRule="exact"/>
        <w:rPr>
          <w:sz w:val="20"/>
          <w:szCs w:val="20"/>
          <w:color w:val="auto"/>
        </w:rPr>
      </w:pPr>
    </w:p>
    <w:p>
      <w:pPr>
        <w:jc w:val="center"/>
        <w:ind w:left="980" w:right="140"/>
        <w:spacing w:after="0" w:line="380" w:lineRule="auto"/>
        <w:rPr>
          <w:sz w:val="20"/>
          <w:szCs w:val="20"/>
          <w:color w:val="auto"/>
        </w:rPr>
      </w:pPr>
      <w:r>
        <w:rPr>
          <w:rFonts w:ascii="Times New Roman" w:cs="Times New Roman" w:eastAsia="Times New Roman" w:hAnsi="Times New Roman"/>
          <w:sz w:val="10"/>
          <w:szCs w:val="10"/>
          <w:color w:val="auto"/>
        </w:rPr>
        <w:t>On September 8, 2023, the Company issued a promissory note to the Sponsor for the aggregate amount of $79,099 to be used for working capital. The promissory note is non-interest bearing and due on the earlier of: (i) the liquidation or release of all of the 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208280</wp:posOffset>
            </wp:positionV>
            <wp:extent cx="6778625" cy="349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30"/>
          </w:cols>
          <w:pgMar w:left="630" w:top="1155" w:right="640" w:bottom="1440" w:gutter="0" w:footer="0" w:header="0"/>
        </w:sectPr>
      </w:pPr>
    </w:p>
    <w:bookmarkStart w:id="205" w:name="page206"/>
    <w:bookmarkEnd w:id="205"/>
    <w:p>
      <w:pPr>
        <w:jc w:val="both"/>
        <w:ind w:right="200"/>
        <w:spacing w:after="0" w:line="255" w:lineRule="auto"/>
        <w:rPr>
          <w:sz w:val="20"/>
          <w:szCs w:val="20"/>
          <w:color w:val="auto"/>
        </w:rPr>
      </w:pPr>
      <w:r>
        <w:rPr>
          <w:rFonts w:ascii="Times New Roman" w:cs="Times New Roman" w:eastAsia="Times New Roman" w:hAnsi="Times New Roman"/>
          <w:sz w:val="10"/>
          <w:szCs w:val="10"/>
          <w:color w:val="auto"/>
        </w:rPr>
        <w:t>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June 30, 2024.</w:t>
      </w:r>
    </w:p>
    <w:p>
      <w:pPr>
        <w:spacing w:after="0" w:line="101" w:lineRule="exact"/>
        <w:rPr>
          <w:sz w:val="20"/>
          <w:szCs w:val="20"/>
          <w:color w:val="auto"/>
        </w:rPr>
      </w:pPr>
    </w:p>
    <w:p>
      <w:pPr>
        <w:jc w:val="both"/>
        <w:ind w:right="180" w:firstLine="480"/>
        <w:spacing w:after="0" w:line="245" w:lineRule="auto"/>
        <w:rPr>
          <w:sz w:val="20"/>
          <w:szCs w:val="20"/>
          <w:color w:val="auto"/>
        </w:rPr>
      </w:pPr>
      <w:r>
        <w:rPr>
          <w:rFonts w:ascii="Times New Roman" w:cs="Times New Roman" w:eastAsia="Times New Roman" w:hAnsi="Times New Roman"/>
          <w:sz w:val="10"/>
          <w:szCs w:val="10"/>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June 30, 2024.</w:t>
      </w:r>
    </w:p>
    <w:p>
      <w:pPr>
        <w:spacing w:after="0" w:line="105"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June 30, 2024.</w:t>
      </w:r>
    </w:p>
    <w:p>
      <w:pPr>
        <w:spacing w:after="0" w:line="105"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105"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below.</w:t>
      </w:r>
    </w:p>
    <w:p>
      <w:pPr>
        <w:spacing w:after="0" w:line="101"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below).</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$ 49,619 to be deposited into the Trust Account within three business days following February 17, 2024, and up to $248,095 in five equal installments to be deposited into the Trust Account for each of the five one-month extensions. As of June 30, 2024, $248,095 was drawn and outstanding under the Second Extension Note.</w:t>
      </w:r>
    </w:p>
    <w:p>
      <w:pPr>
        <w:spacing w:after="0" w:line="10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On February 16, 2024, the Company borrowed $ 49,619 under the Second Extension Note and deposited the funds into the Trust Account thereby extending the Termination Date to March 17, 2024. The funds made available by the Sponsor to the Company under the Second Extension Note were attributable to a draw down under the Subscription Agreement with Polar described in Note 4 below.</w:t>
      </w:r>
    </w:p>
    <w:p>
      <w:pPr>
        <w:spacing w:after="0" w:line="101"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below.</w:t>
      </w:r>
    </w:p>
    <w:p>
      <w:pPr>
        <w:spacing w:after="0" w:line="105"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On March 13, 2024, the Company borrowed $49,619 under the Second Extension Note and deposited the funds into the Trust Account thereby extending the Termination Date to April 17, 2024. The funds made available by the Sponsor to the Company under the Second Extension Note were attributable to the fourth and final draw down under the Subscription Agreement with Polar described in Note 4 below.</w:t>
      </w:r>
    </w:p>
    <w:p>
      <w:pPr>
        <w:spacing w:after="0" w:line="101" w:lineRule="exact"/>
        <w:rPr>
          <w:sz w:val="20"/>
          <w:szCs w:val="20"/>
          <w:color w:val="auto"/>
        </w:rPr>
      </w:pPr>
    </w:p>
    <w:p>
      <w:pPr>
        <w:jc w:val="center"/>
        <w:ind w:left="1020" w:right="100"/>
        <w:spacing w:after="0" w:line="380" w:lineRule="auto"/>
        <w:rPr>
          <w:sz w:val="20"/>
          <w:szCs w:val="20"/>
          <w:color w:val="auto"/>
        </w:rPr>
      </w:pPr>
      <w:r>
        <w:rPr>
          <w:rFonts w:ascii="Times New Roman" w:cs="Times New Roman" w:eastAsia="Times New Roman" w:hAnsi="Times New Roman"/>
          <w:sz w:val="10"/>
          <w:szCs w:val="10"/>
          <w:color w:val="auto"/>
        </w:rPr>
        <w:t>On March 13, 2024, the Company borrowed $60,381 from the Sponsor to be used for working capital. The promissory note is non-interest bearing and due on the earlier of: (i) the liquidation or release of all of the monies held in the Trust Account or (ii) the 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06" w:name="page207"/>
    <w:bookmarkEnd w:id="206"/>
    <w:p>
      <w:pPr>
        <w:ind w:right="320"/>
        <w:spacing w:after="0" w:line="255" w:lineRule="auto"/>
        <w:rPr>
          <w:sz w:val="20"/>
          <w:szCs w:val="20"/>
          <w:color w:val="auto"/>
        </w:rPr>
      </w:pPr>
      <w:r>
        <w:rPr>
          <w:rFonts w:ascii="Times New Roman" w:cs="Times New Roman" w:eastAsia="Times New Roman" w:hAnsi="Times New Roman"/>
          <w:sz w:val="10"/>
          <w:szCs w:val="10"/>
          <w:color w:val="auto"/>
        </w:rPr>
        <w:t>date on which the Company consummates an acquisition, merger or other business combination transaction involving the Company or its affiliates. This promissory note was funded by the Sponsor pursuant to the fourth and final draw down under the Subscription Agreement with Polar described in Note 4 below.</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April 16, 2024, the Company borrowed $49,619 under the Second Extension Note and deposited the funds into the Trust Account thereby extending the Termination Date to May 17, 2024.</w:t>
      </w:r>
    </w:p>
    <w:p>
      <w:pPr>
        <w:spacing w:after="0" w:line="11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On April 16, 2024 the Company issued a promissory note to the Sponsor for the aggregate amount of $53,388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was partially funded by the Sponsor pursuant to the funds provided under the Subscription Agreement with Vellar described in Note 4 below.</w:t>
      </w:r>
    </w:p>
    <w:p>
      <w:pPr>
        <w:spacing w:after="0" w:line="105"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On April 22, 2024 the Company issued a promissory note to the Sponsor for the aggregate amount of $40,939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On April 25, 2024 the Company issued a promissory note to the Sponsor for the aggregate amount of $19,054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May 15, 2024, the Company borrowed $49,619 under the Second Extension Note and deposited the funds into the Trust Account thereby extending the Termination Date to June 17, 2024.</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On May 15, 2024, the Company issued a promissory note to the Sponsor for the aggregate amount of $12,381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On June 6, 2024, the Company issued a promissory note to the Sponsor for the aggregate amount of $5,150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June 15, 2024, the Company borrowed $49,619 under the Second Extension Note and deposited the funds into the Trust Account thereby extending the Termination Date to July 17, 2024.</w:t>
      </w:r>
    </w:p>
    <w:p>
      <w:pPr>
        <w:spacing w:after="0" w:line="118"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On June 21, 2024, the Company issued a promissory note to the Sponsor for the aggregate amount of $1,364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On June 21, 2024, the Company issued a promissory note to the Sponsor for the aggregate amount of $32,000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aggregate balance outstanding under all promissory notes, excluding the funding under the Subscription Agreements (as described in Note 4 below) was $3,056,726 and $2,564,439 as of June 30, 2024 and September 30,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Administrative Service Fee</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Commencing on the date of the IPO, the Company will pay the Sponsor $ 10,000 per month for office space, utilities and secretarial support. Upon completion of the initial Business Combination or the Company’s liquidation, the Company will cease paying these monthly fees. For the three and nine months ended June 30, 2024, the Company incurred $30,000 and $90,000, respectively in administrative service fees. For each of the three and nine months ended June 30, 2023, the Company incurred and paid</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0"/>
          <w:szCs w:val="10"/>
          <w:color w:val="auto"/>
        </w:rPr>
        <w:t>$30,000 and $90,000, respectively, in administrative service fees. The Company has $60,000 and $0 related to the administrative service fees, included in the accounts payable as of June 30, 2024 and September 30,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4 — Subscription Agreements Liability</w:t>
      </w:r>
    </w:p>
    <w:p>
      <w:pPr>
        <w:spacing w:after="0" w:line="60" w:lineRule="exact"/>
        <w:rPr>
          <w:sz w:val="20"/>
          <w:szCs w:val="20"/>
          <w:color w:val="auto"/>
        </w:rPr>
      </w:pPr>
    </w:p>
    <w:p>
      <w:pPr>
        <w:ind w:right="20" w:firstLine="480"/>
        <w:spacing w:after="0" w:line="238" w:lineRule="auto"/>
        <w:rPr>
          <w:sz w:val="20"/>
          <w:szCs w:val="20"/>
          <w:color w:val="auto"/>
        </w:rPr>
      </w:pPr>
      <w:r>
        <w:rPr>
          <w:rFonts w:ascii="Times New Roman" w:cs="Times New Roman" w:eastAsia="Times New Roman" w:hAnsi="Times New Roman"/>
          <w:sz w:val="10"/>
          <w:szCs w:val="10"/>
          <w:color w:val="auto"/>
        </w:rPr>
        <w:t>Effective December 12, 2023, the Company and the Sponsor entered into a subscription agreement (the “Subscription Agreement”) with Polar Multi-Strategy Master Fund (“Polar”), an unaffiliated third party of the Company, pursuant to which Polar agreed to make certain capital contributions (the “Investor Capital Contribution”) from time to time, at the request of the Sponsor, subject to the terms and conditions of the Subscription Agreement, to the Sponsor to meet the Sponsor’s commitment to fund the Company’s working capital needs and extension payments. In exchange for the commitment of Polar to provide the Investor Capital Contribution, (i) the Sponsor will transfer shares of common stock, par value $0.0001 per share, to Polar at the closing of its initial business combination, as further described below; and (ii) the Company and the Sponsor have agreed jointly and severally to return the Investor Capital Contribution to the Investor at the closing of an initial business combination. The maximum aggregate Investor Capital Contribution is $440,000, with an initial Investor Capital Contribution of $110,000 available for drawdown within five (5) business days of the Subscription Agreement and the remaining amount to be available for drawdown in three equal tranches of $110,000 during January, February and March 2024. On December 19, 2023, the initial Investor Capital Contribution of $110,000 was funded to the Sponsor, on January 16, 2024, the second Investor Capital Contribution of $110,000 was funded to the Sponsor, on February 13, 2024, the third Investor Capital Contribution of $110,000 was funded to the Sponsor, and on March 13, 2024, the fourth and final Investor Capital Contribution of $110,000 was funded to the Sponsor. In exchange for the foregoing commitment of Polar to make the Investor Capital Contributions to the Sponsor, the Company agrees to, or cause the surviving entity following the closing of the Company’s initial business combination to, issue 880,000 shares of Company’s common stock.</w:t>
      </w:r>
    </w:p>
    <w:p>
      <w:pPr>
        <w:spacing w:after="0" w:line="10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 the event that Sponsor or the Company defaults in its obligations under the terms of the Subscription Agreement with Polar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05"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101"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shares currently held by the Sponsor in consideration for the amount that has been funded by Polar as of or prior to the closing of an initial business combination (the “Subscription Shares”).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 The Subscription Shares shall be free from the lockup provisions currently applicable to these shares (for a period of 180 days following the closing of the business combination), provided that the stockholders of the Company shall have approved a proposal to such effect at the stockholders meeting held to approve the initial business combination.</w:t>
      </w:r>
    </w:p>
    <w:p>
      <w:pPr>
        <w:spacing w:after="0" w:line="10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On April 18, 2024, the Company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the Company.</w:t>
      </w:r>
    </w:p>
    <w:p>
      <w:pPr>
        <w:spacing w:after="0" w:line="101" w:lineRule="exact"/>
        <w:rPr>
          <w:sz w:val="20"/>
          <w:szCs w:val="20"/>
          <w:color w:val="auto"/>
        </w:rPr>
      </w:pPr>
    </w:p>
    <w:p>
      <w:pPr>
        <w:ind w:right="40" w:firstLine="480"/>
        <w:spacing w:after="0" w:line="277" w:lineRule="auto"/>
        <w:rPr>
          <w:sz w:val="20"/>
          <w:szCs w:val="20"/>
          <w:color w:val="auto"/>
        </w:rPr>
      </w:pPr>
      <w:r>
        <w:rPr>
          <w:rFonts w:ascii="Times New Roman" w:cs="Times New Roman" w:eastAsia="Times New Roman" w:hAnsi="Times New Roman"/>
          <w:sz w:val="9"/>
          <w:szCs w:val="9"/>
          <w:color w:val="auto"/>
        </w:rPr>
        <w:t>The Company accounts for the subscription agreements liability as a bundled transaction with allocation of individual items based on their relative fair values. The fair value of shares issuable under the Subscription Agreements is considered cost of borrowing of the funds lent by the Sponsor upon receipt of the Contributions from the Investor and the net amount is recorded as subscription agreement liability in the Company’s condensed balance sheet. The Company recognized $462,716 of cost of borrowing attributable to the draws under the Subscription Agreements. Such cost of borrowing is amortized over the term of the Subscription Agreements and is included in the Company’s statement of operations as interest expense. For the nine months ended June 30, 2024, the Company recorded $344,226 of interest expense attributable to the previously recognized cost of borrowing. The net amount of subscription liability of $354,503 is presented as a separate line item in the Company’s condensed balance sheet as of June 30, 2024.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0"/>
          <w:szCs w:val="10"/>
          <w:b w:val="1"/>
          <w:bCs w:val="1"/>
          <w:color w:val="auto"/>
        </w:rPr>
        <w:t>Note 5 — Commitments and Contingencies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Registration Rights</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01"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Underwriting Agreement</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Financial Advisory Fee</w:t>
      </w:r>
    </w:p>
    <w:p>
      <w:pPr>
        <w:spacing w:after="0" w:line="60" w:lineRule="exact"/>
        <w:rPr>
          <w:sz w:val="20"/>
          <w:szCs w:val="20"/>
          <w:color w:val="auto"/>
        </w:rPr>
      </w:pPr>
    </w:p>
    <w:p>
      <w:pPr>
        <w:ind w:right="140" w:firstLine="480"/>
        <w:spacing w:after="0" w:line="241" w:lineRule="auto"/>
        <w:rPr>
          <w:sz w:val="20"/>
          <w:szCs w:val="20"/>
          <w:color w:val="auto"/>
        </w:rPr>
      </w:pPr>
      <w:r>
        <w:rPr>
          <w:rFonts w:ascii="Times New Roman" w:cs="Times New Roman" w:eastAsia="Times New Roman" w:hAnsi="Times New Roman"/>
          <w:sz w:val="10"/>
          <w:szCs w:val="10"/>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18"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05"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The Company has engaged Bishop IR (“Bishop”) as an investor relations advisor in connection with the initial Business Combination for the period from June 21, 2023 through June 20, 2024 with a monthly fee of $ 8,000,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Business Combination Marketing Agreement</w:t>
      </w:r>
    </w:p>
    <w:p>
      <w:pPr>
        <w:spacing w:after="0" w:line="60" w:lineRule="exact"/>
        <w:rPr>
          <w:sz w:val="20"/>
          <w:szCs w:val="20"/>
          <w:color w:val="auto"/>
        </w:rPr>
      </w:pPr>
    </w:p>
    <w:p>
      <w:pPr>
        <w:jc w:val="both"/>
        <w:ind w:right="40" w:firstLine="480"/>
        <w:spacing w:after="0" w:line="285" w:lineRule="auto"/>
        <w:rPr>
          <w:sz w:val="20"/>
          <w:szCs w:val="20"/>
          <w:color w:val="auto"/>
        </w:rPr>
      </w:pPr>
      <w:r>
        <w:rPr>
          <w:rFonts w:ascii="Times New Roman" w:cs="Times New Roman" w:eastAsia="Times New Roman" w:hAnsi="Times New Roman"/>
          <w:sz w:val="9"/>
          <w:szCs w:val="9"/>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209" w:name="page210"/>
    <w:bookmarkEnd w:id="209"/>
    <w:p>
      <w:pPr>
        <w:jc w:val="both"/>
        <w:spacing w:after="0" w:line="245" w:lineRule="auto"/>
        <w:rPr>
          <w:sz w:val="20"/>
          <w:szCs w:val="20"/>
          <w:color w:val="auto"/>
        </w:rPr>
      </w:pPr>
      <w:r>
        <w:rPr>
          <w:rFonts w:ascii="Times New Roman" w:cs="Times New Roman" w:eastAsia="Times New Roman" w:hAnsi="Times New Roman"/>
          <w:sz w:val="10"/>
          <w:szCs w:val="10"/>
          <w:color w:val="auto"/>
        </w:rPr>
        <w:t>Company will also pay the representative a separate capital market advisory fee of $ 2,500,000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05"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Non-Redemption Agreements</w:t>
      </w:r>
    </w:p>
    <w:p>
      <w:pPr>
        <w:spacing w:after="0" w:line="60"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On January 20, 2023, the Company and its Sponsor entered into ten agreements (the “Non- 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Right of First Refusal</w:t>
      </w:r>
    </w:p>
    <w:p>
      <w:pPr>
        <w:spacing w:after="0" w:line="60" w:lineRule="exact"/>
        <w:rPr>
          <w:sz w:val="20"/>
          <w:szCs w:val="20"/>
          <w:color w:val="auto"/>
        </w:rPr>
      </w:pPr>
    </w:p>
    <w:p>
      <w:pPr>
        <w:jc w:val="both"/>
        <w:ind w:right="220" w:firstLine="480"/>
        <w:spacing w:after="0" w:line="245" w:lineRule="auto"/>
        <w:rPr>
          <w:sz w:val="20"/>
          <w:szCs w:val="20"/>
          <w:color w:val="auto"/>
        </w:rPr>
      </w:pPr>
      <w:r>
        <w:rPr>
          <w:rFonts w:ascii="Times New Roman" w:cs="Times New Roman" w:eastAsia="Times New Roman" w:hAnsi="Times New Roman"/>
          <w:sz w:val="10"/>
          <w:szCs w:val="10"/>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Purchasing Agreement</w:t>
      </w:r>
    </w:p>
    <w:p>
      <w:pPr>
        <w:spacing w:after="0" w:line="60" w:lineRule="exact"/>
        <w:rPr>
          <w:sz w:val="20"/>
          <w:szCs w:val="20"/>
          <w:color w:val="auto"/>
        </w:rPr>
      </w:pPr>
    </w:p>
    <w:p>
      <w:pPr>
        <w:ind w:right="80" w:firstLine="480"/>
        <w:spacing w:after="0" w:line="239" w:lineRule="auto"/>
        <w:rPr>
          <w:sz w:val="20"/>
          <w:szCs w:val="20"/>
          <w:color w:val="auto"/>
        </w:rPr>
      </w:pPr>
      <w:r>
        <w:rPr>
          <w:rFonts w:ascii="Times New Roman" w:cs="Times New Roman" w:eastAsia="Times New Roman" w:hAnsi="Times New Roman"/>
          <w:sz w:val="10"/>
          <w:szCs w:val="10"/>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1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095" w:right="600"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0"/>
          <w:szCs w:val="10"/>
          <w:b w:val="1"/>
          <w:bCs w:val="1"/>
          <w:color w:val="auto"/>
        </w:rPr>
        <w:t>Note 6 — Recurring Fair Value Measurements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Funds in the Company’s Trust Account were held in an interest-bearing demand deposit account as of June 30, 2024 and September 30, 2023 and classified as Level 1 in the hierarchy of fair value measurements with carrying value approximating fair value.</w:t>
      </w:r>
    </w:p>
    <w:p>
      <w:pPr>
        <w:spacing w:after="0" w:line="165"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5640" w:type="dxa"/>
            <w:vAlign w:val="bottom"/>
          </w:tcPr>
          <w:p>
            <w:pPr>
              <w:spacing w:after="0"/>
              <w:rPr>
                <w:sz w:val="8"/>
                <w:szCs w:val="8"/>
                <w:color w:val="auto"/>
              </w:rPr>
            </w:pPr>
          </w:p>
        </w:tc>
        <w:tc>
          <w:tcPr>
            <w:tcW w:w="72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1020" w:type="dxa"/>
            <w:vAlign w:val="bottom"/>
          </w:tcPr>
          <w:p>
            <w:pPr>
              <w:spacing w:after="0"/>
              <w:rPr>
                <w:sz w:val="8"/>
                <w:szCs w:val="8"/>
                <w:color w:val="auto"/>
              </w:rPr>
            </w:pPr>
          </w:p>
        </w:tc>
        <w:tc>
          <w:tcPr>
            <w:tcW w:w="1400" w:type="dxa"/>
            <w:vAlign w:val="bottom"/>
            <w:gridSpan w:val="2"/>
          </w:tcPr>
          <w:p>
            <w:pPr>
              <w:jc w:val="right"/>
              <w:ind w:right="11"/>
              <w:spacing w:after="0"/>
              <w:rPr>
                <w:sz w:val="20"/>
                <w:szCs w:val="20"/>
                <w:color w:val="auto"/>
              </w:rPr>
            </w:pPr>
            <w:r>
              <w:rPr>
                <w:rFonts w:ascii="Times New Roman" w:cs="Times New Roman" w:eastAsia="Times New Roman" w:hAnsi="Times New Roman"/>
                <w:sz w:val="8"/>
                <w:szCs w:val="8"/>
                <w:b w:val="1"/>
                <w:bCs w:val="1"/>
                <w:color w:val="auto"/>
              </w:rPr>
              <w:t>September 30, 2023</w:t>
            </w:r>
          </w:p>
        </w:tc>
        <w:tc>
          <w:tcPr>
            <w:tcW w:w="800" w:type="dxa"/>
            <w:vAlign w:val="bottom"/>
          </w:tcPr>
          <w:p>
            <w:pPr>
              <w:spacing w:after="0"/>
              <w:rPr>
                <w:sz w:val="8"/>
                <w:szCs w:val="8"/>
                <w:color w:val="auto"/>
              </w:rPr>
            </w:pPr>
          </w:p>
        </w:tc>
      </w:tr>
      <w:tr>
        <w:trPr>
          <w:trHeight w:val="106"/>
        </w:trPr>
        <w:tc>
          <w:tcPr>
            <w:tcW w:w="5640" w:type="dxa"/>
            <w:vAlign w:val="bottom"/>
          </w:tcPr>
          <w:p>
            <w:pPr>
              <w:ind w:left="5320"/>
              <w:spacing w:after="0"/>
              <w:rPr>
                <w:sz w:val="20"/>
                <w:szCs w:val="20"/>
                <w:color w:val="auto"/>
              </w:rPr>
            </w:pPr>
            <w:r>
              <w:rPr>
                <w:rFonts w:ascii="Times New Roman" w:cs="Times New Roman" w:eastAsia="Times New Roman" w:hAnsi="Times New Roman"/>
                <w:sz w:val="8"/>
                <w:szCs w:val="8"/>
                <w:b w:val="1"/>
                <w:bCs w:val="1"/>
                <w:color w:val="auto"/>
              </w:rPr>
              <w:t>Level</w:t>
            </w: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jc w:val="right"/>
              <w:ind w:right="575"/>
              <w:spacing w:after="0"/>
              <w:rPr>
                <w:sz w:val="20"/>
                <w:szCs w:val="20"/>
                <w:color w:val="auto"/>
              </w:rPr>
            </w:pPr>
            <w:r>
              <w:rPr>
                <w:rFonts w:ascii="Times New Roman" w:cs="Times New Roman" w:eastAsia="Times New Roman" w:hAnsi="Times New Roman"/>
                <w:sz w:val="8"/>
                <w:szCs w:val="8"/>
                <w:b w:val="1"/>
                <w:bCs w:val="1"/>
                <w:color w:val="auto"/>
              </w:rPr>
              <w:t>Amount</w:t>
            </w:r>
          </w:p>
        </w:tc>
        <w:tc>
          <w:tcPr>
            <w:tcW w:w="1000" w:type="dxa"/>
            <w:vAlign w:val="bottom"/>
          </w:tcPr>
          <w:p>
            <w:pPr>
              <w:jc w:val="right"/>
              <w:ind w:right="456"/>
              <w:spacing w:after="0"/>
              <w:rPr>
                <w:sz w:val="20"/>
                <w:szCs w:val="20"/>
                <w:color w:val="auto"/>
              </w:rPr>
            </w:pPr>
            <w:r>
              <w:rPr>
                <w:rFonts w:ascii="Times New Roman" w:cs="Times New Roman" w:eastAsia="Times New Roman" w:hAnsi="Times New Roman"/>
                <w:sz w:val="8"/>
                <w:szCs w:val="8"/>
                <w:b w:val="1"/>
                <w:bCs w:val="1"/>
                <w:color w:val="auto"/>
              </w:rPr>
              <w:t>Level</w:t>
            </w:r>
          </w:p>
        </w:tc>
        <w:tc>
          <w:tcPr>
            <w:tcW w:w="400" w:type="dxa"/>
            <w:vAlign w:val="bottom"/>
          </w:tcPr>
          <w:p>
            <w:pPr>
              <w:spacing w:after="0"/>
              <w:rPr>
                <w:sz w:val="9"/>
                <w:szCs w:val="9"/>
                <w:color w:val="auto"/>
              </w:rPr>
            </w:pPr>
          </w:p>
        </w:tc>
        <w:tc>
          <w:tcPr>
            <w:tcW w:w="800" w:type="dxa"/>
            <w:vAlign w:val="bottom"/>
          </w:tcPr>
          <w:p>
            <w:pPr>
              <w:jc w:val="right"/>
              <w:ind w:right="415"/>
              <w:spacing w:after="0"/>
              <w:rPr>
                <w:sz w:val="20"/>
                <w:szCs w:val="20"/>
                <w:color w:val="auto"/>
              </w:rPr>
            </w:pPr>
            <w:r>
              <w:rPr>
                <w:rFonts w:ascii="Times New Roman" w:cs="Times New Roman" w:eastAsia="Times New Roman" w:hAnsi="Times New Roman"/>
                <w:sz w:val="8"/>
                <w:szCs w:val="8"/>
                <w:b w:val="1"/>
                <w:bCs w:val="1"/>
                <w:color w:val="auto"/>
              </w:rPr>
              <w:t>Amount</w:t>
            </w:r>
          </w:p>
        </w:tc>
      </w:tr>
      <w:tr>
        <w:trPr>
          <w:trHeight w:val="113"/>
        </w:trPr>
        <w:tc>
          <w:tcPr>
            <w:tcW w:w="56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4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r>
      <w:tr>
        <w:trPr>
          <w:trHeight w:val="125"/>
        </w:trPr>
        <w:tc>
          <w:tcPr>
            <w:tcW w:w="5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Interest-bearing demand deposit account</w:t>
            </w:r>
          </w:p>
        </w:tc>
        <w:tc>
          <w:tcPr>
            <w:tcW w:w="400" w:type="dxa"/>
            <w:vAlign w:val="bottom"/>
          </w:tcPr>
          <w:p>
            <w:pPr>
              <w:jc w:val="right"/>
              <w:ind w:right="75"/>
              <w:spacing w:after="0"/>
              <w:rPr>
                <w:sz w:val="20"/>
                <w:szCs w:val="20"/>
                <w:color w:val="auto"/>
              </w:rPr>
            </w:pPr>
            <w:r>
              <w:rPr>
                <w:rFonts w:ascii="Times New Roman" w:cs="Times New Roman" w:eastAsia="Times New Roman" w:hAnsi="Times New Roman"/>
                <w:sz w:val="10"/>
                <w:szCs w:val="10"/>
                <w:color w:val="auto"/>
              </w:rPr>
              <w:t>1</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255"/>
              <w:spacing w:after="0"/>
              <w:rPr>
                <w:sz w:val="20"/>
                <w:szCs w:val="20"/>
                <w:color w:val="auto"/>
              </w:rPr>
            </w:pPr>
            <w:r>
              <w:rPr>
                <w:rFonts w:ascii="Times New Roman" w:cs="Times New Roman" w:eastAsia="Times New Roman" w:hAnsi="Times New Roman"/>
                <w:sz w:val="10"/>
                <w:szCs w:val="10"/>
                <w:color w:val="auto"/>
              </w:rPr>
              <w:t>16,126,337</w:t>
            </w: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0"/>
                <w:szCs w:val="10"/>
                <w:color w:val="auto"/>
              </w:rPr>
              <w:t>1</w:t>
            </w: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5"/>
              <w:spacing w:after="0"/>
              <w:rPr>
                <w:sz w:val="20"/>
                <w:szCs w:val="20"/>
                <w:color w:val="auto"/>
              </w:rPr>
            </w:pPr>
            <w:r>
              <w:rPr>
                <w:rFonts w:ascii="Times New Roman" w:cs="Times New Roman" w:eastAsia="Times New Roman" w:hAnsi="Times New Roman"/>
                <w:sz w:val="10"/>
                <w:szCs w:val="10"/>
                <w:color w:val="auto"/>
              </w:rPr>
              <w:t>25,324,028</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7 — Stockholders’ Deficit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Preferred stock</w:t>
      </w:r>
    </w:p>
    <w:p>
      <w:pPr>
        <w:spacing w:after="0" w:line="60"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 is authorized to issue 1,000,000 shares of preferred stock with apar value of $0.0001 and with such designations, voting and other rights and preferences as may be determined from time to time by the Company’s board of directors. As of June 30, 2024 and September 30, 2023, there were no shares of preferred stock issued or outstanding.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Company is authorized to issue 100,000,000 shares of common stock with a par value of $0.0001 per share. At June 30, 2024 and September 30, 2023, there were 5,709,500 shares of common stock issued and outstanding, excluding 1,417,687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08"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Warrants</w:t>
      </w:r>
    </w:p>
    <w:p>
      <w:pPr>
        <w:spacing w:after="0" w:line="60" w:lineRule="exact"/>
        <w:rPr>
          <w:sz w:val="20"/>
          <w:szCs w:val="20"/>
          <w:color w:val="auto"/>
        </w:rPr>
      </w:pPr>
    </w:p>
    <w:p>
      <w:pPr>
        <w:ind w:right="20" w:firstLine="480"/>
        <w:spacing w:after="0" w:line="238" w:lineRule="auto"/>
        <w:rPr>
          <w:sz w:val="20"/>
          <w:szCs w:val="20"/>
          <w:color w:val="auto"/>
        </w:rPr>
      </w:pPr>
      <w:r>
        <w:rPr>
          <w:rFonts w:ascii="Times New Roman" w:cs="Times New Roman" w:eastAsia="Times New Roman" w:hAnsi="Times New Roman"/>
          <w:sz w:val="10"/>
          <w:szCs w:val="10"/>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11" w:name="page212"/>
    <w:bookmarkEnd w:id="211"/>
    <w:p>
      <w:pPr>
        <w:ind w:left="480"/>
        <w:spacing w:after="0"/>
        <w:rPr>
          <w:sz w:val="20"/>
          <w:szCs w:val="20"/>
          <w:color w:val="auto"/>
        </w:rPr>
      </w:pPr>
      <w:r>
        <w:rPr>
          <w:rFonts w:ascii="Times New Roman" w:cs="Times New Roman" w:eastAsia="Times New Roman" w:hAnsi="Times New Roman"/>
          <w:sz w:val="10"/>
          <w:szCs w:val="10"/>
          <w:color w:val="auto"/>
        </w:rPr>
        <w:t>The Company may call the warrants for redemption, in whole and not in part, at a price of $0.01 per warrant, in whole and not in part: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•at any time after the warrants become exercisable,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not less than 30 days’ prior written notice of redemption to each warrant holder</w:t>
      </w:r>
    </w:p>
    <w:p>
      <w:pPr>
        <w:spacing w:after="0" w:line="58" w:lineRule="exact"/>
        <w:rPr>
          <w:sz w:val="20"/>
          <w:szCs w:val="20"/>
          <w:color w:val="auto"/>
        </w:rPr>
      </w:pPr>
    </w:p>
    <w:p>
      <w:pPr>
        <w:ind w:left="480" w:right="60"/>
        <w:spacing w:after="0" w:line="255" w:lineRule="auto"/>
        <w:rPr>
          <w:sz w:val="20"/>
          <w:szCs w:val="20"/>
          <w:color w:val="auto"/>
        </w:rPr>
      </w:pPr>
      <w:r>
        <w:rPr>
          <w:rFonts w:ascii="Times New Roman" w:cs="Times New Roman" w:eastAsia="Times New Roman" w:hAnsi="Times New Roman"/>
          <w:sz w:val="10"/>
          <w:szCs w:val="10"/>
          <w:color w:val="auto"/>
        </w:rPr>
        <w:t>•if, and only if, the reported last sale price of the common stock equals or exceeds $18.00 per share (as adjusted for stock splits, stock dividends, reorganizations, recapitalizations) for any 20 trading days within a 30-trading day period commencing at any time after the warrants become exercisable and ending on the third business day prior to the notice of redemption to warrant holders; and</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•if, and only if, there is a current registration statement in effect with respect to the shares of common stock underlying such warrants.</w:t>
      </w:r>
    </w:p>
    <w:p>
      <w:pPr>
        <w:spacing w:after="0" w:line="11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08"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8— Subsequent Events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condensed financial statements.</w:t>
      </w:r>
    </w:p>
    <w:p>
      <w:pPr>
        <w:spacing w:after="0" w:line="101"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Business Combination Agreement, on July 4, 2024, Rezolve effected a pre-Closing demerger (the “Pre-Closing Demerger”)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were transferred to Rezolve AI in exchange for the issue by Rezolve AI of shares of the same classes as in Rezolve Limited for distribution among the original shareholders of Rezolve in proportion to their holdings of shares of each class in Rezolve as at immediately prior to the Pre-Closing Demerger, (y) Rezolve AI assumed the secured convertible notes issued by Rezolve and (z) Rezolve was placed into a members’ voluntary liquidation.</w:t>
      </w:r>
    </w:p>
    <w:p>
      <w:pPr>
        <w:spacing w:after="0" w:line="108"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On July 5, 2024, the Company issued a promissory note to the Sponsor for the aggregate amount of $5,150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July 17, 2024, the Company borrowed $49,619 under the Second Extension Note and deposited the funds into the Trust Account thereby extending the Termination Date to August 17, 2024.</w:t>
      </w:r>
    </w:p>
    <w:p>
      <w:pPr>
        <w:spacing w:after="0" w:line="118"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On July 17, 2024, the Company issued a promissory note to the Sponsor for the aggregate amount of $381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12" w:name="page213"/>
    <w:bookmarkEnd w:id="212"/>
    <w:p>
      <w:pPr>
        <w:ind w:left="490"/>
        <w:spacing w:after="0"/>
        <w:rPr>
          <w:sz w:val="20"/>
          <w:szCs w:val="20"/>
          <w:color w:val="auto"/>
        </w:rPr>
      </w:pPr>
      <w:r>
        <w:rPr>
          <w:rFonts w:ascii="Times New Roman" w:cs="Times New Roman" w:eastAsia="Times New Roman" w:hAnsi="Times New Roman"/>
          <w:sz w:val="9"/>
          <w:szCs w:val="9"/>
          <w:color w:val="auto"/>
        </w:rPr>
        <w:t>On August 1, 2024, the Company held a special meeting of stockholders (the “Special Meeting”) virtually to approve, among other things, the Company’s initial business combination, as more fully described in the Definitive Proxy Statement filed with the U.S.</w:t>
      </w:r>
    </w:p>
    <w:p>
      <w:pPr>
        <w:spacing w:after="0" w:line="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Securities and Exchange Commission on July 10, 2024.</w:t>
      </w:r>
    </w:p>
    <w:p>
      <w:pPr>
        <w:spacing w:after="0" w:line="108" w:lineRule="exact"/>
        <w:rPr>
          <w:sz w:val="20"/>
          <w:szCs w:val="20"/>
          <w:color w:val="auto"/>
        </w:rPr>
      </w:pPr>
    </w:p>
    <w:p>
      <w:pPr>
        <w:ind w:left="10" w:right="18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Special Meeting, Public Stockholders holding 1,300,391 Public Shares exercised their right to redeem such shares for a pro rata portion of the funds in the Trust Account. As a result, $14,803,608 (approximately $11.38 per share) was removed from the Trust Account to pay such holders.</w:t>
      </w:r>
    </w:p>
    <w:p>
      <w:pPr>
        <w:spacing w:after="0" w:line="101" w:lineRule="exact"/>
        <w:rPr>
          <w:sz w:val="20"/>
          <w:szCs w:val="20"/>
          <w:color w:val="auto"/>
        </w:rPr>
      </w:pPr>
    </w:p>
    <w:p>
      <w:pPr>
        <w:jc w:val="both"/>
        <w:ind w:left="10" w:right="120" w:firstLine="480"/>
        <w:spacing w:after="0" w:line="245" w:lineRule="auto"/>
        <w:rPr>
          <w:sz w:val="20"/>
          <w:szCs w:val="20"/>
          <w:color w:val="auto"/>
        </w:rPr>
      </w:pPr>
      <w:r>
        <w:rPr>
          <w:rFonts w:ascii="Times New Roman" w:cs="Times New Roman" w:eastAsia="Times New Roman" w:hAnsi="Times New Roman"/>
          <w:sz w:val="10"/>
          <w:szCs w:val="10"/>
          <w:color w:val="auto"/>
        </w:rPr>
        <w:t>At the Special Meeting, the stockholders also approved a proposal to amend the Company’s second amended and restated certificate of incorporation to eliminate the limitation that the Company may not consummate a business combination to the extent the Company would have net tangible assets of less than $5,000,001, which amendment will be effective immediately prior to or upon consummation of a business combination in order to allow the Company to consummate the Business Combination irrespective of whether the Company would exceed such limitation.</w:t>
      </w:r>
    </w:p>
    <w:p>
      <w:pPr>
        <w:spacing w:after="0" w:line="105" w:lineRule="exact"/>
        <w:rPr>
          <w:sz w:val="20"/>
          <w:szCs w:val="20"/>
          <w:color w:val="auto"/>
        </w:rPr>
      </w:pPr>
    </w:p>
    <w:p>
      <w:pPr>
        <w:ind w:left="10" w:right="520" w:firstLine="480"/>
        <w:spacing w:after="0" w:line="255" w:lineRule="auto"/>
        <w:rPr>
          <w:sz w:val="20"/>
          <w:szCs w:val="20"/>
          <w:color w:val="auto"/>
        </w:rPr>
      </w:pPr>
      <w:r>
        <w:rPr>
          <w:rFonts w:ascii="Times New Roman" w:cs="Times New Roman" w:eastAsia="Times New Roman" w:hAnsi="Times New Roman"/>
          <w:sz w:val="10"/>
          <w:szCs w:val="10"/>
          <w:color w:val="auto"/>
        </w:rPr>
        <w:t>On August 15, 2024, subsequent to the fiscal quarter ended June 30, 2024, the fiscal quarter to which this Quarterly Report on Form 10-Q relates, the Company consummated the previously announced business combination pursuant to the Business Combination Agreement, by and among the Company, Rezolve, Rezolve AI and the other parties thereto.</w:t>
      </w:r>
    </w:p>
    <w:p>
      <w:pPr>
        <w:spacing w:after="0" w:line="101" w:lineRule="exact"/>
        <w:rPr>
          <w:sz w:val="20"/>
          <w:szCs w:val="20"/>
          <w:color w:val="auto"/>
        </w:rPr>
      </w:pPr>
    </w:p>
    <w:p>
      <w:pPr>
        <w:ind w:left="10" w:right="100" w:firstLine="480"/>
        <w:spacing w:after="0" w:line="245" w:lineRule="auto"/>
        <w:rPr>
          <w:sz w:val="20"/>
          <w:szCs w:val="20"/>
          <w:color w:val="auto"/>
        </w:rPr>
      </w:pPr>
      <w:r>
        <w:rPr>
          <w:rFonts w:ascii="Times New Roman" w:cs="Times New Roman" w:eastAsia="Times New Roman" w:hAnsi="Times New Roman"/>
          <w:sz w:val="10"/>
          <w:szCs w:val="10"/>
          <w:color w:val="auto"/>
        </w:rPr>
        <w:t>Upon consummation of the Business Combination, on August 15, 2024, (i) Rezolve AI effected a re-classification of its share capital whereby Rezolve AI series A shares were reclassified as ordinary shares of same class as existing ordinary shares on issue in Rezolve AI, with nominal value £0.0001 per share (the “Rezolve Ordinary Shares”), and (ii) the Company merged with and into Rezolve Merger Sub, with the Company surviving as a wholly owned subsidiary of Rezolve AI, with shareholders of the Company received Rezolve Ordinary Shares in exchange for their existing common stock of the Company and the Company warrant holders having their warrants automatically exchanged for warrants of Rezolve.</w:t>
      </w:r>
    </w:p>
    <w:p>
      <w:pPr>
        <w:spacing w:after="0" w:line="105"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In contemplation of closing of the Business combination the Company has entered into the following agreements with their vendors which were not paid in cash at the closing of the Business Combination:</w:t>
      </w:r>
    </w:p>
    <w:p>
      <w:pPr>
        <w:spacing w:after="0" w:line="118" w:lineRule="exact"/>
        <w:rPr>
          <w:sz w:val="20"/>
          <w:szCs w:val="20"/>
          <w:color w:val="auto"/>
        </w:rPr>
      </w:pPr>
    </w:p>
    <w:p>
      <w:pPr>
        <w:ind w:left="10" w:right="40" w:firstLine="480"/>
        <w:spacing w:after="0" w:line="272" w:lineRule="auto"/>
        <w:rPr>
          <w:sz w:val="20"/>
          <w:szCs w:val="20"/>
          <w:color w:val="auto"/>
        </w:rPr>
      </w:pPr>
      <w:r>
        <w:rPr>
          <w:rFonts w:ascii="Times New Roman" w:cs="Times New Roman" w:eastAsia="Times New Roman" w:hAnsi="Times New Roman"/>
          <w:sz w:val="9"/>
          <w:szCs w:val="9"/>
          <w:color w:val="auto"/>
        </w:rPr>
        <w:t>On July 30, 2024 the Company issued a promissory note to Northland Securities, Inc. (“Northland”) for an amount of $5,141,250 and agreed to pay interest on the principal amount outstanding from time to time from July 30, 2024 until the note is fully paid, at the rate of 10% per annum, compounded annually. The timing and repayment amounts under the note will depend on the amounts of financing raised by the Company and its direct and indirect parent companies after completion of the Business Combination. If more than</w:t>
      </w:r>
    </w:p>
    <w:p>
      <w:pPr>
        <w:ind w:left="10" w:right="40" w:hanging="10"/>
        <w:spacing w:after="0" w:line="235" w:lineRule="auto"/>
        <w:tabs>
          <w:tab w:leader="none" w:pos="143" w:val="left"/>
        </w:tabs>
        <w:numPr>
          <w:ilvl w:val="0"/>
          <w:numId w:val="1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$25,000,000 in proceeds is raised while the note is outstanding, 50% of the outstanding principal and all accrued and unpaid interest on the note shall become immediately due and payable and (b) if more than $50,000,000 in gross proceeds is raised, all of the outstanding principal and all accrued and unpaid interest shall become immediately due and payable.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 In the event the Company and its direct and indirect parent companies after completion of the Business Combination have $20,000,000 or more in cash, cash equivalents and marketable securities as of any time on or prior to December 31, 2025, Northland may, at its option on or prior to June 30, 2026, sell any or all of the shares of the Company’s common stock received pursuant to the prior sentence to the Company at a price of $10.00 per share. The note was entered into in full satisfaction of the cash payments otherwise due to Northland by the Company at the time of closing and which are described above. All of the Company’s obligations under the Note were guaranteed by Rezolve and Rezolve AI.</w:t>
      </w:r>
    </w:p>
    <w:p>
      <w:pPr>
        <w:spacing w:after="0" w:line="109" w:lineRule="exact"/>
        <w:rPr>
          <w:sz w:val="20"/>
          <w:szCs w:val="20"/>
          <w:color w:val="auto"/>
        </w:rPr>
      </w:pPr>
    </w:p>
    <w:p>
      <w:pPr>
        <w:ind w:left="10" w:right="40" w:firstLine="480"/>
        <w:spacing w:after="0" w:line="239" w:lineRule="auto"/>
        <w:rPr>
          <w:sz w:val="20"/>
          <w:szCs w:val="20"/>
          <w:color w:val="auto"/>
        </w:rPr>
      </w:pPr>
      <w:r>
        <w:rPr>
          <w:rFonts w:ascii="Times New Roman" w:cs="Times New Roman" w:eastAsia="Times New Roman" w:hAnsi="Times New Roman"/>
          <w:sz w:val="10"/>
          <w:szCs w:val="10"/>
          <w:color w:val="auto"/>
        </w:rPr>
        <w:t>On August 14, 2024 the Company issued a promissory note to J.V.B. Financial Group, LLC (“JVB”) ) for an amount of $7,500,000 and agreed to pay interest on the principal amount outstanding from time to time from August 14, 2024 until the note is 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VWAP for the 5 days ending on the day immediately preceding the due date of the Amortization Payment. The note was entered into in full satisfaction of the cash payments otherwise due to JVB by the Company at the time of closing and which are described above. All of the Company’s obligations under the Note were guaranteed by Rezolve and Rezolve AI.</w:t>
      </w:r>
    </w:p>
    <w:p>
      <w:pPr>
        <w:spacing w:after="0" w:line="110" w:lineRule="exact"/>
        <w:rPr>
          <w:sz w:val="20"/>
          <w:szCs w:val="20"/>
          <w:color w:val="auto"/>
        </w:rPr>
      </w:pPr>
    </w:p>
    <w:p>
      <w:pPr>
        <w:ind w:left="10" w:right="280" w:firstLine="480"/>
        <w:spacing w:after="0" w:line="310" w:lineRule="auto"/>
        <w:rPr>
          <w:sz w:val="20"/>
          <w:szCs w:val="20"/>
          <w:color w:val="auto"/>
        </w:rPr>
      </w:pPr>
      <w:r>
        <w:rPr>
          <w:rFonts w:ascii="Times New Roman" w:cs="Times New Roman" w:eastAsia="Times New Roman" w:hAnsi="Times New Roman"/>
          <w:sz w:val="9"/>
          <w:szCs w:val="9"/>
          <w:color w:val="auto"/>
        </w:rPr>
        <w:t>On August 14, 2024 Rezolve AI issued a promissory note to pay to Cohen &amp; Company Financial Management LLC (the “Agent”) as an agent for the Sponsor, in the principal sum of $3,144,883.06 (the “Original Amount”), with the Original Amount, the accrued interest thereon and other amounts due and payable (unless prepaid earlier or converted into shares of common stock) on August 14, 2027 (the “Maturity Date’). The note bears interest at 4.95% per annum. Starting from January 31, 2025, upon Agent’s</w:t>
      </w:r>
    </w:p>
    <w:p>
      <w:pPr>
        <w:spacing w:after="0" w:line="1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0"/>
          <w:szCs w:val="10"/>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50"/>
          </w:cols>
          <w:pgMar w:left="630" w:top="1155" w:right="620" w:bottom="1440" w:gutter="0" w:footer="0" w:header="0"/>
        </w:sectPr>
      </w:pPr>
    </w:p>
    <w:bookmarkStart w:id="213" w:name="page214"/>
    <w:bookmarkEnd w:id="213"/>
    <w:p>
      <w:pPr>
        <w:spacing w:after="0" w:line="239" w:lineRule="auto"/>
        <w:rPr>
          <w:sz w:val="20"/>
          <w:szCs w:val="20"/>
          <w:color w:val="auto"/>
        </w:rPr>
      </w:pPr>
      <w:r>
        <w:rPr>
          <w:rFonts w:ascii="Times New Roman" w:cs="Times New Roman" w:eastAsia="Times New Roman" w:hAnsi="Times New Roman"/>
          <w:sz w:val="10"/>
          <w:szCs w:val="10"/>
          <w:color w:val="auto"/>
        </w:rPr>
        <w:t>request, Rezolve AI shall pay the Agent the principal amount plus all of the accrued interest in increments of 1/18 of the outstanding principal amount (the “Amortization Payment”) on a date determined by Agent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Agent shall have the right, at Agent’s sole option, on any business day, to convert at the conversion price described in the note all or any portion of the outstanding principal amount of the note up to an amount described in the note. The convertible note was entered into in exchange for the Sponsor’s interest in and extinguishment of its interest in the existing loans from the Sponsor to the Company exclusive of the funding by Polar under the subscription agreement which is described above. The funding by Polar was repaid by the Company to Polar at the time of closing as required by the subscription agreement with Polar.</w:t>
      </w:r>
    </w:p>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14" w:name="page215"/>
    <w:bookmarkEnd w:id="214"/>
    <w:p>
      <w:pPr>
        <w:jc w:val="center"/>
        <w:spacing w:after="0"/>
        <w:rPr>
          <w:sz w:val="20"/>
          <w:szCs w:val="20"/>
          <w:color w:val="auto"/>
        </w:rPr>
      </w:pPr>
      <w:r>
        <w:rPr>
          <w:rFonts w:ascii="Times New Roman" w:cs="Times New Roman" w:eastAsia="Times New Roman" w:hAnsi="Times New Roman"/>
          <w:sz w:val="10"/>
          <w:szCs w:val="10"/>
          <w:b w:val="1"/>
          <w:bCs w:val="1"/>
          <w:color w:val="auto"/>
        </w:rPr>
        <w:t>PART I—FINANCIAL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w:t>
      </w:r>
      <w:r>
        <w:rPr>
          <w:rFonts w:ascii="Arial" w:cs="Arial" w:eastAsia="Arial" w:hAnsi="Arial"/>
          <w:sz w:val="10"/>
          <w:szCs w:val="10"/>
          <w:b w:val="1"/>
          <w:bCs w:val="1"/>
          <w:color w:val="auto"/>
        </w:rPr>
        <w:t xml:space="preserve"> </w:t>
      </w:r>
      <w:r>
        <w:rPr>
          <w:rFonts w:ascii="Times New Roman" w:cs="Times New Roman" w:eastAsia="Times New Roman" w:hAnsi="Times New Roman"/>
          <w:sz w:val="10"/>
          <w:szCs w:val="10"/>
          <w:b w:val="1"/>
          <w:bCs w:val="1"/>
          <w:color w:val="auto"/>
        </w:rPr>
        <w:t>1. Financial Statements.</w:t>
      </w:r>
    </w:p>
    <w:p>
      <w:pPr>
        <w:spacing w:after="0" w:line="9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0"/>
          <w:szCs w:val="10"/>
          <w:b w:val="1"/>
          <w:bCs w:val="1"/>
          <w:color w:val="auto"/>
        </w:rPr>
        <w:t>CONDENSED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280" w:type="dxa"/>
            <w:vAlign w:val="bottom"/>
          </w:tcPr>
          <w:p>
            <w:pPr>
              <w:spacing w:after="0"/>
              <w:rPr>
                <w:sz w:val="8"/>
                <w:szCs w:val="8"/>
                <w:color w:val="auto"/>
              </w:rPr>
            </w:pPr>
          </w:p>
        </w:tc>
        <w:tc>
          <w:tcPr>
            <w:tcW w:w="980" w:type="dxa"/>
            <w:vAlign w:val="bottom"/>
          </w:tcPr>
          <w:p>
            <w:pPr>
              <w:jc w:val="center"/>
              <w:ind w:left="494"/>
              <w:spacing w:after="0"/>
              <w:rPr>
                <w:sz w:val="20"/>
                <w:szCs w:val="20"/>
                <w:color w:val="auto"/>
              </w:rPr>
            </w:pPr>
            <w:r>
              <w:rPr>
                <w:rFonts w:ascii="Times New Roman" w:cs="Times New Roman" w:eastAsia="Times New Roman" w:hAnsi="Times New Roman"/>
                <w:sz w:val="8"/>
                <w:szCs w:val="8"/>
                <w:b w:val="1"/>
                <w:bCs w:val="1"/>
                <w:color w:val="auto"/>
              </w:rPr>
              <w:t>March 31,</w:t>
            </w: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0" w:type="dxa"/>
            <w:vAlign w:val="bottom"/>
          </w:tcPr>
          <w:p>
            <w:pPr>
              <w:spacing w:after="0"/>
              <w:rPr>
                <w:sz w:val="1"/>
                <w:szCs w:val="1"/>
                <w:color w:val="auto"/>
              </w:rPr>
            </w:pPr>
          </w:p>
        </w:tc>
      </w:tr>
      <w:tr>
        <w:trPr>
          <w:trHeight w:val="98"/>
        </w:trPr>
        <w:tc>
          <w:tcPr>
            <w:tcW w:w="7280" w:type="dxa"/>
            <w:vAlign w:val="bottom"/>
          </w:tcPr>
          <w:p>
            <w:pPr>
              <w:spacing w:after="0"/>
              <w:rPr>
                <w:sz w:val="8"/>
                <w:szCs w:val="8"/>
                <w:color w:val="auto"/>
              </w:rPr>
            </w:pPr>
          </w:p>
        </w:tc>
        <w:tc>
          <w:tcPr>
            <w:tcW w:w="980" w:type="dxa"/>
            <w:vAlign w:val="bottom"/>
          </w:tcPr>
          <w:p>
            <w:pPr>
              <w:jc w:val="center"/>
              <w:ind w:left="474"/>
              <w:spacing w:after="0"/>
              <w:rPr>
                <w:sz w:val="20"/>
                <w:szCs w:val="20"/>
                <w:color w:val="auto"/>
              </w:rPr>
            </w:pPr>
            <w:r>
              <w:rPr>
                <w:rFonts w:ascii="Times New Roman" w:cs="Times New Roman" w:eastAsia="Times New Roman" w:hAnsi="Times New Roman"/>
                <w:sz w:val="8"/>
                <w:szCs w:val="8"/>
                <w:b w:val="1"/>
                <w:bCs w:val="1"/>
                <w:color w:val="auto"/>
              </w:rPr>
              <w:t>2024</w:t>
            </w: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7280" w:type="dxa"/>
            <w:vAlign w:val="bottom"/>
          </w:tcPr>
          <w:p>
            <w:pPr>
              <w:spacing w:after="0"/>
              <w:rPr>
                <w:sz w:val="9"/>
                <w:szCs w:val="9"/>
                <w:color w:val="auto"/>
              </w:rPr>
            </w:pPr>
          </w:p>
        </w:tc>
        <w:tc>
          <w:tcPr>
            <w:tcW w:w="980" w:type="dxa"/>
            <w:vAlign w:val="bottom"/>
          </w:tcPr>
          <w:p>
            <w:pPr>
              <w:jc w:val="center"/>
              <w:ind w:left="474"/>
              <w:spacing w:after="0"/>
              <w:rPr>
                <w:sz w:val="20"/>
                <w:szCs w:val="20"/>
                <w:color w:val="auto"/>
              </w:rPr>
            </w:pPr>
            <w:r>
              <w:rPr>
                <w:rFonts w:ascii="Times New Roman" w:cs="Times New Roman" w:eastAsia="Times New Roman" w:hAnsi="Times New Roman"/>
                <w:sz w:val="8"/>
                <w:szCs w:val="8"/>
                <w:b w:val="1"/>
                <w:bCs w:val="1"/>
                <w:color w:val="auto"/>
              </w:rPr>
              <w:t>Unaudited</w:t>
            </w: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980" w:type="dxa"/>
            <w:vAlign w:val="bottom"/>
          </w:tcPr>
          <w:p>
            <w:pPr>
              <w:jc w:val="right"/>
              <w:ind w:right="87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107,722</w:t>
            </w:r>
          </w:p>
        </w:tc>
        <w:tc>
          <w:tcPr>
            <w:tcW w:w="280" w:type="dxa"/>
            <w:vAlign w:val="bottom"/>
          </w:tcPr>
          <w:p>
            <w:pPr>
              <w:spacing w:after="0"/>
              <w:rPr>
                <w:sz w:val="9"/>
                <w:szCs w:val="9"/>
                <w:color w:val="auto"/>
              </w:rPr>
            </w:pPr>
          </w:p>
        </w:tc>
        <w:tc>
          <w:tcPr>
            <w:tcW w:w="260" w:type="dxa"/>
            <w:vAlign w:val="bottom"/>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60,284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3,781</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33,605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111,503</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93,889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Investments held in Trust Account</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15,771,190</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25,324,028</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980" w:type="dxa"/>
            <w:vAlign w:val="bottom"/>
            <w:tcBorders>
              <w:bottom w:val="single" w:sz="8" w:color="auto"/>
            </w:tcBorders>
          </w:tcPr>
          <w:p>
            <w:pPr>
              <w:jc w:val="right"/>
              <w:ind w:right="87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15,882,693</w:t>
            </w:r>
          </w:p>
        </w:tc>
        <w:tc>
          <w:tcPr>
            <w:tcW w:w="280" w:type="dxa"/>
            <w:vAlign w:val="bottom"/>
          </w:tcPr>
          <w:p>
            <w:pPr>
              <w:spacing w:after="0"/>
              <w:rPr>
                <w:sz w:val="10"/>
                <w:szCs w:val="10"/>
                <w:color w:val="auto"/>
              </w:rPr>
            </w:pPr>
          </w:p>
        </w:tc>
        <w:tc>
          <w:tcPr>
            <w:tcW w:w="2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25,417,917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728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Liabilities, Common Stock Subject to Possible Redemption and Stockholders’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9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Current liabilities:</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980" w:type="dxa"/>
            <w:vAlign w:val="bottom"/>
            <w:shd w:val="clear" w:color="auto" w:fill="CFF0FC"/>
          </w:tcPr>
          <w:p>
            <w:pPr>
              <w:jc w:val="right"/>
              <w:ind w:right="87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5,392,262</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4,708,050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22,600</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12,100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54,544</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10,783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Subscription agreement liability, net</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129,738</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Promissory Notes-Related Party</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2,776,600</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2,564,439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1,395,596</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9,771,340</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8,587,123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Commitments and Contingencies (Note 5)</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Common stock subject to possible redemption, 1,417,687 and 2,363,349 shares at</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redemption value of approximately $11.11 and $10.71 per share at March 31, 2024</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and September 30, 2023, respectively</w:t>
            </w:r>
          </w:p>
        </w:tc>
        <w:tc>
          <w:tcPr>
            <w:tcW w:w="98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15,747,446</w:t>
            </w: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25,316,806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Stockholders’ Deficit:</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Preferred stock, $0.0001 par value; 1,000,000 shares authorized; none issued or</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outstanding</w:t>
            </w:r>
          </w:p>
        </w:tc>
        <w:tc>
          <w:tcPr>
            <w:tcW w:w="9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6"/>
        </w:trPr>
        <w:tc>
          <w:tcPr>
            <w:tcW w:w="728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Common stock, $0.0001 par value; 100,000,000 shares authorized, 5,709,500 shares</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ind w:left="80"/>
              <w:spacing w:after="0" w:line="113" w:lineRule="exact"/>
              <w:rPr>
                <w:sz w:val="20"/>
                <w:szCs w:val="20"/>
                <w:color w:val="auto"/>
              </w:rPr>
            </w:pPr>
            <w:r>
              <w:rPr>
                <w:rFonts w:ascii="Times New Roman" w:cs="Times New Roman" w:eastAsia="Times New Roman" w:hAnsi="Times New Roman"/>
                <w:sz w:val="10"/>
                <w:szCs w:val="10"/>
                <w:color w:val="auto"/>
              </w:rPr>
              <w:t>issued and outstanding (excluding 1,417,687 and 2,363,349 shares subject to</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possible redemption) at March 31, 2024 and September 30, 2023, respectively</w:t>
            </w:r>
          </w:p>
        </w:tc>
        <w:tc>
          <w:tcPr>
            <w:tcW w:w="9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980" w:type="dxa"/>
            <w:vAlign w:val="bottom"/>
            <w:shd w:val="clear" w:color="auto" w:fill="CFF0FC"/>
          </w:tcPr>
          <w:p>
            <w:pPr>
              <w:spacing w:after="0"/>
              <w:rPr>
                <w:sz w:val="9"/>
                <w:szCs w:val="9"/>
                <w:color w:val="auto"/>
              </w:rPr>
            </w:pPr>
          </w:p>
        </w:tc>
        <w:tc>
          <w:tcPr>
            <w:tcW w:w="800" w:type="dxa"/>
            <w:vAlign w:val="bottom"/>
            <w:gridSpan w:val="2"/>
            <w:shd w:val="clear" w:color="auto" w:fill="CFF0FC"/>
          </w:tcPr>
          <w:p>
            <w:pPr>
              <w:jc w:val="right"/>
              <w:ind w:right="3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980" w:type="dxa"/>
            <w:vAlign w:val="bottom"/>
          </w:tcPr>
          <w:p>
            <w:pPr>
              <w:spacing w:after="0"/>
              <w:rPr>
                <w:sz w:val="9"/>
                <w:szCs w:val="9"/>
                <w:color w:val="auto"/>
              </w:rPr>
            </w:pPr>
          </w:p>
        </w:tc>
        <w:tc>
          <w:tcPr>
            <w:tcW w:w="80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(9,636,663 )</w:t>
            </w:r>
          </w:p>
        </w:tc>
        <w:tc>
          <w:tcPr>
            <w:tcW w:w="260" w:type="dxa"/>
            <w:vAlign w:val="bottom"/>
          </w:tcPr>
          <w:p>
            <w:pPr>
              <w:spacing w:after="0"/>
              <w:rPr>
                <w:sz w:val="9"/>
                <w:szCs w:val="9"/>
                <w:color w:val="auto"/>
              </w:rPr>
            </w:pPr>
          </w:p>
        </w:tc>
        <w:tc>
          <w:tcPr>
            <w:tcW w:w="13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(8,486,582 )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Stockholders’ Deficit</w:t>
            </w:r>
          </w:p>
        </w:tc>
        <w:tc>
          <w:tcPr>
            <w:tcW w:w="980" w:type="dxa"/>
            <w:vAlign w:val="bottom"/>
            <w:shd w:val="clear" w:color="auto" w:fill="CFF0FC"/>
          </w:tcPr>
          <w:p>
            <w:pPr>
              <w:spacing w:after="0"/>
              <w:rPr>
                <w:sz w:val="9"/>
                <w:szCs w:val="9"/>
                <w:color w:val="auto"/>
              </w:rPr>
            </w:pPr>
          </w:p>
        </w:tc>
        <w:tc>
          <w:tcPr>
            <w:tcW w:w="80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(9,636,093 )</w:t>
            </w:r>
          </w:p>
        </w:tc>
        <w:tc>
          <w:tcPr>
            <w:tcW w:w="26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(8,486,012 )</w:t>
            </w:r>
          </w:p>
        </w:tc>
        <w:tc>
          <w:tcPr>
            <w:tcW w:w="0" w:type="dxa"/>
            <w:vAlign w:val="bottom"/>
          </w:tcPr>
          <w:p>
            <w:pPr>
              <w:spacing w:after="0"/>
              <w:rPr>
                <w:sz w:val="1"/>
                <w:szCs w:val="1"/>
                <w:color w:val="auto"/>
              </w:rPr>
            </w:pPr>
          </w:p>
        </w:tc>
      </w:tr>
      <w:tr>
        <w:trPr>
          <w:trHeight w:val="104"/>
        </w:trPr>
        <w:tc>
          <w:tcPr>
            <w:tcW w:w="728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Total Liabilities, Common Stock Subject to Possible Redemption and</w:t>
            </w:r>
          </w:p>
        </w:tc>
        <w:tc>
          <w:tcPr>
            <w:tcW w:w="980" w:type="dxa"/>
            <w:vAlign w:val="bottom"/>
            <w:vMerge w:val="restart"/>
          </w:tcPr>
          <w:p>
            <w:pPr>
              <w:jc w:val="right"/>
              <w:ind w:right="874"/>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15,882,693</w:t>
            </w:r>
          </w:p>
        </w:tc>
        <w:tc>
          <w:tcPr>
            <w:tcW w:w="280" w:type="dxa"/>
            <w:vAlign w:val="bottom"/>
          </w:tcPr>
          <w:p>
            <w:pPr>
              <w:spacing w:after="0"/>
              <w:rPr>
                <w:sz w:val="9"/>
                <w:szCs w:val="9"/>
                <w:color w:val="auto"/>
              </w:rPr>
            </w:pPr>
          </w:p>
        </w:tc>
        <w:tc>
          <w:tcPr>
            <w:tcW w:w="260" w:type="dxa"/>
            <w:vAlign w:val="bottom"/>
            <w:vMerge w:val="restart"/>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25,417,917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tcPr>
          <w:p>
            <w:pPr>
              <w:ind w:left="80"/>
              <w:spacing w:after="0" w:line="79" w:lineRule="exact"/>
              <w:rPr>
                <w:sz w:val="20"/>
                <w:szCs w:val="20"/>
                <w:color w:val="auto"/>
              </w:rPr>
            </w:pPr>
            <w:r>
              <w:rPr>
                <w:rFonts w:ascii="Times New Roman" w:cs="Times New Roman" w:eastAsia="Times New Roman" w:hAnsi="Times New Roman"/>
                <w:sz w:val="9"/>
                <w:szCs w:val="9"/>
                <w:b w:val="1"/>
                <w:bCs w:val="1"/>
                <w:color w:val="auto"/>
              </w:rPr>
              <w:t>Stockholders’ Deficit</w:t>
            </w:r>
          </w:p>
        </w:tc>
        <w:tc>
          <w:tcPr>
            <w:tcW w:w="980" w:type="dxa"/>
            <w:vAlign w:val="bottom"/>
            <w:tcBorders>
              <w:bottom w:val="single" w:sz="8" w:color="auto"/>
            </w:tcBorders>
            <w:vMerge w:val="continue"/>
          </w:tcPr>
          <w:p>
            <w:pPr>
              <w:spacing w:after="0"/>
              <w:rPr>
                <w:sz w:val="8"/>
                <w:szCs w:val="8"/>
                <w:color w:val="auto"/>
              </w:rPr>
            </w:pPr>
          </w:p>
        </w:tc>
        <w:tc>
          <w:tcPr>
            <w:tcW w:w="52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15" w:name="page216"/>
    <w:bookmarkEnd w:id="215"/>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STATEMENTS OF OPERATIONS</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gridSpan w:val="3"/>
          </w:tcPr>
          <w:p>
            <w:pPr>
              <w:jc w:val="right"/>
              <w:ind w:right="11"/>
              <w:spacing w:after="0"/>
              <w:rPr>
                <w:sz w:val="20"/>
                <w:szCs w:val="20"/>
                <w:color w:val="auto"/>
              </w:rPr>
            </w:pPr>
            <w:r>
              <w:rPr>
                <w:rFonts w:ascii="Times New Roman" w:cs="Times New Roman" w:eastAsia="Times New Roman" w:hAnsi="Times New Roman"/>
                <w:sz w:val="8"/>
                <w:szCs w:val="8"/>
                <w:b w:val="1"/>
                <w:bCs w:val="1"/>
                <w:color w:val="auto"/>
              </w:rPr>
              <w:t>For the Six Months Ended</w:t>
            </w: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480" w:type="dxa"/>
            <w:vAlign w:val="bottom"/>
          </w:tcPr>
          <w:p>
            <w:pPr>
              <w:spacing w:after="0"/>
              <w:rPr>
                <w:sz w:val="8"/>
                <w:szCs w:val="8"/>
                <w:color w:val="auto"/>
              </w:rPr>
            </w:pPr>
          </w:p>
        </w:tc>
        <w:tc>
          <w:tcPr>
            <w:tcW w:w="1980" w:type="dxa"/>
            <w:vAlign w:val="bottom"/>
            <w:gridSpan w:val="4"/>
          </w:tcPr>
          <w:p>
            <w:pPr>
              <w:jc w:val="right"/>
              <w:ind w:right="13"/>
              <w:spacing w:after="0"/>
              <w:rPr>
                <w:sz w:val="20"/>
                <w:szCs w:val="20"/>
                <w:color w:val="auto"/>
              </w:rPr>
            </w:pPr>
            <w:r>
              <w:rPr>
                <w:rFonts w:ascii="Times New Roman" w:cs="Times New Roman" w:eastAsia="Times New Roman" w:hAnsi="Times New Roman"/>
                <w:sz w:val="8"/>
                <w:szCs w:val="8"/>
                <w:b w:val="1"/>
                <w:bCs w:val="1"/>
                <w:color w:val="auto"/>
              </w:rPr>
              <w:t>For the Three Months Ended March 31,</w:t>
            </w: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gridSpan w:val="3"/>
          </w:tcPr>
          <w:p>
            <w:pPr>
              <w:jc w:val="right"/>
              <w:ind w:right="291"/>
              <w:spacing w:after="0"/>
              <w:rPr>
                <w:sz w:val="20"/>
                <w:szCs w:val="20"/>
                <w:color w:val="auto"/>
              </w:rPr>
            </w:pPr>
            <w:r>
              <w:rPr>
                <w:rFonts w:ascii="Times New Roman" w:cs="Times New Roman" w:eastAsia="Times New Roman" w:hAnsi="Times New Roman"/>
                <w:sz w:val="8"/>
                <w:szCs w:val="8"/>
                <w:b w:val="1"/>
                <w:bCs w:val="1"/>
                <w:color w:val="auto"/>
              </w:rPr>
              <w:t>March 31,</w:t>
            </w: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548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ind w:right="416"/>
              <w:spacing w:after="0"/>
              <w:rPr>
                <w:sz w:val="20"/>
                <w:szCs w:val="20"/>
                <w:color w:val="auto"/>
              </w:rPr>
            </w:pPr>
            <w:r>
              <w:rPr>
                <w:rFonts w:ascii="Times New Roman" w:cs="Times New Roman" w:eastAsia="Times New Roman" w:hAnsi="Times New Roman"/>
                <w:sz w:val="8"/>
                <w:szCs w:val="8"/>
                <w:b w:val="1"/>
                <w:bCs w:val="1"/>
                <w:color w:val="auto"/>
              </w:rPr>
              <w:t>2024</w:t>
            </w: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jc w:val="right"/>
              <w:ind w:right="4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Formation and operating costs</w:t>
            </w:r>
          </w:p>
        </w:tc>
        <w:tc>
          <w:tcPr>
            <w:tcW w:w="660" w:type="dxa"/>
            <w:vAlign w:val="bottom"/>
            <w:shd w:val="clear" w:color="auto" w:fill="CFF0FC"/>
          </w:tcPr>
          <w:p>
            <w:pPr>
              <w:jc w:val="right"/>
              <w:ind w:right="55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459,911</w:t>
            </w:r>
          </w:p>
        </w:tc>
        <w:tc>
          <w:tcPr>
            <w:tcW w:w="240" w:type="dxa"/>
            <w:vAlign w:val="bottom"/>
            <w:shd w:val="clear" w:color="auto" w:fill="CFF0FC"/>
          </w:tcPr>
          <w:p>
            <w:pPr>
              <w:spacing w:after="0"/>
              <w:rPr>
                <w:sz w:val="9"/>
                <w:szCs w:val="9"/>
                <w:color w:val="auto"/>
              </w:rPr>
            </w:pPr>
          </w:p>
        </w:tc>
        <w:tc>
          <w:tcPr>
            <w:tcW w:w="640" w:type="dxa"/>
            <w:vAlign w:val="bottom"/>
            <w:shd w:val="clear" w:color="auto" w:fill="CFF0FC"/>
          </w:tcPr>
          <w:p>
            <w:pPr>
              <w:jc w:val="right"/>
              <w:ind w:right="533"/>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790,735</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1,031,440</w:t>
            </w:r>
          </w:p>
        </w:tc>
        <w:tc>
          <w:tcPr>
            <w:tcW w:w="240" w:type="dxa"/>
            <w:vAlign w:val="bottom"/>
            <w:shd w:val="clear" w:color="auto" w:fill="CFF0FC"/>
          </w:tcPr>
          <w:p>
            <w:pPr>
              <w:spacing w:after="0"/>
              <w:rPr>
                <w:sz w:val="9"/>
                <w:szCs w:val="9"/>
                <w:color w:val="auto"/>
              </w:rPr>
            </w:pPr>
          </w:p>
        </w:tc>
        <w:tc>
          <w:tcPr>
            <w:tcW w:w="400" w:type="dxa"/>
            <w:vAlign w:val="bottom"/>
            <w:shd w:val="clear" w:color="auto" w:fill="CFF0FC"/>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1,185,087</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66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25,200</w:t>
            </w: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75,600</w:t>
            </w: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55,926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Loss from operations</w:t>
            </w:r>
          </w:p>
        </w:tc>
        <w:tc>
          <w:tcPr>
            <w:tcW w:w="660" w:type="dxa"/>
            <w:vAlign w:val="bottom"/>
            <w:shd w:val="clear" w:color="auto" w:fill="CFF0FC"/>
          </w:tcPr>
          <w:p>
            <w:pPr>
              <w:spacing w:after="0"/>
              <w:rPr>
                <w:sz w:val="9"/>
                <w:szCs w:val="9"/>
                <w:color w:val="auto"/>
              </w:rPr>
            </w:pPr>
          </w:p>
        </w:tc>
        <w:tc>
          <w:tcPr>
            <w:tcW w:w="68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b w:val="1"/>
                <w:bCs w:val="1"/>
                <w:color w:val="auto"/>
              </w:rPr>
              <w:t>(485,111 )</w:t>
            </w:r>
          </w:p>
        </w:tc>
        <w:tc>
          <w:tcPr>
            <w:tcW w:w="6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(818,698 )</w:t>
            </w:r>
          </w:p>
        </w:tc>
        <w:tc>
          <w:tcPr>
            <w:tcW w:w="2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b w:val="1"/>
                <w:bCs w:val="1"/>
                <w:color w:val="auto"/>
              </w:rPr>
              <w:t>(1,107,040 )</w:t>
            </w:r>
          </w:p>
        </w:tc>
        <w:tc>
          <w:tcPr>
            <w:tcW w:w="40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(1,241,013 )</w:t>
            </w: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Other income</w:t>
            </w: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660" w:type="dxa"/>
            <w:vAlign w:val="bottom"/>
            <w:shd w:val="clear" w:color="auto" w:fill="CFF0FC"/>
          </w:tcPr>
          <w:p>
            <w:pPr>
              <w:spacing w:after="0"/>
              <w:rPr>
                <w:sz w:val="9"/>
                <w:szCs w:val="9"/>
                <w:color w:val="auto"/>
              </w:rPr>
            </w:pPr>
          </w:p>
        </w:tc>
        <w:tc>
          <w:tcPr>
            <w:tcW w:w="68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(118,811 )</w:t>
            </w:r>
          </w:p>
        </w:tc>
        <w:tc>
          <w:tcPr>
            <w:tcW w:w="6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(124,198 )</w:t>
            </w:r>
          </w:p>
        </w:tc>
        <w:tc>
          <w:tcPr>
            <w:tcW w:w="40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Trust interest income</w:t>
            </w:r>
          </w:p>
        </w:tc>
        <w:tc>
          <w:tcPr>
            <w:tcW w:w="66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270,156</w:t>
            </w: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974,408</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604,992</w:t>
            </w: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2,264,081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Total other income, net</w:t>
            </w:r>
          </w:p>
        </w:tc>
        <w:tc>
          <w:tcPr>
            <w:tcW w:w="6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151,345</w:t>
            </w:r>
          </w:p>
        </w:tc>
        <w:tc>
          <w:tcPr>
            <w:tcW w:w="24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974,408</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480,794</w:t>
            </w:r>
          </w:p>
        </w:tc>
        <w:tc>
          <w:tcPr>
            <w:tcW w:w="24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2,264,081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(Loss) Income before provision for income taxes</w:t>
            </w:r>
          </w:p>
        </w:tc>
        <w:tc>
          <w:tcPr>
            <w:tcW w:w="660" w:type="dxa"/>
            <w:vAlign w:val="bottom"/>
          </w:tcPr>
          <w:p>
            <w:pPr>
              <w:spacing w:after="0"/>
              <w:rPr>
                <w:sz w:val="9"/>
                <w:szCs w:val="9"/>
                <w:color w:val="auto"/>
              </w:rPr>
            </w:pPr>
          </w:p>
        </w:tc>
        <w:tc>
          <w:tcPr>
            <w:tcW w:w="68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(333,766 )</w:t>
            </w: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155,710</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(626,246 )</w:t>
            </w:r>
          </w:p>
        </w:tc>
        <w:tc>
          <w:tcPr>
            <w:tcW w:w="40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1,023,068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Provision for income taxes</w:t>
            </w:r>
          </w:p>
        </w:tc>
        <w:tc>
          <w:tcPr>
            <w:tcW w:w="660" w:type="dxa"/>
            <w:vAlign w:val="bottom"/>
            <w:shd w:val="clear" w:color="auto" w:fill="CFF0FC"/>
          </w:tcPr>
          <w:p>
            <w:pPr>
              <w:spacing w:after="0"/>
              <w:rPr>
                <w:sz w:val="9"/>
                <w:szCs w:val="9"/>
                <w:color w:val="auto"/>
              </w:rPr>
            </w:pPr>
          </w:p>
        </w:tc>
        <w:tc>
          <w:tcPr>
            <w:tcW w:w="68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(47,080 )</w:t>
            </w:r>
          </w:p>
        </w:tc>
        <w:tc>
          <w:tcPr>
            <w:tcW w:w="6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(182,853 )</w:t>
            </w:r>
          </w:p>
        </w:tc>
        <w:tc>
          <w:tcPr>
            <w:tcW w:w="2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(114,914 )</w:t>
            </w:r>
          </w:p>
        </w:tc>
        <w:tc>
          <w:tcPr>
            <w:tcW w:w="40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(443,184 )</w:t>
            </w:r>
          </w:p>
        </w:tc>
        <w:tc>
          <w:tcPr>
            <w:tcW w:w="0" w:type="dxa"/>
            <w:vAlign w:val="bottom"/>
          </w:tcPr>
          <w:p>
            <w:pPr>
              <w:spacing w:after="0"/>
              <w:rPr>
                <w:sz w:val="1"/>
                <w:szCs w:val="1"/>
                <w:color w:val="auto"/>
              </w:rPr>
            </w:pPr>
          </w:p>
        </w:tc>
      </w:tr>
      <w:tr>
        <w:trPr>
          <w:trHeight w:val="115"/>
        </w:trPr>
        <w:tc>
          <w:tcPr>
            <w:tcW w:w="54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Net loss</w:t>
            </w:r>
          </w:p>
        </w:tc>
        <w:tc>
          <w:tcPr>
            <w:tcW w:w="660" w:type="dxa"/>
            <w:vAlign w:val="bottom"/>
          </w:tcPr>
          <w:p>
            <w:pPr>
              <w:jc w:val="right"/>
              <w:ind w:right="55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(380,846 </w:t>
            </w:r>
            <w:r>
              <w:rPr>
                <w:rFonts w:ascii="Times New Roman" w:cs="Times New Roman" w:eastAsia="Times New Roman" w:hAnsi="Times New Roman"/>
                <w:sz w:val="10"/>
                <w:szCs w:val="10"/>
                <w:b w:val="1"/>
                <w:bCs w:val="1"/>
                <w:color w:val="auto"/>
                <w:vertAlign w:val="subscript"/>
              </w:rPr>
              <w:t>)</w:t>
            </w:r>
          </w:p>
        </w:tc>
        <w:tc>
          <w:tcPr>
            <w:tcW w:w="640" w:type="dxa"/>
            <w:vAlign w:val="bottom"/>
          </w:tcPr>
          <w:p>
            <w:pPr>
              <w:jc w:val="right"/>
              <w:ind w:right="53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(27,143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(741,160 </w:t>
            </w:r>
            <w:r>
              <w:rPr>
                <w:rFonts w:ascii="Times New Roman" w:cs="Times New Roman" w:eastAsia="Times New Roman" w:hAnsi="Times New Roman"/>
                <w:sz w:val="10"/>
                <w:szCs w:val="10"/>
                <w:b w:val="1"/>
                <w:bCs w:val="1"/>
                <w:color w:val="auto"/>
                <w:vertAlign w:val="subscript"/>
              </w:rPr>
              <w:t>)</w:t>
            </w:r>
          </w:p>
        </w:tc>
        <w:tc>
          <w:tcPr>
            <w:tcW w:w="400" w:type="dxa"/>
            <w:vAlign w:val="bottom"/>
          </w:tcPr>
          <w:p>
            <w:pPr>
              <w:jc w:val="right"/>
              <w:ind w:right="2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579,884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54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Basic and diluted weighted average shares outstanding,</w:t>
            </w:r>
          </w:p>
        </w:tc>
        <w:tc>
          <w:tcPr>
            <w:tcW w:w="66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1,895,714</w:t>
            </w:r>
          </w:p>
        </w:tc>
        <w:tc>
          <w:tcPr>
            <w:tcW w:w="24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7,722,273</w:t>
            </w:r>
          </w:p>
        </w:tc>
        <w:tc>
          <w:tcPr>
            <w:tcW w:w="22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2,130,809</w:t>
            </w:r>
          </w:p>
        </w:tc>
        <w:tc>
          <w:tcPr>
            <w:tcW w:w="240" w:type="dxa"/>
            <w:vAlign w:val="bottom"/>
            <w:shd w:val="clear" w:color="auto" w:fill="CFF0FC"/>
          </w:tcPr>
          <w:p>
            <w:pPr>
              <w:spacing w:after="0"/>
              <w:rPr>
                <w:sz w:val="9"/>
                <w:szCs w:val="9"/>
                <w:color w:val="auto"/>
              </w:rPr>
            </w:pPr>
          </w:p>
        </w:tc>
        <w:tc>
          <w:tcPr>
            <w:tcW w:w="400" w:type="dxa"/>
            <w:vAlign w:val="bottom"/>
            <w:tcBorders>
              <w:top w:val="single" w:sz="8" w:color="auto"/>
            </w:tcBorders>
            <w:shd w:val="clear" w:color="auto" w:fill="CFF0FC"/>
          </w:tcPr>
          <w:p>
            <w:pPr>
              <w:spacing w:after="0"/>
              <w:rPr>
                <w:sz w:val="9"/>
                <w:szCs w:val="9"/>
                <w:color w:val="auto"/>
              </w:rPr>
            </w:pPr>
          </w:p>
        </w:tc>
        <w:tc>
          <w:tcPr>
            <w:tcW w:w="6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11,401,124</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5480" w:type="dxa"/>
            <w:vAlign w:val="bottom"/>
            <w:tcBorders>
              <w:bottom w:val="single" w:sz="8" w:color="CFF0FC"/>
            </w:tcBorders>
            <w:shd w:val="clear" w:color="auto" w:fill="CFF0FC"/>
          </w:tcPr>
          <w:p>
            <w:pPr>
              <w:ind w:left="80"/>
              <w:spacing w:after="0" w:line="77" w:lineRule="exact"/>
              <w:rPr>
                <w:sz w:val="20"/>
                <w:szCs w:val="20"/>
                <w:color w:val="auto"/>
              </w:rPr>
            </w:pPr>
            <w:r>
              <w:rPr>
                <w:rFonts w:ascii="Times New Roman" w:cs="Times New Roman" w:eastAsia="Times New Roman" w:hAnsi="Times New Roman"/>
                <w:sz w:val="7"/>
                <w:szCs w:val="7"/>
                <w:color w:val="auto"/>
              </w:rPr>
              <w:t>common stock subject to possible redemption</w:t>
            </w:r>
          </w:p>
        </w:tc>
        <w:tc>
          <w:tcPr>
            <w:tcW w:w="660" w:type="dxa"/>
            <w:vAlign w:val="bottom"/>
            <w:tcBorders>
              <w:bottom w:val="single" w:sz="8" w:color="auto"/>
            </w:tcBorders>
            <w:shd w:val="clear" w:color="auto" w:fill="CFF0FC"/>
          </w:tcPr>
          <w:p>
            <w:pPr>
              <w:spacing w:after="0"/>
              <w:rPr>
                <w:sz w:val="8"/>
                <w:szCs w:val="8"/>
                <w:color w:val="auto"/>
              </w:rPr>
            </w:pPr>
          </w:p>
        </w:tc>
        <w:tc>
          <w:tcPr>
            <w:tcW w:w="44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640" w:type="dxa"/>
            <w:vAlign w:val="bottom"/>
            <w:tcBorders>
              <w:bottom w:val="single" w:sz="8" w:color="auto"/>
            </w:tcBorders>
            <w:shd w:val="clear" w:color="auto" w:fill="CFF0FC"/>
          </w:tcPr>
          <w:p>
            <w:pPr>
              <w:spacing w:after="0"/>
              <w:rPr>
                <w:sz w:val="8"/>
                <w:szCs w:val="8"/>
                <w:color w:val="auto"/>
              </w:rPr>
            </w:pPr>
          </w:p>
        </w:tc>
        <w:tc>
          <w:tcPr>
            <w:tcW w:w="440" w:type="dxa"/>
            <w:vAlign w:val="bottom"/>
            <w:tcBorders>
              <w:bottom w:val="single" w:sz="8" w:color="auto"/>
            </w:tcBorders>
            <w:vMerge w:val="continue"/>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260" w:type="dxa"/>
            <w:vAlign w:val="bottom"/>
            <w:tcBorders>
              <w:bottom w:val="single" w:sz="8" w:color="auto"/>
            </w:tcBorders>
            <w:shd w:val="clear" w:color="auto" w:fill="CFF0FC"/>
          </w:tcPr>
          <w:p>
            <w:pPr>
              <w:spacing w:after="0"/>
              <w:rPr>
                <w:sz w:val="8"/>
                <w:szCs w:val="8"/>
                <w:color w:val="auto"/>
              </w:rPr>
            </w:pPr>
          </w:p>
        </w:tc>
        <w:tc>
          <w:tcPr>
            <w:tcW w:w="82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400" w:type="dxa"/>
            <w:vAlign w:val="bottom"/>
            <w:tcBorders>
              <w:bottom w:val="single" w:sz="8" w:color="auto"/>
            </w:tcBorders>
            <w:shd w:val="clear" w:color="auto" w:fill="CFF0FC"/>
          </w:tcPr>
          <w:p>
            <w:pPr>
              <w:spacing w:after="0"/>
              <w:rPr>
                <w:sz w:val="8"/>
                <w:szCs w:val="8"/>
                <w:color w:val="auto"/>
              </w:rPr>
            </w:pPr>
          </w:p>
        </w:tc>
        <w:tc>
          <w:tcPr>
            <w:tcW w:w="680" w:type="dxa"/>
            <w:vAlign w:val="bottom"/>
            <w:tcBorders>
              <w:bottom w:val="single" w:sz="8" w:color="auto"/>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54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income per share</w:t>
            </w:r>
          </w:p>
        </w:tc>
        <w:tc>
          <w:tcPr>
            <w:tcW w:w="660" w:type="dxa"/>
            <w:vAlign w:val="bottom"/>
          </w:tcPr>
          <w:p>
            <w:pPr>
              <w:jc w:val="right"/>
              <w:ind w:right="55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(0.05 </w:t>
            </w:r>
            <w:r>
              <w:rPr>
                <w:rFonts w:ascii="Times New Roman" w:cs="Times New Roman" w:eastAsia="Times New Roman" w:hAnsi="Times New Roman"/>
                <w:sz w:val="10"/>
                <w:szCs w:val="10"/>
                <w:b w:val="1"/>
                <w:bCs w:val="1"/>
                <w:color w:val="auto"/>
                <w:vertAlign w:val="subscript"/>
              </w:rPr>
              <w:t>)</w:t>
            </w:r>
          </w:p>
        </w:tc>
        <w:tc>
          <w:tcPr>
            <w:tcW w:w="640" w:type="dxa"/>
            <w:vAlign w:val="bottom"/>
          </w:tcPr>
          <w:p>
            <w:pPr>
              <w:jc w:val="right"/>
              <w:ind w:right="53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(0.00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(0.09 </w:t>
            </w:r>
            <w:r>
              <w:rPr>
                <w:rFonts w:ascii="Times New Roman" w:cs="Times New Roman" w:eastAsia="Times New Roman" w:hAnsi="Times New Roman"/>
                <w:sz w:val="10"/>
                <w:szCs w:val="10"/>
                <w:b w:val="1"/>
                <w:bCs w:val="1"/>
                <w:color w:val="auto"/>
                <w:vertAlign w:val="subscript"/>
              </w:rPr>
              <w:t>)</w:t>
            </w:r>
          </w:p>
        </w:tc>
        <w:tc>
          <w:tcPr>
            <w:tcW w:w="400" w:type="dxa"/>
            <w:vAlign w:val="bottom"/>
          </w:tcPr>
          <w:p>
            <w:pPr>
              <w:jc w:val="right"/>
              <w:ind w:right="2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54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Basic and diluted weighted average shares outstanding,</w:t>
            </w:r>
          </w:p>
        </w:tc>
        <w:tc>
          <w:tcPr>
            <w:tcW w:w="66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5,709,500</w:t>
            </w:r>
          </w:p>
        </w:tc>
        <w:tc>
          <w:tcPr>
            <w:tcW w:w="24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5,709,500</w:t>
            </w:r>
          </w:p>
        </w:tc>
        <w:tc>
          <w:tcPr>
            <w:tcW w:w="22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5,709,500</w:t>
            </w:r>
          </w:p>
        </w:tc>
        <w:tc>
          <w:tcPr>
            <w:tcW w:w="240" w:type="dxa"/>
            <w:vAlign w:val="bottom"/>
            <w:shd w:val="clear" w:color="auto" w:fill="CFF0FC"/>
          </w:tcPr>
          <w:p>
            <w:pPr>
              <w:spacing w:after="0"/>
              <w:rPr>
                <w:sz w:val="9"/>
                <w:szCs w:val="9"/>
                <w:color w:val="auto"/>
              </w:rPr>
            </w:pPr>
          </w:p>
        </w:tc>
        <w:tc>
          <w:tcPr>
            <w:tcW w:w="400" w:type="dxa"/>
            <w:vAlign w:val="bottom"/>
            <w:tcBorders>
              <w:top w:val="single" w:sz="8" w:color="auto"/>
            </w:tcBorders>
            <w:shd w:val="clear" w:color="auto" w:fill="CFF0FC"/>
          </w:tcPr>
          <w:p>
            <w:pPr>
              <w:spacing w:after="0"/>
              <w:rPr>
                <w:sz w:val="9"/>
                <w:szCs w:val="9"/>
                <w:color w:val="auto"/>
              </w:rPr>
            </w:pPr>
          </w:p>
        </w:tc>
        <w:tc>
          <w:tcPr>
            <w:tcW w:w="6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5,709,500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5480" w:type="dxa"/>
            <w:vAlign w:val="bottom"/>
            <w:tcBorders>
              <w:bottom w:val="single" w:sz="8" w:color="CFF0FC"/>
            </w:tcBorders>
            <w:shd w:val="clear" w:color="auto" w:fill="CFF0FC"/>
          </w:tcPr>
          <w:p>
            <w:pPr>
              <w:ind w:left="80"/>
              <w:spacing w:after="0" w:line="77" w:lineRule="exact"/>
              <w:rPr>
                <w:sz w:val="20"/>
                <w:szCs w:val="20"/>
                <w:color w:val="auto"/>
              </w:rPr>
            </w:pPr>
            <w:r>
              <w:rPr>
                <w:rFonts w:ascii="Times New Roman" w:cs="Times New Roman" w:eastAsia="Times New Roman" w:hAnsi="Times New Roman"/>
                <w:sz w:val="7"/>
                <w:szCs w:val="7"/>
                <w:color w:val="auto"/>
              </w:rPr>
              <w:t>non-redeemable common stock</w:t>
            </w:r>
          </w:p>
        </w:tc>
        <w:tc>
          <w:tcPr>
            <w:tcW w:w="660" w:type="dxa"/>
            <w:vAlign w:val="bottom"/>
            <w:tcBorders>
              <w:bottom w:val="single" w:sz="8" w:color="auto"/>
            </w:tcBorders>
            <w:shd w:val="clear" w:color="auto" w:fill="CFF0FC"/>
          </w:tcPr>
          <w:p>
            <w:pPr>
              <w:spacing w:after="0"/>
              <w:rPr>
                <w:sz w:val="8"/>
                <w:szCs w:val="8"/>
                <w:color w:val="auto"/>
              </w:rPr>
            </w:pPr>
          </w:p>
        </w:tc>
        <w:tc>
          <w:tcPr>
            <w:tcW w:w="44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640" w:type="dxa"/>
            <w:vAlign w:val="bottom"/>
            <w:tcBorders>
              <w:bottom w:val="single" w:sz="8" w:color="auto"/>
            </w:tcBorders>
            <w:shd w:val="clear" w:color="auto" w:fill="CFF0FC"/>
          </w:tcPr>
          <w:p>
            <w:pPr>
              <w:spacing w:after="0"/>
              <w:rPr>
                <w:sz w:val="8"/>
                <w:szCs w:val="8"/>
                <w:color w:val="auto"/>
              </w:rPr>
            </w:pPr>
          </w:p>
        </w:tc>
        <w:tc>
          <w:tcPr>
            <w:tcW w:w="440" w:type="dxa"/>
            <w:vAlign w:val="bottom"/>
            <w:tcBorders>
              <w:bottom w:val="single" w:sz="8" w:color="auto"/>
            </w:tcBorders>
            <w:vMerge w:val="continue"/>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260" w:type="dxa"/>
            <w:vAlign w:val="bottom"/>
            <w:tcBorders>
              <w:bottom w:val="single" w:sz="8" w:color="auto"/>
            </w:tcBorders>
            <w:shd w:val="clear" w:color="auto" w:fill="CFF0FC"/>
          </w:tcPr>
          <w:p>
            <w:pPr>
              <w:spacing w:after="0"/>
              <w:rPr>
                <w:sz w:val="8"/>
                <w:szCs w:val="8"/>
                <w:color w:val="auto"/>
              </w:rPr>
            </w:pPr>
          </w:p>
        </w:tc>
        <w:tc>
          <w:tcPr>
            <w:tcW w:w="82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400" w:type="dxa"/>
            <w:vAlign w:val="bottom"/>
            <w:tcBorders>
              <w:bottom w:val="single" w:sz="8" w:color="auto"/>
            </w:tcBorders>
            <w:shd w:val="clear" w:color="auto" w:fill="CFF0FC"/>
          </w:tcPr>
          <w:p>
            <w:pPr>
              <w:spacing w:after="0"/>
              <w:rPr>
                <w:sz w:val="8"/>
                <w:szCs w:val="8"/>
                <w:color w:val="auto"/>
              </w:rPr>
            </w:pPr>
          </w:p>
        </w:tc>
        <w:tc>
          <w:tcPr>
            <w:tcW w:w="680" w:type="dxa"/>
            <w:vAlign w:val="bottom"/>
            <w:tcBorders>
              <w:bottom w:val="single" w:sz="8" w:color="auto"/>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4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income per share</w:t>
            </w:r>
          </w:p>
        </w:tc>
        <w:tc>
          <w:tcPr>
            <w:tcW w:w="660" w:type="dxa"/>
            <w:vAlign w:val="bottom"/>
          </w:tcPr>
          <w:p>
            <w:pPr>
              <w:jc w:val="right"/>
              <w:ind w:right="55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(0.05 </w:t>
            </w:r>
            <w:r>
              <w:rPr>
                <w:rFonts w:ascii="Times New Roman" w:cs="Times New Roman" w:eastAsia="Times New Roman" w:hAnsi="Times New Roman"/>
                <w:sz w:val="10"/>
                <w:szCs w:val="10"/>
                <w:b w:val="1"/>
                <w:bCs w:val="1"/>
                <w:color w:val="auto"/>
                <w:vertAlign w:val="subscript"/>
              </w:rPr>
              <w:t>)</w:t>
            </w:r>
          </w:p>
        </w:tc>
        <w:tc>
          <w:tcPr>
            <w:tcW w:w="640" w:type="dxa"/>
            <w:vAlign w:val="bottom"/>
          </w:tcPr>
          <w:p>
            <w:pPr>
              <w:jc w:val="right"/>
              <w:ind w:right="53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(0.00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(0.09 </w:t>
            </w:r>
            <w:r>
              <w:rPr>
                <w:rFonts w:ascii="Times New Roman" w:cs="Times New Roman" w:eastAsia="Times New Roman" w:hAnsi="Times New Roman"/>
                <w:sz w:val="10"/>
                <w:szCs w:val="10"/>
                <w:b w:val="1"/>
                <w:bCs w:val="1"/>
                <w:color w:val="auto"/>
                <w:vertAlign w:val="subscript"/>
              </w:rPr>
              <w:t>)</w:t>
            </w:r>
          </w:p>
        </w:tc>
        <w:tc>
          <w:tcPr>
            <w:tcW w:w="400" w:type="dxa"/>
            <w:vAlign w:val="bottom"/>
          </w:tcPr>
          <w:p>
            <w:pPr>
              <w:jc w:val="right"/>
              <w:ind w:right="2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16" w:name="page217"/>
    <w:bookmarkEnd w:id="216"/>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STATEMENTS OF CHANGES IN STOCKHOLDERS’ DEFICIT</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 THE THREE AND SIX MONTHS ENDED MARCH 31,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4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w w:val="98"/>
              </w:rPr>
              <w:t>Additional</w:t>
            </w: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Total</w:t>
            </w:r>
          </w:p>
        </w:tc>
      </w:tr>
      <w:tr>
        <w:trPr>
          <w:trHeight w:val="98"/>
        </w:trPr>
        <w:tc>
          <w:tcPr>
            <w:tcW w:w="4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gridSpan w:val="3"/>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w w:val="96"/>
              </w:rPr>
              <w:t>Paid-in</w:t>
            </w:r>
          </w:p>
        </w:tc>
        <w:tc>
          <w:tcPr>
            <w:tcW w:w="180" w:type="dxa"/>
            <w:vAlign w:val="bottom"/>
          </w:tcPr>
          <w:p>
            <w:pPr>
              <w:spacing w:after="0"/>
              <w:rPr>
                <w:sz w:val="8"/>
                <w:szCs w:val="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60" w:type="dxa"/>
            <w:vAlign w:val="bottom"/>
          </w:tcPr>
          <w:p>
            <w:pPr>
              <w:spacing w:after="0"/>
              <w:rPr>
                <w:sz w:val="8"/>
                <w:szCs w:val="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6"/>
        </w:trPr>
        <w:tc>
          <w:tcPr>
            <w:tcW w:w="4500" w:type="dxa"/>
            <w:vAlign w:val="bottom"/>
          </w:tcPr>
          <w:p>
            <w:pPr>
              <w:spacing w:after="0"/>
              <w:rPr>
                <w:sz w:val="9"/>
                <w:szCs w:val="9"/>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8"/>
                <w:szCs w:val="8"/>
                <w:b w:val="1"/>
                <w:bCs w:val="1"/>
                <w:color w:val="auto"/>
                <w:w w:val="94"/>
              </w:rPr>
              <w:t>Shares</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right"/>
              <w:ind w:right="312"/>
              <w:spacing w:after="0"/>
              <w:rPr>
                <w:sz w:val="20"/>
                <w:szCs w:val="20"/>
                <w:color w:val="auto"/>
              </w:rPr>
            </w:pPr>
            <w:r>
              <w:rPr>
                <w:rFonts w:ascii="Times New Roman" w:cs="Times New Roman" w:eastAsia="Times New Roman" w:hAnsi="Times New Roman"/>
                <w:sz w:val="8"/>
                <w:szCs w:val="8"/>
                <w:b w:val="1"/>
                <w:bCs w:val="1"/>
                <w:color w:val="auto"/>
              </w:rPr>
              <w:t>Amount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180" w:type="dxa"/>
            <w:vAlign w:val="bottom"/>
          </w:tcPr>
          <w:p>
            <w:pPr>
              <w:spacing w:after="0"/>
              <w:rPr>
                <w:sz w:val="9"/>
                <w:szCs w:val="9"/>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60" w:type="dxa"/>
            <w:vAlign w:val="bottom"/>
          </w:tcPr>
          <w:p>
            <w:pPr>
              <w:spacing w:after="0"/>
              <w:rPr>
                <w:sz w:val="9"/>
                <w:szCs w:val="9"/>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Deficit</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2023</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480" w:type="dxa"/>
            <w:vAlign w:val="bottom"/>
            <w:gridSpan w:val="2"/>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400" w:type="dxa"/>
            <w:vAlign w:val="bottom"/>
            <w:gridSpan w:val="2"/>
            <w:shd w:val="clear" w:color="auto" w:fill="CFF0FC"/>
          </w:tcPr>
          <w:p>
            <w:pPr>
              <w:jc w:val="right"/>
              <w:ind w:right="14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(8,486,582 )</w:t>
            </w:r>
          </w:p>
        </w:tc>
        <w:tc>
          <w:tcPr>
            <w:tcW w:w="1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(8,486,012 )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100" w:type="dxa"/>
            <w:vAlign w:val="bottom"/>
          </w:tcPr>
          <w:p>
            <w:pPr>
              <w:spacing w:after="0"/>
              <w:rPr>
                <w:sz w:val="9"/>
                <w:szCs w:val="9"/>
                <w:color w:val="auto"/>
              </w:rPr>
            </w:pPr>
          </w:p>
        </w:tc>
      </w:tr>
      <w:tr>
        <w:trPr>
          <w:trHeight w:val="106"/>
        </w:trPr>
        <w:tc>
          <w:tcPr>
            <w:tcW w:w="516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Proceeds allocated to Sponsor Shares for subscription</w:t>
            </w: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agreement liability (see note 4)</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100" w:type="dxa"/>
            <w:vAlign w:val="bottom"/>
            <w:shd w:val="clear" w:color="auto" w:fill="CFF0FC"/>
          </w:tcPr>
          <w:p>
            <w:pPr>
              <w:spacing w:after="0"/>
              <w:rPr>
                <w:sz w:val="10"/>
                <w:szCs w:val="10"/>
                <w:color w:val="auto"/>
              </w:rPr>
            </w:pPr>
          </w:p>
        </w:tc>
      </w:tr>
      <w:tr>
        <w:trPr>
          <w:trHeight w:val="106"/>
        </w:trPr>
        <w:tc>
          <w:tcPr>
            <w:tcW w:w="516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 subject</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51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to possible redemption</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(159,034 )</w:t>
            </w:r>
          </w:p>
        </w:tc>
        <w:tc>
          <w:tcPr>
            <w:tcW w:w="180" w:type="dxa"/>
            <w:vAlign w:val="bottom"/>
          </w:tcPr>
          <w:p>
            <w:pPr>
              <w:spacing w:after="0"/>
              <w:rPr>
                <w:sz w:val="10"/>
                <w:szCs w:val="1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(308,850 )</w:t>
            </w:r>
          </w:p>
        </w:tc>
        <w:tc>
          <w:tcPr>
            <w:tcW w:w="160" w:type="dxa"/>
            <w:vAlign w:val="bottom"/>
          </w:tcPr>
          <w:p>
            <w:pPr>
              <w:spacing w:after="0"/>
              <w:rPr>
                <w:sz w:val="10"/>
                <w:szCs w:val="1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(467,884 )</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(360,314 )</w:t>
            </w:r>
          </w:p>
        </w:tc>
        <w:tc>
          <w:tcPr>
            <w:tcW w:w="160" w:type="dxa"/>
            <w:vAlign w:val="bottom"/>
            <w:shd w:val="clear" w:color="auto" w:fill="CFF0FC"/>
          </w:tcPr>
          <w:p>
            <w:pPr>
              <w:spacing w:after="0"/>
              <w:rPr>
                <w:sz w:val="9"/>
                <w:szCs w:val="9"/>
                <w:color w:val="auto"/>
              </w:rPr>
            </w:pPr>
          </w:p>
        </w:tc>
        <w:tc>
          <w:tcPr>
            <w:tcW w:w="9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(360,314 )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December 31, 2023</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480" w:type="dxa"/>
            <w:vAlign w:val="bottom"/>
            <w:gridSpan w:val="2"/>
          </w:tcPr>
          <w:p>
            <w:pPr>
              <w:jc w:val="right"/>
              <w:ind w:right="15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400" w:type="dxa"/>
            <w:vAlign w:val="bottom"/>
            <w:gridSpan w:val="2"/>
          </w:tcPr>
          <w:p>
            <w:pPr>
              <w:jc w:val="right"/>
              <w:ind w:right="14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(9,155,746 )</w:t>
            </w:r>
          </w:p>
        </w:tc>
        <w:tc>
          <w:tcPr>
            <w:tcW w:w="160" w:type="dxa"/>
            <w:vAlign w:val="bottom"/>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(9,155,176 )</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25,200</w:t>
            </w: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25,200</w:t>
            </w:r>
          </w:p>
        </w:tc>
        <w:tc>
          <w:tcPr>
            <w:tcW w:w="100" w:type="dxa"/>
            <w:vAlign w:val="bottom"/>
            <w:shd w:val="clear" w:color="auto" w:fill="CFF0FC"/>
          </w:tcPr>
          <w:p>
            <w:pPr>
              <w:spacing w:after="0"/>
              <w:rPr>
                <w:sz w:val="9"/>
                <w:szCs w:val="9"/>
                <w:color w:val="auto"/>
              </w:rPr>
            </w:pPr>
          </w:p>
        </w:tc>
      </w:tr>
      <w:tr>
        <w:trPr>
          <w:trHeight w:val="106"/>
        </w:trPr>
        <w:tc>
          <w:tcPr>
            <w:tcW w:w="516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Proceeds allocated to Sponsor Shares for subscription</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51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agreement liability (see note 4)</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325,826</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325,826</w:t>
            </w:r>
          </w:p>
        </w:tc>
        <w:tc>
          <w:tcPr>
            <w:tcW w:w="100" w:type="dxa"/>
            <w:vAlign w:val="bottom"/>
          </w:tcPr>
          <w:p>
            <w:pPr>
              <w:spacing w:after="0"/>
              <w:rPr>
                <w:sz w:val="10"/>
                <w:szCs w:val="10"/>
                <w:color w:val="auto"/>
              </w:rPr>
            </w:pPr>
          </w:p>
        </w:tc>
      </w:tr>
      <w:tr>
        <w:trPr>
          <w:trHeight w:val="106"/>
        </w:trPr>
        <w:tc>
          <w:tcPr>
            <w:tcW w:w="516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 subject</w:t>
            </w: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to possible redemption</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(347,252 )</w:t>
            </w: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(347,252 )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 on redemption</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(3,774 )</w:t>
            </w:r>
          </w:p>
        </w:tc>
        <w:tc>
          <w:tcPr>
            <w:tcW w:w="180" w:type="dxa"/>
            <w:vAlign w:val="bottom"/>
          </w:tcPr>
          <w:p>
            <w:pPr>
              <w:spacing w:after="0"/>
              <w:rPr>
                <w:sz w:val="9"/>
                <w:szCs w:val="9"/>
                <w:color w:val="auto"/>
              </w:rPr>
            </w:pPr>
          </w:p>
        </w:tc>
        <w:tc>
          <w:tcPr>
            <w:tcW w:w="106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(100,071 )</w:t>
            </w:r>
          </w:p>
        </w:tc>
        <w:tc>
          <w:tcPr>
            <w:tcW w:w="160" w:type="dxa"/>
            <w:vAlign w:val="bottom"/>
          </w:tcPr>
          <w:p>
            <w:pPr>
              <w:spacing w:after="0"/>
              <w:rPr>
                <w:sz w:val="9"/>
                <w:szCs w:val="9"/>
                <w:color w:val="auto"/>
              </w:rPr>
            </w:pPr>
          </w:p>
        </w:tc>
        <w:tc>
          <w:tcPr>
            <w:tcW w:w="9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(103,845 )</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(380,846 )</w:t>
            </w:r>
          </w:p>
        </w:tc>
        <w:tc>
          <w:tcPr>
            <w:tcW w:w="160" w:type="dxa"/>
            <w:vAlign w:val="bottom"/>
            <w:shd w:val="clear" w:color="auto" w:fill="CFF0FC"/>
          </w:tcPr>
          <w:p>
            <w:pPr>
              <w:spacing w:after="0"/>
              <w:rPr>
                <w:sz w:val="9"/>
                <w:szCs w:val="9"/>
                <w:color w:val="auto"/>
              </w:rPr>
            </w:pPr>
          </w:p>
        </w:tc>
        <w:tc>
          <w:tcPr>
            <w:tcW w:w="9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(380,846 )</w:t>
            </w:r>
          </w:p>
        </w:tc>
      </w:tr>
      <w:tr>
        <w:trPr>
          <w:trHeight w:val="113"/>
        </w:trPr>
        <w:tc>
          <w:tcPr>
            <w:tcW w:w="450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 March 31, 2024</w:t>
            </w:r>
          </w:p>
        </w:tc>
        <w:tc>
          <w:tcPr>
            <w:tcW w:w="660" w:type="dxa"/>
            <w:vAlign w:val="bottom"/>
          </w:tcPr>
          <w:p>
            <w:pPr>
              <w:spacing w:after="0"/>
              <w:rPr>
                <w:sz w:val="9"/>
                <w:szCs w:val="9"/>
                <w:color w:val="auto"/>
              </w:rPr>
            </w:pPr>
          </w:p>
        </w:tc>
        <w:tc>
          <w:tcPr>
            <w:tcW w:w="40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220" w:type="dxa"/>
            <w:vAlign w:val="bottom"/>
          </w:tcPr>
          <w:p>
            <w:pPr>
              <w:spacing w:after="0"/>
              <w:rPr>
                <w:sz w:val="9"/>
                <w:szCs w:val="9"/>
                <w:color w:val="auto"/>
              </w:rPr>
            </w:pP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570</w:t>
            </w:r>
          </w:p>
        </w:tc>
        <w:tc>
          <w:tcPr>
            <w:tcW w:w="400" w:type="dxa"/>
            <w:vAlign w:val="bottom"/>
            <w:gridSpan w:val="2"/>
          </w:tcPr>
          <w:p>
            <w:pPr>
              <w:jc w:val="right"/>
              <w:ind w:right="140"/>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1040" w:type="dxa"/>
            <w:vAlign w:val="bottom"/>
            <w:gridSpan w:val="2"/>
          </w:tcPr>
          <w:p>
            <w:pPr>
              <w:jc w:val="right"/>
              <w:ind w:right="220"/>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jc w:val="right"/>
              <w:ind w:right="7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(9,636,663 </w:t>
            </w:r>
            <w:r>
              <w:rPr>
                <w:rFonts w:ascii="Times New Roman" w:cs="Times New Roman" w:eastAsia="Times New Roman" w:hAnsi="Times New Roman"/>
                <w:sz w:val="10"/>
                <w:szCs w:val="10"/>
                <w:b w:val="1"/>
                <w:bCs w:val="1"/>
                <w:color w:val="auto"/>
                <w:vertAlign w:val="subscript"/>
              </w:rPr>
              <w:t>)</w:t>
            </w:r>
          </w:p>
        </w:tc>
        <w:tc>
          <w:tcPr>
            <w:tcW w:w="160" w:type="dxa"/>
            <w:vAlign w:val="bottom"/>
          </w:tcPr>
          <w:p>
            <w:pPr>
              <w:jc w:val="right"/>
              <w:ind w:right="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(9,636,093 </w:t>
            </w:r>
            <w:r>
              <w:rPr>
                <w:rFonts w:ascii="Times New Roman" w:cs="Times New Roman" w:eastAsia="Times New Roman" w:hAnsi="Times New Roman"/>
                <w:sz w:val="10"/>
                <w:szCs w:val="10"/>
                <w:b w:val="1"/>
                <w:bCs w:val="1"/>
                <w:color w:val="auto"/>
                <w:vertAlign w:val="subscript"/>
              </w:rPr>
              <w:t>)</w:t>
            </w:r>
          </w:p>
        </w:tc>
      </w:tr>
      <w:tr>
        <w:trPr>
          <w:trHeight w:val="23"/>
        </w:trPr>
        <w:tc>
          <w:tcPr>
            <w:tcW w:w="450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1"/>
        </w:trPr>
        <w:tc>
          <w:tcPr>
            <w:tcW w:w="6800" w:type="dxa"/>
            <w:vAlign w:val="bottom"/>
            <w:gridSpan w:val="6"/>
          </w:tcPr>
          <w:p>
            <w:pPr>
              <w:ind w:left="3900"/>
              <w:spacing w:after="0"/>
              <w:rPr>
                <w:sz w:val="20"/>
                <w:szCs w:val="20"/>
                <w:color w:val="auto"/>
              </w:rPr>
            </w:pPr>
            <w:r>
              <w:rPr>
                <w:rFonts w:ascii="Times New Roman" w:cs="Times New Roman" w:eastAsia="Times New Roman" w:hAnsi="Times New Roman"/>
                <w:sz w:val="10"/>
                <w:szCs w:val="10"/>
                <w:b w:val="1"/>
                <w:bCs w:val="1"/>
                <w:color w:val="auto"/>
                <w:w w:val="99"/>
              </w:rPr>
              <w:t>FOR THE THREE AND SIX MONTHS ENDED MARCH 31, 2023</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1"/>
        </w:trPr>
        <w:tc>
          <w:tcPr>
            <w:tcW w:w="4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w w:val="98"/>
              </w:rPr>
              <w:t>Additional</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Total</w:t>
            </w:r>
          </w:p>
        </w:tc>
      </w:tr>
      <w:tr>
        <w:trPr>
          <w:trHeight w:val="98"/>
        </w:trPr>
        <w:tc>
          <w:tcPr>
            <w:tcW w:w="4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gridSpan w:val="3"/>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w w:val="96"/>
              </w:rPr>
              <w:t>Paid-in</w:t>
            </w:r>
          </w:p>
        </w:tc>
        <w:tc>
          <w:tcPr>
            <w:tcW w:w="180" w:type="dxa"/>
            <w:vAlign w:val="bottom"/>
          </w:tcPr>
          <w:p>
            <w:pPr>
              <w:spacing w:after="0"/>
              <w:rPr>
                <w:sz w:val="8"/>
                <w:szCs w:val="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60" w:type="dxa"/>
            <w:vAlign w:val="bottom"/>
          </w:tcPr>
          <w:p>
            <w:pPr>
              <w:spacing w:after="0"/>
              <w:rPr>
                <w:sz w:val="8"/>
                <w:szCs w:val="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6"/>
        </w:trPr>
        <w:tc>
          <w:tcPr>
            <w:tcW w:w="4500" w:type="dxa"/>
            <w:vAlign w:val="bottom"/>
          </w:tcPr>
          <w:p>
            <w:pPr>
              <w:spacing w:after="0"/>
              <w:rPr>
                <w:sz w:val="9"/>
                <w:szCs w:val="9"/>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8"/>
                <w:szCs w:val="8"/>
                <w:b w:val="1"/>
                <w:bCs w:val="1"/>
                <w:color w:val="auto"/>
                <w:w w:val="94"/>
              </w:rPr>
              <w:t>Shares</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right"/>
              <w:ind w:right="312"/>
              <w:spacing w:after="0"/>
              <w:rPr>
                <w:sz w:val="20"/>
                <w:szCs w:val="20"/>
                <w:color w:val="auto"/>
              </w:rPr>
            </w:pPr>
            <w:r>
              <w:rPr>
                <w:rFonts w:ascii="Times New Roman" w:cs="Times New Roman" w:eastAsia="Times New Roman" w:hAnsi="Times New Roman"/>
                <w:sz w:val="8"/>
                <w:szCs w:val="8"/>
                <w:b w:val="1"/>
                <w:bCs w:val="1"/>
                <w:color w:val="auto"/>
              </w:rPr>
              <w:t>Amount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180" w:type="dxa"/>
            <w:vAlign w:val="bottom"/>
          </w:tcPr>
          <w:p>
            <w:pPr>
              <w:spacing w:after="0"/>
              <w:rPr>
                <w:sz w:val="9"/>
                <w:szCs w:val="9"/>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60" w:type="dxa"/>
            <w:vAlign w:val="bottom"/>
          </w:tcPr>
          <w:p>
            <w:pPr>
              <w:spacing w:after="0"/>
              <w:rPr>
                <w:sz w:val="9"/>
                <w:szCs w:val="9"/>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Deficit</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2022</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480" w:type="dxa"/>
            <w:vAlign w:val="bottom"/>
            <w:gridSpan w:val="2"/>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400" w:type="dxa"/>
            <w:vAlign w:val="bottom"/>
            <w:gridSpan w:val="2"/>
            <w:shd w:val="clear" w:color="auto" w:fill="CFF0FC"/>
          </w:tcPr>
          <w:p>
            <w:pPr>
              <w:jc w:val="right"/>
              <w:ind w:right="14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941,796</w:t>
            </w: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(4,091,693 )</w:t>
            </w:r>
          </w:p>
        </w:tc>
        <w:tc>
          <w:tcPr>
            <w:tcW w:w="1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(3,149,327 )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9"/>
                <w:szCs w:val="9"/>
                <w:color w:val="auto"/>
              </w:rPr>
            </w:pPr>
          </w:p>
        </w:tc>
      </w:tr>
      <w:tr>
        <w:trPr>
          <w:trHeight w:val="106"/>
        </w:trPr>
        <w:tc>
          <w:tcPr>
            <w:tcW w:w="516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 subject</w:t>
            </w: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to possible redemption</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(2,479,343 )</w:t>
            </w:r>
          </w:p>
        </w:tc>
        <w:tc>
          <w:tcPr>
            <w:tcW w:w="16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(2,479,343 )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Net income</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607,027</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607,027</w:t>
            </w:r>
          </w:p>
        </w:tc>
        <w:tc>
          <w:tcPr>
            <w:tcW w:w="100" w:type="dxa"/>
            <w:vAlign w:val="bottom"/>
          </w:tcPr>
          <w:p>
            <w:pPr>
              <w:spacing w:after="0"/>
              <w:rPr>
                <w:sz w:val="9"/>
                <w:szCs w:val="9"/>
                <w:color w:val="auto"/>
              </w:rPr>
            </w:pP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December 31, 2022</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480" w:type="dxa"/>
            <w:vAlign w:val="bottom"/>
            <w:gridSpan w:val="2"/>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400" w:type="dxa"/>
            <w:vAlign w:val="bottom"/>
            <w:gridSpan w:val="2"/>
            <w:shd w:val="clear" w:color="auto" w:fill="CFF0FC"/>
          </w:tcPr>
          <w:p>
            <w:pPr>
              <w:jc w:val="right"/>
              <w:ind w:right="14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969,759</w:t>
            </w: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(5,964,009 )</w:t>
            </w:r>
          </w:p>
        </w:tc>
        <w:tc>
          <w:tcPr>
            <w:tcW w:w="1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(4,993,680 )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9"/>
                <w:szCs w:val="9"/>
                <w:color w:val="auto"/>
              </w:rPr>
            </w:pPr>
          </w:p>
        </w:tc>
      </w:tr>
      <w:tr>
        <w:trPr>
          <w:trHeight w:val="106"/>
        </w:trPr>
        <w:tc>
          <w:tcPr>
            <w:tcW w:w="516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Capital contribution made by Sponsor related to the</w:t>
            </w: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shareholder non-redemption agreements</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1,102,909</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06"/>
        </w:trPr>
        <w:tc>
          <w:tcPr>
            <w:tcW w:w="516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Cost of raising capital related to the shareholder</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51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non-redemption agreements</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(1,102,909 )</w:t>
            </w:r>
          </w:p>
        </w:tc>
        <w:tc>
          <w:tcPr>
            <w:tcW w:w="180" w:type="dxa"/>
            <w:vAlign w:val="bottom"/>
          </w:tcPr>
          <w:p>
            <w:pPr>
              <w:spacing w:after="0"/>
              <w:rPr>
                <w:sz w:val="10"/>
                <w:szCs w:val="1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06"/>
        </w:trPr>
        <w:tc>
          <w:tcPr>
            <w:tcW w:w="516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 subject</w:t>
            </w: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to possible redemption</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(669,074 )</w:t>
            </w:r>
          </w:p>
        </w:tc>
        <w:tc>
          <w:tcPr>
            <w:tcW w:w="16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(669,074 )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 on redemption</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(997,722 )</w:t>
            </w:r>
          </w:p>
        </w:tc>
        <w:tc>
          <w:tcPr>
            <w:tcW w:w="180" w:type="dxa"/>
            <w:vAlign w:val="bottom"/>
          </w:tcPr>
          <w:p>
            <w:pPr>
              <w:spacing w:after="0"/>
              <w:rPr>
                <w:sz w:val="9"/>
                <w:szCs w:val="9"/>
                <w:color w:val="auto"/>
              </w:rPr>
            </w:pPr>
          </w:p>
        </w:tc>
        <w:tc>
          <w:tcPr>
            <w:tcW w:w="106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(173,077 )</w:t>
            </w:r>
          </w:p>
        </w:tc>
        <w:tc>
          <w:tcPr>
            <w:tcW w:w="160" w:type="dxa"/>
            <w:vAlign w:val="bottom"/>
          </w:tcPr>
          <w:p>
            <w:pPr>
              <w:spacing w:after="0"/>
              <w:rPr>
                <w:sz w:val="9"/>
                <w:szCs w:val="9"/>
                <w:color w:val="auto"/>
              </w:rPr>
            </w:pPr>
          </w:p>
        </w:tc>
        <w:tc>
          <w:tcPr>
            <w:tcW w:w="9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(1,170,799 )</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(27,143 )</w:t>
            </w:r>
          </w:p>
        </w:tc>
        <w:tc>
          <w:tcPr>
            <w:tcW w:w="160" w:type="dxa"/>
            <w:vAlign w:val="bottom"/>
            <w:shd w:val="clear" w:color="auto" w:fill="CFF0FC"/>
          </w:tcPr>
          <w:p>
            <w:pPr>
              <w:spacing w:after="0"/>
              <w:rPr>
                <w:sz w:val="9"/>
                <w:szCs w:val="9"/>
                <w:color w:val="auto"/>
              </w:rPr>
            </w:pPr>
          </w:p>
        </w:tc>
        <w:tc>
          <w:tcPr>
            <w:tcW w:w="9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(27,143 )</w:t>
            </w:r>
          </w:p>
        </w:tc>
      </w:tr>
      <w:tr>
        <w:trPr>
          <w:trHeight w:val="113"/>
        </w:trPr>
        <w:tc>
          <w:tcPr>
            <w:tcW w:w="450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 March 31, 2023</w:t>
            </w:r>
          </w:p>
        </w:tc>
        <w:tc>
          <w:tcPr>
            <w:tcW w:w="660" w:type="dxa"/>
            <w:vAlign w:val="bottom"/>
          </w:tcPr>
          <w:p>
            <w:pPr>
              <w:spacing w:after="0"/>
              <w:rPr>
                <w:sz w:val="9"/>
                <w:szCs w:val="9"/>
                <w:color w:val="auto"/>
              </w:rPr>
            </w:pPr>
          </w:p>
        </w:tc>
        <w:tc>
          <w:tcPr>
            <w:tcW w:w="40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220" w:type="dxa"/>
            <w:vAlign w:val="bottom"/>
          </w:tcPr>
          <w:p>
            <w:pPr>
              <w:spacing w:after="0"/>
              <w:rPr>
                <w:sz w:val="9"/>
                <w:szCs w:val="9"/>
                <w:color w:val="auto"/>
              </w:rPr>
            </w:pP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570</w:t>
            </w:r>
          </w:p>
        </w:tc>
        <w:tc>
          <w:tcPr>
            <w:tcW w:w="400" w:type="dxa"/>
            <w:vAlign w:val="bottom"/>
            <w:gridSpan w:val="2"/>
          </w:tcPr>
          <w:p>
            <w:pPr>
              <w:jc w:val="right"/>
              <w:ind w:right="140"/>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1040" w:type="dxa"/>
            <w:vAlign w:val="bottom"/>
            <w:gridSpan w:val="2"/>
          </w:tcPr>
          <w:p>
            <w:pPr>
              <w:jc w:val="right"/>
              <w:ind w:right="220"/>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jc w:val="right"/>
              <w:ind w:right="7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(6,833,303 </w:t>
            </w:r>
            <w:r>
              <w:rPr>
                <w:rFonts w:ascii="Times New Roman" w:cs="Times New Roman" w:eastAsia="Times New Roman" w:hAnsi="Times New Roman"/>
                <w:sz w:val="10"/>
                <w:szCs w:val="10"/>
                <w:b w:val="1"/>
                <w:bCs w:val="1"/>
                <w:color w:val="auto"/>
                <w:vertAlign w:val="subscript"/>
              </w:rPr>
              <w:t>)</w:t>
            </w:r>
          </w:p>
        </w:tc>
        <w:tc>
          <w:tcPr>
            <w:tcW w:w="160" w:type="dxa"/>
            <w:vAlign w:val="bottom"/>
          </w:tcPr>
          <w:p>
            <w:pPr>
              <w:jc w:val="right"/>
              <w:ind w:right="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(6,832,733 </w:t>
            </w:r>
            <w:r>
              <w:rPr>
                <w:rFonts w:ascii="Times New Roman" w:cs="Times New Roman" w:eastAsia="Times New Roman" w:hAnsi="Times New Roman"/>
                <w:sz w:val="10"/>
                <w:szCs w:val="10"/>
                <w:b w:val="1"/>
                <w:bCs w:val="1"/>
                <w:color w:val="auto"/>
                <w:vertAlign w:val="subscript"/>
              </w:rPr>
              <w:t>)</w:t>
            </w:r>
          </w:p>
        </w:tc>
      </w:tr>
      <w:tr>
        <w:trPr>
          <w:trHeight w:val="23"/>
        </w:trPr>
        <w:tc>
          <w:tcPr>
            <w:tcW w:w="4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17" w:name="page218"/>
    <w:bookmarkEnd w:id="217"/>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 CONDENSED STATEMENTS OF CASH FLOWS</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40" w:type="dxa"/>
            <w:vAlign w:val="bottom"/>
            <w:gridSpan w:val="3"/>
          </w:tcPr>
          <w:p>
            <w:pPr>
              <w:jc w:val="right"/>
              <w:ind w:right="156"/>
              <w:spacing w:after="0"/>
              <w:rPr>
                <w:sz w:val="20"/>
                <w:szCs w:val="20"/>
                <w:color w:val="auto"/>
              </w:rPr>
            </w:pPr>
            <w:r>
              <w:rPr>
                <w:rFonts w:ascii="Times New Roman" w:cs="Times New Roman" w:eastAsia="Times New Roman" w:hAnsi="Times New Roman"/>
                <w:sz w:val="8"/>
                <w:szCs w:val="8"/>
                <w:b w:val="1"/>
                <w:bCs w:val="1"/>
                <w:color w:val="auto"/>
              </w:rPr>
              <w:t>For the Six Months Ended</w:t>
            </w: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280" w:type="dxa"/>
            <w:vAlign w:val="bottom"/>
          </w:tcPr>
          <w:p>
            <w:pPr>
              <w:spacing w:after="0"/>
              <w:rPr>
                <w:sz w:val="9"/>
                <w:szCs w:val="9"/>
                <w:color w:val="auto"/>
              </w:rPr>
            </w:pPr>
          </w:p>
        </w:tc>
        <w:tc>
          <w:tcPr>
            <w:tcW w:w="920" w:type="dxa"/>
            <w:vAlign w:val="bottom"/>
            <w:vMerge w:val="restart"/>
          </w:tcPr>
          <w:p>
            <w:pPr>
              <w:jc w:val="right"/>
              <w:ind w:right="32"/>
              <w:spacing w:after="0"/>
              <w:rPr>
                <w:sz w:val="20"/>
                <w:szCs w:val="20"/>
                <w:color w:val="auto"/>
              </w:rPr>
            </w:pPr>
            <w:r>
              <w:rPr>
                <w:rFonts w:ascii="Times New Roman" w:cs="Times New Roman" w:eastAsia="Times New Roman" w:hAnsi="Times New Roman"/>
                <w:sz w:val="8"/>
                <w:szCs w:val="8"/>
                <w:b w:val="1"/>
                <w:bCs w:val="1"/>
                <w:color w:val="auto"/>
              </w:rPr>
              <w:t>2024</w:t>
            </w:r>
          </w:p>
        </w:tc>
        <w:tc>
          <w:tcPr>
            <w:tcW w:w="1340" w:type="dxa"/>
            <w:vAlign w:val="bottom"/>
            <w:gridSpan w:val="3"/>
          </w:tcPr>
          <w:p>
            <w:pPr>
              <w:jc w:val="right"/>
              <w:ind w:right="436"/>
              <w:spacing w:after="0"/>
              <w:rPr>
                <w:sz w:val="20"/>
                <w:szCs w:val="20"/>
                <w:color w:val="auto"/>
              </w:rPr>
            </w:pPr>
            <w:r>
              <w:rPr>
                <w:rFonts w:ascii="Times New Roman" w:cs="Times New Roman" w:eastAsia="Times New Roman" w:hAnsi="Times New Roman"/>
                <w:sz w:val="8"/>
                <w:szCs w:val="8"/>
                <w:b w:val="1"/>
                <w:bCs w:val="1"/>
                <w:color w:val="auto"/>
              </w:rPr>
              <w:t>March 31,</w:t>
            </w:r>
          </w:p>
        </w:tc>
        <w:tc>
          <w:tcPr>
            <w:tcW w:w="980" w:type="dxa"/>
            <w:vAlign w:val="bottom"/>
            <w:vMerge w:val="restart"/>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72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 income</w:t>
            </w:r>
          </w:p>
        </w:tc>
        <w:tc>
          <w:tcPr>
            <w:tcW w:w="920" w:type="dxa"/>
            <w:vAlign w:val="bottom"/>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(741,160 )</w:t>
            </w:r>
          </w:p>
        </w:tc>
        <w:tc>
          <w:tcPr>
            <w:tcW w:w="480" w:type="dxa"/>
            <w:vAlign w:val="bottom"/>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579,884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Adjustments to reconcile net (loss) income to net cash used in operating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Interest earned on cash and marketable securities held in Trust Account</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(604,992 )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(2,264,081 )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124,198</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75,600</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55,926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Changes in current assets and liabilities: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29,824</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58,206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Accounts payable and accrued expenses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684,212</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407,667</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43,761</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35,497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10,500</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(68,800 )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(378,057 )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(1,195,701 )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Withdrawals from Trust Account for redemptions</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10,384,496</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117,079,879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Withdrawals from Trust Account to pay for income and franchise taxes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156,174</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804,072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Principal deposited in Trust Account</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(382,840 )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(1,500,000 )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provided by investing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10,157,830</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116,383,951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promissory note to related party</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212,161</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1,950,000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subscription agreement</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440,000</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8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Redemptions of class A shares</w:t>
            </w:r>
          </w:p>
        </w:tc>
        <w:tc>
          <w:tcPr>
            <w:tcW w:w="92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(10,384,496 )</w:t>
            </w:r>
          </w:p>
        </w:tc>
        <w:tc>
          <w:tcPr>
            <w:tcW w:w="48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(117,079,879 )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financing activities</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(9,732,335 )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(115,129,879 )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change in cash</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47,438</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58,371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beginning of the period</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60,284</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177,578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end of the period</w:t>
            </w:r>
          </w:p>
        </w:tc>
        <w:tc>
          <w:tcPr>
            <w:tcW w:w="920" w:type="dxa"/>
            <w:vAlign w:val="bottom"/>
            <w:tcBorders>
              <w:bottom w:val="single" w:sz="8" w:color="auto"/>
            </w:tcBorders>
            <w:shd w:val="clear" w:color="auto" w:fill="CFF0FC"/>
          </w:tcPr>
          <w:p>
            <w:pPr>
              <w:jc w:val="right"/>
              <w:ind w:right="812"/>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107,722</w:t>
            </w:r>
          </w:p>
        </w:tc>
        <w:tc>
          <w:tcPr>
            <w:tcW w:w="2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235,949</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Supplemental disclosure of non-cash financing activities and taxes paid:</w:t>
            </w: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Subsequent remeasurement of common stock subject to possible redemption</w:t>
            </w:r>
          </w:p>
        </w:tc>
        <w:tc>
          <w:tcPr>
            <w:tcW w:w="920" w:type="dxa"/>
            <w:vAlign w:val="bottom"/>
            <w:tcBorders>
              <w:bottom w:val="single" w:sz="8" w:color="auto"/>
            </w:tcBorders>
            <w:shd w:val="clear" w:color="auto" w:fill="CFF0FC"/>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815,136</w:t>
            </w:r>
          </w:p>
        </w:tc>
        <w:tc>
          <w:tcPr>
            <w:tcW w:w="2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3,148,417</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 on redemptions</w:t>
            </w:r>
          </w:p>
        </w:tc>
        <w:tc>
          <w:tcPr>
            <w:tcW w:w="920" w:type="dxa"/>
            <w:vAlign w:val="bottom"/>
            <w:tcBorders>
              <w:bottom w:val="single" w:sz="8" w:color="auto"/>
            </w:tcBorders>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103,845</w:t>
            </w:r>
          </w:p>
        </w:tc>
        <w:tc>
          <w:tcPr>
            <w:tcW w:w="280" w:type="dxa"/>
            <w:vAlign w:val="bottom"/>
          </w:tcPr>
          <w:p>
            <w:pPr>
              <w:spacing w:after="0"/>
              <w:rPr>
                <w:sz w:val="10"/>
                <w:szCs w:val="10"/>
                <w:color w:val="auto"/>
              </w:rPr>
            </w:pPr>
          </w:p>
        </w:tc>
        <w:tc>
          <w:tcPr>
            <w:tcW w:w="4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1,170,799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Cost of issuance of debt under Polar agreement</w:t>
            </w:r>
          </w:p>
        </w:tc>
        <w:tc>
          <w:tcPr>
            <w:tcW w:w="920" w:type="dxa"/>
            <w:vAlign w:val="bottom"/>
            <w:tcBorders>
              <w:bottom w:val="single" w:sz="8" w:color="auto"/>
            </w:tcBorders>
            <w:shd w:val="clear" w:color="auto" w:fill="CFF0FC"/>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434,460</w:t>
            </w:r>
          </w:p>
        </w:tc>
        <w:tc>
          <w:tcPr>
            <w:tcW w:w="2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Income taxes paid</w:t>
            </w:r>
          </w:p>
        </w:tc>
        <w:tc>
          <w:tcPr>
            <w:tcW w:w="920" w:type="dxa"/>
            <w:vAlign w:val="bottom"/>
            <w:tcBorders>
              <w:bottom w:val="single" w:sz="8" w:color="auto"/>
            </w:tcBorders>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71,153</w:t>
            </w:r>
          </w:p>
        </w:tc>
        <w:tc>
          <w:tcPr>
            <w:tcW w:w="280" w:type="dxa"/>
            <w:vAlign w:val="bottom"/>
          </w:tcPr>
          <w:p>
            <w:pPr>
              <w:spacing w:after="0"/>
              <w:rPr>
                <w:sz w:val="10"/>
                <w:szCs w:val="10"/>
                <w:color w:val="auto"/>
              </w:rPr>
            </w:pPr>
          </w:p>
        </w:tc>
        <w:tc>
          <w:tcPr>
            <w:tcW w:w="4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407,687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18" w:name="page219"/>
    <w:bookmarkEnd w:id="218"/>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NOTES TO UNAUDITED CONDENSED FINANCIAL STATEMENTS</w:t>
      </w: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MARCH 31, 2024</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Note–1 - Organization, Business Operations and Going Concern</w:t>
      </w:r>
    </w:p>
    <w:p>
      <w:pPr>
        <w:spacing w:after="0" w:line="60" w:lineRule="exact"/>
        <w:rPr>
          <w:sz w:val="20"/>
          <w:szCs w:val="20"/>
          <w:color w:val="auto"/>
        </w:rPr>
      </w:pPr>
    </w:p>
    <w:p>
      <w:pPr>
        <w:jc w:val="both"/>
        <w:ind w:firstLine="480"/>
        <w:spacing w:after="0" w:line="285" w:lineRule="auto"/>
        <w:rPr>
          <w:sz w:val="20"/>
          <w:szCs w:val="20"/>
          <w:color w:val="auto"/>
        </w:rPr>
      </w:pPr>
      <w:r>
        <w:rPr>
          <w:rFonts w:ascii="Times New Roman" w:cs="Times New Roman" w:eastAsia="Times New Roman" w:hAnsi="Times New Roman"/>
          <w:sz w:val="9"/>
          <w:szCs w:val="9"/>
          <w:color w:val="auto"/>
        </w:rPr>
        <w:t>Armada Acquisition Corp. I (the “Company” or “Armada”)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89"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As of March 31, 2024, the Company had not commenced any operations. All activity for the period from November 5, 2020 (inception) through March 31, 2024,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has generated non-operating income in the form of interest income on cash and cash equivalents from the proceeds derived from the IPO.</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sponsor is Armada Sponsor LLC (the “Sponsor”).</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registration statement for the Company’s IPO was declared effective on August 12, 2021 (the “Effective Date”). On August 17, 2021, the Company commenced the IPO of 15,000,000 units at $10.00 per unit (the “Units”).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Simultaneously with the consummation of the IPO, the Company consummated the private placement of 459,500 shares of common stock (“Private Shares”) at a price of $10.00 per share for an aggregate purchase price of $4,595,000.</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Transaction costs amounted to $3,537,515, consisting of $1,500,000 of underwriting commissions, and $2,037,515 of other offering costs.</w:t>
      </w:r>
    </w:p>
    <w:p>
      <w:pPr>
        <w:spacing w:after="0" w:line="118" w:lineRule="exact"/>
        <w:rPr>
          <w:sz w:val="20"/>
          <w:szCs w:val="20"/>
          <w:color w:val="auto"/>
        </w:rPr>
      </w:pPr>
    </w:p>
    <w:p>
      <w:pPr>
        <w:ind w:right="20" w:firstLine="480"/>
        <w:spacing w:after="0" w:line="237" w:lineRule="auto"/>
        <w:rPr>
          <w:sz w:val="20"/>
          <w:szCs w:val="20"/>
          <w:color w:val="auto"/>
        </w:rPr>
      </w:pPr>
      <w:r>
        <w:rPr>
          <w:rFonts w:ascii="Times New Roman" w:cs="Times New Roman" w:eastAsia="Times New Roman" w:hAnsi="Times New Roman"/>
          <w:sz w:val="10"/>
          <w:szCs w:val="10"/>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2a- 7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except as follows: (i) the redemption of public shares held by stockholders requesting redemption in connection with the approval by the stockholders of an amendment to the Company’s charter to further extend the required time during which the Company must complete a Business Combination; (ii) the redemption of public shares held by stockholders requesting redemption in connection with the approval by the stockholders of a proposed Business Combination; (iii) upon the completion of a Business Combination; or (iv) the redemption of all remaining public shares if the Company has not completed a Business Combination during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11"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01"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219" w:name="page220"/>
    <w:bookmarkEnd w:id="219"/>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1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08" w:lineRule="exact"/>
        <w:rPr>
          <w:sz w:val="20"/>
          <w:szCs w:val="20"/>
          <w:color w:val="auto"/>
        </w:rPr>
      </w:pPr>
    </w:p>
    <w:p>
      <w:pPr>
        <w:jc w:val="both"/>
        <w:ind w:right="40" w:firstLine="480"/>
        <w:spacing w:after="0" w:line="245" w:lineRule="auto"/>
        <w:rPr>
          <w:sz w:val="20"/>
          <w:szCs w:val="20"/>
          <w:color w:val="auto"/>
        </w:rPr>
      </w:pPr>
      <w:r>
        <w:rPr>
          <w:rFonts w:ascii="Times New Roman" w:cs="Times New Roman" w:eastAsia="Times New Roman" w:hAnsi="Times New Roman"/>
          <w:sz w:val="10"/>
          <w:szCs w:val="10"/>
          <w:color w:val="auto"/>
        </w:rPr>
        <w:t>The Company had until February 17, 2023 (or 18 months following the IPO) to consummate a Business Combination (the “Combination Period”).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05"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 17, 2024.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w:t>
      </w:r>
    </w:p>
    <w:p>
      <w:pPr>
        <w:spacing w:after="0" w:line="105"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 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1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05"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20" w:name="page221"/>
    <w:bookmarkEnd w:id="220"/>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05"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08"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08"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9"/>
          <w:szCs w:val="9"/>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 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96" w:lineRule="exact"/>
        <w:rPr>
          <w:sz w:val="20"/>
          <w:szCs w:val="20"/>
          <w:color w:val="auto"/>
        </w:rPr>
      </w:pPr>
    </w:p>
    <w:p>
      <w:pPr>
        <w:ind w:right="20" w:firstLine="480"/>
        <w:spacing w:after="0" w:line="285" w:lineRule="auto"/>
        <w:rPr>
          <w:sz w:val="20"/>
          <w:szCs w:val="20"/>
          <w:color w:val="auto"/>
        </w:rPr>
      </w:pPr>
      <w:r>
        <w:rPr>
          <w:rFonts w:ascii="Times New Roman" w:cs="Times New Roman" w:eastAsia="Times New Roman" w:hAnsi="Times New Roman"/>
          <w:sz w:val="9"/>
          <w:szCs w:val="9"/>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89"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1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21" w:name="page222"/>
    <w:bookmarkEnd w:id="221"/>
    <w:p>
      <w:pPr>
        <w:ind w:right="40" w:firstLine="480"/>
        <w:spacing w:after="0" w:line="270" w:lineRule="auto"/>
        <w:rPr>
          <w:sz w:val="20"/>
          <w:szCs w:val="20"/>
          <w:color w:val="auto"/>
        </w:rPr>
      </w:pPr>
      <w:r>
        <w:rPr>
          <w:rFonts w:ascii="Times New Roman" w:cs="Times New Roman" w:eastAsia="Times New Roman" w:hAnsi="Times New Roman"/>
          <w:sz w:val="9"/>
          <w:szCs w:val="9"/>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12, 2023, October 11, 2023, November 9, 2023, December 19, 2023 and January 16, 2024 the Company borrowed $70,900 under the Extension Note on each such date and deposited the funds into the Trust Account thereby extending the Combination Period for five additional months or until February 17, 2024. Payments made on December 19, 2023 and January 16, 2024 were funded under the terms of the Subscription Agreement with Polar (see Note 4 below).</w:t>
      </w:r>
    </w:p>
    <w:p>
      <w:pPr>
        <w:spacing w:after="0" w:line="96"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1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 -month extensions.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 The payments made on February 13, 2024 and March 13, 2024 were funded under the terms of the Subscription Agreement with Polar (see Note 4 below).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Liquidity and Going Concern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March 31, 2024, the Company had $107,722 of cash in its bank operating account and a working capital deficiency of approximately $9.7 million.</w:t>
      </w:r>
    </w:p>
    <w:p>
      <w:pPr>
        <w:spacing w:after="0" w:line="118"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22" w:name="page223"/>
    <w:bookmarkEnd w:id="222"/>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aggregate balance outstanding under all promissory notes, including the Extension Note and the Second Extension Note, was $2,776,600 and $2,564,439 as of March 31, 2024, and September 30, 2023, respectively. The balance of subscription agreement liability (net of debt discount) was $129,738 as of March 31, 2024, and $0 as of September 30, 2023.</w:t>
      </w:r>
    </w:p>
    <w:p>
      <w:pPr>
        <w:spacing w:after="0" w:line="101"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Company’s assessment of going concern considerations in accordance with the Financial Accounting Standards Board’s (“FASB”) Accounting Standards Update (“ASU”) 2014 -15,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Risks and Uncertainties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Inflation Reduction Act of 2022</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1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08" w:lineRule="exact"/>
        <w:rPr>
          <w:sz w:val="20"/>
          <w:szCs w:val="20"/>
          <w:color w:val="auto"/>
        </w:rPr>
      </w:pPr>
    </w:p>
    <w:p>
      <w:pPr>
        <w:jc w:val="both"/>
        <w:ind w:right="260" w:firstLine="480"/>
        <w:spacing w:after="0" w:line="285" w:lineRule="auto"/>
        <w:rPr>
          <w:sz w:val="20"/>
          <w:szCs w:val="20"/>
          <w:color w:val="auto"/>
        </w:rPr>
      </w:pPr>
      <w:r>
        <w:rPr>
          <w:rFonts w:ascii="Times New Roman" w:cs="Times New Roman" w:eastAsia="Times New Roman" w:hAnsi="Times New Roman"/>
          <w:sz w:val="9"/>
          <w:szCs w:val="9"/>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As a result, $10,384,496 was removed from the Company’s Trust Account to pay such holders.</w:t>
      </w:r>
    </w:p>
    <w:p>
      <w:pPr>
        <w:spacing w:after="0" w:line="89"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Management has evaluated the requirements of the IR Act and the Company’s operations, and has determined that $1,395,596 related to the redemptions as described above is required to be recorded as a liability on the Company’s balance sheet as of March 31, 2024. This liability will be reevaluated and remeasured at the end of each quarterly period.</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0"/>
          <w:szCs w:val="10"/>
          <w:b w:val="1"/>
          <w:bCs w:val="1"/>
          <w:color w:val="auto"/>
        </w:rPr>
        <w:t>Note 2 — Significant Accounting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Basis of Presentation</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and six months ended March 31, 2024, are not necessarily indicative of the results that may be expected through September 30, 2024.</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unaudited condensed financial statements should be read in conjunction with the Company’s Annual Report on Form 10-K, as filed with the SEC on December 4,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Emerging Growth Company Status</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9"/>
          <w:szCs w:val="9"/>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Use of Estimates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Cash</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considers all short-term investments with an original maturity of three months or less when purchased to be cash equivalents. The Company had $107,722 and $60,284 in cash as of March 31, 2024 and September 30,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Investments Held in Trust Account</w:t>
      </w:r>
    </w:p>
    <w:p>
      <w:pPr>
        <w:spacing w:after="0" w:line="60"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As of both March 31, 2024, and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0"/>
          <w:szCs w:val="10"/>
          <w:b w:val="1"/>
          <w:bCs w:val="1"/>
          <w:i w:val="1"/>
          <w:iCs w:val="1"/>
          <w:color w:val="auto"/>
        </w:rPr>
        <w:t>Fair Value Measurements</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 defined as observable inputs such as quoted prices (unadjusted) for identical instruments in active markets;</w:t>
      </w:r>
    </w:p>
    <w:p>
      <w:pPr>
        <w:spacing w:after="0" w:line="58" w:lineRule="exact"/>
        <w:rPr>
          <w:sz w:val="20"/>
          <w:szCs w:val="20"/>
          <w:color w:val="auto"/>
        </w:rPr>
      </w:pPr>
    </w:p>
    <w:p>
      <w:pPr>
        <w:ind w:left="480" w:right="240"/>
        <w:spacing w:after="0" w:line="255" w:lineRule="auto"/>
        <w:rPr>
          <w:sz w:val="20"/>
          <w:szCs w:val="20"/>
          <w:color w:val="auto"/>
        </w:rPr>
      </w:pPr>
      <w:r>
        <w:rPr>
          <w:rFonts w:ascii="Times New Roman" w:cs="Times New Roman" w:eastAsia="Times New Roman" w:hAnsi="Times New Roman"/>
          <w:sz w:val="10"/>
          <w:szCs w:val="10"/>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41" w:lineRule="exact"/>
        <w:rPr>
          <w:sz w:val="20"/>
          <w:szCs w:val="20"/>
          <w:color w:val="auto"/>
        </w:rPr>
      </w:pPr>
    </w:p>
    <w:p>
      <w:pPr>
        <w:ind w:left="480" w:right="200"/>
        <w:spacing w:after="0" w:line="255" w:lineRule="auto"/>
        <w:rPr>
          <w:sz w:val="20"/>
          <w:szCs w:val="20"/>
          <w:color w:val="auto"/>
        </w:rPr>
      </w:pPr>
      <w:r>
        <w:rPr>
          <w:rFonts w:ascii="Times New Roman" w:cs="Times New Roman" w:eastAsia="Times New Roman" w:hAnsi="Times New Roman"/>
          <w:sz w:val="10"/>
          <w:szCs w:val="10"/>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1"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fair value of certain of the Company’s assets and liabilities, which qualify as financial instruments under ASC 820, “Fair Value Measurement,” approximates the carrying amounts represented in the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Concentration of Credit Risk</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Financial instruments that potentially subject the Company to concentrations of credit risk consist of a cash account in a financial institution, which, at times, may exceed the Federal Depository Insurance Corporation limit of $250,000. At March 31, 2024 and September 30, 2023, the Company has not experienced losses on this account and management believes the Company is not exposed to significant risks on such account.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Offering Costs Associated with IPO</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the requirements of ASC 340- 10 -S99-1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 Subject to Possible Redemption</w:t>
      </w:r>
    </w:p>
    <w:p>
      <w:pPr>
        <w:spacing w:after="0" w:line="60"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1,417,687 and 2,363,349 and shares of common stock as of March 31, 2024 and September 30, 2023 subject to possible redemption are presented at redemption value as temporary equity, outside of the stockholders’ deficit section of the Company’s balance sheets.</w:t>
      </w:r>
    </w:p>
    <w:p>
      <w:pPr>
        <w:spacing w:after="0" w:line="11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25" w:name="page226"/>
    <w:bookmarkEnd w:id="225"/>
    <w:tbl>
      <w:tblPr>
        <w:tblLayout w:type="fixed"/>
        <w:tblInd w:w="480" w:type="dxa"/>
        <w:tblCellMar>
          <w:top w:w="0" w:type="dxa"/>
          <w:left w:w="0" w:type="dxa"/>
          <w:bottom w:w="0" w:type="dxa"/>
          <w:right w:w="0" w:type="dxa"/>
        </w:tblCellMar>
      </w:tblPr>
      <w:tr>
        <w:trPr>
          <w:trHeight w:val="125"/>
        </w:trPr>
        <w:tc>
          <w:tcPr>
            <w:tcW w:w="68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At March 31, 2024 and September 30, 2023, the common stock reflected in the balance sheets are reconciled in the following table:</w:t>
            </w: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64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Gross Proceeds</w:t>
            </w:r>
          </w:p>
        </w:tc>
        <w:tc>
          <w:tcPr>
            <w:tcW w:w="300" w:type="dxa"/>
            <w:vAlign w:val="bottom"/>
            <w:shd w:val="clear" w:color="auto" w:fill="CFF0FC"/>
          </w:tcPr>
          <w:p>
            <w:pPr>
              <w:jc w:val="right"/>
              <w:ind w:right="19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150,000,000</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allocated to Public Warrants</w:t>
            </w:r>
          </w:p>
        </w:tc>
        <w:tc>
          <w:tcPr>
            <w:tcW w:w="300" w:type="dxa"/>
            <w:vAlign w:val="bottom"/>
          </w:tcPr>
          <w:p>
            <w:pPr>
              <w:spacing w:after="0"/>
              <w:rPr>
                <w:sz w:val="9"/>
                <w:szCs w:val="9"/>
                <w:color w:val="auto"/>
              </w:rPr>
            </w:pPr>
          </w:p>
        </w:tc>
        <w:tc>
          <w:tcPr>
            <w:tcW w:w="84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(11,700,000 )</w:t>
            </w: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Issuance costs related to common stock</w:t>
            </w:r>
          </w:p>
        </w:tc>
        <w:tc>
          <w:tcPr>
            <w:tcW w:w="300" w:type="dxa"/>
            <w:vAlign w:val="bottom"/>
            <w:shd w:val="clear" w:color="auto" w:fill="CFF0FC"/>
          </w:tcPr>
          <w:p>
            <w:pPr>
              <w:spacing w:after="0"/>
              <w:rPr>
                <w:sz w:val="9"/>
                <w:szCs w:val="9"/>
                <w:color w:val="auto"/>
              </w:rPr>
            </w:pPr>
          </w:p>
        </w:tc>
        <w:tc>
          <w:tcPr>
            <w:tcW w:w="840" w:type="dxa"/>
            <w:vAlign w:val="bottom"/>
            <w:gridSpan w:val="2"/>
            <w:shd w:val="clear" w:color="auto" w:fill="CFF0FC"/>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(3,261,589 )</w:t>
            </w: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300" w:type="dxa"/>
            <w:vAlign w:val="bottom"/>
          </w:tcPr>
          <w:p>
            <w:pPr>
              <w:spacing w:after="0"/>
              <w:rPr>
                <w:sz w:val="9"/>
                <w:szCs w:val="9"/>
                <w:color w:val="auto"/>
              </w:rPr>
            </w:pP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14,961,589</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640" w:type="dxa"/>
            <w:vAlign w:val="bottom"/>
          </w:tcPr>
          <w:p>
            <w:pPr>
              <w:spacing w:after="0"/>
              <w:rPr>
                <w:sz w:val="9"/>
                <w:szCs w:val="9"/>
                <w:color w:val="auto"/>
              </w:rPr>
            </w:pPr>
          </w:p>
        </w:tc>
        <w:tc>
          <w:tcPr>
            <w:tcW w:w="524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carrying value to redemption</w:t>
            </w:r>
          </w:p>
        </w:tc>
        <w:tc>
          <w:tcPr>
            <w:tcW w:w="3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value – Trust interest income (excluding the amount that</w:t>
            </w:r>
          </w:p>
        </w:tc>
        <w:tc>
          <w:tcPr>
            <w:tcW w:w="3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640" w:type="dxa"/>
            <w:vAlign w:val="bottom"/>
          </w:tcPr>
          <w:p>
            <w:pPr>
              <w:spacing w:after="0"/>
              <w:rPr>
                <w:sz w:val="10"/>
                <w:szCs w:val="10"/>
                <w:color w:val="auto"/>
              </w:rPr>
            </w:pPr>
          </w:p>
        </w:tc>
        <w:tc>
          <w:tcPr>
            <w:tcW w:w="5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can be withdrawn from Trust Account for taxes)</w:t>
            </w:r>
          </w:p>
        </w:tc>
        <w:tc>
          <w:tcPr>
            <w:tcW w:w="30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548,862</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640" w:type="dxa"/>
            <w:vAlign w:val="bottom"/>
          </w:tcPr>
          <w:p>
            <w:pPr>
              <w:spacing w:after="0"/>
              <w:rPr>
                <w:sz w:val="9"/>
                <w:szCs w:val="9"/>
                <w:color w:val="auto"/>
              </w:rPr>
            </w:pPr>
          </w:p>
        </w:tc>
        <w:tc>
          <w:tcPr>
            <w:tcW w:w="524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524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 2022</w:t>
            </w:r>
          </w:p>
        </w:tc>
        <w:tc>
          <w:tcPr>
            <w:tcW w:w="300" w:type="dxa"/>
            <w:vAlign w:val="bottom"/>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150,548,862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Redemptions</w:t>
            </w:r>
          </w:p>
        </w:tc>
        <w:tc>
          <w:tcPr>
            <w:tcW w:w="300" w:type="dxa"/>
            <w:vAlign w:val="bottom"/>
            <w:shd w:val="clear" w:color="auto" w:fill="CFF0FC"/>
          </w:tcPr>
          <w:p>
            <w:pPr>
              <w:spacing w:after="0"/>
              <w:rPr>
                <w:sz w:val="9"/>
                <w:szCs w:val="9"/>
                <w:color w:val="auto"/>
              </w:rPr>
            </w:pPr>
          </w:p>
        </w:tc>
        <w:tc>
          <w:tcPr>
            <w:tcW w:w="840" w:type="dxa"/>
            <w:vAlign w:val="bottom"/>
            <w:gridSpan w:val="2"/>
            <w:shd w:val="clear" w:color="auto" w:fill="CFF0FC"/>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(129,175,094 )</w:t>
            </w: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300" w:type="dxa"/>
            <w:vAlign w:val="bottom"/>
          </w:tcPr>
          <w:p>
            <w:pPr>
              <w:spacing w:after="0"/>
              <w:rPr>
                <w:sz w:val="9"/>
                <w:szCs w:val="9"/>
                <w:color w:val="auto"/>
              </w:rPr>
            </w:pP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3,943,038</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40" w:type="dxa"/>
            <w:vAlign w:val="bottom"/>
          </w:tcPr>
          <w:p>
            <w:pPr>
              <w:spacing w:after="0"/>
              <w:rPr>
                <w:sz w:val="9"/>
                <w:szCs w:val="9"/>
                <w:color w:val="auto"/>
              </w:rPr>
            </w:pPr>
          </w:p>
        </w:tc>
        <w:tc>
          <w:tcPr>
            <w:tcW w:w="524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3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5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 2023</w:t>
            </w:r>
          </w:p>
        </w:tc>
        <w:tc>
          <w:tcPr>
            <w:tcW w:w="30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25,316,806</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300" w:type="dxa"/>
            <w:vAlign w:val="bottom"/>
          </w:tcPr>
          <w:p>
            <w:pPr>
              <w:spacing w:after="0"/>
              <w:rPr>
                <w:sz w:val="9"/>
                <w:szCs w:val="9"/>
                <w:color w:val="auto"/>
              </w:rPr>
            </w:pP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467,884</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40" w:type="dxa"/>
            <w:vAlign w:val="bottom"/>
          </w:tcPr>
          <w:p>
            <w:pPr>
              <w:spacing w:after="0"/>
              <w:rPr>
                <w:sz w:val="9"/>
                <w:szCs w:val="9"/>
                <w:color w:val="auto"/>
              </w:rPr>
            </w:pPr>
          </w:p>
        </w:tc>
        <w:tc>
          <w:tcPr>
            <w:tcW w:w="524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3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5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30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25,784,690</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Redemptions</w:t>
            </w:r>
          </w:p>
        </w:tc>
        <w:tc>
          <w:tcPr>
            <w:tcW w:w="300" w:type="dxa"/>
            <w:vAlign w:val="bottom"/>
          </w:tcPr>
          <w:p>
            <w:pPr>
              <w:spacing w:after="0"/>
              <w:rPr>
                <w:sz w:val="9"/>
                <w:szCs w:val="9"/>
                <w:color w:val="auto"/>
              </w:rPr>
            </w:pPr>
          </w:p>
        </w:tc>
        <w:tc>
          <w:tcPr>
            <w:tcW w:w="84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(10,384,496 )</w:t>
            </w: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300" w:type="dxa"/>
            <w:vAlign w:val="bottom"/>
            <w:shd w:val="clear" w:color="auto" w:fill="CFF0FC"/>
          </w:tcPr>
          <w:p>
            <w:pPr>
              <w:spacing w:after="0"/>
              <w:rPr>
                <w:sz w:val="9"/>
                <w:szCs w:val="9"/>
                <w:color w:val="auto"/>
              </w:rPr>
            </w:pPr>
          </w:p>
        </w:tc>
        <w:tc>
          <w:tcPr>
            <w:tcW w:w="7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347,252</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40" w:type="dxa"/>
            <w:vAlign w:val="bottom"/>
          </w:tcPr>
          <w:p>
            <w:pPr>
              <w:spacing w:after="0"/>
              <w:rPr>
                <w:sz w:val="9"/>
                <w:szCs w:val="9"/>
                <w:color w:val="auto"/>
              </w:rPr>
            </w:pPr>
          </w:p>
        </w:tc>
        <w:tc>
          <w:tcPr>
            <w:tcW w:w="524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300" w:type="dxa"/>
            <w:vAlign w:val="bottom"/>
            <w:vMerge w:val="restart"/>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15,747,446</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640" w:type="dxa"/>
            <w:vAlign w:val="bottom"/>
          </w:tcPr>
          <w:p>
            <w:pPr>
              <w:spacing w:after="0"/>
              <w:rPr>
                <w:sz w:val="8"/>
                <w:szCs w:val="8"/>
                <w:color w:val="auto"/>
              </w:rPr>
            </w:pPr>
          </w:p>
        </w:tc>
        <w:tc>
          <w:tcPr>
            <w:tcW w:w="5240" w:type="dxa"/>
            <w:vAlign w:val="bottom"/>
          </w:tcPr>
          <w:p>
            <w:pPr>
              <w:ind w:left="80"/>
              <w:spacing w:after="0" w:line="79" w:lineRule="exact"/>
              <w:rPr>
                <w:sz w:val="20"/>
                <w:szCs w:val="20"/>
                <w:color w:val="auto"/>
              </w:rPr>
            </w:pPr>
            <w:r>
              <w:rPr>
                <w:rFonts w:ascii="Times New Roman" w:cs="Times New Roman" w:eastAsia="Times New Roman" w:hAnsi="Times New Roman"/>
                <w:sz w:val="9"/>
                <w:szCs w:val="9"/>
                <w:b w:val="1"/>
                <w:bCs w:val="1"/>
                <w:color w:val="auto"/>
              </w:rPr>
              <w:t>March 31, 2024</w:t>
            </w:r>
          </w:p>
        </w:tc>
        <w:tc>
          <w:tcPr>
            <w:tcW w:w="300" w:type="dxa"/>
            <w:vAlign w:val="bottom"/>
            <w:tcBorders>
              <w:bottom w:val="single" w:sz="8" w:color="auto"/>
            </w:tcBorders>
            <w:vMerge w:val="continue"/>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Net (Loss) Income Per Common Stock</w:t>
      </w:r>
    </w:p>
    <w:p>
      <w:pPr>
        <w:spacing w:after="0" w:line="60" w:lineRule="exact"/>
        <w:rPr>
          <w:sz w:val="20"/>
          <w:szCs w:val="20"/>
          <w:color w:val="auto"/>
        </w:rPr>
      </w:pPr>
    </w:p>
    <w:p>
      <w:pPr>
        <w:ind w:right="42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01" w:lineRule="exact"/>
        <w:rPr>
          <w:sz w:val="20"/>
          <w:szCs w:val="20"/>
          <w:color w:val="auto"/>
        </w:rPr>
      </w:pPr>
    </w:p>
    <w:p>
      <w:pPr>
        <w:jc w:val="both"/>
        <w:ind w:right="180" w:firstLine="480"/>
        <w:spacing w:after="0" w:line="245" w:lineRule="auto"/>
        <w:rPr>
          <w:sz w:val="20"/>
          <w:szCs w:val="20"/>
          <w:color w:val="auto"/>
        </w:rPr>
      </w:pPr>
      <w:r>
        <w:rPr>
          <w:rFonts w:ascii="Times New Roman" w:cs="Times New Roman" w:eastAsia="Times New Roman" w:hAnsi="Times New Roman"/>
          <w:sz w:val="10"/>
          <w:szCs w:val="10"/>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March 31, 2024 and 2023, the Company did not have any dilutive securities or other contracts that could, potentially, be exercised or converted into common stock and then share in the earnings of the Company. As a result, diluted net (loss) income per common stock is the same as basic net (loss) income per common stock for the periods presented.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Accretion of the carrying value of common stock subject to redemption value is excluded from net (loss) income per common stock because the redemption value approximates fair value.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60" w:type="dxa"/>
            <w:vAlign w:val="bottom"/>
            <w:gridSpan w:val="3"/>
          </w:tcPr>
          <w:p>
            <w:pPr>
              <w:jc w:val="right"/>
              <w:ind w:right="536"/>
              <w:spacing w:after="0"/>
              <w:rPr>
                <w:sz w:val="20"/>
                <w:szCs w:val="20"/>
                <w:color w:val="auto"/>
              </w:rPr>
            </w:pPr>
            <w:r>
              <w:rPr>
                <w:rFonts w:ascii="Times New Roman" w:cs="Times New Roman" w:eastAsia="Times New Roman" w:hAnsi="Times New Roman"/>
                <w:sz w:val="8"/>
                <w:szCs w:val="8"/>
                <w:b w:val="1"/>
                <w:bCs w:val="1"/>
                <w:color w:val="auto"/>
              </w:rPr>
              <w:t>For the Three Months Ended March 31,</w:t>
            </w: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98"/>
        </w:trPr>
        <w:tc>
          <w:tcPr>
            <w:tcW w:w="5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98"/>
        </w:trPr>
        <w:tc>
          <w:tcPr>
            <w:tcW w:w="5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98"/>
        </w:trPr>
        <w:tc>
          <w:tcPr>
            <w:tcW w:w="5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jc w:val="center"/>
              <w:ind w:right="27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98"/>
        </w:trPr>
        <w:tc>
          <w:tcPr>
            <w:tcW w:w="5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w w:val="95"/>
              </w:rPr>
              <w:t>possible</w:t>
            </w:r>
          </w:p>
        </w:tc>
        <w:tc>
          <w:tcPr>
            <w:tcW w:w="220" w:type="dxa"/>
            <w:vAlign w:val="bottom"/>
          </w:tcPr>
          <w:p>
            <w:pPr>
              <w:spacing w:after="0"/>
              <w:rPr>
                <w:sz w:val="8"/>
                <w:szCs w:val="8"/>
                <w:color w:val="auto"/>
              </w:rPr>
            </w:pPr>
          </w:p>
        </w:tc>
        <w:tc>
          <w:tcPr>
            <w:tcW w:w="920" w:type="dxa"/>
            <w:vAlign w:val="bottom"/>
          </w:tcPr>
          <w:p>
            <w:pPr>
              <w:jc w:val="right"/>
              <w:ind w:right="415"/>
              <w:spacing w:after="0"/>
              <w:rPr>
                <w:sz w:val="20"/>
                <w:szCs w:val="20"/>
                <w:color w:val="auto"/>
              </w:rPr>
            </w:pPr>
            <w:r>
              <w:rPr>
                <w:rFonts w:ascii="Times New Roman" w:cs="Times New Roman" w:eastAsia="Times New Roman" w:hAnsi="Times New Roman"/>
                <w:sz w:val="8"/>
                <w:szCs w:val="8"/>
                <w:b w:val="1"/>
                <w:bCs w:val="1"/>
                <w:color w:val="auto"/>
              </w:rPr>
              <w:t>Common</w:t>
            </w:r>
          </w:p>
        </w:tc>
        <w:tc>
          <w:tcPr>
            <w:tcW w:w="220" w:type="dxa"/>
            <w:vAlign w:val="bottom"/>
          </w:tcPr>
          <w:p>
            <w:pPr>
              <w:spacing w:after="0"/>
              <w:rPr>
                <w:sz w:val="8"/>
                <w:szCs w:val="8"/>
                <w:color w:val="auto"/>
              </w:rPr>
            </w:pPr>
          </w:p>
        </w:tc>
        <w:tc>
          <w:tcPr>
            <w:tcW w:w="102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200" w:type="dxa"/>
            <w:vAlign w:val="bottom"/>
          </w:tcPr>
          <w:p>
            <w:pPr>
              <w:spacing w:after="0"/>
              <w:rPr>
                <w:sz w:val="8"/>
                <w:szCs w:val="8"/>
                <w:color w:val="auto"/>
              </w:rPr>
            </w:pPr>
          </w:p>
        </w:tc>
        <w:tc>
          <w:tcPr>
            <w:tcW w:w="880" w:type="dxa"/>
            <w:vAlign w:val="bottom"/>
          </w:tcPr>
          <w:p>
            <w:pPr>
              <w:jc w:val="right"/>
              <w:ind w:right="374"/>
              <w:spacing w:after="0"/>
              <w:rPr>
                <w:sz w:val="20"/>
                <w:szCs w:val="20"/>
                <w:color w:val="auto"/>
              </w:rPr>
            </w:pPr>
            <w:r>
              <w:rPr>
                <w:rFonts w:ascii="Times New Roman" w:cs="Times New Roman" w:eastAsia="Times New Roman" w:hAnsi="Times New Roman"/>
                <w:sz w:val="8"/>
                <w:szCs w:val="8"/>
                <w:b w:val="1"/>
                <w:bCs w:val="1"/>
                <w:color w:val="auto"/>
              </w:rPr>
              <w:t>Common</w:t>
            </w:r>
          </w:p>
        </w:tc>
        <w:tc>
          <w:tcPr>
            <w:tcW w:w="520" w:type="dxa"/>
            <w:vAlign w:val="bottom"/>
          </w:tcPr>
          <w:p>
            <w:pPr>
              <w:spacing w:after="0"/>
              <w:rPr>
                <w:sz w:val="8"/>
                <w:szCs w:val="8"/>
                <w:color w:val="auto"/>
              </w:rPr>
            </w:pPr>
          </w:p>
        </w:tc>
      </w:tr>
      <w:tr>
        <w:trPr>
          <w:trHeight w:val="106"/>
        </w:trPr>
        <w:tc>
          <w:tcPr>
            <w:tcW w:w="5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220" w:type="dxa"/>
            <w:vAlign w:val="bottom"/>
          </w:tcPr>
          <w:p>
            <w:pPr>
              <w:spacing w:after="0"/>
              <w:rPr>
                <w:sz w:val="9"/>
                <w:szCs w:val="9"/>
                <w:color w:val="auto"/>
              </w:rPr>
            </w:pPr>
          </w:p>
        </w:tc>
        <w:tc>
          <w:tcPr>
            <w:tcW w:w="920" w:type="dxa"/>
            <w:vAlign w:val="bottom"/>
          </w:tcPr>
          <w:p>
            <w:pPr>
              <w:jc w:val="right"/>
              <w:ind w:right="495"/>
              <w:spacing w:after="0"/>
              <w:rPr>
                <w:sz w:val="20"/>
                <w:szCs w:val="20"/>
                <w:color w:val="auto"/>
              </w:rPr>
            </w:pPr>
            <w:r>
              <w:rPr>
                <w:rFonts w:ascii="Times New Roman" w:cs="Times New Roman" w:eastAsia="Times New Roman" w:hAnsi="Times New Roman"/>
                <w:sz w:val="8"/>
                <w:szCs w:val="8"/>
                <w:b w:val="1"/>
                <w:bCs w:val="1"/>
                <w:color w:val="auto"/>
              </w:rPr>
              <w:t>stock</w:t>
            </w:r>
          </w:p>
        </w:tc>
        <w:tc>
          <w:tcPr>
            <w:tcW w:w="220" w:type="dxa"/>
            <w:vAlign w:val="bottom"/>
          </w:tcPr>
          <w:p>
            <w:pPr>
              <w:spacing w:after="0"/>
              <w:rPr>
                <w:sz w:val="9"/>
                <w:szCs w:val="9"/>
                <w:color w:val="auto"/>
              </w:rPr>
            </w:pPr>
          </w:p>
        </w:tc>
        <w:tc>
          <w:tcPr>
            <w:tcW w:w="102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200" w:type="dxa"/>
            <w:vAlign w:val="bottom"/>
          </w:tcPr>
          <w:p>
            <w:pPr>
              <w:spacing w:after="0"/>
              <w:rPr>
                <w:sz w:val="9"/>
                <w:szCs w:val="9"/>
                <w:color w:val="auto"/>
              </w:rPr>
            </w:pPr>
          </w:p>
        </w:tc>
        <w:tc>
          <w:tcPr>
            <w:tcW w:w="880" w:type="dxa"/>
            <w:vAlign w:val="bottom"/>
          </w:tcPr>
          <w:p>
            <w:pPr>
              <w:jc w:val="right"/>
              <w:ind w:right="434"/>
              <w:spacing w:after="0"/>
              <w:rPr>
                <w:sz w:val="20"/>
                <w:szCs w:val="20"/>
                <w:color w:val="auto"/>
              </w:rPr>
            </w:pPr>
            <w:r>
              <w:rPr>
                <w:rFonts w:ascii="Times New Roman" w:cs="Times New Roman" w:eastAsia="Times New Roman" w:hAnsi="Times New Roman"/>
                <w:sz w:val="8"/>
                <w:szCs w:val="8"/>
                <w:b w:val="1"/>
                <w:bCs w:val="1"/>
                <w:color w:val="auto"/>
              </w:rPr>
              <w:t>stock</w:t>
            </w:r>
          </w:p>
        </w:tc>
        <w:tc>
          <w:tcPr>
            <w:tcW w:w="520" w:type="dxa"/>
            <w:vAlign w:val="bottom"/>
          </w:tcPr>
          <w:p>
            <w:pPr>
              <w:spacing w:after="0"/>
              <w:rPr>
                <w:sz w:val="9"/>
                <w:szCs w:val="9"/>
                <w:color w:val="auto"/>
              </w:rPr>
            </w:pPr>
          </w:p>
        </w:tc>
      </w:tr>
      <w:tr>
        <w:trPr>
          <w:trHeight w:val="113"/>
        </w:trPr>
        <w:tc>
          <w:tcPr>
            <w:tcW w:w="520" w:type="dxa"/>
            <w:vAlign w:val="bottom"/>
          </w:tcPr>
          <w:p>
            <w:pPr>
              <w:spacing w:after="0"/>
              <w:rPr>
                <w:sz w:val="9"/>
                <w:szCs w:val="9"/>
                <w:color w:val="auto"/>
              </w:rPr>
            </w:pPr>
          </w:p>
        </w:tc>
        <w:tc>
          <w:tcPr>
            <w:tcW w:w="3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Basic and diluted net (loss) income per share</w:t>
            </w:r>
          </w:p>
        </w:tc>
        <w:tc>
          <w:tcPr>
            <w:tcW w:w="186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520" w:type="dxa"/>
            <w:vAlign w:val="bottom"/>
          </w:tcPr>
          <w:p>
            <w:pPr>
              <w:spacing w:after="0"/>
              <w:rPr>
                <w:sz w:val="9"/>
                <w:szCs w:val="9"/>
                <w:color w:val="auto"/>
              </w:rPr>
            </w:pPr>
          </w:p>
        </w:tc>
        <w:tc>
          <w:tcPr>
            <w:tcW w:w="32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Numerator:</w:t>
            </w:r>
          </w:p>
        </w:tc>
        <w:tc>
          <w:tcPr>
            <w:tcW w:w="1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520" w:type="dxa"/>
            <w:vAlign w:val="bottom"/>
          </w:tcPr>
          <w:p>
            <w:pPr>
              <w:spacing w:after="0"/>
              <w:rPr>
                <w:sz w:val="9"/>
                <w:szCs w:val="9"/>
                <w:color w:val="auto"/>
              </w:rPr>
            </w:pPr>
          </w:p>
        </w:tc>
        <w:tc>
          <w:tcPr>
            <w:tcW w:w="3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Allocation of net (loss) income</w:t>
            </w:r>
          </w:p>
        </w:tc>
        <w:tc>
          <w:tcPr>
            <w:tcW w:w="186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FF0FC"/>
          </w:tcPr>
          <w:p>
            <w:pPr>
              <w:jc w:val="right"/>
              <w:ind w:right="116"/>
              <w:spacing w:after="0" w:line="113" w:lineRule="exact"/>
              <w:rPr>
                <w:sz w:val="20"/>
                <w:szCs w:val="20"/>
                <w:color w:val="auto"/>
              </w:rPr>
            </w:pPr>
            <w:r>
              <w:rPr>
                <w:rFonts w:ascii="Times New Roman" w:cs="Times New Roman" w:eastAsia="Times New Roman" w:hAnsi="Times New Roman"/>
                <w:sz w:val="10"/>
                <w:szCs w:val="10"/>
                <w:color w:val="auto"/>
              </w:rPr>
              <w:t>(94,932 )</w:t>
            </w:r>
          </w:p>
        </w:tc>
        <w:tc>
          <w:tcPr>
            <w:tcW w:w="22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(285,914 )</w:t>
            </w:r>
          </w:p>
        </w:tc>
        <w:tc>
          <w:tcPr>
            <w:tcW w:w="22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FF0FC"/>
          </w:tcPr>
          <w:p>
            <w:pPr>
              <w:jc w:val="right"/>
              <w:ind w:right="96"/>
              <w:spacing w:after="0" w:line="113" w:lineRule="exact"/>
              <w:rPr>
                <w:sz w:val="20"/>
                <w:szCs w:val="20"/>
                <w:color w:val="auto"/>
              </w:rPr>
            </w:pPr>
            <w:r>
              <w:rPr>
                <w:rFonts w:ascii="Times New Roman" w:cs="Times New Roman" w:eastAsia="Times New Roman" w:hAnsi="Times New Roman"/>
                <w:sz w:val="10"/>
                <w:szCs w:val="10"/>
                <w:color w:val="auto"/>
              </w:rPr>
              <w:t>(15,605 )</w:t>
            </w:r>
          </w:p>
        </w:tc>
        <w:tc>
          <w:tcPr>
            <w:tcW w:w="20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(11,538 )</w:t>
            </w:r>
          </w:p>
        </w:tc>
        <w:tc>
          <w:tcPr>
            <w:tcW w:w="520" w:type="dxa"/>
            <w:vAlign w:val="bottom"/>
          </w:tcPr>
          <w:p>
            <w:pPr>
              <w:spacing w:after="0"/>
              <w:rPr>
                <w:sz w:val="9"/>
                <w:szCs w:val="9"/>
                <w:color w:val="auto"/>
              </w:rPr>
            </w:pPr>
          </w:p>
        </w:tc>
      </w:tr>
      <w:tr>
        <w:trPr>
          <w:trHeight w:val="113"/>
        </w:trPr>
        <w:tc>
          <w:tcPr>
            <w:tcW w:w="520" w:type="dxa"/>
            <w:vAlign w:val="bottom"/>
          </w:tcPr>
          <w:p>
            <w:pPr>
              <w:spacing w:after="0"/>
              <w:rPr>
                <w:sz w:val="9"/>
                <w:szCs w:val="9"/>
                <w:color w:val="auto"/>
              </w:rPr>
            </w:pPr>
          </w:p>
        </w:tc>
        <w:tc>
          <w:tcPr>
            <w:tcW w:w="32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Denominator</w:t>
            </w:r>
          </w:p>
        </w:tc>
        <w:tc>
          <w:tcPr>
            <w:tcW w:w="1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520" w:type="dxa"/>
            <w:vAlign w:val="bottom"/>
          </w:tcPr>
          <w:p>
            <w:pPr>
              <w:spacing w:after="0"/>
              <w:rPr>
                <w:sz w:val="9"/>
                <w:szCs w:val="9"/>
                <w:color w:val="auto"/>
              </w:rPr>
            </w:pPr>
          </w:p>
        </w:tc>
        <w:tc>
          <w:tcPr>
            <w:tcW w:w="3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Weighted-average shares outstanding</w:t>
            </w:r>
          </w:p>
        </w:tc>
        <w:tc>
          <w:tcPr>
            <w:tcW w:w="1860" w:type="dxa"/>
            <w:vAlign w:val="bottom"/>
            <w:shd w:val="clear" w:color="auto" w:fill="CFF0FC"/>
          </w:tcPr>
          <w:p>
            <w:pPr>
              <w:spacing w:after="0"/>
              <w:rPr>
                <w:sz w:val="9"/>
                <w:szCs w:val="9"/>
                <w:color w:val="auto"/>
              </w:rPr>
            </w:pPr>
          </w:p>
        </w:tc>
        <w:tc>
          <w:tcPr>
            <w:tcW w:w="1040" w:type="dxa"/>
            <w:vAlign w:val="bottom"/>
            <w:shd w:val="clear" w:color="auto" w:fill="CFF0FC"/>
          </w:tcPr>
          <w:p>
            <w:pPr>
              <w:jc w:val="right"/>
              <w:ind w:right="156"/>
              <w:spacing w:after="0" w:line="113" w:lineRule="exact"/>
              <w:rPr>
                <w:sz w:val="20"/>
                <w:szCs w:val="20"/>
                <w:color w:val="auto"/>
              </w:rPr>
            </w:pPr>
            <w:r>
              <w:rPr>
                <w:rFonts w:ascii="Times New Roman" w:cs="Times New Roman" w:eastAsia="Times New Roman" w:hAnsi="Times New Roman"/>
                <w:sz w:val="10"/>
                <w:szCs w:val="10"/>
                <w:color w:val="auto"/>
              </w:rPr>
              <w:t>1,895,714</w:t>
            </w:r>
          </w:p>
        </w:tc>
        <w:tc>
          <w:tcPr>
            <w:tcW w:w="22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95"/>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220" w:type="dxa"/>
            <w:vAlign w:val="bottom"/>
            <w:shd w:val="clear" w:color="auto" w:fill="CFF0FC"/>
          </w:tcPr>
          <w:p>
            <w:pPr>
              <w:spacing w:after="0"/>
              <w:rPr>
                <w:sz w:val="9"/>
                <w:szCs w:val="9"/>
                <w:color w:val="auto"/>
              </w:rPr>
            </w:pPr>
          </w:p>
        </w:tc>
        <w:tc>
          <w:tcPr>
            <w:tcW w:w="1020" w:type="dxa"/>
            <w:vAlign w:val="bottom"/>
            <w:shd w:val="clear" w:color="auto" w:fill="CFF0FC"/>
          </w:tcPr>
          <w:p>
            <w:pPr>
              <w:jc w:val="right"/>
              <w:ind w:right="156"/>
              <w:spacing w:after="0" w:line="113" w:lineRule="exact"/>
              <w:rPr>
                <w:sz w:val="20"/>
                <w:szCs w:val="20"/>
                <w:color w:val="auto"/>
              </w:rPr>
            </w:pPr>
            <w:r>
              <w:rPr>
                <w:rFonts w:ascii="Times New Roman" w:cs="Times New Roman" w:eastAsia="Times New Roman" w:hAnsi="Times New Roman"/>
                <w:sz w:val="10"/>
                <w:szCs w:val="10"/>
                <w:color w:val="auto"/>
              </w:rPr>
              <w:t>7,722,273</w:t>
            </w:r>
          </w:p>
        </w:tc>
        <w:tc>
          <w:tcPr>
            <w:tcW w:w="200" w:type="dxa"/>
            <w:vAlign w:val="bottom"/>
            <w:shd w:val="clear" w:color="auto" w:fill="CFF0FC"/>
          </w:tcPr>
          <w:p>
            <w:pPr>
              <w:spacing w:after="0"/>
              <w:rPr>
                <w:sz w:val="9"/>
                <w:szCs w:val="9"/>
                <w:color w:val="auto"/>
              </w:rPr>
            </w:pPr>
          </w:p>
        </w:tc>
        <w:tc>
          <w:tcPr>
            <w:tcW w:w="88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520" w:type="dxa"/>
            <w:vAlign w:val="bottom"/>
          </w:tcPr>
          <w:p>
            <w:pPr>
              <w:spacing w:after="0"/>
              <w:rPr>
                <w:sz w:val="9"/>
                <w:szCs w:val="9"/>
                <w:color w:val="auto"/>
              </w:rPr>
            </w:pPr>
          </w:p>
        </w:tc>
      </w:tr>
      <w:tr>
        <w:trPr>
          <w:trHeight w:val="125"/>
        </w:trPr>
        <w:tc>
          <w:tcPr>
            <w:tcW w:w="520" w:type="dxa"/>
            <w:vAlign w:val="bottom"/>
          </w:tcPr>
          <w:p>
            <w:pPr>
              <w:spacing w:after="0"/>
              <w:rPr>
                <w:sz w:val="10"/>
                <w:szCs w:val="10"/>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Basic and diluted net (loss) income per share</w:t>
            </w: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16"/>
              <w:spacing w:after="0"/>
              <w:rPr>
                <w:sz w:val="20"/>
                <w:szCs w:val="20"/>
                <w:color w:val="auto"/>
              </w:rPr>
            </w:pPr>
            <w:r>
              <w:rPr>
                <w:rFonts w:ascii="Times New Roman" w:cs="Times New Roman" w:eastAsia="Times New Roman" w:hAnsi="Times New Roman"/>
                <w:sz w:val="10"/>
                <w:szCs w:val="10"/>
                <w:color w:val="auto"/>
              </w:rPr>
              <w:t>(0.05 )</w:t>
            </w:r>
          </w:p>
        </w:tc>
        <w:tc>
          <w:tcPr>
            <w:tcW w:w="22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0"/>
                <w:szCs w:val="10"/>
                <w:color w:val="auto"/>
              </w:rPr>
              <w:t>(0.05 )</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0"/>
                <w:szCs w:val="10"/>
                <w:color w:val="auto"/>
              </w:rPr>
              <w:t>(0.00 )</w:t>
            </w:r>
          </w:p>
        </w:tc>
        <w:tc>
          <w:tcPr>
            <w:tcW w:w="2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(0.00 )</w:t>
            </w:r>
          </w:p>
        </w:tc>
        <w:tc>
          <w:tcPr>
            <w:tcW w:w="520" w:type="dxa"/>
            <w:vAlign w:val="bottom"/>
          </w:tcPr>
          <w:p>
            <w:pPr>
              <w:spacing w:after="0"/>
              <w:rPr>
                <w:sz w:val="10"/>
                <w:szCs w:val="10"/>
                <w:color w:val="auto"/>
              </w:rPr>
            </w:pPr>
          </w:p>
        </w:tc>
      </w:tr>
      <w:tr>
        <w:trPr>
          <w:trHeight w:val="278"/>
        </w:trPr>
        <w:tc>
          <w:tcPr>
            <w:tcW w:w="5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F-97</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22"/>
        </w:trPr>
        <w:tc>
          <w:tcPr>
            <w:tcW w:w="520" w:type="dxa"/>
            <w:vAlign w:val="bottom"/>
            <w:tcBorders>
              <w:bottom w:val="single" w:sz="8" w:color="EEEEEE"/>
            </w:tcBorders>
          </w:tcPr>
          <w:p>
            <w:pPr>
              <w:spacing w:after="0"/>
              <w:rPr>
                <w:sz w:val="24"/>
                <w:szCs w:val="24"/>
                <w:color w:val="auto"/>
              </w:rPr>
            </w:pPr>
          </w:p>
        </w:tc>
        <w:tc>
          <w:tcPr>
            <w:tcW w:w="3220" w:type="dxa"/>
            <w:vAlign w:val="bottom"/>
            <w:tcBorders>
              <w:bottom w:val="single" w:sz="8" w:color="EEEEEE"/>
            </w:tcBorders>
          </w:tcPr>
          <w:p>
            <w:pPr>
              <w:spacing w:after="0"/>
              <w:rPr>
                <w:sz w:val="24"/>
                <w:szCs w:val="24"/>
                <w:color w:val="auto"/>
              </w:rPr>
            </w:pPr>
          </w:p>
        </w:tc>
        <w:tc>
          <w:tcPr>
            <w:tcW w:w="186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26" w:name="page227"/>
    <w:bookmarkEnd w:id="226"/>
    <w:tbl>
      <w:tblPr>
        <w:tblLayout w:type="fixed"/>
        <w:tblInd w:w="520" w:type="dxa"/>
        <w:tblCellMar>
          <w:top w:w="0" w:type="dxa"/>
          <w:left w:w="0" w:type="dxa"/>
          <w:bottom w:w="0" w:type="dxa"/>
          <w:right w:w="0" w:type="dxa"/>
        </w:tblCellMar>
      </w:tblPr>
      <w:tr>
        <w:trPr>
          <w:trHeight w:val="108"/>
        </w:trPr>
        <w:tc>
          <w:tcPr>
            <w:tcW w:w="33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220" w:type="dxa"/>
            <w:vAlign w:val="bottom"/>
          </w:tcPr>
          <w:p>
            <w:pPr>
              <w:spacing w:after="0"/>
              <w:rPr>
                <w:sz w:val="9"/>
                <w:szCs w:val="9"/>
                <w:color w:val="auto"/>
              </w:rPr>
            </w:pPr>
          </w:p>
        </w:tc>
        <w:tc>
          <w:tcPr>
            <w:tcW w:w="1980" w:type="dxa"/>
            <w:vAlign w:val="bottom"/>
            <w:gridSpan w:val="3"/>
          </w:tcPr>
          <w:p>
            <w:pPr>
              <w:jc w:val="right"/>
              <w:ind w:right="416"/>
              <w:spacing w:after="0"/>
              <w:rPr>
                <w:sz w:val="20"/>
                <w:szCs w:val="20"/>
                <w:color w:val="auto"/>
              </w:rPr>
            </w:pPr>
            <w:r>
              <w:rPr>
                <w:rFonts w:ascii="Times New Roman" w:cs="Times New Roman" w:eastAsia="Times New Roman" w:hAnsi="Times New Roman"/>
                <w:sz w:val="8"/>
                <w:szCs w:val="8"/>
                <w:b w:val="1"/>
                <w:bCs w:val="1"/>
                <w:color w:val="auto"/>
              </w:rPr>
              <w:t>For the Six Months Ended March 31,</w:t>
            </w:r>
          </w:p>
        </w:tc>
        <w:tc>
          <w:tcPr>
            <w:tcW w:w="380" w:type="dxa"/>
            <w:vAlign w:val="bottom"/>
            <w:vMerge w:val="restart"/>
          </w:tcPr>
          <w:p>
            <w:pPr>
              <w:jc w:val="right"/>
              <w:ind w:right="154"/>
              <w:spacing w:after="0"/>
              <w:rPr>
                <w:sz w:val="20"/>
                <w:szCs w:val="20"/>
                <w:color w:val="auto"/>
              </w:rPr>
            </w:pPr>
            <w:r>
              <w:rPr>
                <w:rFonts w:ascii="Times New Roman" w:cs="Times New Roman" w:eastAsia="Times New Roman" w:hAnsi="Times New Roman"/>
                <w:sz w:val="8"/>
                <w:szCs w:val="8"/>
                <w:b w:val="1"/>
                <w:bCs w:val="1"/>
                <w:color w:val="auto"/>
                <w:w w:val="99"/>
              </w:rPr>
              <w:t>2023</w:t>
            </w: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3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jc w:val="center"/>
              <w:ind w:right="116"/>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jc w:val="center"/>
              <w:ind w:right="9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w w:val="95"/>
              </w:rPr>
              <w:t>possible</w:t>
            </w:r>
          </w:p>
        </w:tc>
        <w:tc>
          <w:tcPr>
            <w:tcW w:w="220" w:type="dxa"/>
            <w:vAlign w:val="bottom"/>
          </w:tcPr>
          <w:p>
            <w:pPr>
              <w:spacing w:after="0"/>
              <w:rPr>
                <w:sz w:val="8"/>
                <w:szCs w:val="8"/>
                <w:color w:val="auto"/>
              </w:rPr>
            </w:pPr>
          </w:p>
        </w:tc>
        <w:tc>
          <w:tcPr>
            <w:tcW w:w="920" w:type="dxa"/>
            <w:vAlign w:val="bottom"/>
          </w:tcPr>
          <w:p>
            <w:pPr>
              <w:jc w:val="right"/>
              <w:ind w:right="415"/>
              <w:spacing w:after="0"/>
              <w:rPr>
                <w:sz w:val="20"/>
                <w:szCs w:val="20"/>
                <w:color w:val="auto"/>
              </w:rPr>
            </w:pPr>
            <w:r>
              <w:rPr>
                <w:rFonts w:ascii="Times New Roman" w:cs="Times New Roman" w:eastAsia="Times New Roman" w:hAnsi="Times New Roman"/>
                <w:sz w:val="8"/>
                <w:szCs w:val="8"/>
                <w:b w:val="1"/>
                <w:bCs w:val="1"/>
                <w:color w:val="auto"/>
              </w:rPr>
              <w:t>Common</w:t>
            </w:r>
          </w:p>
        </w:tc>
        <w:tc>
          <w:tcPr>
            <w:tcW w:w="220" w:type="dxa"/>
            <w:vAlign w:val="bottom"/>
          </w:tcPr>
          <w:p>
            <w:pPr>
              <w:spacing w:after="0"/>
              <w:rPr>
                <w:sz w:val="8"/>
                <w:szCs w:val="8"/>
                <w:color w:val="auto"/>
              </w:rPr>
            </w:pPr>
          </w:p>
        </w:tc>
        <w:tc>
          <w:tcPr>
            <w:tcW w:w="840" w:type="dxa"/>
            <w:vAlign w:val="bottom"/>
          </w:tcPr>
          <w:p>
            <w:pPr>
              <w:jc w:val="center"/>
              <w:ind w:right="116"/>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380" w:type="dxa"/>
            <w:vAlign w:val="bottom"/>
          </w:tcPr>
          <w:p>
            <w:pPr>
              <w:spacing w:after="0"/>
              <w:rPr>
                <w:sz w:val="8"/>
                <w:szCs w:val="8"/>
                <w:color w:val="auto"/>
              </w:rPr>
            </w:pPr>
          </w:p>
        </w:tc>
        <w:tc>
          <w:tcPr>
            <w:tcW w:w="880" w:type="dxa"/>
            <w:vAlign w:val="bottom"/>
          </w:tcPr>
          <w:p>
            <w:pPr>
              <w:jc w:val="right"/>
              <w:ind w:right="374"/>
              <w:spacing w:after="0"/>
              <w:rPr>
                <w:sz w:val="20"/>
                <w:szCs w:val="20"/>
                <w:color w:val="auto"/>
              </w:rPr>
            </w:pPr>
            <w:r>
              <w:rPr>
                <w:rFonts w:ascii="Times New Roman" w:cs="Times New Roman" w:eastAsia="Times New Roman" w:hAnsi="Times New Roman"/>
                <w:sz w:val="8"/>
                <w:szCs w:val="8"/>
                <w:b w:val="1"/>
                <w:bCs w:val="1"/>
                <w:color w:val="auto"/>
              </w:rPr>
              <w:t>Common</w:t>
            </w:r>
          </w:p>
        </w:tc>
        <w:tc>
          <w:tcPr>
            <w:tcW w:w="0" w:type="dxa"/>
            <w:vAlign w:val="bottom"/>
          </w:tcPr>
          <w:p>
            <w:pPr>
              <w:spacing w:after="0"/>
              <w:rPr>
                <w:sz w:val="1"/>
                <w:szCs w:val="1"/>
                <w:color w:val="auto"/>
              </w:rPr>
            </w:pPr>
          </w:p>
        </w:tc>
      </w:tr>
      <w:tr>
        <w:trPr>
          <w:trHeight w:val="106"/>
        </w:trPr>
        <w:tc>
          <w:tcPr>
            <w:tcW w:w="33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220" w:type="dxa"/>
            <w:vAlign w:val="bottom"/>
          </w:tcPr>
          <w:p>
            <w:pPr>
              <w:spacing w:after="0"/>
              <w:rPr>
                <w:sz w:val="9"/>
                <w:szCs w:val="9"/>
                <w:color w:val="auto"/>
              </w:rPr>
            </w:pPr>
          </w:p>
        </w:tc>
        <w:tc>
          <w:tcPr>
            <w:tcW w:w="920" w:type="dxa"/>
            <w:vAlign w:val="bottom"/>
          </w:tcPr>
          <w:p>
            <w:pPr>
              <w:jc w:val="right"/>
              <w:ind w:right="495"/>
              <w:spacing w:after="0"/>
              <w:rPr>
                <w:sz w:val="20"/>
                <w:szCs w:val="20"/>
                <w:color w:val="auto"/>
              </w:rPr>
            </w:pPr>
            <w:r>
              <w:rPr>
                <w:rFonts w:ascii="Times New Roman" w:cs="Times New Roman" w:eastAsia="Times New Roman" w:hAnsi="Times New Roman"/>
                <w:sz w:val="8"/>
                <w:szCs w:val="8"/>
                <w:b w:val="1"/>
                <w:bCs w:val="1"/>
                <w:color w:val="auto"/>
              </w:rPr>
              <w:t>stock</w:t>
            </w:r>
          </w:p>
        </w:tc>
        <w:tc>
          <w:tcPr>
            <w:tcW w:w="220" w:type="dxa"/>
            <w:vAlign w:val="bottom"/>
          </w:tcPr>
          <w:p>
            <w:pPr>
              <w:spacing w:after="0"/>
              <w:rPr>
                <w:sz w:val="9"/>
                <w:szCs w:val="9"/>
                <w:color w:val="auto"/>
              </w:rPr>
            </w:pPr>
          </w:p>
        </w:tc>
        <w:tc>
          <w:tcPr>
            <w:tcW w:w="840" w:type="dxa"/>
            <w:vAlign w:val="bottom"/>
          </w:tcPr>
          <w:p>
            <w:pPr>
              <w:jc w:val="center"/>
              <w:ind w:right="11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380" w:type="dxa"/>
            <w:vAlign w:val="bottom"/>
          </w:tcPr>
          <w:p>
            <w:pPr>
              <w:spacing w:after="0"/>
              <w:rPr>
                <w:sz w:val="9"/>
                <w:szCs w:val="9"/>
                <w:color w:val="auto"/>
              </w:rPr>
            </w:pPr>
          </w:p>
        </w:tc>
        <w:tc>
          <w:tcPr>
            <w:tcW w:w="880" w:type="dxa"/>
            <w:vAlign w:val="bottom"/>
          </w:tcPr>
          <w:p>
            <w:pPr>
              <w:jc w:val="right"/>
              <w:ind w:right="434"/>
              <w:spacing w:after="0"/>
              <w:rPr>
                <w:sz w:val="20"/>
                <w:szCs w:val="20"/>
                <w:color w:val="auto"/>
              </w:rPr>
            </w:pPr>
            <w:r>
              <w:rPr>
                <w:rFonts w:ascii="Times New Roman" w:cs="Times New Roman" w:eastAsia="Times New Roman" w:hAnsi="Times New Roman"/>
                <w:sz w:val="8"/>
                <w:szCs w:val="8"/>
                <w:b w:val="1"/>
                <w:bCs w:val="1"/>
                <w:color w:val="auto"/>
              </w:rPr>
              <w:t>stock</w:t>
            </w:r>
          </w:p>
        </w:tc>
        <w:tc>
          <w:tcPr>
            <w:tcW w:w="0" w:type="dxa"/>
            <w:vAlign w:val="bottom"/>
          </w:tcPr>
          <w:p>
            <w:pPr>
              <w:spacing w:after="0"/>
              <w:rPr>
                <w:sz w:val="1"/>
                <w:szCs w:val="1"/>
                <w:color w:val="auto"/>
              </w:rPr>
            </w:pPr>
          </w:p>
        </w:tc>
      </w:tr>
      <w:tr>
        <w:trPr>
          <w:trHeight w:val="113"/>
        </w:trPr>
        <w:tc>
          <w:tcPr>
            <w:tcW w:w="33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Basic and diluted net (loss) income per share</w:t>
            </w:r>
          </w:p>
        </w:tc>
        <w:tc>
          <w:tcPr>
            <w:tcW w:w="17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Numerator:</w:t>
            </w:r>
          </w:p>
        </w:tc>
        <w:tc>
          <w:tcPr>
            <w:tcW w:w="17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Allocation of net (loss) income</w:t>
            </w:r>
          </w:p>
        </w:tc>
        <w:tc>
          <w:tcPr>
            <w:tcW w:w="172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FF0FC"/>
          </w:tcPr>
          <w:p>
            <w:pPr>
              <w:jc w:val="right"/>
              <w:ind w:right="116"/>
              <w:spacing w:after="0" w:line="113" w:lineRule="exact"/>
              <w:rPr>
                <w:sz w:val="20"/>
                <w:szCs w:val="20"/>
                <w:color w:val="auto"/>
              </w:rPr>
            </w:pPr>
            <w:r>
              <w:rPr>
                <w:rFonts w:ascii="Times New Roman" w:cs="Times New Roman" w:eastAsia="Times New Roman" w:hAnsi="Times New Roman"/>
                <w:sz w:val="10"/>
                <w:szCs w:val="10"/>
                <w:color w:val="auto"/>
              </w:rPr>
              <w:t>(201,430 )</w:t>
            </w:r>
          </w:p>
        </w:tc>
        <w:tc>
          <w:tcPr>
            <w:tcW w:w="22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(539,730 )</w:t>
            </w:r>
          </w:p>
        </w:tc>
        <w:tc>
          <w:tcPr>
            <w:tcW w:w="22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386,387</w:t>
            </w:r>
          </w:p>
        </w:tc>
        <w:tc>
          <w:tcPr>
            <w:tcW w:w="380" w:type="dxa"/>
            <w:vAlign w:val="bottom"/>
            <w:shd w:val="clear" w:color="auto" w:fill="CFF0FC"/>
          </w:tcPr>
          <w:p>
            <w:pPr>
              <w:jc w:val="right"/>
              <w:ind w:right="74"/>
              <w:spacing w:after="0" w:line="113"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193,497</w:t>
            </w:r>
          </w:p>
        </w:tc>
        <w:tc>
          <w:tcPr>
            <w:tcW w:w="0" w:type="dxa"/>
            <w:vAlign w:val="bottom"/>
          </w:tcPr>
          <w:p>
            <w:pPr>
              <w:spacing w:after="0"/>
              <w:rPr>
                <w:sz w:val="1"/>
                <w:szCs w:val="1"/>
                <w:color w:val="auto"/>
              </w:rPr>
            </w:pPr>
          </w:p>
        </w:tc>
      </w:tr>
      <w:tr>
        <w:trPr>
          <w:trHeight w:val="113"/>
        </w:trPr>
        <w:tc>
          <w:tcPr>
            <w:tcW w:w="33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Denominator</w:t>
            </w:r>
          </w:p>
        </w:tc>
        <w:tc>
          <w:tcPr>
            <w:tcW w:w="17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Weighted-average shares outstanding</w:t>
            </w:r>
          </w:p>
        </w:tc>
        <w:tc>
          <w:tcPr>
            <w:tcW w:w="1720" w:type="dxa"/>
            <w:vAlign w:val="bottom"/>
            <w:shd w:val="clear" w:color="auto" w:fill="CFF0FC"/>
          </w:tcPr>
          <w:p>
            <w:pPr>
              <w:spacing w:after="0"/>
              <w:rPr>
                <w:sz w:val="9"/>
                <w:szCs w:val="9"/>
                <w:color w:val="auto"/>
              </w:rPr>
            </w:pPr>
          </w:p>
        </w:tc>
        <w:tc>
          <w:tcPr>
            <w:tcW w:w="1040" w:type="dxa"/>
            <w:vAlign w:val="bottom"/>
            <w:shd w:val="clear" w:color="auto" w:fill="CFF0FC"/>
          </w:tcPr>
          <w:p>
            <w:pPr>
              <w:jc w:val="right"/>
              <w:ind w:right="156"/>
              <w:spacing w:after="0" w:line="113" w:lineRule="exact"/>
              <w:rPr>
                <w:sz w:val="20"/>
                <w:szCs w:val="20"/>
                <w:color w:val="auto"/>
              </w:rPr>
            </w:pPr>
            <w:r>
              <w:rPr>
                <w:rFonts w:ascii="Times New Roman" w:cs="Times New Roman" w:eastAsia="Times New Roman" w:hAnsi="Times New Roman"/>
                <w:sz w:val="10"/>
                <w:szCs w:val="10"/>
                <w:color w:val="auto"/>
              </w:rPr>
              <w:t>2,130,809</w:t>
            </w:r>
          </w:p>
        </w:tc>
        <w:tc>
          <w:tcPr>
            <w:tcW w:w="22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95"/>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11,401,124</w:t>
            </w:r>
          </w:p>
        </w:tc>
        <w:tc>
          <w:tcPr>
            <w:tcW w:w="380" w:type="dxa"/>
            <w:vAlign w:val="bottom"/>
            <w:shd w:val="clear" w:color="auto" w:fill="CFF0FC"/>
          </w:tcPr>
          <w:p>
            <w:pPr>
              <w:spacing w:after="0"/>
              <w:rPr>
                <w:sz w:val="9"/>
                <w:szCs w:val="9"/>
                <w:color w:val="auto"/>
              </w:rPr>
            </w:pPr>
          </w:p>
        </w:tc>
        <w:tc>
          <w:tcPr>
            <w:tcW w:w="88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0" w:type="dxa"/>
            <w:vAlign w:val="bottom"/>
          </w:tcPr>
          <w:p>
            <w:pPr>
              <w:spacing w:after="0"/>
              <w:rPr>
                <w:sz w:val="1"/>
                <w:szCs w:val="1"/>
                <w:color w:val="auto"/>
              </w:rPr>
            </w:pPr>
          </w:p>
        </w:tc>
      </w:tr>
      <w:tr>
        <w:trPr>
          <w:trHeight w:val="125"/>
        </w:trPr>
        <w:tc>
          <w:tcPr>
            <w:tcW w:w="33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Basic and diluted net (loss) income per share</w:t>
            </w:r>
          </w:p>
        </w:tc>
        <w:tc>
          <w:tcPr>
            <w:tcW w:w="17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16"/>
              <w:spacing w:after="0"/>
              <w:rPr>
                <w:sz w:val="20"/>
                <w:szCs w:val="20"/>
                <w:color w:val="auto"/>
              </w:rPr>
            </w:pPr>
            <w:r>
              <w:rPr>
                <w:rFonts w:ascii="Times New Roman" w:cs="Times New Roman" w:eastAsia="Times New Roman" w:hAnsi="Times New Roman"/>
                <w:sz w:val="10"/>
                <w:szCs w:val="10"/>
                <w:color w:val="auto"/>
              </w:rPr>
              <w:t>(0.09 )</w:t>
            </w:r>
          </w:p>
        </w:tc>
        <w:tc>
          <w:tcPr>
            <w:tcW w:w="22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0"/>
                <w:szCs w:val="10"/>
                <w:color w:val="auto"/>
              </w:rPr>
              <w:t>(0.09 )</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0.03</w:t>
            </w:r>
          </w:p>
        </w:tc>
        <w:tc>
          <w:tcPr>
            <w:tcW w:w="380" w:type="dxa"/>
            <w:vAlign w:val="bottom"/>
          </w:tcPr>
          <w:p>
            <w:pPr>
              <w:jc w:val="right"/>
              <w:ind w:right="74"/>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0.03</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Stock-Based Compensation</w:t>
      </w:r>
    </w:p>
    <w:p>
      <w:pPr>
        <w:spacing w:after="0" w:line="60"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condensed statements of operations upon vesting, once the applicable performance conditions are met, with an offsetting increase to additional paid-in capital. Forfeitures are recognized as they occur.</w:t>
      </w:r>
    </w:p>
    <w:p>
      <w:pPr>
        <w:spacing w:after="0" w:line="105" w:lineRule="exact"/>
        <w:rPr>
          <w:sz w:val="20"/>
          <w:szCs w:val="20"/>
          <w:color w:val="auto"/>
        </w:rPr>
      </w:pPr>
    </w:p>
    <w:p>
      <w:pPr>
        <w:jc w:val="both"/>
        <w:ind w:right="220" w:firstLine="480"/>
        <w:spacing w:after="0" w:line="285" w:lineRule="auto"/>
        <w:rPr>
          <w:sz w:val="20"/>
          <w:szCs w:val="20"/>
          <w:color w:val="auto"/>
        </w:rPr>
      </w:pPr>
      <w:r>
        <w:rPr>
          <w:rFonts w:ascii="Times New Roman" w:cs="Times New Roman" w:eastAsia="Times New Roman" w:hAnsi="Times New Roman"/>
          <w:sz w:val="9"/>
          <w:szCs w:val="9"/>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 -classified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March 31, 2024, all shares under the June 16, 2021 grant were vested.</w:t>
      </w:r>
    </w:p>
    <w:p>
      <w:pPr>
        <w:spacing w:after="0" w:line="89"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$75,600 of stock-based compensation related to this grant for the six months ended March 31, 2024.</w:t>
      </w:r>
    </w:p>
    <w:p>
      <w:pPr>
        <w:spacing w:after="0" w:line="108"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recognized $75,600 and $55,926 of stock-based compensation for the six-month periods ended March 31, 2024 and March 31, 2023, respectively and $25,200 and $27,963 of stock-based compensation for the three month periods ended March 31, 2024 and 2023,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Income Taxes</w:t>
      </w:r>
    </w:p>
    <w:p>
      <w:pPr>
        <w:spacing w:after="0" w:line="60"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7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As of March 31, 2024, and September 30, 2023, the Company’s deferred tax asset had a full valuation allowance recorded against it. Our effective tax rate was (18.35%) and 43.32% for the six months ended March 31, 2024, and 2023 . The effective tax rate differs from the statutory tax rate of 21% due to valuation allowance on the deferred tax assets and permanent differences related to the business acquisition expenses and interest expense related to subscription agreement liability.</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91" w:right="620" w:bottom="1440" w:gutter="0" w:footer="0" w:header="0"/>
        </w:sectPr>
      </w:pPr>
    </w:p>
    <w:bookmarkStart w:id="227" w:name="page228"/>
    <w:bookmarkEnd w:id="227"/>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accrued interest and penalties related to unrecognized tax benefits as income tax expense. There were no unrecognized tax benefits and no amounts accrued for interest and penalties as of March 31, 2024, and September 30, 2023. The Company is currently not aware of any issues under review that could result in significant payments, accruals or material deviation from its position.</w:t>
      </w:r>
    </w:p>
    <w:p>
      <w:pPr>
        <w:spacing w:after="0" w:line="101"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01"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As of March 31, 2024, and September 30, 2023, the Company’s deferred tax asset had a full valuation allowance recorded against it. Our effective tax rate was (14.11)% and 117.43% for the three months ended March 31, 2024 and 2023. Our effective tax rate was (18.35)% and 43.32% for the six months ended March 31, 2024 and 2023. The effective tax rate differs from the statutory tax rate of 21% for the three and six months ended March 31, 2024, and 2023, due to the valuation allowance on the deferred tax assets and permanent differences related to the business acquisition and stock-based compensation expenses.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Debt Discounts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Debt discounts represent issuance costs related to subscription agreement liability, and are included in the condensed consolidated balance sheets as a direct deduction from the face amount of the subscription agreement liability. Debt discounts are amortized over the term of the related subscription agreements and are included in the interest expense.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Recent Accounting Pronouncements</w:t>
      </w:r>
    </w:p>
    <w:p>
      <w:pPr>
        <w:spacing w:after="0" w:line="60"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3 — Related Party Transactions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Founder Shares</w:t>
      </w:r>
    </w:p>
    <w:p>
      <w:pPr>
        <w:spacing w:after="0" w:line="58"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10"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05" w:lineRule="exact"/>
        <w:rPr>
          <w:sz w:val="20"/>
          <w:szCs w:val="20"/>
          <w:color w:val="auto"/>
        </w:rPr>
      </w:pPr>
    </w:p>
    <w:p>
      <w:pPr>
        <w:ind w:right="20" w:firstLine="480"/>
        <w:spacing w:after="0" w:line="285" w:lineRule="auto"/>
        <w:rPr>
          <w:sz w:val="20"/>
          <w:szCs w:val="20"/>
          <w:color w:val="auto"/>
        </w:rPr>
      </w:pPr>
      <w:r>
        <w:rPr>
          <w:rFonts w:ascii="Times New Roman" w:cs="Times New Roman" w:eastAsia="Times New Roman" w:hAnsi="Times New Roman"/>
          <w:sz w:val="9"/>
          <w:szCs w:val="9"/>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28" w:name="page229"/>
    <w:bookmarkEnd w:id="228"/>
    <w:p>
      <w:pPr>
        <w:ind w:left="10"/>
        <w:spacing w:after="0"/>
        <w:rPr>
          <w:sz w:val="20"/>
          <w:szCs w:val="20"/>
          <w:color w:val="auto"/>
        </w:rPr>
      </w:pPr>
      <w:r>
        <w:rPr>
          <w:rFonts w:ascii="Times New Roman" w:cs="Times New Roman" w:eastAsia="Times New Roman" w:hAnsi="Times New Roman"/>
          <w:sz w:val="10"/>
          <w:szCs w:val="10"/>
          <w:color w:val="auto"/>
        </w:rPr>
        <w:t>Representative Common Stock</w:t>
      </w:r>
    </w:p>
    <w:p>
      <w:pPr>
        <w:spacing w:after="0" w:line="58" w:lineRule="exact"/>
        <w:rPr>
          <w:sz w:val="20"/>
          <w:szCs w:val="20"/>
          <w:color w:val="auto"/>
        </w:rPr>
      </w:pPr>
    </w:p>
    <w:p>
      <w:pPr>
        <w:ind w:left="10" w:right="160" w:firstLine="480"/>
        <w:spacing w:after="0" w:line="255" w:lineRule="auto"/>
        <w:rPr>
          <w:sz w:val="20"/>
          <w:szCs w:val="20"/>
          <w:color w:val="auto"/>
        </w:rPr>
      </w:pPr>
      <w:r>
        <w:rPr>
          <w:rFonts w:ascii="Times New Roman" w:cs="Times New Roman" w:eastAsia="Times New Roman" w:hAnsi="Times New Roman"/>
          <w:sz w:val="10"/>
          <w:szCs w:val="10"/>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 On May 29, 2021, Northland returned 87,500 shares of common stock to the Company, for no consideration, which were subsequently cancelled.</w:t>
      </w:r>
    </w:p>
    <w:p>
      <w:pPr>
        <w:spacing w:after="0" w:line="101"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18" w:lineRule="exact"/>
        <w:rPr>
          <w:sz w:val="20"/>
          <w:szCs w:val="20"/>
          <w:color w:val="auto"/>
        </w:rPr>
      </w:pPr>
    </w:p>
    <w:p>
      <w:pPr>
        <w:ind w:left="10" w:right="6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16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i w:val="1"/>
          <w:iCs w:val="1"/>
          <w:color w:val="auto"/>
        </w:rPr>
        <w:t>Promissory Notes-to Related Party</w:t>
      </w:r>
    </w:p>
    <w:p>
      <w:pPr>
        <w:spacing w:after="0" w:line="60" w:lineRule="exact"/>
        <w:rPr>
          <w:sz w:val="20"/>
          <w:szCs w:val="20"/>
          <w:color w:val="auto"/>
        </w:rPr>
      </w:pPr>
    </w:p>
    <w:p>
      <w:pPr>
        <w:ind w:left="10" w:right="120" w:firstLine="480"/>
        <w:spacing w:after="0" w:line="241" w:lineRule="auto"/>
        <w:rPr>
          <w:sz w:val="20"/>
          <w:szCs w:val="20"/>
          <w:color w:val="auto"/>
        </w:rPr>
      </w:pPr>
      <w:r>
        <w:rPr>
          <w:rFonts w:ascii="Times New Roman" w:cs="Times New Roman" w:eastAsia="Times New Roman" w:hAnsi="Times New Roman"/>
          <w:sz w:val="10"/>
          <w:szCs w:val="10"/>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the three and six-month periods ended March 31, 2024 and 2023, respectively. These amounts were applied against the balance owing to the Sponsor under the remaining promissory note. As of March 31, 2024 and September 30, 2023, the net amount outstanding under the promissory note was $247,454 and $247,454, respectively.</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On November 10, 2022, the Sponsor loaned the Company $1,500,000 in order to cover the additional contribution to the Trust Account in connection with the Company’s exercise of the extension of the Combination Period until February 17, 2023, and</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9"/>
          <w:szCs w:val="9"/>
          <w:color w:val="auto"/>
        </w:rPr>
        <w:t>$450,000 to fund its working capital needs. The promissory notes are non-interest bearing and due on the earlier of: (i) the liquidation or release of all of the monies held in the Trust Account or (ii) the date on which the Company consummates an acquisition, merger or</w:t>
      </w:r>
    </w:p>
    <w:p>
      <w:pPr>
        <w:spacing w:after="0" w:line="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other business combination transaction involving the Company or its affiliates. The principal balance may be prepaid at any time.</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July 28, 2023, the Company issued a promissory note to the Sponsor for the aggregate amount of $125,245. The promissory note is non-interest bearing and due on the earlier of: (i) the liquidation or release of all of the monies held in the Trust Account or</w:t>
      </w:r>
    </w:p>
    <w:p>
      <w:pPr>
        <w:spacing w:after="0" w:line="19" w:lineRule="exact"/>
        <w:rPr>
          <w:sz w:val="20"/>
          <w:szCs w:val="20"/>
          <w:color w:val="auto"/>
        </w:rPr>
      </w:pPr>
    </w:p>
    <w:p>
      <w:pPr>
        <w:ind w:left="10" w:right="20" w:hanging="10"/>
        <w:spacing w:after="0" w:line="237" w:lineRule="auto"/>
        <w:tabs>
          <w:tab w:leader="none" w:pos="153"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The principal balance may be prepaid at any time. The amount outstanding under this promissory note was $125,245 as of March 31, 2024.</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August 2, 2023, the Company entered into a promissory note to the Sponsor in the amount of up to $425,402. The Extension Note is non-interest bearing and due on the earlier of: (i) the liquidation or release of all of the monies held in the Trust Account or</w:t>
      </w:r>
    </w:p>
    <w:p>
      <w:pPr>
        <w:spacing w:after="0" w:line="19" w:lineRule="exact"/>
        <w:rPr>
          <w:sz w:val="20"/>
          <w:szCs w:val="20"/>
          <w:color w:val="auto"/>
        </w:rPr>
      </w:pPr>
    </w:p>
    <w:p>
      <w:pPr>
        <w:ind w:left="10" w:hanging="10"/>
        <w:spacing w:after="0" w:line="235" w:lineRule="auto"/>
        <w:tabs>
          <w:tab w:leader="none" w:pos="153" w:val="left"/>
        </w:tabs>
        <w:numPr>
          <w:ilvl w:val="0"/>
          <w:numId w:val="1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 December 17, 2023. On December 19, 2023, the Company borrowed an additional $70,900 under the Extension Note and deposited the funds into the Trust Account thereby extending the Termination Date to January 17, 2024. As of March 31, 2024,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4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0"/>
          <w:szCs w:val="10"/>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30"/>
          </w:cols>
          <w:pgMar w:left="630" w:top="1215" w:right="640" w:bottom="1440" w:gutter="0" w:footer="0" w:header="0"/>
        </w:sectPr>
      </w:pPr>
    </w:p>
    <w:bookmarkStart w:id="229" w:name="page230"/>
    <w:bookmarkEnd w:id="229"/>
    <w:p>
      <w:pPr>
        <w:ind w:right="200" w:firstLine="480"/>
        <w:spacing w:after="0" w:line="245" w:lineRule="auto"/>
        <w:rPr>
          <w:sz w:val="20"/>
          <w:szCs w:val="20"/>
          <w:color w:val="auto"/>
        </w:rPr>
      </w:pPr>
      <w:r>
        <w:rPr>
          <w:rFonts w:ascii="Times New Roman" w:cs="Times New Roman" w:eastAsia="Times New Roman" w:hAnsi="Times New Roman"/>
          <w:sz w:val="10"/>
          <w:szCs w:val="10"/>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March 31, 2024.</w:t>
      </w:r>
    </w:p>
    <w:p>
      <w:pPr>
        <w:spacing w:after="0" w:line="105"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March 31, 2024.</w:t>
      </w:r>
    </w:p>
    <w:p>
      <w:pPr>
        <w:spacing w:after="0" w:line="105" w:lineRule="exact"/>
        <w:rPr>
          <w:sz w:val="20"/>
          <w:szCs w:val="20"/>
          <w:color w:val="auto"/>
        </w:rPr>
      </w:pPr>
    </w:p>
    <w:p>
      <w:pPr>
        <w:jc w:val="both"/>
        <w:ind w:right="180" w:firstLine="480"/>
        <w:spacing w:after="0" w:line="245" w:lineRule="auto"/>
        <w:rPr>
          <w:sz w:val="20"/>
          <w:szCs w:val="20"/>
          <w:color w:val="auto"/>
        </w:rPr>
      </w:pPr>
      <w:r>
        <w:rPr>
          <w:rFonts w:ascii="Times New Roman" w:cs="Times New Roman" w:eastAsia="Times New Roman" w:hAnsi="Times New Roman"/>
          <w:sz w:val="10"/>
          <w:szCs w:val="10"/>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March 31, 2024.</w:t>
      </w:r>
    </w:p>
    <w:p>
      <w:pPr>
        <w:spacing w:after="0" w:line="105"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March 31, 2024.</w:t>
      </w:r>
    </w:p>
    <w:p>
      <w:pPr>
        <w:spacing w:after="0" w:line="105"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105"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below.</w:t>
      </w:r>
    </w:p>
    <w:p>
      <w:pPr>
        <w:spacing w:after="0" w:line="101"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below).</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$ 49,619 to be deposited into the Trust Account within three business days following February 17, 2024, and up to $248,095 in five equal installments to be deposited into the Trust Account for each of the five one-month extensions.</w:t>
      </w:r>
    </w:p>
    <w:p>
      <w:pPr>
        <w:spacing w:after="0" w:line="10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On February 16, 2024, the Company borrowed $ 49,619 under the Second Extension Note and deposited the funds into the Trust Account thereby extending the Termination Date to March 17, 2024. The funds made available by the Sponsor to the Company under the Second Extension Note were attributable to a draw down under the Subscription Agreement with Polar described in Note 4 below.</w:t>
      </w:r>
    </w:p>
    <w:p>
      <w:pPr>
        <w:spacing w:after="0" w:line="101"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below.</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30" w:name="page231"/>
    <w:bookmarkEnd w:id="230"/>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On March 13, 2024, the Company borrowed $49,619 under the Second Extension Note and deposited the funds into the Trust Account thereby extending the Termination Date to April 17, 2024. The funds made available by the Sponsor to the Company under the Second Extension Note were attributable to the fourth and final draw down under the Subscription Agreement with Polar described in Note 4 below.</w:t>
      </w:r>
    </w:p>
    <w:p>
      <w:pPr>
        <w:spacing w:after="0" w:line="101"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On March 13,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the fourth and final draw down under the Subscription Agreement with Polar described in Note 4 below.</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aggregate balance outstanding under all promissory notes, excluding the funding under the Subscription Agreement with Polar (as described in Note 4 below) was $2,776,600 and $2,564,439 as of March 31, 2024 and September 30, 2023,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Administrative Service Fee</w:t>
      </w:r>
    </w:p>
    <w:p>
      <w:pPr>
        <w:spacing w:after="0" w:line="60"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three and six months ended March 31, 2024, the Company incurred $30,000 and $60,000, respectively in administrative service fees. The Company has $10,000 and $0 related to the administrative service fees, included in the accounts payable as of March 31, 2024 and September 30, 2023,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4 — Subscription Agreement Liability</w:t>
      </w:r>
    </w:p>
    <w:p>
      <w:pPr>
        <w:spacing w:after="0" w:line="60" w:lineRule="exact"/>
        <w:rPr>
          <w:sz w:val="20"/>
          <w:szCs w:val="20"/>
          <w:color w:val="auto"/>
        </w:rPr>
      </w:pPr>
    </w:p>
    <w:p>
      <w:pPr>
        <w:ind w:right="20" w:firstLine="480"/>
        <w:spacing w:after="0" w:line="236" w:lineRule="auto"/>
        <w:rPr>
          <w:sz w:val="20"/>
          <w:szCs w:val="20"/>
          <w:color w:val="auto"/>
        </w:rPr>
      </w:pPr>
      <w:r>
        <w:rPr>
          <w:rFonts w:ascii="Times New Roman" w:cs="Times New Roman" w:eastAsia="Times New Roman" w:hAnsi="Times New Roman"/>
          <w:sz w:val="10"/>
          <w:szCs w:val="10"/>
          <w:color w:val="auto"/>
        </w:rPr>
        <w:t>Effective December 12, 2023, the Company and the Sponsor entered into a subscription agreement (the “Subscription Agreement”) with Polar Multi-Strategy Master Fund (“Polar”), an unaffiliated third party of the Company, pursuant to which Polar agreed to make certain capital contributions (the “Investor Capital Contribution”) from time to time, at the request of the Sponsor, subject to the terms and conditions of the Subscription Agreement, to the Sponsor to meet the Sponsor’s commitment to fund the Company’s working capital needs and extension payments. In exchange for the commitment of Polar to provide the Investor Capital Contribution, (i) the Sponsor will transfer shares of common stock, par value $0.0001 per share, to Polar at the closing of its initial business combination, as further described below; and (ii) the Company and the Sponsor have agreed jointly and severally to return the Investor Capital Contribution to the Investor at the closing of an initial business combination. The maximum aggregate Investor Capital Contribution is $440,000, with an initial Investor Capital Contribution of $110,000 available for drawdown within five (5) business days of the Subscription Agreement and the remaining amount to be available for drawdown in three equal tranches of $110,000 during January, February and March 2024. On December 19, 2023, the initial Investor Capital Contribution of $110,000 was funded to the Sponsor, on January 16, 2024, the second Investor Capital Contribution of $110,000 was funded to the Sponsor, on February 13, 2024, the third Investor Capital Contribution of $110,000 was funded to the Sponsor, and on March 13, 2024, the fourth and final Investor Capital Contribution of $110,000 was funded to the Sponsor. In exchange for the foregoing commitment of Polar to make the Investor Capital Contributions to the Sponsor, the Company agrees to, or cause the surviving entity following the closing of the Company’s initial business combination to, issue 880,000 shares of Company’s common stock. currently held by the Sponsor in consideration for the amount that has been funded by Polar as of or prior to the closing of an initial business combination (the “Subscription Shares”).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 The Subscription Shares shall be free from the lockup provisions currently applicable to these shares (for a period of 180 days following the closing of the business combination), provided that the stockholders of the Company shall have approved a proposal to such effect at the stockholders meeting held to approve the initial business combination.</w:t>
      </w:r>
    </w:p>
    <w:p>
      <w:pPr>
        <w:spacing w:after="0" w:line="113"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 the event that Sponsor or the Company defaults in its obligations under the terms of the Subscription Agreement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31" w:name="page232"/>
    <w:bookmarkEnd w:id="231"/>
    <w:p>
      <w:pPr>
        <w:ind w:firstLine="480"/>
        <w:spacing w:after="0" w:line="277" w:lineRule="auto"/>
        <w:rPr>
          <w:sz w:val="20"/>
          <w:szCs w:val="20"/>
          <w:color w:val="auto"/>
        </w:rPr>
      </w:pPr>
      <w:r>
        <w:rPr>
          <w:rFonts w:ascii="Times New Roman" w:cs="Times New Roman" w:eastAsia="Times New Roman" w:hAnsi="Times New Roman"/>
          <w:sz w:val="9"/>
          <w:szCs w:val="9"/>
          <w:color w:val="auto"/>
        </w:rPr>
        <w:t>The Company accounts for the subscription agreement liability as a bundled transaction with allocation of individual items based on their relative fair values. The fair value of shares issuable under the Subscription Agreement is considered cost of borrowing of the funds lent by the Sponsor upon receipt of the Contributions from the Investor and the net amount is recorded as subscription agreement liability in the Company’s condensed balance sheet. The Company recognized $434,460 of cost of borrowing attributable to the draws under the Subscription Agreement. Such cost of borrowing is amortized over the term of the Subscription Agreement and is included in the Company’s statement of operations as interest expense. For the six months ended March 31, 2024, the Company recorded $124,198 of interest expense attributable to the previously recognized cost of borrowing. The net amount of subscription liability of $129,738 is presented as a separate line item in the Company’s condensed balance sheet as of March 31,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5 — Commitments and Contingencies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Registration Rights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01"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Underwriting Agreement</w:t>
      </w:r>
    </w:p>
    <w:p>
      <w:pPr>
        <w:spacing w:after="0" w:line="6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Financial Advisory Fee</w:t>
      </w:r>
    </w:p>
    <w:p>
      <w:pPr>
        <w:spacing w:after="0" w:line="60" w:lineRule="exact"/>
        <w:rPr>
          <w:sz w:val="20"/>
          <w:szCs w:val="20"/>
          <w:color w:val="auto"/>
        </w:rPr>
      </w:pPr>
    </w:p>
    <w:p>
      <w:pPr>
        <w:ind w:right="160" w:firstLine="480"/>
        <w:spacing w:after="0" w:line="241" w:lineRule="auto"/>
        <w:rPr>
          <w:sz w:val="20"/>
          <w:szCs w:val="20"/>
          <w:color w:val="auto"/>
        </w:rPr>
      </w:pPr>
      <w:r>
        <w:rPr>
          <w:rFonts w:ascii="Times New Roman" w:cs="Times New Roman" w:eastAsia="Times New Roman" w:hAnsi="Times New Roman"/>
          <w:sz w:val="10"/>
          <w:szCs w:val="10"/>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18"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05"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The Company has engaged Bishop IR (“Bishop”) as an investor relations advisor in connection with the initial Business Combination for the period from June 21, 2023 through June 20, 2024 with a monthly fee of $ 8,000,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0"/>
          <w:szCs w:val="10"/>
          <w:b w:val="1"/>
          <w:bCs w:val="1"/>
          <w:i w:val="1"/>
          <w:iCs w:val="1"/>
          <w:color w:val="auto"/>
        </w:rPr>
        <w:t>Business Combination Marketing Agreement</w:t>
      </w:r>
    </w:p>
    <w:p>
      <w:pPr>
        <w:spacing w:after="0" w:line="60" w:lineRule="exact"/>
        <w:rPr>
          <w:sz w:val="20"/>
          <w:szCs w:val="20"/>
          <w:color w:val="auto"/>
        </w:rPr>
      </w:pPr>
    </w:p>
    <w:p>
      <w:pPr>
        <w:ind w:right="80" w:firstLine="480"/>
        <w:spacing w:after="0" w:line="239" w:lineRule="auto"/>
        <w:rPr>
          <w:sz w:val="20"/>
          <w:szCs w:val="20"/>
          <w:color w:val="auto"/>
        </w:rPr>
      </w:pPr>
      <w:r>
        <w:rPr>
          <w:rFonts w:ascii="Times New Roman" w:cs="Times New Roman" w:eastAsia="Times New Roman" w:hAnsi="Times New Roman"/>
          <w:sz w:val="10"/>
          <w:szCs w:val="10"/>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 Company will also pay the representative a separate capital market advisory fee of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08"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Non-Redemption Agreements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January 20, 2023, the Company and its Sponsor entered into ten agreements (the “Non- 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Right of First Refusal</w:t>
      </w:r>
    </w:p>
    <w:p>
      <w:pPr>
        <w:spacing w:after="0" w:line="60" w:lineRule="exact"/>
        <w:rPr>
          <w:sz w:val="20"/>
          <w:szCs w:val="20"/>
          <w:color w:val="auto"/>
        </w:rPr>
      </w:pPr>
    </w:p>
    <w:p>
      <w:pPr>
        <w:jc w:val="both"/>
        <w:ind w:right="200" w:firstLine="480"/>
        <w:spacing w:after="0" w:line="245" w:lineRule="auto"/>
        <w:rPr>
          <w:sz w:val="20"/>
          <w:szCs w:val="20"/>
          <w:color w:val="auto"/>
        </w:rPr>
      </w:pPr>
      <w:r>
        <w:rPr>
          <w:rFonts w:ascii="Times New Roman" w:cs="Times New Roman" w:eastAsia="Times New Roman" w:hAnsi="Times New Roman"/>
          <w:sz w:val="10"/>
          <w:szCs w:val="10"/>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Purchasing Agreement</w:t>
      </w:r>
    </w:p>
    <w:p>
      <w:pPr>
        <w:spacing w:after="0" w:line="6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10"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0"/>
          <w:szCs w:val="10"/>
          <w:b w:val="1"/>
          <w:bCs w:val="1"/>
          <w:color w:val="auto"/>
        </w:rPr>
        <w:t>Note 6 — Recurring Fair Value Measurements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Funds in the Company’s Trust Account were held in an interest-bearing demand deposit account as of March 31, 2024 and September 30, 2023 and classified as Level 1 in the hierarchy of fair value measurements with carrying value approximating fair value.</w:t>
      </w:r>
    </w:p>
    <w:p>
      <w:pPr>
        <w:spacing w:after="0" w:line="165"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5620" w:type="dxa"/>
            <w:vAlign w:val="bottom"/>
          </w:tcPr>
          <w:p>
            <w:pPr>
              <w:spacing w:after="0"/>
              <w:rPr>
                <w:sz w:val="8"/>
                <w:szCs w:val="8"/>
                <w:color w:val="auto"/>
              </w:rPr>
            </w:pPr>
          </w:p>
        </w:tc>
        <w:tc>
          <w:tcPr>
            <w:tcW w:w="760" w:type="dxa"/>
            <w:vAlign w:val="bottom"/>
            <w:gridSpan w:val="2"/>
          </w:tcPr>
          <w:p>
            <w:pPr>
              <w:jc w:val="right"/>
              <w:ind w:right="51"/>
              <w:spacing w:after="0"/>
              <w:rPr>
                <w:sz w:val="20"/>
                <w:szCs w:val="20"/>
                <w:color w:val="auto"/>
              </w:rPr>
            </w:pPr>
            <w:r>
              <w:rPr>
                <w:rFonts w:ascii="Times New Roman" w:cs="Times New Roman" w:eastAsia="Times New Roman" w:hAnsi="Times New Roman"/>
                <w:sz w:val="8"/>
                <w:szCs w:val="8"/>
                <w:b w:val="1"/>
                <w:bCs w:val="1"/>
                <w:color w:val="auto"/>
              </w:rPr>
              <w:t>March 31, 2024</w:t>
            </w:r>
          </w:p>
        </w:tc>
        <w:tc>
          <w:tcPr>
            <w:tcW w:w="1000" w:type="dxa"/>
            <w:vAlign w:val="bottom"/>
          </w:tcPr>
          <w:p>
            <w:pPr>
              <w:spacing w:after="0"/>
              <w:rPr>
                <w:sz w:val="8"/>
                <w:szCs w:val="8"/>
                <w:color w:val="auto"/>
              </w:rPr>
            </w:pPr>
          </w:p>
        </w:tc>
        <w:tc>
          <w:tcPr>
            <w:tcW w:w="1400" w:type="dxa"/>
            <w:vAlign w:val="bottom"/>
            <w:gridSpan w:val="2"/>
          </w:tcPr>
          <w:p>
            <w:pPr>
              <w:jc w:val="right"/>
              <w:ind w:right="31"/>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800" w:type="dxa"/>
            <w:vAlign w:val="bottom"/>
          </w:tcPr>
          <w:p>
            <w:pPr>
              <w:spacing w:after="0"/>
              <w:rPr>
                <w:sz w:val="8"/>
                <w:szCs w:val="8"/>
                <w:color w:val="auto"/>
              </w:rPr>
            </w:pPr>
          </w:p>
        </w:tc>
      </w:tr>
      <w:tr>
        <w:trPr>
          <w:trHeight w:val="106"/>
        </w:trPr>
        <w:tc>
          <w:tcPr>
            <w:tcW w:w="5620" w:type="dxa"/>
            <w:vAlign w:val="bottom"/>
          </w:tcPr>
          <w:p>
            <w:pPr>
              <w:ind w:left="5320"/>
              <w:spacing w:after="0"/>
              <w:rPr>
                <w:sz w:val="20"/>
                <w:szCs w:val="20"/>
                <w:color w:val="auto"/>
              </w:rPr>
            </w:pPr>
            <w:r>
              <w:rPr>
                <w:rFonts w:ascii="Times New Roman" w:cs="Times New Roman" w:eastAsia="Times New Roman" w:hAnsi="Times New Roman"/>
                <w:sz w:val="8"/>
                <w:szCs w:val="8"/>
                <w:b w:val="1"/>
                <w:bCs w:val="1"/>
                <w:color w:val="auto"/>
              </w:rPr>
              <w:t>Level</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jc w:val="right"/>
              <w:ind w:right="575"/>
              <w:spacing w:after="0"/>
              <w:rPr>
                <w:sz w:val="20"/>
                <w:szCs w:val="20"/>
                <w:color w:val="auto"/>
              </w:rPr>
            </w:pPr>
            <w:r>
              <w:rPr>
                <w:rFonts w:ascii="Times New Roman" w:cs="Times New Roman" w:eastAsia="Times New Roman" w:hAnsi="Times New Roman"/>
                <w:sz w:val="8"/>
                <w:szCs w:val="8"/>
                <w:b w:val="1"/>
                <w:bCs w:val="1"/>
                <w:color w:val="auto"/>
              </w:rPr>
              <w:t>Amount</w:t>
            </w:r>
          </w:p>
        </w:tc>
        <w:tc>
          <w:tcPr>
            <w:tcW w:w="1000" w:type="dxa"/>
            <w:vAlign w:val="bottom"/>
          </w:tcPr>
          <w:p>
            <w:pPr>
              <w:jc w:val="right"/>
              <w:ind w:right="456"/>
              <w:spacing w:after="0"/>
              <w:rPr>
                <w:sz w:val="20"/>
                <w:szCs w:val="20"/>
                <w:color w:val="auto"/>
              </w:rPr>
            </w:pPr>
            <w:r>
              <w:rPr>
                <w:rFonts w:ascii="Times New Roman" w:cs="Times New Roman" w:eastAsia="Times New Roman" w:hAnsi="Times New Roman"/>
                <w:sz w:val="8"/>
                <w:szCs w:val="8"/>
                <w:b w:val="1"/>
                <w:bCs w:val="1"/>
                <w:color w:val="auto"/>
              </w:rPr>
              <w:t>Level</w:t>
            </w:r>
          </w:p>
        </w:tc>
        <w:tc>
          <w:tcPr>
            <w:tcW w:w="400" w:type="dxa"/>
            <w:vAlign w:val="bottom"/>
          </w:tcPr>
          <w:p>
            <w:pPr>
              <w:spacing w:after="0"/>
              <w:rPr>
                <w:sz w:val="9"/>
                <w:szCs w:val="9"/>
                <w:color w:val="auto"/>
              </w:rPr>
            </w:pPr>
          </w:p>
        </w:tc>
        <w:tc>
          <w:tcPr>
            <w:tcW w:w="800" w:type="dxa"/>
            <w:vAlign w:val="bottom"/>
          </w:tcPr>
          <w:p>
            <w:pPr>
              <w:jc w:val="right"/>
              <w:ind w:right="415"/>
              <w:spacing w:after="0"/>
              <w:rPr>
                <w:sz w:val="20"/>
                <w:szCs w:val="20"/>
                <w:color w:val="auto"/>
              </w:rPr>
            </w:pPr>
            <w:r>
              <w:rPr>
                <w:rFonts w:ascii="Times New Roman" w:cs="Times New Roman" w:eastAsia="Times New Roman" w:hAnsi="Times New Roman"/>
                <w:sz w:val="8"/>
                <w:szCs w:val="8"/>
                <w:b w:val="1"/>
                <w:bCs w:val="1"/>
                <w:color w:val="auto"/>
              </w:rPr>
              <w:t>Amount</w:t>
            </w:r>
          </w:p>
        </w:tc>
      </w:tr>
      <w:tr>
        <w:trPr>
          <w:trHeight w:val="113"/>
        </w:trPr>
        <w:tc>
          <w:tcPr>
            <w:tcW w:w="56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4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r>
      <w:tr>
        <w:trPr>
          <w:trHeight w:val="125"/>
        </w:trPr>
        <w:tc>
          <w:tcPr>
            <w:tcW w:w="56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Interest-bearing demand deposit account</w:t>
            </w:r>
          </w:p>
        </w:tc>
        <w:tc>
          <w:tcPr>
            <w:tcW w:w="420" w:type="dxa"/>
            <w:vAlign w:val="bottom"/>
          </w:tcPr>
          <w:p>
            <w:pPr>
              <w:jc w:val="right"/>
              <w:ind w:right="75"/>
              <w:spacing w:after="0"/>
              <w:rPr>
                <w:sz w:val="20"/>
                <w:szCs w:val="20"/>
                <w:color w:val="auto"/>
              </w:rPr>
            </w:pPr>
            <w:r>
              <w:rPr>
                <w:rFonts w:ascii="Times New Roman" w:cs="Times New Roman" w:eastAsia="Times New Roman" w:hAnsi="Times New Roman"/>
                <w:sz w:val="10"/>
                <w:szCs w:val="10"/>
                <w:color w:val="auto"/>
              </w:rPr>
              <w:t>1</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55"/>
              <w:spacing w:after="0"/>
              <w:rPr>
                <w:sz w:val="20"/>
                <w:szCs w:val="20"/>
                <w:color w:val="auto"/>
              </w:rPr>
            </w:pPr>
            <w:r>
              <w:rPr>
                <w:rFonts w:ascii="Times New Roman" w:cs="Times New Roman" w:eastAsia="Times New Roman" w:hAnsi="Times New Roman"/>
                <w:sz w:val="10"/>
                <w:szCs w:val="10"/>
                <w:color w:val="auto"/>
              </w:rPr>
              <w:t>15,771,190</w:t>
            </w: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0"/>
                <w:szCs w:val="10"/>
                <w:color w:val="auto"/>
              </w:rPr>
              <w:t>1</w:t>
            </w: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5"/>
              <w:spacing w:after="0"/>
              <w:rPr>
                <w:sz w:val="20"/>
                <w:szCs w:val="20"/>
                <w:color w:val="auto"/>
              </w:rPr>
            </w:pPr>
            <w:r>
              <w:rPr>
                <w:rFonts w:ascii="Times New Roman" w:cs="Times New Roman" w:eastAsia="Times New Roman" w:hAnsi="Times New Roman"/>
                <w:sz w:val="10"/>
                <w:szCs w:val="10"/>
                <w:color w:val="auto"/>
              </w:rPr>
              <w:t>25,324,028</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7 — Stockholders’ Deficit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Preferred stock</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Company is authorized to issue 1,000,000 shares of preferred stock with apar value of $0.0001 and with such designations, voting and other rights and preferences as may be determined from time to time by the Company’s board of directors. As of March 31, 2024 and September 30, 2023, there were no shares of preferred stock issued or outstanding.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Company is authorized to issue 100,000,000 shares of common stock with a par value of $0.0001 per share. At March 31, 2024 and September 30, 2023, there were 5,709,500 shares of common stock issued and outstanding, excluding 1,417,687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08"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Warrants</w:t>
      </w:r>
    </w:p>
    <w:p>
      <w:pPr>
        <w:spacing w:after="0" w:line="60" w:lineRule="exact"/>
        <w:rPr>
          <w:sz w:val="20"/>
          <w:szCs w:val="20"/>
          <w:color w:val="auto"/>
        </w:rPr>
      </w:pPr>
    </w:p>
    <w:p>
      <w:pPr>
        <w:ind w:right="20" w:firstLine="480"/>
        <w:spacing w:after="0" w:line="238" w:lineRule="auto"/>
        <w:rPr>
          <w:sz w:val="20"/>
          <w:szCs w:val="20"/>
          <w:color w:val="auto"/>
        </w:rPr>
      </w:pPr>
      <w:r>
        <w:rPr>
          <w:rFonts w:ascii="Times New Roman" w:cs="Times New Roman" w:eastAsia="Times New Roman" w:hAnsi="Times New Roman"/>
          <w:sz w:val="10"/>
          <w:szCs w:val="10"/>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34" w:name="page235"/>
    <w:bookmarkEnd w:id="234"/>
    <w:p>
      <w:pPr>
        <w:ind w:left="480"/>
        <w:spacing w:after="0"/>
        <w:rPr>
          <w:sz w:val="20"/>
          <w:szCs w:val="20"/>
          <w:color w:val="auto"/>
        </w:rPr>
      </w:pPr>
      <w:r>
        <w:rPr>
          <w:rFonts w:ascii="Times New Roman" w:cs="Times New Roman" w:eastAsia="Times New Roman" w:hAnsi="Times New Roman"/>
          <w:sz w:val="10"/>
          <w:szCs w:val="10"/>
          <w:color w:val="auto"/>
        </w:rPr>
        <w:t>The Company may call the warrants for redemption, in whole and not in part, at a price of $0.01 per warrant, in whole and not in part: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•at any time after the warrants become exercisable,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not less than 30 days’ prior written notice of redemption to each warrant holder</w:t>
      </w:r>
    </w:p>
    <w:p>
      <w:pPr>
        <w:spacing w:after="0" w:line="58" w:lineRule="exact"/>
        <w:rPr>
          <w:sz w:val="20"/>
          <w:szCs w:val="20"/>
          <w:color w:val="auto"/>
        </w:rPr>
      </w:pPr>
    </w:p>
    <w:p>
      <w:pPr>
        <w:ind w:left="480" w:right="120"/>
        <w:spacing w:after="0" w:line="255" w:lineRule="auto"/>
        <w:rPr>
          <w:sz w:val="20"/>
          <w:szCs w:val="20"/>
          <w:color w:val="auto"/>
        </w:rPr>
      </w:pPr>
      <w:r>
        <w:rPr>
          <w:rFonts w:ascii="Times New Roman" w:cs="Times New Roman" w:eastAsia="Times New Roman" w:hAnsi="Times New Roman"/>
          <w:sz w:val="10"/>
          <w:szCs w:val="10"/>
          <w:color w:val="auto"/>
        </w:rPr>
        <w:t>•if, and only if, the reported last sale price of the common stock equals or exceeds $18.00 per share (as adjusted for stock splits, stock dividends, reorganizations, recapitalizations) for any 20 trading days within a30-tradingday period commencing at any time after the warrants become exercisable and ending on the third business day prior to the notice of redemption to warrant holders; and</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•if, and only if, there is a current registration statement in effect with respect to the shares of common stock underlying such warrants.</w:t>
      </w:r>
    </w:p>
    <w:p>
      <w:pPr>
        <w:spacing w:after="0" w:line="11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08"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8— Subsequent Events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condensed financial statements.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April 16, 2024, the Company borrowed $49,619 under the Second Extension Note and deposited the funds into the Trust Account thereby extending the Termination Date to May 17, 2024.</w:t>
      </w:r>
    </w:p>
    <w:p>
      <w:pPr>
        <w:spacing w:after="0" w:line="118"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On April 16, 2024 the Company issued a promissory note to the Sponsor for the aggregate amount of $53,388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On April 18, 2024, the Company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the Company.</w:t>
      </w:r>
    </w:p>
    <w:p>
      <w:pPr>
        <w:spacing w:after="0" w:line="101"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On April 22, 2024 the Company issued a promissory note to the Sponsor for the aggregate amount of $40,939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On April 25, 2024 the Company issued a promissory note to the Sponsor for the aggregate amount of $19,054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35" w:name="page236"/>
    <w:bookmarkEnd w:id="235"/>
    <w:p>
      <w:pPr>
        <w:jc w:val="center"/>
        <w:spacing w:after="0"/>
        <w:rPr>
          <w:sz w:val="20"/>
          <w:szCs w:val="20"/>
          <w:color w:val="auto"/>
        </w:rPr>
      </w:pPr>
      <w:r>
        <w:rPr>
          <w:rFonts w:ascii="Times New Roman" w:cs="Times New Roman" w:eastAsia="Times New Roman" w:hAnsi="Times New Roman"/>
          <w:sz w:val="10"/>
          <w:szCs w:val="10"/>
          <w:b w:val="1"/>
          <w:bCs w:val="1"/>
          <w:color w:val="auto"/>
        </w:rPr>
        <w:t>PART I—FINANCIAL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w:t>
      </w:r>
      <w:r>
        <w:rPr>
          <w:rFonts w:ascii="Arial" w:cs="Arial" w:eastAsia="Arial" w:hAnsi="Arial"/>
          <w:sz w:val="10"/>
          <w:szCs w:val="10"/>
          <w:b w:val="1"/>
          <w:bCs w:val="1"/>
          <w:color w:val="auto"/>
        </w:rPr>
        <w:t xml:space="preserve"> </w:t>
      </w:r>
      <w:r>
        <w:rPr>
          <w:rFonts w:ascii="Times New Roman" w:cs="Times New Roman" w:eastAsia="Times New Roman" w:hAnsi="Times New Roman"/>
          <w:sz w:val="10"/>
          <w:szCs w:val="10"/>
          <w:b w:val="1"/>
          <w:bCs w:val="1"/>
          <w:color w:val="auto"/>
        </w:rPr>
        <w:t>1. Financial Statements.</w:t>
      </w:r>
    </w:p>
    <w:p>
      <w:pPr>
        <w:spacing w:after="0" w:line="9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0"/>
          <w:szCs w:val="10"/>
          <w:b w:val="1"/>
          <w:bCs w:val="1"/>
          <w:color w:val="auto"/>
        </w:rPr>
        <w:t>CONDENSED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280" w:type="dxa"/>
            <w:vAlign w:val="bottom"/>
          </w:tcPr>
          <w:p>
            <w:pPr>
              <w:spacing w:after="0"/>
              <w:rPr>
                <w:sz w:val="8"/>
                <w:szCs w:val="8"/>
                <w:color w:val="auto"/>
              </w:rPr>
            </w:pPr>
          </w:p>
        </w:tc>
        <w:tc>
          <w:tcPr>
            <w:tcW w:w="1020" w:type="dxa"/>
            <w:vAlign w:val="bottom"/>
          </w:tcPr>
          <w:p>
            <w:pPr>
              <w:jc w:val="center"/>
              <w:ind w:left="454"/>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0" w:type="dxa"/>
            <w:vAlign w:val="bottom"/>
          </w:tcPr>
          <w:p>
            <w:pPr>
              <w:spacing w:after="0"/>
              <w:rPr>
                <w:sz w:val="1"/>
                <w:szCs w:val="1"/>
                <w:color w:val="auto"/>
              </w:rPr>
            </w:pPr>
          </w:p>
        </w:tc>
      </w:tr>
      <w:tr>
        <w:trPr>
          <w:trHeight w:val="98"/>
        </w:trPr>
        <w:tc>
          <w:tcPr>
            <w:tcW w:w="7280" w:type="dxa"/>
            <w:vAlign w:val="bottom"/>
          </w:tcPr>
          <w:p>
            <w:pPr>
              <w:spacing w:after="0"/>
              <w:rPr>
                <w:sz w:val="8"/>
                <w:szCs w:val="8"/>
                <w:color w:val="auto"/>
              </w:rPr>
            </w:pPr>
          </w:p>
        </w:tc>
        <w:tc>
          <w:tcPr>
            <w:tcW w:w="1020" w:type="dxa"/>
            <w:vAlign w:val="bottom"/>
          </w:tcPr>
          <w:p>
            <w:pPr>
              <w:jc w:val="center"/>
              <w:ind w:left="434"/>
              <w:spacing w:after="0"/>
              <w:rPr>
                <w:sz w:val="20"/>
                <w:szCs w:val="20"/>
                <w:color w:val="auto"/>
              </w:rPr>
            </w:pPr>
            <w:r>
              <w:rPr>
                <w:rFonts w:ascii="Times New Roman" w:cs="Times New Roman" w:eastAsia="Times New Roman" w:hAnsi="Times New Roman"/>
                <w:sz w:val="8"/>
                <w:szCs w:val="8"/>
                <w:b w:val="1"/>
                <w:bCs w:val="1"/>
                <w:color w:val="auto"/>
              </w:rPr>
              <w:t>2023</w:t>
            </w: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7280" w:type="dxa"/>
            <w:vAlign w:val="bottom"/>
          </w:tcPr>
          <w:p>
            <w:pPr>
              <w:spacing w:after="0"/>
              <w:rPr>
                <w:sz w:val="9"/>
                <w:szCs w:val="9"/>
                <w:color w:val="auto"/>
              </w:rPr>
            </w:pPr>
          </w:p>
        </w:tc>
        <w:tc>
          <w:tcPr>
            <w:tcW w:w="1020" w:type="dxa"/>
            <w:vAlign w:val="bottom"/>
          </w:tcPr>
          <w:p>
            <w:pPr>
              <w:jc w:val="center"/>
              <w:ind w:left="434"/>
              <w:spacing w:after="0"/>
              <w:rPr>
                <w:sz w:val="20"/>
                <w:szCs w:val="20"/>
                <w:color w:val="auto"/>
              </w:rPr>
            </w:pPr>
            <w:r>
              <w:rPr>
                <w:rFonts w:ascii="Times New Roman" w:cs="Times New Roman" w:eastAsia="Times New Roman" w:hAnsi="Times New Roman"/>
                <w:sz w:val="8"/>
                <w:szCs w:val="8"/>
                <w:b w:val="1"/>
                <w:bCs w:val="1"/>
                <w:color w:val="auto"/>
                <w:w w:val="97"/>
              </w:rPr>
              <w:t>unaudited</w:t>
            </w: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1020" w:type="dxa"/>
            <w:vAlign w:val="bottom"/>
          </w:tcPr>
          <w:p>
            <w:pPr>
              <w:jc w:val="right"/>
              <w:ind w:right="91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54,405</w:t>
            </w:r>
          </w:p>
        </w:tc>
        <w:tc>
          <w:tcPr>
            <w:tcW w:w="280" w:type="dxa"/>
            <w:vAlign w:val="bottom"/>
          </w:tcPr>
          <w:p>
            <w:pPr>
              <w:spacing w:after="0"/>
              <w:rPr>
                <w:sz w:val="9"/>
                <w:szCs w:val="9"/>
                <w:color w:val="auto"/>
              </w:rPr>
            </w:pPr>
          </w:p>
        </w:tc>
        <w:tc>
          <w:tcPr>
            <w:tcW w:w="260" w:type="dxa"/>
            <w:vAlign w:val="bottom"/>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60,284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13,534</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33,605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102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67,939</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93,889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Investments held in Trust Account</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w w:val="97"/>
              </w:rPr>
              <w:t>25,871,565</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25,324,028</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1020" w:type="dxa"/>
            <w:vAlign w:val="bottom"/>
            <w:tcBorders>
              <w:bottom w:val="single" w:sz="8" w:color="auto"/>
            </w:tcBorders>
          </w:tcPr>
          <w:p>
            <w:pPr>
              <w:jc w:val="right"/>
              <w:ind w:right="91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w w:val="97"/>
              </w:rPr>
              <w:t>25,939,504</w:t>
            </w:r>
          </w:p>
        </w:tc>
        <w:tc>
          <w:tcPr>
            <w:tcW w:w="280" w:type="dxa"/>
            <w:vAlign w:val="bottom"/>
          </w:tcPr>
          <w:p>
            <w:pPr>
              <w:spacing w:after="0"/>
              <w:rPr>
                <w:sz w:val="10"/>
                <w:szCs w:val="10"/>
                <w:color w:val="auto"/>
              </w:rPr>
            </w:pPr>
          </w:p>
        </w:tc>
        <w:tc>
          <w:tcPr>
            <w:tcW w:w="2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25,417,917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728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Liabilities, Common Stock Subject to Possible Redemption and Stockholders’</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0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Current liabilities:</w:t>
            </w: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1020" w:type="dxa"/>
            <w:vAlign w:val="bottom"/>
            <w:shd w:val="clear" w:color="auto" w:fill="CFF0FC"/>
          </w:tcPr>
          <w:p>
            <w:pPr>
              <w:jc w:val="right"/>
              <w:ind w:right="91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5,132,351</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4,708,050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102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23,919</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12,100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78,617</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10,783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Subscription agreement liability, net</w:t>
            </w:r>
          </w:p>
        </w:tc>
        <w:tc>
          <w:tcPr>
            <w:tcW w:w="102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6,752</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Promissory Notes-Related Party</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2,776,600</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2,564,439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w:t>
            </w:r>
          </w:p>
        </w:tc>
        <w:tc>
          <w:tcPr>
            <w:tcW w:w="102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1,291,751</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9,309,990</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8,587,123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Commitments and Contingencies (Note 5)</w:t>
            </w: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Common stock subject to possible redemption, 2,363,349 shares at redemption</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value of approximately $10.91 and $10.71 per share at December 31, 2023 and</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September 30, 2023, respectively</w:t>
            </w:r>
          </w:p>
        </w:tc>
        <w:tc>
          <w:tcPr>
            <w:tcW w:w="102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7"/>
              </w:rPr>
              <w:t>25,784,690</w:t>
            </w: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25,316,806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Stockholders’ Deficit:</w:t>
            </w: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Preferred stock, $0.0001 par value; 1,000,000 shares authorized; none issued</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or outstanding</w:t>
            </w:r>
          </w:p>
        </w:tc>
        <w:tc>
          <w:tcPr>
            <w:tcW w:w="10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6"/>
        </w:trPr>
        <w:tc>
          <w:tcPr>
            <w:tcW w:w="728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Common stock, $0.0001 par value; 100,000,000 shares authorized, 5,709,500 shares</w:t>
            </w: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ind w:left="80"/>
              <w:spacing w:after="0" w:line="113" w:lineRule="exact"/>
              <w:rPr>
                <w:sz w:val="20"/>
                <w:szCs w:val="20"/>
                <w:color w:val="auto"/>
              </w:rPr>
            </w:pPr>
            <w:r>
              <w:rPr>
                <w:rFonts w:ascii="Times New Roman" w:cs="Times New Roman" w:eastAsia="Times New Roman" w:hAnsi="Times New Roman"/>
                <w:sz w:val="10"/>
                <w:szCs w:val="10"/>
                <w:color w:val="auto"/>
              </w:rPr>
              <w:t>issued and outstanding (excluding 2,363,349 and 2,363,349 shares subject to</w:t>
            </w: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possible redemption) at December 31, 2023 and September 30, 2023, respectively</w:t>
            </w:r>
          </w:p>
        </w:tc>
        <w:tc>
          <w:tcPr>
            <w:tcW w:w="10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159,034</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1020" w:type="dxa"/>
            <w:vAlign w:val="bottom"/>
          </w:tcPr>
          <w:p>
            <w:pPr>
              <w:spacing w:after="0"/>
              <w:rPr>
                <w:sz w:val="9"/>
                <w:szCs w:val="9"/>
                <w:color w:val="auto"/>
              </w:rPr>
            </w:pPr>
          </w:p>
        </w:tc>
        <w:tc>
          <w:tcPr>
            <w:tcW w:w="7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(9,314,780 )</w:t>
            </w:r>
          </w:p>
        </w:tc>
        <w:tc>
          <w:tcPr>
            <w:tcW w:w="260" w:type="dxa"/>
            <w:vAlign w:val="bottom"/>
          </w:tcPr>
          <w:p>
            <w:pPr>
              <w:spacing w:after="0"/>
              <w:rPr>
                <w:sz w:val="9"/>
                <w:szCs w:val="9"/>
                <w:color w:val="auto"/>
              </w:rPr>
            </w:pPr>
          </w:p>
        </w:tc>
        <w:tc>
          <w:tcPr>
            <w:tcW w:w="13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(8,486,582 )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Stockholders’ Deficit</w:t>
            </w:r>
          </w:p>
        </w:tc>
        <w:tc>
          <w:tcPr>
            <w:tcW w:w="1020" w:type="dxa"/>
            <w:vAlign w:val="bottom"/>
            <w:shd w:val="clear" w:color="auto" w:fill="CFF0FC"/>
          </w:tcPr>
          <w:p>
            <w:pPr>
              <w:spacing w:after="0"/>
              <w:rPr>
                <w:sz w:val="9"/>
                <w:szCs w:val="9"/>
                <w:color w:val="auto"/>
              </w:rPr>
            </w:pPr>
          </w:p>
        </w:tc>
        <w:tc>
          <w:tcPr>
            <w:tcW w:w="76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(9,155,176 )</w:t>
            </w:r>
          </w:p>
        </w:tc>
        <w:tc>
          <w:tcPr>
            <w:tcW w:w="26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(8,486,012 )</w:t>
            </w:r>
          </w:p>
        </w:tc>
        <w:tc>
          <w:tcPr>
            <w:tcW w:w="0" w:type="dxa"/>
            <w:vAlign w:val="bottom"/>
          </w:tcPr>
          <w:p>
            <w:pPr>
              <w:spacing w:after="0"/>
              <w:rPr>
                <w:sz w:val="1"/>
                <w:szCs w:val="1"/>
                <w:color w:val="auto"/>
              </w:rPr>
            </w:pPr>
          </w:p>
        </w:tc>
      </w:tr>
      <w:tr>
        <w:trPr>
          <w:trHeight w:val="104"/>
        </w:trPr>
        <w:tc>
          <w:tcPr>
            <w:tcW w:w="728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Total Liabilities, Common Stock Subject to Possible Redemption and</w:t>
            </w:r>
          </w:p>
        </w:tc>
        <w:tc>
          <w:tcPr>
            <w:tcW w:w="1020" w:type="dxa"/>
            <w:vAlign w:val="bottom"/>
            <w:vMerge w:val="restart"/>
          </w:tcPr>
          <w:p>
            <w:pPr>
              <w:jc w:val="right"/>
              <w:ind w:right="914"/>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97"/>
              </w:rPr>
              <w:t>25,939,504</w:t>
            </w:r>
          </w:p>
        </w:tc>
        <w:tc>
          <w:tcPr>
            <w:tcW w:w="280" w:type="dxa"/>
            <w:vAlign w:val="bottom"/>
          </w:tcPr>
          <w:p>
            <w:pPr>
              <w:spacing w:after="0"/>
              <w:rPr>
                <w:sz w:val="9"/>
                <w:szCs w:val="9"/>
                <w:color w:val="auto"/>
              </w:rPr>
            </w:pPr>
          </w:p>
        </w:tc>
        <w:tc>
          <w:tcPr>
            <w:tcW w:w="260" w:type="dxa"/>
            <w:vAlign w:val="bottom"/>
            <w:vMerge w:val="restart"/>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25,417,917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tcPr>
          <w:p>
            <w:pPr>
              <w:ind w:left="80"/>
              <w:spacing w:after="0" w:line="79" w:lineRule="exact"/>
              <w:rPr>
                <w:sz w:val="20"/>
                <w:szCs w:val="20"/>
                <w:color w:val="auto"/>
              </w:rPr>
            </w:pPr>
            <w:r>
              <w:rPr>
                <w:rFonts w:ascii="Times New Roman" w:cs="Times New Roman" w:eastAsia="Times New Roman" w:hAnsi="Times New Roman"/>
                <w:sz w:val="9"/>
                <w:szCs w:val="9"/>
                <w:b w:val="1"/>
                <w:bCs w:val="1"/>
                <w:color w:val="auto"/>
              </w:rPr>
              <w:t>Stockholders’ Deficit</w:t>
            </w:r>
          </w:p>
        </w:tc>
        <w:tc>
          <w:tcPr>
            <w:tcW w:w="1020" w:type="dxa"/>
            <w:vAlign w:val="bottom"/>
            <w:tcBorders>
              <w:bottom w:val="single" w:sz="8" w:color="auto"/>
            </w:tcBorders>
            <w:vMerge w:val="continue"/>
          </w:tcPr>
          <w:p>
            <w:pPr>
              <w:spacing w:after="0"/>
              <w:rPr>
                <w:sz w:val="8"/>
                <w:szCs w:val="8"/>
                <w:color w:val="auto"/>
              </w:rPr>
            </w:pPr>
          </w:p>
        </w:tc>
        <w:tc>
          <w:tcPr>
            <w:tcW w:w="48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36" w:name="page237"/>
    <w:bookmarkEnd w:id="236"/>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STATEMENTS OF OPERATIONS</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728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1160" w:type="dxa"/>
            <w:vAlign w:val="bottom"/>
            <w:gridSpan w:val="3"/>
          </w:tcPr>
          <w:p>
            <w:pPr>
              <w:jc w:val="right"/>
              <w:ind w:right="36"/>
              <w:spacing w:after="0"/>
              <w:rPr>
                <w:sz w:val="20"/>
                <w:szCs w:val="20"/>
                <w:color w:val="auto"/>
              </w:rPr>
            </w:pPr>
            <w:r>
              <w:rPr>
                <w:rFonts w:ascii="Times New Roman" w:cs="Times New Roman" w:eastAsia="Times New Roman" w:hAnsi="Times New Roman"/>
                <w:sz w:val="8"/>
                <w:szCs w:val="8"/>
                <w:b w:val="1"/>
                <w:bCs w:val="1"/>
                <w:color w:val="auto"/>
              </w:rPr>
              <w:t>For the Three Months Ended</w:t>
            </w:r>
          </w:p>
        </w:tc>
        <w:tc>
          <w:tcPr>
            <w:tcW w:w="11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0" w:type="dxa"/>
            <w:vAlign w:val="bottom"/>
          </w:tcPr>
          <w:p>
            <w:pPr>
              <w:spacing w:after="0"/>
              <w:rPr>
                <w:sz w:val="1"/>
                <w:szCs w:val="1"/>
                <w:color w:val="auto"/>
              </w:rPr>
            </w:pPr>
          </w:p>
        </w:tc>
      </w:tr>
      <w:tr>
        <w:trPr>
          <w:trHeight w:val="87"/>
        </w:trPr>
        <w:tc>
          <w:tcPr>
            <w:tcW w:w="72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7280" w:type="dxa"/>
            <w:vAlign w:val="bottom"/>
          </w:tcPr>
          <w:p>
            <w:pPr>
              <w:spacing w:after="0"/>
              <w:rPr>
                <w:sz w:val="9"/>
                <w:szCs w:val="9"/>
                <w:color w:val="auto"/>
              </w:rPr>
            </w:pPr>
          </w:p>
        </w:tc>
        <w:tc>
          <w:tcPr>
            <w:tcW w:w="1040" w:type="dxa"/>
            <w:vAlign w:val="bottom"/>
          </w:tcPr>
          <w:p>
            <w:pPr>
              <w:jc w:val="right"/>
              <w:ind w:right="154"/>
              <w:spacing w:after="0"/>
              <w:rPr>
                <w:sz w:val="20"/>
                <w:szCs w:val="20"/>
                <w:color w:val="auto"/>
              </w:rPr>
            </w:pPr>
            <w:r>
              <w:rPr>
                <w:rFonts w:ascii="Times New Roman" w:cs="Times New Roman" w:eastAsia="Times New Roman" w:hAnsi="Times New Roman"/>
                <w:sz w:val="8"/>
                <w:szCs w:val="8"/>
                <w:b w:val="1"/>
                <w:bCs w:val="1"/>
                <w:color w:val="auto"/>
              </w:rPr>
              <w:t>2023</w:t>
            </w: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Formation and operating costs</w:t>
            </w:r>
          </w:p>
        </w:tc>
        <w:tc>
          <w:tcPr>
            <w:tcW w:w="1040" w:type="dxa"/>
            <w:vAlign w:val="bottom"/>
            <w:shd w:val="clear" w:color="auto" w:fill="CFF0FC"/>
          </w:tcPr>
          <w:p>
            <w:pPr>
              <w:jc w:val="right"/>
              <w:ind w:right="93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571,529</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394,352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104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Loss from operations</w:t>
            </w:r>
          </w:p>
        </w:tc>
        <w:tc>
          <w:tcPr>
            <w:tcW w:w="104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(621,929 )</w:t>
            </w:r>
          </w:p>
        </w:tc>
        <w:tc>
          <w:tcPr>
            <w:tcW w:w="4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(422,315 )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Other income</w:t>
            </w: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Trust interest income</w:t>
            </w:r>
          </w:p>
        </w:tc>
        <w:tc>
          <w:tcPr>
            <w:tcW w:w="1040" w:type="dxa"/>
            <w:vAlign w:val="bottom"/>
            <w:shd w:val="clear" w:color="auto" w:fill="CFF0FC"/>
          </w:tcPr>
          <w:p>
            <w:pPr>
              <w:spacing w:after="0"/>
              <w:rPr>
                <w:sz w:val="9"/>
                <w:szCs w:val="9"/>
                <w:color w:val="auto"/>
              </w:rPr>
            </w:pPr>
          </w:p>
        </w:tc>
        <w:tc>
          <w:tcPr>
            <w:tcW w:w="4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334,836</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1,289,673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1040" w:type="dxa"/>
            <w:vAlign w:val="bottom"/>
          </w:tcPr>
          <w:p>
            <w:pPr>
              <w:spacing w:after="0"/>
              <w:rPr>
                <w:sz w:val="9"/>
                <w:szCs w:val="9"/>
                <w:color w:val="auto"/>
              </w:rPr>
            </w:pPr>
          </w:p>
        </w:tc>
        <w:tc>
          <w:tcPr>
            <w:tcW w:w="74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(5,387 )</w:t>
            </w:r>
          </w:p>
        </w:tc>
        <w:tc>
          <w:tcPr>
            <w:tcW w:w="420" w:type="dxa"/>
            <w:vAlign w:val="bottom"/>
          </w:tcPr>
          <w:p>
            <w:pPr>
              <w:spacing w:after="0"/>
              <w:rPr>
                <w:sz w:val="9"/>
                <w:szCs w:val="9"/>
                <w:color w:val="auto"/>
              </w:rPr>
            </w:pPr>
          </w:p>
        </w:tc>
        <w:tc>
          <w:tcPr>
            <w:tcW w:w="11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Total other income</w:t>
            </w:r>
          </w:p>
        </w:tc>
        <w:tc>
          <w:tcPr>
            <w:tcW w:w="1040" w:type="dxa"/>
            <w:vAlign w:val="bottom"/>
            <w:shd w:val="clear" w:color="auto" w:fill="CFF0FC"/>
          </w:tcPr>
          <w:p>
            <w:pPr>
              <w:spacing w:after="0"/>
              <w:rPr>
                <w:sz w:val="9"/>
                <w:szCs w:val="9"/>
                <w:color w:val="auto"/>
              </w:rPr>
            </w:pPr>
          </w:p>
        </w:tc>
        <w:tc>
          <w:tcPr>
            <w:tcW w:w="4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329,449</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1,289,673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Income before provision for income taxes</w:t>
            </w:r>
          </w:p>
        </w:tc>
        <w:tc>
          <w:tcPr>
            <w:tcW w:w="1040" w:type="dxa"/>
            <w:vAlign w:val="bottom"/>
          </w:tcPr>
          <w:p>
            <w:pPr>
              <w:spacing w:after="0"/>
              <w:rPr>
                <w:sz w:val="9"/>
                <w:szCs w:val="9"/>
                <w:color w:val="auto"/>
              </w:rPr>
            </w:pPr>
          </w:p>
        </w:tc>
        <w:tc>
          <w:tcPr>
            <w:tcW w:w="74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(292,480 )</w:t>
            </w:r>
          </w:p>
        </w:tc>
        <w:tc>
          <w:tcPr>
            <w:tcW w:w="42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867,358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Provision for income taxes</w:t>
            </w:r>
          </w:p>
        </w:tc>
        <w:tc>
          <w:tcPr>
            <w:tcW w:w="104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(67,834 )</w:t>
            </w:r>
          </w:p>
        </w:tc>
        <w:tc>
          <w:tcPr>
            <w:tcW w:w="4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(260,331 )</w:t>
            </w:r>
          </w:p>
        </w:tc>
        <w:tc>
          <w:tcPr>
            <w:tcW w:w="0" w:type="dxa"/>
            <w:vAlign w:val="bottom"/>
          </w:tcPr>
          <w:p>
            <w:pPr>
              <w:spacing w:after="0"/>
              <w:rPr>
                <w:sz w:val="1"/>
                <w:szCs w:val="1"/>
                <w:color w:val="auto"/>
              </w:rPr>
            </w:pPr>
          </w:p>
        </w:tc>
      </w:tr>
      <w:tr>
        <w:trPr>
          <w:trHeight w:val="115"/>
        </w:trPr>
        <w:tc>
          <w:tcPr>
            <w:tcW w:w="72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Net (loss) income</w:t>
            </w:r>
          </w:p>
        </w:tc>
        <w:tc>
          <w:tcPr>
            <w:tcW w:w="1040" w:type="dxa"/>
            <w:vAlign w:val="bottom"/>
          </w:tcPr>
          <w:p>
            <w:pPr>
              <w:jc w:val="right"/>
              <w:ind w:right="93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gridSpan w:val="2"/>
          </w:tcPr>
          <w:p>
            <w:pPr>
              <w:jc w:val="right"/>
              <w:ind w:right="24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(360,314 </w:t>
            </w:r>
            <w:r>
              <w:rPr>
                <w:rFonts w:ascii="Times New Roman" w:cs="Times New Roman" w:eastAsia="Times New Roman" w:hAnsi="Times New Roman"/>
                <w:sz w:val="10"/>
                <w:szCs w:val="10"/>
                <w:b w:val="1"/>
                <w:bCs w:val="1"/>
                <w:color w:val="auto"/>
                <w:vertAlign w:val="subscript"/>
              </w:rPr>
              <w:t>)</w:t>
            </w:r>
          </w:p>
        </w:tc>
        <w:tc>
          <w:tcPr>
            <w:tcW w:w="420" w:type="dxa"/>
            <w:vAlign w:val="bottom"/>
          </w:tcPr>
          <w:p>
            <w:pPr>
              <w:jc w:val="right"/>
              <w:ind w:right="3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4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607,027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72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Basic and diluted weighted average shares outstanding, common stock subject to</w:t>
            </w:r>
          </w:p>
        </w:tc>
        <w:tc>
          <w:tcPr>
            <w:tcW w:w="104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2,363,349</w:t>
            </w:r>
          </w:p>
        </w:tc>
        <w:tc>
          <w:tcPr>
            <w:tcW w:w="280" w:type="dxa"/>
            <w:vAlign w:val="bottom"/>
            <w:shd w:val="clear" w:color="auto" w:fill="CFF0FC"/>
          </w:tcPr>
          <w:p>
            <w:pPr>
              <w:spacing w:after="0"/>
              <w:rPr>
                <w:sz w:val="9"/>
                <w:szCs w:val="9"/>
                <w:color w:val="auto"/>
              </w:rPr>
            </w:pPr>
          </w:p>
        </w:tc>
        <w:tc>
          <w:tcPr>
            <w:tcW w:w="420" w:type="dxa"/>
            <w:vAlign w:val="bottom"/>
            <w:tcBorders>
              <w:top w:val="single" w:sz="8" w:color="auto"/>
            </w:tcBorders>
            <w:shd w:val="clear" w:color="auto" w:fill="CFF0FC"/>
          </w:tcPr>
          <w:p>
            <w:pPr>
              <w:spacing w:after="0"/>
              <w:rPr>
                <w:sz w:val="9"/>
                <w:szCs w:val="9"/>
                <w:color w:val="auto"/>
              </w:rPr>
            </w:pPr>
          </w:p>
        </w:tc>
        <w:tc>
          <w:tcPr>
            <w:tcW w:w="10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15,000,000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7280" w:type="dxa"/>
            <w:vAlign w:val="bottom"/>
            <w:tcBorders>
              <w:bottom w:val="single" w:sz="8" w:color="CFF0FC"/>
            </w:tcBorders>
            <w:shd w:val="clear" w:color="auto" w:fill="CFF0FC"/>
          </w:tcPr>
          <w:p>
            <w:pPr>
              <w:ind w:left="80"/>
              <w:spacing w:after="0" w:line="77" w:lineRule="exact"/>
              <w:rPr>
                <w:sz w:val="20"/>
                <w:szCs w:val="20"/>
                <w:color w:val="auto"/>
              </w:rPr>
            </w:pPr>
            <w:r>
              <w:rPr>
                <w:rFonts w:ascii="Times New Roman" w:cs="Times New Roman" w:eastAsia="Times New Roman" w:hAnsi="Times New Roman"/>
                <w:sz w:val="7"/>
                <w:szCs w:val="7"/>
                <w:color w:val="auto"/>
              </w:rPr>
              <w:t>possible redemption</w:t>
            </w:r>
          </w:p>
        </w:tc>
        <w:tc>
          <w:tcPr>
            <w:tcW w:w="1040" w:type="dxa"/>
            <w:vAlign w:val="bottom"/>
            <w:tcBorders>
              <w:bottom w:val="single" w:sz="8" w:color="auto"/>
            </w:tcBorders>
            <w:shd w:val="clear" w:color="auto" w:fill="CFF0FC"/>
          </w:tcPr>
          <w:p>
            <w:pPr>
              <w:spacing w:after="0"/>
              <w:rPr>
                <w:sz w:val="8"/>
                <w:szCs w:val="8"/>
                <w:color w:val="auto"/>
              </w:rPr>
            </w:pPr>
          </w:p>
        </w:tc>
        <w:tc>
          <w:tcPr>
            <w:tcW w:w="460" w:type="dxa"/>
            <w:vAlign w:val="bottom"/>
            <w:tcBorders>
              <w:bottom w:val="single" w:sz="8" w:color="auto"/>
            </w:tcBorders>
            <w:vMerge w:val="continue"/>
            <w:shd w:val="clear" w:color="auto" w:fill="CFF0FC"/>
          </w:tcPr>
          <w:p>
            <w:pPr>
              <w:spacing w:after="0"/>
              <w:rPr>
                <w:sz w:val="8"/>
                <w:szCs w:val="8"/>
                <w:color w:val="auto"/>
              </w:rPr>
            </w:pPr>
          </w:p>
        </w:tc>
        <w:tc>
          <w:tcPr>
            <w:tcW w:w="280" w:type="dxa"/>
            <w:vAlign w:val="bottom"/>
            <w:tcBorders>
              <w:bottom w:val="single" w:sz="8" w:color="CFF0FC"/>
            </w:tcBorders>
            <w:shd w:val="clear" w:color="auto" w:fill="CFF0FC"/>
          </w:tcPr>
          <w:p>
            <w:pPr>
              <w:spacing w:after="0"/>
              <w:rPr>
                <w:sz w:val="8"/>
                <w:szCs w:val="8"/>
                <w:color w:val="auto"/>
              </w:rPr>
            </w:pPr>
          </w:p>
        </w:tc>
        <w:tc>
          <w:tcPr>
            <w:tcW w:w="420" w:type="dxa"/>
            <w:vAlign w:val="bottom"/>
            <w:tcBorders>
              <w:bottom w:val="single" w:sz="8" w:color="auto"/>
            </w:tcBorders>
            <w:shd w:val="clear" w:color="auto" w:fill="CFF0FC"/>
          </w:tcPr>
          <w:p>
            <w:pPr>
              <w:spacing w:after="0"/>
              <w:rPr>
                <w:sz w:val="8"/>
                <w:szCs w:val="8"/>
                <w:color w:val="auto"/>
              </w:rPr>
            </w:pPr>
          </w:p>
        </w:tc>
        <w:tc>
          <w:tcPr>
            <w:tcW w:w="1040" w:type="dxa"/>
            <w:vAlign w:val="bottom"/>
            <w:tcBorders>
              <w:bottom w:val="single" w:sz="8" w:color="auto"/>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income per share</w:t>
            </w:r>
          </w:p>
        </w:tc>
        <w:tc>
          <w:tcPr>
            <w:tcW w:w="1040" w:type="dxa"/>
            <w:vAlign w:val="bottom"/>
          </w:tcPr>
          <w:p>
            <w:pPr>
              <w:jc w:val="right"/>
              <w:ind w:right="93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gridSpan w:val="2"/>
          </w:tcPr>
          <w:p>
            <w:pPr>
              <w:jc w:val="right"/>
              <w:ind w:right="24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(0.04 </w:t>
            </w:r>
            <w:r>
              <w:rPr>
                <w:rFonts w:ascii="Times New Roman" w:cs="Times New Roman" w:eastAsia="Times New Roman" w:hAnsi="Times New Roman"/>
                <w:sz w:val="10"/>
                <w:szCs w:val="10"/>
                <w:b w:val="1"/>
                <w:bCs w:val="1"/>
                <w:color w:val="auto"/>
                <w:vertAlign w:val="subscript"/>
              </w:rPr>
              <w:t>)</w:t>
            </w:r>
          </w:p>
        </w:tc>
        <w:tc>
          <w:tcPr>
            <w:tcW w:w="420" w:type="dxa"/>
            <w:vAlign w:val="bottom"/>
          </w:tcPr>
          <w:p>
            <w:pPr>
              <w:jc w:val="right"/>
              <w:ind w:right="3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4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Basic and diluted weighted average shares outstanding, non-redeemable common stock</w:t>
            </w:r>
          </w:p>
        </w:tc>
        <w:tc>
          <w:tcPr>
            <w:tcW w:w="1040" w:type="dxa"/>
            <w:vAlign w:val="bottom"/>
            <w:tcBorders>
              <w:top w:val="single" w:sz="8" w:color="auto"/>
              <w:bottom w:val="single" w:sz="8" w:color="auto"/>
            </w:tcBorders>
            <w:shd w:val="clear" w:color="auto" w:fill="CFF0FC"/>
          </w:tcPr>
          <w:p>
            <w:pPr>
              <w:spacing w:after="0"/>
              <w:rPr>
                <w:sz w:val="10"/>
                <w:szCs w:val="10"/>
                <w:color w:val="auto"/>
              </w:rPr>
            </w:pPr>
          </w:p>
        </w:tc>
        <w:tc>
          <w:tcPr>
            <w:tcW w:w="460" w:type="dxa"/>
            <w:vAlign w:val="bottom"/>
            <w:tcBorders>
              <w:top w:val="single" w:sz="8" w:color="auto"/>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280" w:type="dxa"/>
            <w:vAlign w:val="bottom"/>
            <w:tcBorders>
              <w:bottom w:val="single" w:sz="8" w:color="CFF0FC"/>
            </w:tcBorders>
            <w:shd w:val="clear" w:color="auto" w:fill="CFF0FC"/>
          </w:tcPr>
          <w:p>
            <w:pPr>
              <w:spacing w:after="0"/>
              <w:rPr>
                <w:sz w:val="10"/>
                <w:szCs w:val="10"/>
                <w:color w:val="auto"/>
              </w:rPr>
            </w:pPr>
          </w:p>
        </w:tc>
        <w:tc>
          <w:tcPr>
            <w:tcW w:w="420" w:type="dxa"/>
            <w:vAlign w:val="bottom"/>
            <w:tcBorders>
              <w:top w:val="single" w:sz="8" w:color="auto"/>
              <w:bottom w:val="single" w:sz="8" w:color="auto"/>
            </w:tcBorders>
            <w:shd w:val="clear" w:color="auto" w:fill="CFF0FC"/>
          </w:tcPr>
          <w:p>
            <w:pPr>
              <w:spacing w:after="0"/>
              <w:rPr>
                <w:sz w:val="10"/>
                <w:szCs w:val="10"/>
                <w:color w:val="auto"/>
              </w:rPr>
            </w:pPr>
          </w:p>
        </w:tc>
        <w:tc>
          <w:tcPr>
            <w:tcW w:w="1040" w:type="dxa"/>
            <w:vAlign w:val="bottom"/>
            <w:tcBorders>
              <w:top w:val="single" w:sz="8" w:color="auto"/>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income per share</w:t>
            </w:r>
          </w:p>
        </w:tc>
        <w:tc>
          <w:tcPr>
            <w:tcW w:w="1040" w:type="dxa"/>
            <w:vAlign w:val="bottom"/>
          </w:tcPr>
          <w:p>
            <w:pPr>
              <w:jc w:val="right"/>
              <w:ind w:right="93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gridSpan w:val="2"/>
          </w:tcPr>
          <w:p>
            <w:pPr>
              <w:jc w:val="right"/>
              <w:ind w:right="24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(0.04 </w:t>
            </w:r>
            <w:r>
              <w:rPr>
                <w:rFonts w:ascii="Times New Roman" w:cs="Times New Roman" w:eastAsia="Times New Roman" w:hAnsi="Times New Roman"/>
                <w:sz w:val="10"/>
                <w:szCs w:val="10"/>
                <w:b w:val="1"/>
                <w:bCs w:val="1"/>
                <w:color w:val="auto"/>
                <w:vertAlign w:val="subscript"/>
              </w:rPr>
              <w:t>)</w:t>
            </w:r>
          </w:p>
        </w:tc>
        <w:tc>
          <w:tcPr>
            <w:tcW w:w="420" w:type="dxa"/>
            <w:vAlign w:val="bottom"/>
          </w:tcPr>
          <w:p>
            <w:pPr>
              <w:jc w:val="right"/>
              <w:ind w:right="3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4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7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37" w:name="page238"/>
    <w:bookmarkEnd w:id="237"/>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STATEMENTS OF CHANGES IN STOCKHOLDERS’ DEFICIT</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 THE THREE MONTHS ENDED DECEMBER 31,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4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w w:val="98"/>
              </w:rPr>
              <w:t>Additional</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Total</w:t>
            </w:r>
          </w:p>
        </w:tc>
      </w:tr>
      <w:tr>
        <w:trPr>
          <w:trHeight w:val="98"/>
        </w:trPr>
        <w:tc>
          <w:tcPr>
            <w:tcW w:w="4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60" w:type="dxa"/>
            <w:vAlign w:val="bottom"/>
            <w:gridSpan w:val="3"/>
          </w:tcPr>
          <w:p>
            <w:pPr>
              <w:jc w:val="right"/>
              <w:ind w:right="655"/>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w w:val="96"/>
              </w:rPr>
              <w:t>Paid-in</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60" w:type="dxa"/>
            <w:vAlign w:val="bottom"/>
          </w:tcPr>
          <w:p>
            <w:pPr>
              <w:spacing w:after="0"/>
              <w:rPr>
                <w:sz w:val="8"/>
                <w:szCs w:val="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6"/>
        </w:trPr>
        <w:tc>
          <w:tcPr>
            <w:tcW w:w="4500" w:type="dxa"/>
            <w:vAlign w:val="bottom"/>
          </w:tcPr>
          <w:p>
            <w:pPr>
              <w:spacing w:after="0"/>
              <w:rPr>
                <w:sz w:val="9"/>
                <w:szCs w:val="9"/>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8"/>
                <w:szCs w:val="8"/>
                <w:b w:val="1"/>
                <w:bCs w:val="1"/>
                <w:color w:val="auto"/>
                <w:w w:val="94"/>
              </w:rPr>
              <w:t>Shares</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jc w:val="right"/>
              <w:ind w:right="135"/>
              <w:spacing w:after="0"/>
              <w:rPr>
                <w:sz w:val="20"/>
                <w:szCs w:val="20"/>
                <w:color w:val="auto"/>
              </w:rPr>
            </w:pPr>
            <w:r>
              <w:rPr>
                <w:rFonts w:ascii="Times New Roman" w:cs="Times New Roman" w:eastAsia="Times New Roman" w:hAnsi="Times New Roman"/>
                <w:sz w:val="8"/>
                <w:szCs w:val="8"/>
                <w:b w:val="1"/>
                <w:bCs w:val="1"/>
                <w:color w:val="auto"/>
              </w:rPr>
              <w:t>Amount</w:t>
            </w: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center"/>
              <w:ind w:right="174"/>
              <w:spacing w:after="0"/>
              <w:rPr>
                <w:sz w:val="20"/>
                <w:szCs w:val="20"/>
                <w:color w:val="auto"/>
              </w:rPr>
            </w:pPr>
            <w:r>
              <w:rPr>
                <w:rFonts w:ascii="Times New Roman" w:cs="Times New Roman" w:eastAsia="Times New Roman" w:hAnsi="Times New Roman"/>
                <w:sz w:val="8"/>
                <w:szCs w:val="8"/>
                <w:b w:val="1"/>
                <w:bCs w:val="1"/>
                <w:color w:val="auto"/>
              </w:rPr>
              <w:t>Capital</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60" w:type="dxa"/>
            <w:vAlign w:val="bottom"/>
          </w:tcPr>
          <w:p>
            <w:pPr>
              <w:spacing w:after="0"/>
              <w:rPr>
                <w:sz w:val="9"/>
                <w:szCs w:val="9"/>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Deficit</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2023</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1060" w:type="dxa"/>
            <w:vAlign w:val="bottom"/>
            <w:gridSpan w:val="2"/>
            <w:shd w:val="clear" w:color="auto" w:fill="CFF0FC"/>
          </w:tcPr>
          <w:p>
            <w:pPr>
              <w:jc w:val="right"/>
              <w:ind w:right="735"/>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3"/>
              </w:rPr>
              <w:t>570</w:t>
            </w:r>
          </w:p>
        </w:tc>
        <w:tc>
          <w:tcPr>
            <w:tcW w:w="400" w:type="dxa"/>
            <w:vAlign w:val="bottom"/>
            <w:gridSpan w:val="2"/>
            <w:shd w:val="clear" w:color="auto" w:fill="CFF0FC"/>
          </w:tcPr>
          <w:p>
            <w:pPr>
              <w:jc w:val="right"/>
              <w:ind w:right="14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gridSpan w:val="2"/>
            <w:shd w:val="clear" w:color="auto" w:fill="CFF0FC"/>
          </w:tcPr>
          <w:p>
            <w:pPr>
              <w:jc w:val="right"/>
              <w:ind w:right="1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(8,486,582 )</w:t>
            </w:r>
          </w:p>
        </w:tc>
        <w:tc>
          <w:tcPr>
            <w:tcW w:w="1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(8,486,012 )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100" w:type="dxa"/>
            <w:vAlign w:val="bottom"/>
          </w:tcPr>
          <w:p>
            <w:pPr>
              <w:spacing w:after="0"/>
              <w:rPr>
                <w:sz w:val="9"/>
                <w:szCs w:val="9"/>
                <w:color w:val="auto"/>
              </w:rPr>
            </w:pPr>
          </w:p>
        </w:tc>
      </w:tr>
      <w:tr>
        <w:trPr>
          <w:trHeight w:val="106"/>
        </w:trPr>
        <w:tc>
          <w:tcPr>
            <w:tcW w:w="516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Proceeds allocated to Sponsor Shares for subscription</w:t>
            </w: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agreement liability (see note 4)</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100" w:type="dxa"/>
            <w:vAlign w:val="bottom"/>
            <w:shd w:val="clear" w:color="auto" w:fill="CFF0FC"/>
          </w:tcPr>
          <w:p>
            <w:pPr>
              <w:spacing w:after="0"/>
              <w:rPr>
                <w:sz w:val="10"/>
                <w:szCs w:val="10"/>
                <w:color w:val="auto"/>
              </w:rPr>
            </w:pPr>
          </w:p>
        </w:tc>
      </w:tr>
      <w:tr>
        <w:trPr>
          <w:trHeight w:val="106"/>
        </w:trPr>
        <w:tc>
          <w:tcPr>
            <w:tcW w:w="516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 subject</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51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to possible redemption</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(467,884 )</w:t>
            </w:r>
          </w:p>
        </w:tc>
        <w:tc>
          <w:tcPr>
            <w:tcW w:w="160" w:type="dxa"/>
            <w:vAlign w:val="bottom"/>
          </w:tcPr>
          <w:p>
            <w:pPr>
              <w:spacing w:after="0"/>
              <w:rPr>
                <w:sz w:val="10"/>
                <w:szCs w:val="1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(467,884 )</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(360,314 )</w:t>
            </w:r>
          </w:p>
        </w:tc>
        <w:tc>
          <w:tcPr>
            <w:tcW w:w="160" w:type="dxa"/>
            <w:vAlign w:val="bottom"/>
            <w:shd w:val="clear" w:color="auto" w:fill="CFF0FC"/>
          </w:tcPr>
          <w:p>
            <w:pPr>
              <w:spacing w:after="0"/>
              <w:rPr>
                <w:sz w:val="9"/>
                <w:szCs w:val="9"/>
                <w:color w:val="auto"/>
              </w:rPr>
            </w:pPr>
          </w:p>
        </w:tc>
        <w:tc>
          <w:tcPr>
            <w:tcW w:w="9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(360,314 )</w:t>
            </w:r>
          </w:p>
        </w:tc>
      </w:tr>
      <w:tr>
        <w:trPr>
          <w:trHeight w:val="113"/>
        </w:trPr>
        <w:tc>
          <w:tcPr>
            <w:tcW w:w="450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 December 31, 2023</w:t>
            </w:r>
          </w:p>
        </w:tc>
        <w:tc>
          <w:tcPr>
            <w:tcW w:w="660" w:type="dxa"/>
            <w:vAlign w:val="bottom"/>
          </w:tcPr>
          <w:p>
            <w:pPr>
              <w:spacing w:after="0"/>
              <w:rPr>
                <w:sz w:val="9"/>
                <w:szCs w:val="9"/>
                <w:color w:val="auto"/>
              </w:rPr>
            </w:pPr>
          </w:p>
        </w:tc>
        <w:tc>
          <w:tcPr>
            <w:tcW w:w="40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220" w:type="dxa"/>
            <w:vAlign w:val="bottom"/>
          </w:tcPr>
          <w:p>
            <w:pPr>
              <w:spacing w:after="0"/>
              <w:rPr>
                <w:sz w:val="9"/>
                <w:szCs w:val="9"/>
                <w:color w:val="auto"/>
              </w:rPr>
            </w:pPr>
          </w:p>
        </w:tc>
        <w:tc>
          <w:tcPr>
            <w:tcW w:w="840" w:type="dxa"/>
            <w:vAlign w:val="bottom"/>
          </w:tcPr>
          <w:p>
            <w:pPr>
              <w:jc w:val="right"/>
              <w:ind w:right="735"/>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3"/>
              </w:rPr>
              <w:t>570</w:t>
            </w:r>
          </w:p>
        </w:tc>
        <w:tc>
          <w:tcPr>
            <w:tcW w:w="400" w:type="dxa"/>
            <w:vAlign w:val="bottom"/>
            <w:gridSpan w:val="2"/>
          </w:tcPr>
          <w:p>
            <w:pPr>
              <w:jc w:val="right"/>
              <w:ind w:right="140"/>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159,036</w:t>
            </w:r>
          </w:p>
        </w:tc>
        <w:tc>
          <w:tcPr>
            <w:tcW w:w="380" w:type="dxa"/>
            <w:vAlign w:val="bottom"/>
            <w:gridSpan w:val="2"/>
          </w:tcPr>
          <w:p>
            <w:pPr>
              <w:jc w:val="right"/>
              <w:ind w:right="120"/>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10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(9,314,780 </w:t>
            </w:r>
            <w:r>
              <w:rPr>
                <w:rFonts w:ascii="Times New Roman" w:cs="Times New Roman" w:eastAsia="Times New Roman" w:hAnsi="Times New Roman"/>
                <w:sz w:val="10"/>
                <w:szCs w:val="10"/>
                <w:b w:val="1"/>
                <w:bCs w:val="1"/>
                <w:color w:val="auto"/>
                <w:vertAlign w:val="subscript"/>
              </w:rPr>
              <w:t>)</w:t>
            </w:r>
          </w:p>
        </w:tc>
        <w:tc>
          <w:tcPr>
            <w:tcW w:w="160" w:type="dxa"/>
            <w:vAlign w:val="bottom"/>
          </w:tcPr>
          <w:p>
            <w:pPr>
              <w:jc w:val="right"/>
              <w:ind w:right="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(9,155,176 </w:t>
            </w:r>
            <w:r>
              <w:rPr>
                <w:rFonts w:ascii="Times New Roman" w:cs="Times New Roman" w:eastAsia="Times New Roman" w:hAnsi="Times New Roman"/>
                <w:sz w:val="10"/>
                <w:szCs w:val="10"/>
                <w:b w:val="1"/>
                <w:bCs w:val="1"/>
                <w:color w:val="auto"/>
                <w:vertAlign w:val="subscript"/>
              </w:rPr>
              <w:t>)</w:t>
            </w:r>
          </w:p>
        </w:tc>
      </w:tr>
      <w:tr>
        <w:trPr>
          <w:trHeight w:val="23"/>
        </w:trPr>
        <w:tc>
          <w:tcPr>
            <w:tcW w:w="450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1"/>
        </w:trPr>
        <w:tc>
          <w:tcPr>
            <w:tcW w:w="6620" w:type="dxa"/>
            <w:vAlign w:val="bottom"/>
            <w:gridSpan w:val="5"/>
          </w:tcPr>
          <w:p>
            <w:pPr>
              <w:ind w:left="4020"/>
              <w:spacing w:after="0"/>
              <w:rPr>
                <w:sz w:val="20"/>
                <w:szCs w:val="20"/>
                <w:color w:val="auto"/>
              </w:rPr>
            </w:pPr>
            <w:r>
              <w:rPr>
                <w:rFonts w:ascii="Times New Roman" w:cs="Times New Roman" w:eastAsia="Times New Roman" w:hAnsi="Times New Roman"/>
                <w:sz w:val="10"/>
                <w:szCs w:val="10"/>
                <w:b w:val="1"/>
                <w:bCs w:val="1"/>
                <w:color w:val="auto"/>
                <w:w w:val="97"/>
              </w:rPr>
              <w:t>FOR THE THREE MONTHS ENDED DECEMBER 31, 2022</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1"/>
        </w:trPr>
        <w:tc>
          <w:tcPr>
            <w:tcW w:w="4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w w:val="98"/>
              </w:rPr>
              <w:t>Additional</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Total</w:t>
            </w:r>
          </w:p>
        </w:tc>
      </w:tr>
      <w:tr>
        <w:trPr>
          <w:trHeight w:val="98"/>
        </w:trPr>
        <w:tc>
          <w:tcPr>
            <w:tcW w:w="4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60" w:type="dxa"/>
            <w:vAlign w:val="bottom"/>
            <w:gridSpan w:val="3"/>
          </w:tcPr>
          <w:p>
            <w:pPr>
              <w:jc w:val="right"/>
              <w:ind w:right="655"/>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w w:val="96"/>
              </w:rPr>
              <w:t>Paid-in</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60" w:type="dxa"/>
            <w:vAlign w:val="bottom"/>
          </w:tcPr>
          <w:p>
            <w:pPr>
              <w:spacing w:after="0"/>
              <w:rPr>
                <w:sz w:val="8"/>
                <w:szCs w:val="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6"/>
        </w:trPr>
        <w:tc>
          <w:tcPr>
            <w:tcW w:w="4500" w:type="dxa"/>
            <w:vAlign w:val="bottom"/>
          </w:tcPr>
          <w:p>
            <w:pPr>
              <w:spacing w:after="0"/>
              <w:rPr>
                <w:sz w:val="9"/>
                <w:szCs w:val="9"/>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8"/>
                <w:szCs w:val="8"/>
                <w:b w:val="1"/>
                <w:bCs w:val="1"/>
                <w:color w:val="auto"/>
                <w:w w:val="94"/>
              </w:rPr>
              <w:t>Shares</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jc w:val="right"/>
              <w:ind w:right="135"/>
              <w:spacing w:after="0"/>
              <w:rPr>
                <w:sz w:val="20"/>
                <w:szCs w:val="20"/>
                <w:color w:val="auto"/>
              </w:rPr>
            </w:pPr>
            <w:r>
              <w:rPr>
                <w:rFonts w:ascii="Times New Roman" w:cs="Times New Roman" w:eastAsia="Times New Roman" w:hAnsi="Times New Roman"/>
                <w:sz w:val="8"/>
                <w:szCs w:val="8"/>
                <w:b w:val="1"/>
                <w:bCs w:val="1"/>
                <w:color w:val="auto"/>
              </w:rPr>
              <w:t>Amount</w:t>
            </w: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center"/>
              <w:ind w:right="174"/>
              <w:spacing w:after="0"/>
              <w:rPr>
                <w:sz w:val="20"/>
                <w:szCs w:val="20"/>
                <w:color w:val="auto"/>
              </w:rPr>
            </w:pPr>
            <w:r>
              <w:rPr>
                <w:rFonts w:ascii="Times New Roman" w:cs="Times New Roman" w:eastAsia="Times New Roman" w:hAnsi="Times New Roman"/>
                <w:sz w:val="8"/>
                <w:szCs w:val="8"/>
                <w:b w:val="1"/>
                <w:bCs w:val="1"/>
                <w:color w:val="auto"/>
              </w:rPr>
              <w:t>Capital</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60" w:type="dxa"/>
            <w:vAlign w:val="bottom"/>
          </w:tcPr>
          <w:p>
            <w:pPr>
              <w:spacing w:after="0"/>
              <w:rPr>
                <w:sz w:val="9"/>
                <w:szCs w:val="9"/>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Deficit</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2022 (audited)</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1060" w:type="dxa"/>
            <w:vAlign w:val="bottom"/>
            <w:gridSpan w:val="2"/>
            <w:shd w:val="clear" w:color="auto" w:fill="CFF0FC"/>
          </w:tcPr>
          <w:p>
            <w:pPr>
              <w:jc w:val="right"/>
              <w:ind w:right="735"/>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3"/>
              </w:rPr>
              <w:t>570</w:t>
            </w:r>
          </w:p>
        </w:tc>
        <w:tc>
          <w:tcPr>
            <w:tcW w:w="400" w:type="dxa"/>
            <w:vAlign w:val="bottom"/>
            <w:gridSpan w:val="2"/>
            <w:shd w:val="clear" w:color="auto" w:fill="CFF0FC"/>
          </w:tcPr>
          <w:p>
            <w:pPr>
              <w:jc w:val="right"/>
              <w:ind w:right="14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941,796</w:t>
            </w:r>
          </w:p>
        </w:tc>
        <w:tc>
          <w:tcPr>
            <w:tcW w:w="380" w:type="dxa"/>
            <w:vAlign w:val="bottom"/>
            <w:gridSpan w:val="2"/>
            <w:shd w:val="clear" w:color="auto" w:fill="CFF0FC"/>
          </w:tcPr>
          <w:p>
            <w:pPr>
              <w:jc w:val="right"/>
              <w:ind w:right="1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(4,091,693 )</w:t>
            </w:r>
          </w:p>
        </w:tc>
        <w:tc>
          <w:tcPr>
            <w:tcW w:w="1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(3,149,327 )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9"/>
                <w:szCs w:val="9"/>
                <w:color w:val="auto"/>
              </w:rPr>
            </w:pPr>
          </w:p>
        </w:tc>
      </w:tr>
      <w:tr>
        <w:trPr>
          <w:trHeight w:val="106"/>
        </w:trPr>
        <w:tc>
          <w:tcPr>
            <w:tcW w:w="516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 subject</w:t>
            </w: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to possible redemption</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(2,479,343 )</w:t>
            </w:r>
          </w:p>
        </w:tc>
        <w:tc>
          <w:tcPr>
            <w:tcW w:w="16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(2,479,343 )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Net income</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607,027</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607,027</w:t>
            </w:r>
          </w:p>
        </w:tc>
        <w:tc>
          <w:tcPr>
            <w:tcW w:w="100" w:type="dxa"/>
            <w:vAlign w:val="bottom"/>
          </w:tcPr>
          <w:p>
            <w:pPr>
              <w:spacing w:after="0"/>
              <w:rPr>
                <w:sz w:val="9"/>
                <w:szCs w:val="9"/>
                <w:color w:val="auto"/>
              </w:rPr>
            </w:pPr>
          </w:p>
        </w:tc>
      </w:tr>
      <w:tr>
        <w:trPr>
          <w:trHeight w:val="113"/>
        </w:trPr>
        <w:tc>
          <w:tcPr>
            <w:tcW w:w="4500" w:type="dxa"/>
            <w:vAlign w:val="bottom"/>
            <w:shd w:val="clear" w:color="auto" w:fill="CFF0FC"/>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 December 31, 2022</w:t>
            </w:r>
          </w:p>
        </w:tc>
        <w:tc>
          <w:tcPr>
            <w:tcW w:w="660" w:type="dxa"/>
            <w:vAlign w:val="bottom"/>
            <w:shd w:val="clear" w:color="auto" w:fill="CFF0FC"/>
          </w:tcPr>
          <w:p>
            <w:pPr>
              <w:spacing w:after="0"/>
              <w:rPr>
                <w:sz w:val="9"/>
                <w:szCs w:val="9"/>
                <w:color w:val="auto"/>
              </w:rPr>
            </w:pPr>
          </w:p>
        </w:tc>
        <w:tc>
          <w:tcPr>
            <w:tcW w:w="40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jc w:val="right"/>
              <w:ind w:right="735"/>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3"/>
              </w:rPr>
              <w:t>570</w:t>
            </w:r>
          </w:p>
        </w:tc>
        <w:tc>
          <w:tcPr>
            <w:tcW w:w="400" w:type="dxa"/>
            <w:vAlign w:val="bottom"/>
            <w:gridSpan w:val="2"/>
            <w:shd w:val="clear" w:color="auto" w:fill="CFF0FC"/>
          </w:tcPr>
          <w:p>
            <w:pPr>
              <w:jc w:val="right"/>
              <w:ind w:right="140"/>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969,759</w:t>
            </w:r>
          </w:p>
        </w:tc>
        <w:tc>
          <w:tcPr>
            <w:tcW w:w="380" w:type="dxa"/>
            <w:vAlign w:val="bottom"/>
            <w:gridSpan w:val="2"/>
            <w:shd w:val="clear" w:color="auto" w:fill="CFF0FC"/>
          </w:tcPr>
          <w:p>
            <w:pPr>
              <w:jc w:val="right"/>
              <w:ind w:right="120"/>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1060" w:type="dxa"/>
            <w:vAlign w:val="bottom"/>
            <w:gridSpan w:val="2"/>
            <w:shd w:val="clear" w:color="auto" w:fill="CFF0FC"/>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(5,964,009 </w:t>
            </w:r>
            <w:r>
              <w:rPr>
                <w:rFonts w:ascii="Times New Roman" w:cs="Times New Roman" w:eastAsia="Times New Roman" w:hAnsi="Times New Roman"/>
                <w:sz w:val="10"/>
                <w:szCs w:val="10"/>
                <w:b w:val="1"/>
                <w:bCs w:val="1"/>
                <w:color w:val="auto"/>
                <w:vertAlign w:val="subscript"/>
              </w:rPr>
              <w:t>)</w:t>
            </w:r>
          </w:p>
        </w:tc>
        <w:tc>
          <w:tcPr>
            <w:tcW w:w="160" w:type="dxa"/>
            <w:vAlign w:val="bottom"/>
            <w:shd w:val="clear" w:color="auto" w:fill="CFF0FC"/>
          </w:tcPr>
          <w:p>
            <w:pPr>
              <w:jc w:val="right"/>
              <w:ind w:right="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shd w:val="clear" w:color="auto" w:fill="CFF0FC"/>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(4,993,680 </w:t>
            </w:r>
            <w:r>
              <w:rPr>
                <w:rFonts w:ascii="Times New Roman" w:cs="Times New Roman" w:eastAsia="Times New Roman" w:hAnsi="Times New Roman"/>
                <w:sz w:val="10"/>
                <w:szCs w:val="10"/>
                <w:b w:val="1"/>
                <w:bCs w:val="1"/>
                <w:color w:val="auto"/>
                <w:vertAlign w:val="subscript"/>
              </w:rPr>
              <w:t>)</w:t>
            </w:r>
          </w:p>
        </w:tc>
      </w:tr>
      <w:tr>
        <w:trPr>
          <w:trHeight w:val="23"/>
        </w:trPr>
        <w:tc>
          <w:tcPr>
            <w:tcW w:w="45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38" w:name="page239"/>
    <w:bookmarkEnd w:id="238"/>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 CONDENSED STATEMENTS OF CASH FLOWS</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7280" w:type="dxa"/>
            <w:vAlign w:val="bottom"/>
          </w:tcPr>
          <w:p>
            <w:pPr>
              <w:spacing w:after="0"/>
              <w:rPr>
                <w:sz w:val="9"/>
                <w:szCs w:val="9"/>
                <w:color w:val="auto"/>
              </w:rPr>
            </w:pPr>
          </w:p>
        </w:tc>
        <w:tc>
          <w:tcPr>
            <w:tcW w:w="1060" w:type="dxa"/>
            <w:vAlign w:val="bottom"/>
            <w:vMerge w:val="restart"/>
          </w:tcPr>
          <w:p>
            <w:pPr>
              <w:jc w:val="right"/>
              <w:ind w:right="14"/>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1140" w:type="dxa"/>
            <w:vAlign w:val="bottom"/>
            <w:gridSpan w:val="3"/>
          </w:tcPr>
          <w:p>
            <w:pPr>
              <w:jc w:val="right"/>
              <w:ind w:right="36"/>
              <w:spacing w:after="0"/>
              <w:rPr>
                <w:sz w:val="20"/>
                <w:szCs w:val="20"/>
                <w:color w:val="auto"/>
              </w:rPr>
            </w:pPr>
            <w:r>
              <w:rPr>
                <w:rFonts w:ascii="Times New Roman" w:cs="Times New Roman" w:eastAsia="Times New Roman" w:hAnsi="Times New Roman"/>
                <w:sz w:val="8"/>
                <w:szCs w:val="8"/>
                <w:b w:val="1"/>
                <w:bCs w:val="1"/>
                <w:color w:val="auto"/>
              </w:rPr>
              <w:t>For the Three Months Ended</w:t>
            </w:r>
          </w:p>
        </w:tc>
        <w:tc>
          <w:tcPr>
            <w:tcW w:w="11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0" w:type="dxa"/>
            <w:vAlign w:val="bottom"/>
          </w:tcPr>
          <w:p>
            <w:pPr>
              <w:spacing w:after="0"/>
              <w:rPr>
                <w:sz w:val="1"/>
                <w:szCs w:val="1"/>
                <w:color w:val="auto"/>
              </w:rPr>
            </w:pPr>
          </w:p>
        </w:tc>
      </w:tr>
      <w:tr>
        <w:trPr>
          <w:trHeight w:val="87"/>
        </w:trPr>
        <w:tc>
          <w:tcPr>
            <w:tcW w:w="728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7280" w:type="dxa"/>
            <w:vAlign w:val="bottom"/>
          </w:tcPr>
          <w:p>
            <w:pPr>
              <w:spacing w:after="0"/>
              <w:rPr>
                <w:sz w:val="9"/>
                <w:szCs w:val="9"/>
                <w:color w:val="auto"/>
              </w:rPr>
            </w:pP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8"/>
                <w:szCs w:val="8"/>
                <w:b w:val="1"/>
                <w:bCs w:val="1"/>
                <w:color w:val="auto"/>
              </w:rPr>
              <w:t>2023</w:t>
            </w: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 income</w:t>
            </w:r>
          </w:p>
        </w:tc>
        <w:tc>
          <w:tcPr>
            <w:tcW w:w="1060" w:type="dxa"/>
            <w:vAlign w:val="bottom"/>
          </w:tcPr>
          <w:p>
            <w:pPr>
              <w:jc w:val="right"/>
              <w:ind w:right="95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(360,314 )</w:t>
            </w:r>
          </w:p>
        </w:tc>
        <w:tc>
          <w:tcPr>
            <w:tcW w:w="420" w:type="dxa"/>
            <w:vAlign w:val="bottom"/>
          </w:tcPr>
          <w:p>
            <w:pPr>
              <w:jc w:val="right"/>
              <w:ind w:right="356"/>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607,027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Adjustments to reconcile net (loss) income to net cash used in operating activities:</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Interest earned on investments held in Trust Account</w:t>
            </w:r>
          </w:p>
        </w:tc>
        <w:tc>
          <w:tcPr>
            <w:tcW w:w="1060" w:type="dxa"/>
            <w:vAlign w:val="bottom"/>
          </w:tcPr>
          <w:p>
            <w:pPr>
              <w:spacing w:after="0"/>
              <w:rPr>
                <w:sz w:val="9"/>
                <w:szCs w:val="9"/>
                <w:color w:val="auto"/>
              </w:rPr>
            </w:pPr>
          </w:p>
        </w:tc>
        <w:tc>
          <w:tcPr>
            <w:tcW w:w="7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(334,836 )</w:t>
            </w:r>
          </w:p>
        </w:tc>
        <w:tc>
          <w:tcPr>
            <w:tcW w:w="420" w:type="dxa"/>
            <w:vAlign w:val="bottom"/>
          </w:tcPr>
          <w:p>
            <w:pPr>
              <w:spacing w:after="0"/>
              <w:rPr>
                <w:sz w:val="9"/>
                <w:szCs w:val="9"/>
                <w:color w:val="auto"/>
              </w:rPr>
            </w:pPr>
          </w:p>
        </w:tc>
        <w:tc>
          <w:tcPr>
            <w:tcW w:w="11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(1,289,673 )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5,387</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106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Changes in current assets and liabilities:</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ind w:left="200"/>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106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20,071</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55,678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ind w:left="200"/>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424,300</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24,344</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ind w:left="200"/>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106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67,834</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260,331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ind w:left="200"/>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11,819</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50,000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1060" w:type="dxa"/>
            <w:vAlign w:val="bottom"/>
          </w:tcPr>
          <w:p>
            <w:pPr>
              <w:spacing w:after="0"/>
              <w:rPr>
                <w:sz w:val="9"/>
                <w:szCs w:val="9"/>
                <w:color w:val="auto"/>
              </w:rPr>
            </w:pPr>
          </w:p>
        </w:tc>
        <w:tc>
          <w:tcPr>
            <w:tcW w:w="7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(115,339 )</w:t>
            </w:r>
          </w:p>
        </w:tc>
        <w:tc>
          <w:tcPr>
            <w:tcW w:w="420" w:type="dxa"/>
            <w:vAlign w:val="bottom"/>
          </w:tcPr>
          <w:p>
            <w:pPr>
              <w:spacing w:after="0"/>
              <w:rPr>
                <w:sz w:val="9"/>
                <w:szCs w:val="9"/>
                <w:color w:val="auto"/>
              </w:rPr>
            </w:pPr>
          </w:p>
        </w:tc>
        <w:tc>
          <w:tcPr>
            <w:tcW w:w="11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(264,331 )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Principal deposited in Trust Account</w:t>
            </w:r>
          </w:p>
        </w:tc>
        <w:tc>
          <w:tcPr>
            <w:tcW w:w="1060" w:type="dxa"/>
            <w:vAlign w:val="bottom"/>
          </w:tcPr>
          <w:p>
            <w:pPr>
              <w:spacing w:after="0"/>
              <w:rPr>
                <w:sz w:val="9"/>
                <w:szCs w:val="9"/>
                <w:color w:val="auto"/>
              </w:rPr>
            </w:pPr>
          </w:p>
        </w:tc>
        <w:tc>
          <w:tcPr>
            <w:tcW w:w="7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(212,701 )</w:t>
            </w:r>
          </w:p>
        </w:tc>
        <w:tc>
          <w:tcPr>
            <w:tcW w:w="420" w:type="dxa"/>
            <w:vAlign w:val="bottom"/>
          </w:tcPr>
          <w:p>
            <w:pPr>
              <w:spacing w:after="0"/>
              <w:rPr>
                <w:sz w:val="9"/>
                <w:szCs w:val="9"/>
                <w:color w:val="auto"/>
              </w:rPr>
            </w:pPr>
          </w:p>
        </w:tc>
        <w:tc>
          <w:tcPr>
            <w:tcW w:w="11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investing activities</w:t>
            </w:r>
          </w:p>
        </w:tc>
        <w:tc>
          <w:tcPr>
            <w:tcW w:w="1060" w:type="dxa"/>
            <w:vAlign w:val="bottom"/>
            <w:shd w:val="clear" w:color="auto" w:fill="CFF0FC"/>
          </w:tcPr>
          <w:p>
            <w:pPr>
              <w:spacing w:after="0"/>
              <w:rPr>
                <w:sz w:val="9"/>
                <w:szCs w:val="9"/>
                <w:color w:val="auto"/>
              </w:rPr>
            </w:pPr>
          </w:p>
        </w:tc>
        <w:tc>
          <w:tcPr>
            <w:tcW w:w="72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(212,701 )</w:t>
            </w:r>
          </w:p>
        </w:tc>
        <w:tc>
          <w:tcPr>
            <w:tcW w:w="4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(1,500,000 )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promissory notes to related party</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212,161</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1,950,000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subscription agreement</w:t>
            </w:r>
          </w:p>
        </w:tc>
        <w:tc>
          <w:tcPr>
            <w:tcW w:w="106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110,000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provided by financing activities</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322,161</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1,950,000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change in cash</w:t>
            </w:r>
          </w:p>
        </w:tc>
        <w:tc>
          <w:tcPr>
            <w:tcW w:w="1060" w:type="dxa"/>
            <w:vAlign w:val="bottom"/>
          </w:tcPr>
          <w:p>
            <w:pPr>
              <w:spacing w:after="0"/>
              <w:rPr>
                <w:sz w:val="9"/>
                <w:szCs w:val="9"/>
                <w:color w:val="auto"/>
              </w:rPr>
            </w:pPr>
          </w:p>
        </w:tc>
        <w:tc>
          <w:tcPr>
            <w:tcW w:w="7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(5,879 )</w:t>
            </w:r>
          </w:p>
        </w:tc>
        <w:tc>
          <w:tcPr>
            <w:tcW w:w="42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185,669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beginning of the period</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60,284</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177,578</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end of the period</w:t>
            </w:r>
          </w:p>
        </w:tc>
        <w:tc>
          <w:tcPr>
            <w:tcW w:w="1060" w:type="dxa"/>
            <w:vAlign w:val="bottom"/>
            <w:tcBorders>
              <w:bottom w:val="single" w:sz="8" w:color="auto"/>
            </w:tcBorders>
          </w:tcPr>
          <w:p>
            <w:pPr>
              <w:jc w:val="right"/>
              <w:ind w:right="954"/>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44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54,405</w:t>
            </w:r>
          </w:p>
        </w:tc>
        <w:tc>
          <w:tcPr>
            <w:tcW w:w="280" w:type="dxa"/>
            <w:vAlign w:val="bottom"/>
          </w:tcPr>
          <w:p>
            <w:pPr>
              <w:spacing w:after="0"/>
              <w:rPr>
                <w:sz w:val="10"/>
                <w:szCs w:val="10"/>
                <w:color w:val="auto"/>
              </w:rPr>
            </w:pPr>
          </w:p>
        </w:tc>
        <w:tc>
          <w:tcPr>
            <w:tcW w:w="4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4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363,247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Supplemental disclosure of noncash investing and financing activities</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Subsequent remeasurement of common stock subject to possible redemption</w:t>
            </w:r>
          </w:p>
        </w:tc>
        <w:tc>
          <w:tcPr>
            <w:tcW w:w="1060" w:type="dxa"/>
            <w:vAlign w:val="bottom"/>
            <w:tcBorders>
              <w:bottom w:val="single" w:sz="8" w:color="auto"/>
            </w:tcBorders>
          </w:tcPr>
          <w:p>
            <w:pPr>
              <w:jc w:val="right"/>
              <w:ind w:right="95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467,884</w:t>
            </w:r>
          </w:p>
        </w:tc>
        <w:tc>
          <w:tcPr>
            <w:tcW w:w="280" w:type="dxa"/>
            <w:vAlign w:val="bottom"/>
          </w:tcPr>
          <w:p>
            <w:pPr>
              <w:spacing w:after="0"/>
              <w:rPr>
                <w:sz w:val="10"/>
                <w:szCs w:val="10"/>
                <w:color w:val="auto"/>
              </w:rPr>
            </w:pPr>
          </w:p>
        </w:tc>
        <w:tc>
          <w:tcPr>
            <w:tcW w:w="4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2,479,343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Cost of issuance of debt under Polar agreement</w:t>
            </w:r>
          </w:p>
        </w:tc>
        <w:tc>
          <w:tcPr>
            <w:tcW w:w="1060" w:type="dxa"/>
            <w:vAlign w:val="bottom"/>
            <w:tcBorders>
              <w:bottom w:val="single" w:sz="8" w:color="auto"/>
            </w:tcBorders>
            <w:shd w:val="clear" w:color="auto" w:fill="CFF0FC"/>
          </w:tcPr>
          <w:p>
            <w:pPr>
              <w:jc w:val="right"/>
              <w:ind w:right="95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108,634</w:t>
            </w:r>
          </w:p>
        </w:tc>
        <w:tc>
          <w:tcPr>
            <w:tcW w:w="280" w:type="dxa"/>
            <w:vAlign w:val="bottom"/>
            <w:tcBorders>
              <w:bottom w:val="single" w:sz="8" w:color="CFF0FC"/>
            </w:tcBorders>
            <w:shd w:val="clear" w:color="auto" w:fill="CFF0FC"/>
          </w:tcPr>
          <w:p>
            <w:pPr>
              <w:spacing w:after="0"/>
              <w:rPr>
                <w:sz w:val="10"/>
                <w:szCs w:val="10"/>
                <w:color w:val="auto"/>
              </w:rPr>
            </w:pPr>
          </w:p>
        </w:tc>
        <w:tc>
          <w:tcPr>
            <w:tcW w:w="420" w:type="dxa"/>
            <w:vAlign w:val="bottom"/>
            <w:tcBorders>
              <w:bottom w:val="single" w:sz="8" w:color="auto"/>
            </w:tcBorders>
            <w:shd w:val="clear" w:color="auto" w:fill="CFF0FC"/>
          </w:tcPr>
          <w:p>
            <w:pPr>
              <w:jc w:val="right"/>
              <w:ind w:right="356"/>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39" w:name="page240"/>
    <w:bookmarkEnd w:id="239"/>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NOTES TO UNAUDITED CONDENSED FINANCIAL STATEMENTS</w:t>
      </w:r>
    </w:p>
    <w:p>
      <w:pPr>
        <w:jc w:val="center"/>
        <w:spacing w:after="0"/>
        <w:rPr>
          <w:sz w:val="20"/>
          <w:szCs w:val="20"/>
          <w:color w:val="auto"/>
        </w:rPr>
      </w:pPr>
      <w:r>
        <w:rPr>
          <w:rFonts w:ascii="Times New Roman" w:cs="Times New Roman" w:eastAsia="Times New Roman" w:hAnsi="Times New Roman"/>
          <w:sz w:val="10"/>
          <w:szCs w:val="10"/>
          <w:b w:val="1"/>
          <w:bCs w:val="1"/>
          <w:color w:val="auto"/>
        </w:rPr>
        <w:t>DECEMBER 31, 2023</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Note–1 - Organization, Business Operations and Going Concern</w:t>
      </w:r>
    </w:p>
    <w:p>
      <w:pPr>
        <w:spacing w:after="0" w:line="60"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 As more fully described in this Note 1,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108"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As of December 31, 2023, the Company had not commenced any operations. All activity for the period from November 5, 2020 (inception) through December 31, 2023,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sponsor is Armada Sponsor LLC (the “Sponsor”).</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registration statement for the Company’s IPO was declared effective on August 12, 2021 (the “Effective Date”). On August 17, 2021, the Company commenced the IPO of 15,000,000 units at $10.00 per unit (the “Units”).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Simultaneously with the consummation of the IPO, the Company consummated the private placement of 459,500 shares of common stock (“Private Shares”) at a price of $10.00 per share for an aggregate purchase price of $4,595,000.</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Transaction costs amounted to $3,537,515, consisting of $1,500,000 of underwriting commissions, and $2,037,515 of other offering costs.</w:t>
      </w:r>
    </w:p>
    <w:p>
      <w:pPr>
        <w:spacing w:after="0" w:line="118"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2a- 7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09"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01"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40" w:name="page241"/>
    <w:bookmarkEnd w:id="240"/>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1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08"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Company had until February 17, 2023 (or 18 months following the IPO) to consummate a Business Combination (the “Combination Period”). As further described in Note 1,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05"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February17, 2024.</w:t>
      </w:r>
    </w:p>
    <w:p>
      <w:pPr>
        <w:spacing w:after="0" w:line="101"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 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1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05"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41" w:name="page242"/>
    <w:bookmarkEnd w:id="241"/>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08"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08" w:lineRule="exact"/>
        <w:rPr>
          <w:sz w:val="20"/>
          <w:szCs w:val="20"/>
          <w:color w:val="auto"/>
        </w:rPr>
      </w:pPr>
    </w:p>
    <w:p>
      <w:pPr>
        <w:ind w:right="20" w:firstLine="480"/>
        <w:spacing w:after="0" w:line="269" w:lineRule="auto"/>
        <w:rPr>
          <w:sz w:val="20"/>
          <w:szCs w:val="20"/>
          <w:color w:val="auto"/>
        </w:rPr>
      </w:pPr>
      <w:r>
        <w:rPr>
          <w:rFonts w:ascii="Times New Roman" w:cs="Times New Roman" w:eastAsia="Times New Roman" w:hAnsi="Times New Roman"/>
          <w:sz w:val="9"/>
          <w:szCs w:val="9"/>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 “Pre-Closing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 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96" w:lineRule="exact"/>
        <w:rPr>
          <w:sz w:val="20"/>
          <w:szCs w:val="20"/>
          <w:color w:val="auto"/>
        </w:rPr>
      </w:pPr>
    </w:p>
    <w:p>
      <w:pPr>
        <w:ind w:firstLine="480"/>
        <w:spacing w:after="0" w:line="285" w:lineRule="auto"/>
        <w:rPr>
          <w:sz w:val="20"/>
          <w:szCs w:val="20"/>
          <w:color w:val="auto"/>
        </w:rPr>
      </w:pPr>
      <w:r>
        <w:rPr>
          <w:rFonts w:ascii="Times New Roman" w:cs="Times New Roman" w:eastAsia="Times New Roman" w:hAnsi="Times New Roman"/>
          <w:sz w:val="9"/>
          <w:szCs w:val="9"/>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89"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1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42" w:name="page243"/>
    <w:bookmarkEnd w:id="242"/>
    <w:p>
      <w:pPr>
        <w:ind w:right="40" w:firstLine="480"/>
        <w:spacing w:after="0" w:line="270" w:lineRule="auto"/>
        <w:rPr>
          <w:sz w:val="20"/>
          <w:szCs w:val="20"/>
          <w:color w:val="auto"/>
        </w:rPr>
      </w:pPr>
      <w:r>
        <w:rPr>
          <w:rFonts w:ascii="Times New Roman" w:cs="Times New Roman" w:eastAsia="Times New Roman" w:hAnsi="Times New Roman"/>
          <w:sz w:val="9"/>
          <w:szCs w:val="9"/>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12, 2023, October 11, 2023, November 9, 2023, December 19, 2023 and January 16, 2024 the Company borrowed $70,900 under the Extension Note on each such date and deposited the funds into the Trust Account thereby extending the Combination Period for five additional months or until February 17, 2024. Payments made on December 19, 2023 and January 16, 2024 were funded under the terms of the Subscription Agreement with Polar (see Note 4 below).</w:t>
      </w:r>
    </w:p>
    <w:p>
      <w:pPr>
        <w:spacing w:after="0" w:line="96"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1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01"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Liquidity and Going Concern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December 31, 2023, the Company had approximately $54,000 of cash in its bank operating account and a working capital deficiency of approximately $9.1 million (excluding income tax payable and franchise tax payable).</w:t>
      </w:r>
    </w:p>
    <w:p>
      <w:pPr>
        <w:spacing w:after="0" w:line="118"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101" w:lineRule="exact"/>
        <w:rPr>
          <w:sz w:val="20"/>
          <w:szCs w:val="20"/>
          <w:color w:val="auto"/>
        </w:rPr>
      </w:pPr>
    </w:p>
    <w:p>
      <w:pPr>
        <w:ind w:right="400" w:firstLine="480"/>
        <w:spacing w:after="0" w:line="255" w:lineRule="auto"/>
        <w:rPr>
          <w:sz w:val="20"/>
          <w:szCs w:val="20"/>
          <w:color w:val="auto"/>
        </w:rPr>
      </w:pPr>
      <w:r>
        <w:rPr>
          <w:rFonts w:ascii="Times New Roman" w:cs="Times New Roman" w:eastAsia="Times New Roman" w:hAnsi="Times New Roman"/>
          <w:sz w:val="10"/>
          <w:szCs w:val="10"/>
          <w:color w:val="auto"/>
        </w:rPr>
        <w:t>The aggregate balance outstanding under all promissory notes, including the Extension Note, was $2,776,600 and $2,564,439 as of December 31, 2023, and September 30, 2023, respectively. The balance of subscription agreement liability (net of debt discount) was $6,752 as of December 31, 2023, and $0 as of September 30, 2023.</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43" w:name="page244"/>
    <w:bookmarkEnd w:id="243"/>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Company’s assessment of going concern considerations in accordance with the Financial Accounting Standards Board’s (“FASB”) Accounting Standards Update (“ASU”) 2014 -15,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Risks and Uncertainties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Inflation Reduction Act of 2022</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1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08" w:lineRule="exact"/>
        <w:rPr>
          <w:sz w:val="20"/>
          <w:szCs w:val="20"/>
          <w:color w:val="auto"/>
        </w:rPr>
      </w:pPr>
    </w:p>
    <w:p>
      <w:pPr>
        <w:jc w:val="both"/>
        <w:ind w:right="260" w:firstLine="480"/>
        <w:spacing w:after="0" w:line="285" w:lineRule="auto"/>
        <w:rPr>
          <w:sz w:val="20"/>
          <w:szCs w:val="20"/>
          <w:color w:val="auto"/>
        </w:rPr>
      </w:pPr>
      <w:r>
        <w:rPr>
          <w:rFonts w:ascii="Times New Roman" w:cs="Times New Roman" w:eastAsia="Times New Roman" w:hAnsi="Times New Roman"/>
          <w:sz w:val="9"/>
          <w:szCs w:val="9"/>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at a redemption price of approximately $10.98 per share, for an aggregate redemption amount of $10,384,496.</w:t>
      </w:r>
    </w:p>
    <w:p>
      <w:pPr>
        <w:spacing w:after="0" w:line="89"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Management has evaluated the requirements of the IR Act and the Company’s operations, and has determined that $1,291,751 is required to be recorded as a liability on the Company’s balance sheet as of December 31, 2023. This liability will be reevaluated and remeasured at the end of each quarterly period.</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0"/>
          <w:szCs w:val="10"/>
          <w:b w:val="1"/>
          <w:bCs w:val="1"/>
          <w:color w:val="auto"/>
        </w:rPr>
        <w:t>Note 2 — Significant Accounting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Basis of Presentation</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months ended December 31, 2023, are not necessarily indicative of the results that may be expected through September 30, 2024.</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unaudited condensed financial statements should be read in conjunction with the Company’s Annual Report on Form10-K, as filed with SEC on December 4,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Emerging Growth Company Status</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9"/>
          <w:szCs w:val="9"/>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Use of Estimates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Cash</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considers all short-term investments with an original maturity of three months or less when purchased to be cash equivalents. The Company had $54,405 and $60,284 in cash as of December 31, 2023 and September 30,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Investments Held in Trust Account</w:t>
      </w:r>
    </w:p>
    <w:p>
      <w:pPr>
        <w:spacing w:after="0" w:line="60" w:lineRule="exact"/>
        <w:rPr>
          <w:sz w:val="20"/>
          <w:szCs w:val="20"/>
          <w:color w:val="auto"/>
        </w:rPr>
      </w:pPr>
    </w:p>
    <w:p>
      <w:pPr>
        <w:ind w:right="260" w:firstLine="480"/>
        <w:spacing w:after="0" w:line="245" w:lineRule="auto"/>
        <w:rPr>
          <w:sz w:val="20"/>
          <w:szCs w:val="20"/>
          <w:color w:val="auto"/>
        </w:rPr>
      </w:pPr>
      <w:r>
        <w:rPr>
          <w:rFonts w:ascii="Times New Roman" w:cs="Times New Roman" w:eastAsia="Times New Roman" w:hAnsi="Times New Roman"/>
          <w:sz w:val="10"/>
          <w:szCs w:val="10"/>
          <w:color w:val="auto"/>
        </w:rPr>
        <w:t>As of both December 31, 2023 and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0"/>
          <w:szCs w:val="10"/>
          <w:b w:val="1"/>
          <w:bCs w:val="1"/>
          <w:i w:val="1"/>
          <w:iCs w:val="1"/>
          <w:color w:val="auto"/>
        </w:rPr>
        <w:t>Fair Value Measurements</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 defined as observable inputs such as quoted prices (unadjusted) for identical instruments in active markets;</w:t>
      </w:r>
    </w:p>
    <w:p>
      <w:pPr>
        <w:spacing w:after="0" w:line="58" w:lineRule="exact"/>
        <w:rPr>
          <w:sz w:val="20"/>
          <w:szCs w:val="20"/>
          <w:color w:val="auto"/>
        </w:rPr>
      </w:pPr>
    </w:p>
    <w:p>
      <w:pPr>
        <w:ind w:left="480" w:right="240"/>
        <w:spacing w:after="0" w:line="255" w:lineRule="auto"/>
        <w:rPr>
          <w:sz w:val="20"/>
          <w:szCs w:val="20"/>
          <w:color w:val="auto"/>
        </w:rPr>
      </w:pPr>
      <w:r>
        <w:rPr>
          <w:rFonts w:ascii="Times New Roman" w:cs="Times New Roman" w:eastAsia="Times New Roman" w:hAnsi="Times New Roman"/>
          <w:sz w:val="10"/>
          <w:szCs w:val="10"/>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41" w:lineRule="exact"/>
        <w:rPr>
          <w:sz w:val="20"/>
          <w:szCs w:val="20"/>
          <w:color w:val="auto"/>
        </w:rPr>
      </w:pPr>
    </w:p>
    <w:p>
      <w:pPr>
        <w:ind w:left="480" w:right="200"/>
        <w:spacing w:after="0" w:line="255" w:lineRule="auto"/>
        <w:rPr>
          <w:sz w:val="20"/>
          <w:szCs w:val="20"/>
          <w:color w:val="auto"/>
        </w:rPr>
      </w:pPr>
      <w:r>
        <w:rPr>
          <w:rFonts w:ascii="Times New Roman" w:cs="Times New Roman" w:eastAsia="Times New Roman" w:hAnsi="Times New Roman"/>
          <w:sz w:val="10"/>
          <w:szCs w:val="10"/>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1"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fair value of certain of the Company’s assets and liabilities, which qualify as financial instruments under ASC 820, “Fair Value Measurement,” approximates the carrying amounts represented in the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Concentration of Credit Risk</w:t>
      </w:r>
    </w:p>
    <w:p>
      <w:pPr>
        <w:spacing w:after="0" w:line="6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Financial instruments that potentially subject the Company to concentrations of credit risk consist of a cash account in a financial institution, which, at times, may exceed the Federal Depository Insurance Corporation limit of $250,000. At December 31, 2023 and September 30, 2023, the Company has not experienced losses on this account and management believes the Company is not exposed to significant risks on such account.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Offering Costs Associated with IPO</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the requirements of ASC 340- 10 -S99-1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 Subject to Possible Redemption</w:t>
      </w:r>
    </w:p>
    <w:p>
      <w:pPr>
        <w:spacing w:after="0" w:line="60"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2,363,349 shares of common stock as of September 30, 2023 and December 31, 2023 subject to possible redemption are presented at redemption value as temporary equity, outside of the stockholders’ deficit section of the Company’s balance sheets.</w:t>
      </w:r>
    </w:p>
    <w:p>
      <w:pPr>
        <w:spacing w:after="0" w:line="11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46" w:name="page247"/>
    <w:bookmarkEnd w:id="246"/>
    <w:tbl>
      <w:tblPr>
        <w:tblLayout w:type="fixed"/>
        <w:tblInd w:w="480" w:type="dxa"/>
        <w:tblCellMar>
          <w:top w:w="0" w:type="dxa"/>
          <w:left w:w="0" w:type="dxa"/>
          <w:bottom w:w="0" w:type="dxa"/>
          <w:right w:w="0" w:type="dxa"/>
        </w:tblCellMar>
      </w:tblPr>
      <w:tr>
        <w:trPr>
          <w:trHeight w:val="125"/>
        </w:trPr>
        <w:tc>
          <w:tcPr>
            <w:tcW w:w="59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At December 31, 2023 and September 30, 2023, the common stock reflected in the balance sheets are reconciled in the following table:</w:t>
            </w:r>
          </w:p>
        </w:tc>
        <w:tc>
          <w:tcPr>
            <w:tcW w:w="112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52"/>
        </w:trPr>
        <w:tc>
          <w:tcPr>
            <w:tcW w:w="164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13"/>
        </w:trPr>
        <w:tc>
          <w:tcPr>
            <w:tcW w:w="1640" w:type="dxa"/>
            <w:vAlign w:val="bottom"/>
          </w:tcPr>
          <w:p>
            <w:pPr>
              <w:spacing w:after="0"/>
              <w:rPr>
                <w:sz w:val="9"/>
                <w:szCs w:val="9"/>
                <w:color w:val="auto"/>
              </w:rPr>
            </w:pPr>
          </w:p>
        </w:tc>
        <w:tc>
          <w:tcPr>
            <w:tcW w:w="4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Gross Proceeds</w:t>
            </w:r>
          </w:p>
        </w:tc>
        <w:tc>
          <w:tcPr>
            <w:tcW w:w="1120" w:type="dxa"/>
            <w:vAlign w:val="bottom"/>
            <w:shd w:val="clear" w:color="auto" w:fill="CFF0FC"/>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150,000,000</w:t>
            </w:r>
          </w:p>
        </w:tc>
      </w:tr>
      <w:tr>
        <w:trPr>
          <w:trHeight w:val="113"/>
        </w:trPr>
        <w:tc>
          <w:tcPr>
            <w:tcW w:w="1640" w:type="dxa"/>
            <w:vAlign w:val="bottom"/>
          </w:tcPr>
          <w:p>
            <w:pPr>
              <w:spacing w:after="0"/>
              <w:rPr>
                <w:sz w:val="9"/>
                <w:szCs w:val="9"/>
                <w:color w:val="auto"/>
              </w:rPr>
            </w:pPr>
          </w:p>
        </w:tc>
        <w:tc>
          <w:tcPr>
            <w:tcW w:w="43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allocated to Public Warrants</w:t>
            </w:r>
          </w:p>
        </w:tc>
        <w:tc>
          <w:tcPr>
            <w:tcW w:w="1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(11,700,000 )</w:t>
            </w:r>
          </w:p>
        </w:tc>
      </w:tr>
      <w:tr>
        <w:trPr>
          <w:trHeight w:val="113"/>
        </w:trPr>
        <w:tc>
          <w:tcPr>
            <w:tcW w:w="1640" w:type="dxa"/>
            <w:vAlign w:val="bottom"/>
          </w:tcPr>
          <w:p>
            <w:pPr>
              <w:spacing w:after="0"/>
              <w:rPr>
                <w:sz w:val="9"/>
                <w:szCs w:val="9"/>
                <w:color w:val="auto"/>
              </w:rPr>
            </w:pPr>
          </w:p>
        </w:tc>
        <w:tc>
          <w:tcPr>
            <w:tcW w:w="4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Issuance costs related to common stock</w:t>
            </w:r>
          </w:p>
        </w:tc>
        <w:tc>
          <w:tcPr>
            <w:tcW w:w="1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(3,261,589 )</w:t>
            </w:r>
          </w:p>
        </w:tc>
      </w:tr>
      <w:tr>
        <w:trPr>
          <w:trHeight w:val="113"/>
        </w:trPr>
        <w:tc>
          <w:tcPr>
            <w:tcW w:w="1640" w:type="dxa"/>
            <w:vAlign w:val="bottom"/>
          </w:tcPr>
          <w:p>
            <w:pPr>
              <w:spacing w:after="0"/>
              <w:rPr>
                <w:sz w:val="9"/>
                <w:szCs w:val="9"/>
                <w:color w:val="auto"/>
              </w:rPr>
            </w:pPr>
          </w:p>
        </w:tc>
        <w:tc>
          <w:tcPr>
            <w:tcW w:w="43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1120" w:type="dxa"/>
            <w:vAlign w:val="bottom"/>
          </w:tcPr>
          <w:p>
            <w:pPr>
              <w:spacing w:after="0"/>
              <w:rPr>
                <w:sz w:val="9"/>
                <w:szCs w:val="9"/>
                <w:color w:val="auto"/>
              </w:rPr>
            </w:pPr>
          </w:p>
        </w:tc>
        <w:tc>
          <w:tcPr>
            <w:tcW w:w="920" w:type="dxa"/>
            <w:vAlign w:val="bottom"/>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14,961,589</w:t>
            </w:r>
          </w:p>
        </w:tc>
      </w:tr>
      <w:tr>
        <w:trPr>
          <w:trHeight w:val="106"/>
        </w:trPr>
        <w:tc>
          <w:tcPr>
            <w:tcW w:w="1640" w:type="dxa"/>
            <w:vAlign w:val="bottom"/>
          </w:tcPr>
          <w:p>
            <w:pPr>
              <w:spacing w:after="0"/>
              <w:rPr>
                <w:sz w:val="9"/>
                <w:szCs w:val="9"/>
                <w:color w:val="auto"/>
              </w:rPr>
            </w:pPr>
          </w:p>
        </w:tc>
        <w:tc>
          <w:tcPr>
            <w:tcW w:w="434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carrying value to redemption</w:t>
            </w:r>
          </w:p>
        </w:tc>
        <w:tc>
          <w:tcPr>
            <w:tcW w:w="1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r>
      <w:tr>
        <w:trPr>
          <w:trHeight w:val="113"/>
        </w:trPr>
        <w:tc>
          <w:tcPr>
            <w:tcW w:w="1640" w:type="dxa"/>
            <w:vAlign w:val="bottom"/>
          </w:tcPr>
          <w:p>
            <w:pPr>
              <w:spacing w:after="0"/>
              <w:rPr>
                <w:sz w:val="9"/>
                <w:szCs w:val="9"/>
                <w:color w:val="auto"/>
              </w:rPr>
            </w:pPr>
          </w:p>
        </w:tc>
        <w:tc>
          <w:tcPr>
            <w:tcW w:w="434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value – Trust interest income (excluding the amount that</w:t>
            </w:r>
          </w:p>
        </w:tc>
        <w:tc>
          <w:tcPr>
            <w:tcW w:w="1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r>
      <w:tr>
        <w:trPr>
          <w:trHeight w:val="119"/>
        </w:trPr>
        <w:tc>
          <w:tcPr>
            <w:tcW w:w="1640" w:type="dxa"/>
            <w:vAlign w:val="bottom"/>
          </w:tcPr>
          <w:p>
            <w:pPr>
              <w:spacing w:after="0"/>
              <w:rPr>
                <w:sz w:val="10"/>
                <w:szCs w:val="10"/>
                <w:color w:val="auto"/>
              </w:rPr>
            </w:pPr>
          </w:p>
        </w:tc>
        <w:tc>
          <w:tcPr>
            <w:tcW w:w="4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can be withdrawn from Trust Account for taxes)</w:t>
            </w:r>
          </w:p>
        </w:tc>
        <w:tc>
          <w:tcPr>
            <w:tcW w:w="1120" w:type="dxa"/>
            <w:vAlign w:val="bottom"/>
            <w:shd w:val="clear" w:color="auto" w:fill="CFF0FC"/>
          </w:tcPr>
          <w:p>
            <w:pPr>
              <w:spacing w:after="0"/>
              <w:rPr>
                <w:sz w:val="10"/>
                <w:szCs w:val="10"/>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color w:val="auto"/>
              </w:rPr>
              <w:t>548,862</w:t>
            </w:r>
          </w:p>
        </w:tc>
      </w:tr>
      <w:tr>
        <w:trPr>
          <w:trHeight w:val="104"/>
        </w:trPr>
        <w:tc>
          <w:tcPr>
            <w:tcW w:w="1640" w:type="dxa"/>
            <w:vAlign w:val="bottom"/>
          </w:tcPr>
          <w:p>
            <w:pPr>
              <w:spacing w:after="0"/>
              <w:rPr>
                <w:sz w:val="9"/>
                <w:szCs w:val="9"/>
                <w:color w:val="auto"/>
              </w:rPr>
            </w:pPr>
          </w:p>
        </w:tc>
        <w:tc>
          <w:tcPr>
            <w:tcW w:w="434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112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21"/>
        </w:trPr>
        <w:tc>
          <w:tcPr>
            <w:tcW w:w="1640" w:type="dxa"/>
            <w:vAlign w:val="bottom"/>
          </w:tcPr>
          <w:p>
            <w:pPr>
              <w:spacing w:after="0"/>
              <w:rPr>
                <w:sz w:val="10"/>
                <w:szCs w:val="10"/>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 2022</w:t>
            </w:r>
          </w:p>
        </w:tc>
        <w:tc>
          <w:tcPr>
            <w:tcW w:w="1120" w:type="dxa"/>
            <w:vAlign w:val="bottom"/>
          </w:tcPr>
          <w:p>
            <w:pPr>
              <w:spacing w:after="0"/>
              <w:rPr>
                <w:sz w:val="10"/>
                <w:szCs w:val="10"/>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150,548,862</w:t>
            </w:r>
          </w:p>
        </w:tc>
      </w:tr>
      <w:tr>
        <w:trPr>
          <w:trHeight w:val="113"/>
        </w:trPr>
        <w:tc>
          <w:tcPr>
            <w:tcW w:w="1640" w:type="dxa"/>
            <w:vAlign w:val="bottom"/>
          </w:tcPr>
          <w:p>
            <w:pPr>
              <w:spacing w:after="0"/>
              <w:rPr>
                <w:sz w:val="9"/>
                <w:szCs w:val="9"/>
                <w:color w:val="auto"/>
              </w:rPr>
            </w:pPr>
          </w:p>
        </w:tc>
        <w:tc>
          <w:tcPr>
            <w:tcW w:w="4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Redemptions</w:t>
            </w:r>
          </w:p>
        </w:tc>
        <w:tc>
          <w:tcPr>
            <w:tcW w:w="1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(129,175,094 )</w:t>
            </w:r>
          </w:p>
        </w:tc>
      </w:tr>
      <w:tr>
        <w:trPr>
          <w:trHeight w:val="113"/>
        </w:trPr>
        <w:tc>
          <w:tcPr>
            <w:tcW w:w="1640" w:type="dxa"/>
            <w:vAlign w:val="bottom"/>
          </w:tcPr>
          <w:p>
            <w:pPr>
              <w:spacing w:after="0"/>
              <w:rPr>
                <w:sz w:val="9"/>
                <w:szCs w:val="9"/>
                <w:color w:val="auto"/>
              </w:rPr>
            </w:pPr>
          </w:p>
        </w:tc>
        <w:tc>
          <w:tcPr>
            <w:tcW w:w="43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1120" w:type="dxa"/>
            <w:vAlign w:val="bottom"/>
          </w:tcPr>
          <w:p>
            <w:pPr>
              <w:spacing w:after="0"/>
              <w:rPr>
                <w:sz w:val="9"/>
                <w:szCs w:val="9"/>
                <w:color w:val="auto"/>
              </w:rPr>
            </w:pPr>
          </w:p>
        </w:tc>
        <w:tc>
          <w:tcPr>
            <w:tcW w:w="920" w:type="dxa"/>
            <w:vAlign w:val="bottom"/>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3,943,038</w:t>
            </w:r>
          </w:p>
        </w:tc>
      </w:tr>
      <w:tr>
        <w:trPr>
          <w:trHeight w:val="104"/>
        </w:trPr>
        <w:tc>
          <w:tcPr>
            <w:tcW w:w="1640" w:type="dxa"/>
            <w:vAlign w:val="bottom"/>
          </w:tcPr>
          <w:p>
            <w:pPr>
              <w:spacing w:after="0"/>
              <w:rPr>
                <w:sz w:val="9"/>
                <w:szCs w:val="9"/>
                <w:color w:val="auto"/>
              </w:rPr>
            </w:pPr>
          </w:p>
        </w:tc>
        <w:tc>
          <w:tcPr>
            <w:tcW w:w="434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1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r>
      <w:tr>
        <w:trPr>
          <w:trHeight w:val="121"/>
        </w:trPr>
        <w:tc>
          <w:tcPr>
            <w:tcW w:w="1640" w:type="dxa"/>
            <w:vAlign w:val="bottom"/>
          </w:tcPr>
          <w:p>
            <w:pPr>
              <w:spacing w:after="0"/>
              <w:rPr>
                <w:sz w:val="10"/>
                <w:szCs w:val="10"/>
                <w:color w:val="auto"/>
              </w:rPr>
            </w:pPr>
          </w:p>
        </w:tc>
        <w:tc>
          <w:tcPr>
            <w:tcW w:w="4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 2023</w:t>
            </w:r>
          </w:p>
        </w:tc>
        <w:tc>
          <w:tcPr>
            <w:tcW w:w="1120" w:type="dxa"/>
            <w:vAlign w:val="bottom"/>
            <w:shd w:val="clear" w:color="auto" w:fill="CFF0FC"/>
          </w:tcPr>
          <w:p>
            <w:pPr>
              <w:jc w:val="right"/>
              <w:ind w:right="291"/>
              <w:spacing w:after="0"/>
              <w:rPr>
                <w:sz w:val="20"/>
                <w:szCs w:val="20"/>
                <w:color w:val="auto"/>
              </w:rPr>
            </w:pPr>
            <w:r>
              <w:rPr>
                <w:rFonts w:ascii="Times New Roman" w:cs="Times New Roman" w:eastAsia="Times New Roman" w:hAnsi="Times New Roman"/>
                <w:sz w:val="10"/>
                <w:szCs w:val="10"/>
                <w:b w:val="1"/>
                <w:bCs w:val="1"/>
                <w:color w:val="auto"/>
              </w:rPr>
              <w:t>$</w:t>
            </w: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25,316,806</w:t>
            </w:r>
          </w:p>
        </w:tc>
      </w:tr>
      <w:tr>
        <w:trPr>
          <w:trHeight w:val="113"/>
        </w:trPr>
        <w:tc>
          <w:tcPr>
            <w:tcW w:w="1640" w:type="dxa"/>
            <w:vAlign w:val="bottom"/>
          </w:tcPr>
          <w:p>
            <w:pPr>
              <w:spacing w:after="0"/>
              <w:rPr>
                <w:sz w:val="9"/>
                <w:szCs w:val="9"/>
                <w:color w:val="auto"/>
              </w:rPr>
            </w:pPr>
          </w:p>
        </w:tc>
        <w:tc>
          <w:tcPr>
            <w:tcW w:w="43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1120" w:type="dxa"/>
            <w:vAlign w:val="bottom"/>
          </w:tcPr>
          <w:p>
            <w:pPr>
              <w:spacing w:after="0"/>
              <w:rPr>
                <w:sz w:val="9"/>
                <w:szCs w:val="9"/>
                <w:color w:val="auto"/>
              </w:rPr>
            </w:pPr>
          </w:p>
        </w:tc>
        <w:tc>
          <w:tcPr>
            <w:tcW w:w="920" w:type="dxa"/>
            <w:vAlign w:val="bottom"/>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467,884</w:t>
            </w:r>
          </w:p>
        </w:tc>
      </w:tr>
      <w:tr>
        <w:trPr>
          <w:trHeight w:val="104"/>
        </w:trPr>
        <w:tc>
          <w:tcPr>
            <w:tcW w:w="1640" w:type="dxa"/>
            <w:vAlign w:val="bottom"/>
          </w:tcPr>
          <w:p>
            <w:pPr>
              <w:spacing w:after="0"/>
              <w:rPr>
                <w:sz w:val="9"/>
                <w:szCs w:val="9"/>
                <w:color w:val="auto"/>
              </w:rPr>
            </w:pPr>
          </w:p>
        </w:tc>
        <w:tc>
          <w:tcPr>
            <w:tcW w:w="434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1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r>
      <w:tr>
        <w:trPr>
          <w:trHeight w:val="121"/>
        </w:trPr>
        <w:tc>
          <w:tcPr>
            <w:tcW w:w="1640" w:type="dxa"/>
            <w:vAlign w:val="bottom"/>
          </w:tcPr>
          <w:p>
            <w:pPr>
              <w:spacing w:after="0"/>
              <w:rPr>
                <w:sz w:val="10"/>
                <w:szCs w:val="10"/>
                <w:color w:val="auto"/>
              </w:rPr>
            </w:pPr>
          </w:p>
        </w:tc>
        <w:tc>
          <w:tcPr>
            <w:tcW w:w="4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1120" w:type="dxa"/>
            <w:vAlign w:val="bottom"/>
            <w:shd w:val="clear" w:color="auto" w:fill="CFF0FC"/>
          </w:tcPr>
          <w:p>
            <w:pPr>
              <w:jc w:val="right"/>
              <w:ind w:right="291"/>
              <w:spacing w:after="0"/>
              <w:rPr>
                <w:sz w:val="20"/>
                <w:szCs w:val="20"/>
                <w:color w:val="auto"/>
              </w:rPr>
            </w:pPr>
            <w:r>
              <w:rPr>
                <w:rFonts w:ascii="Times New Roman" w:cs="Times New Roman" w:eastAsia="Times New Roman" w:hAnsi="Times New Roman"/>
                <w:sz w:val="10"/>
                <w:szCs w:val="10"/>
                <w:b w:val="1"/>
                <w:bCs w:val="1"/>
                <w:color w:val="auto"/>
              </w:rPr>
              <w:t>$</w:t>
            </w: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25,784,690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Net (Loss) Income Per Common Stock</w:t>
      </w:r>
    </w:p>
    <w:p>
      <w:pPr>
        <w:spacing w:after="0" w:line="60" w:lineRule="exact"/>
        <w:rPr>
          <w:sz w:val="20"/>
          <w:szCs w:val="20"/>
          <w:color w:val="auto"/>
        </w:rPr>
      </w:pPr>
    </w:p>
    <w:p>
      <w:pPr>
        <w:ind w:right="40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01"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December 31, 2023 and 2022, the Company did not have any dilutive securities or other contracts that could, potentially, be exercised or converted into common stock and then share in the earnings of the Company. As a result, diluted net (loss) income per common stock is the same as basic net loss per common stock for the periods presented.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Accretion of the carrying value of common stock subject to redemption value is excluded from net (loss) income per common stock because the redemption value approximates fair value.</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108"/>
        </w:trPr>
        <w:tc>
          <w:tcPr>
            <w:tcW w:w="33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140" w:type="dxa"/>
            <w:vAlign w:val="bottom"/>
          </w:tcPr>
          <w:p>
            <w:pPr>
              <w:spacing w:after="0"/>
              <w:rPr>
                <w:sz w:val="9"/>
                <w:szCs w:val="9"/>
                <w:color w:val="auto"/>
              </w:rPr>
            </w:pPr>
          </w:p>
        </w:tc>
        <w:tc>
          <w:tcPr>
            <w:tcW w:w="2060" w:type="dxa"/>
            <w:vAlign w:val="bottom"/>
            <w:gridSpan w:val="3"/>
          </w:tcPr>
          <w:p>
            <w:pPr>
              <w:jc w:val="right"/>
              <w:ind w:right="296"/>
              <w:spacing w:after="0"/>
              <w:rPr>
                <w:sz w:val="20"/>
                <w:szCs w:val="20"/>
                <w:color w:val="auto"/>
              </w:rPr>
            </w:pPr>
            <w:r>
              <w:rPr>
                <w:rFonts w:ascii="Times New Roman" w:cs="Times New Roman" w:eastAsia="Times New Roman" w:hAnsi="Times New Roman"/>
                <w:sz w:val="8"/>
                <w:szCs w:val="8"/>
                <w:b w:val="1"/>
                <w:bCs w:val="1"/>
                <w:color w:val="auto"/>
              </w:rPr>
              <w:t>For the Three Months Ended December 31,</w:t>
            </w:r>
          </w:p>
        </w:tc>
        <w:tc>
          <w:tcPr>
            <w:tcW w:w="320" w:type="dxa"/>
            <w:vAlign w:val="bottom"/>
            <w:vMerge w:val="restart"/>
          </w:tcPr>
          <w:p>
            <w:pPr>
              <w:jc w:val="right"/>
              <w:ind w:right="94"/>
              <w:spacing w:after="0"/>
              <w:rPr>
                <w:sz w:val="20"/>
                <w:szCs w:val="20"/>
                <w:color w:val="auto"/>
              </w:rPr>
            </w:pPr>
            <w:r>
              <w:rPr>
                <w:rFonts w:ascii="Times New Roman" w:cs="Times New Roman" w:eastAsia="Times New Roman" w:hAnsi="Times New Roman"/>
                <w:sz w:val="8"/>
                <w:szCs w:val="8"/>
                <w:b w:val="1"/>
                <w:bCs w:val="1"/>
                <w:color w:val="auto"/>
                <w:w w:val="99"/>
              </w:rPr>
              <w:t>2022</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3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2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rPr>
              <w:t>Common</w:t>
            </w: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Common</w:t>
            </w: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2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w w:val="93"/>
              </w:rPr>
              <w:t>Stock</w:t>
            </w: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Stock</w:t>
            </w: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2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w w:val="98"/>
              </w:rPr>
              <w:t>Subject to</w:t>
            </w:r>
          </w:p>
        </w:tc>
        <w:tc>
          <w:tcPr>
            <w:tcW w:w="140" w:type="dxa"/>
            <w:vAlign w:val="bottom"/>
          </w:tcPr>
          <w:p>
            <w:pPr>
              <w:spacing w:after="0"/>
              <w:rPr>
                <w:sz w:val="8"/>
                <w:szCs w:val="8"/>
                <w:color w:val="auto"/>
              </w:rPr>
            </w:pPr>
          </w:p>
        </w:tc>
        <w:tc>
          <w:tcPr>
            <w:tcW w:w="1000" w:type="dxa"/>
            <w:vAlign w:val="bottom"/>
          </w:tcPr>
          <w:p>
            <w:pPr>
              <w:jc w:val="center"/>
              <w:ind w:right="236"/>
              <w:spacing w:after="0"/>
              <w:rPr>
                <w:sz w:val="20"/>
                <w:szCs w:val="20"/>
                <w:color w:val="auto"/>
              </w:rPr>
            </w:pPr>
            <w:r>
              <w:rPr>
                <w:rFonts w:ascii="Times New Roman" w:cs="Times New Roman" w:eastAsia="Times New Roman" w:hAnsi="Times New Roman"/>
                <w:sz w:val="8"/>
                <w:szCs w:val="8"/>
                <w:b w:val="1"/>
                <w:bCs w:val="1"/>
                <w:color w:val="auto"/>
              </w:rPr>
              <w:t>Non-Redeemable</w:t>
            </w:r>
          </w:p>
        </w:tc>
        <w:tc>
          <w:tcPr>
            <w:tcW w:w="240" w:type="dxa"/>
            <w:vAlign w:val="bottom"/>
          </w:tcPr>
          <w:p>
            <w:pPr>
              <w:spacing w:after="0"/>
              <w:rPr>
                <w:sz w:val="8"/>
                <w:szCs w:val="8"/>
                <w:color w:val="auto"/>
              </w:rPr>
            </w:pPr>
          </w:p>
        </w:tc>
        <w:tc>
          <w:tcPr>
            <w:tcW w:w="82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320" w:type="dxa"/>
            <w:vAlign w:val="bottom"/>
          </w:tcPr>
          <w:p>
            <w:pPr>
              <w:spacing w:after="0"/>
              <w:rPr>
                <w:sz w:val="8"/>
                <w:szCs w:val="8"/>
                <w:color w:val="auto"/>
              </w:rPr>
            </w:pPr>
          </w:p>
        </w:tc>
        <w:tc>
          <w:tcPr>
            <w:tcW w:w="940" w:type="dxa"/>
            <w:vAlign w:val="bottom"/>
          </w:tcPr>
          <w:p>
            <w:pPr>
              <w:jc w:val="center"/>
              <w:ind w:right="175"/>
              <w:spacing w:after="0"/>
              <w:rPr>
                <w:sz w:val="20"/>
                <w:szCs w:val="20"/>
                <w:color w:val="auto"/>
              </w:rPr>
            </w:pPr>
            <w:r>
              <w:rPr>
                <w:rFonts w:ascii="Times New Roman" w:cs="Times New Roman" w:eastAsia="Times New Roman" w:hAnsi="Times New Roman"/>
                <w:sz w:val="8"/>
                <w:szCs w:val="8"/>
                <w:b w:val="1"/>
                <w:bCs w:val="1"/>
                <w:color w:val="auto"/>
              </w:rPr>
              <w:t>Non-Redeemable</w:t>
            </w: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20" w:type="dxa"/>
            <w:vAlign w:val="bottom"/>
          </w:tcPr>
          <w:p>
            <w:pPr>
              <w:jc w:val="center"/>
              <w:ind w:right="336"/>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140" w:type="dxa"/>
            <w:vAlign w:val="bottom"/>
          </w:tcPr>
          <w:p>
            <w:pPr>
              <w:spacing w:after="0"/>
              <w:rPr>
                <w:sz w:val="8"/>
                <w:szCs w:val="8"/>
                <w:color w:val="auto"/>
              </w:rPr>
            </w:pPr>
          </w:p>
        </w:tc>
        <w:tc>
          <w:tcPr>
            <w:tcW w:w="1000" w:type="dxa"/>
            <w:vAlign w:val="bottom"/>
          </w:tcPr>
          <w:p>
            <w:pPr>
              <w:jc w:val="center"/>
              <w:ind w:right="216"/>
              <w:spacing w:after="0"/>
              <w:rPr>
                <w:sz w:val="20"/>
                <w:szCs w:val="20"/>
                <w:color w:val="auto"/>
              </w:rPr>
            </w:pPr>
            <w:r>
              <w:rPr>
                <w:rFonts w:ascii="Times New Roman" w:cs="Times New Roman" w:eastAsia="Times New Roman" w:hAnsi="Times New Roman"/>
                <w:sz w:val="8"/>
                <w:szCs w:val="8"/>
                <w:b w:val="1"/>
                <w:bCs w:val="1"/>
                <w:color w:val="auto"/>
              </w:rPr>
              <w:t>Common</w:t>
            </w:r>
          </w:p>
        </w:tc>
        <w:tc>
          <w:tcPr>
            <w:tcW w:w="240" w:type="dxa"/>
            <w:vAlign w:val="bottom"/>
          </w:tcPr>
          <w:p>
            <w:pPr>
              <w:spacing w:after="0"/>
              <w:rPr>
                <w:sz w:val="8"/>
                <w:szCs w:val="8"/>
                <w:color w:val="auto"/>
              </w:rPr>
            </w:pPr>
          </w:p>
        </w:tc>
        <w:tc>
          <w:tcPr>
            <w:tcW w:w="82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320" w:type="dxa"/>
            <w:vAlign w:val="bottom"/>
          </w:tcPr>
          <w:p>
            <w:pPr>
              <w:spacing w:after="0"/>
              <w:rPr>
                <w:sz w:val="8"/>
                <w:szCs w:val="8"/>
                <w:color w:val="auto"/>
              </w:rPr>
            </w:pPr>
          </w:p>
        </w:tc>
        <w:tc>
          <w:tcPr>
            <w:tcW w:w="940" w:type="dxa"/>
            <w:vAlign w:val="bottom"/>
          </w:tcPr>
          <w:p>
            <w:pPr>
              <w:jc w:val="center"/>
              <w:ind w:right="175"/>
              <w:spacing w:after="0"/>
              <w:rPr>
                <w:sz w:val="20"/>
                <w:szCs w:val="20"/>
                <w:color w:val="auto"/>
              </w:rPr>
            </w:pPr>
            <w:r>
              <w:rPr>
                <w:rFonts w:ascii="Times New Roman" w:cs="Times New Roman" w:eastAsia="Times New Roman" w:hAnsi="Times New Roman"/>
                <w:sz w:val="8"/>
                <w:szCs w:val="8"/>
                <w:b w:val="1"/>
                <w:bCs w:val="1"/>
                <w:color w:val="auto"/>
              </w:rPr>
              <w:t>Common</w:t>
            </w:r>
          </w:p>
        </w:tc>
        <w:tc>
          <w:tcPr>
            <w:tcW w:w="0" w:type="dxa"/>
            <w:vAlign w:val="bottom"/>
          </w:tcPr>
          <w:p>
            <w:pPr>
              <w:spacing w:after="0"/>
              <w:rPr>
                <w:sz w:val="1"/>
                <w:szCs w:val="1"/>
                <w:color w:val="auto"/>
              </w:rPr>
            </w:pPr>
          </w:p>
        </w:tc>
      </w:tr>
      <w:tr>
        <w:trPr>
          <w:trHeight w:val="106"/>
        </w:trPr>
        <w:tc>
          <w:tcPr>
            <w:tcW w:w="33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2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140" w:type="dxa"/>
            <w:vAlign w:val="bottom"/>
          </w:tcPr>
          <w:p>
            <w:pPr>
              <w:spacing w:after="0"/>
              <w:rPr>
                <w:sz w:val="9"/>
                <w:szCs w:val="9"/>
                <w:color w:val="auto"/>
              </w:rPr>
            </w:pPr>
          </w:p>
        </w:tc>
        <w:tc>
          <w:tcPr>
            <w:tcW w:w="1000" w:type="dxa"/>
            <w:vAlign w:val="bottom"/>
          </w:tcPr>
          <w:p>
            <w:pPr>
              <w:jc w:val="center"/>
              <w:ind w:right="216"/>
              <w:spacing w:after="0"/>
              <w:rPr>
                <w:sz w:val="20"/>
                <w:szCs w:val="20"/>
                <w:color w:val="auto"/>
              </w:rPr>
            </w:pPr>
            <w:r>
              <w:rPr>
                <w:rFonts w:ascii="Times New Roman" w:cs="Times New Roman" w:eastAsia="Times New Roman" w:hAnsi="Times New Roman"/>
                <w:sz w:val="8"/>
                <w:szCs w:val="8"/>
                <w:b w:val="1"/>
                <w:bCs w:val="1"/>
                <w:color w:val="auto"/>
                <w:w w:val="93"/>
              </w:rPr>
              <w:t>Stock</w:t>
            </w:r>
          </w:p>
        </w:tc>
        <w:tc>
          <w:tcPr>
            <w:tcW w:w="240" w:type="dxa"/>
            <w:vAlign w:val="bottom"/>
          </w:tcPr>
          <w:p>
            <w:pPr>
              <w:spacing w:after="0"/>
              <w:rPr>
                <w:sz w:val="9"/>
                <w:szCs w:val="9"/>
                <w:color w:val="auto"/>
              </w:rPr>
            </w:pPr>
          </w:p>
        </w:tc>
        <w:tc>
          <w:tcPr>
            <w:tcW w:w="820" w:type="dxa"/>
            <w:vAlign w:val="bottom"/>
          </w:tcPr>
          <w:p>
            <w:pPr>
              <w:jc w:val="center"/>
              <w:ind w:right="11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320" w:type="dxa"/>
            <w:vAlign w:val="bottom"/>
          </w:tcPr>
          <w:p>
            <w:pPr>
              <w:spacing w:after="0"/>
              <w:rPr>
                <w:sz w:val="9"/>
                <w:szCs w:val="9"/>
                <w:color w:val="auto"/>
              </w:rPr>
            </w:pPr>
          </w:p>
        </w:tc>
        <w:tc>
          <w:tcPr>
            <w:tcW w:w="940" w:type="dxa"/>
            <w:vAlign w:val="bottom"/>
          </w:tcPr>
          <w:p>
            <w:pPr>
              <w:jc w:val="center"/>
              <w:ind w:right="175"/>
              <w:spacing w:after="0"/>
              <w:rPr>
                <w:sz w:val="20"/>
                <w:szCs w:val="20"/>
                <w:color w:val="auto"/>
              </w:rPr>
            </w:pPr>
            <w:r>
              <w:rPr>
                <w:rFonts w:ascii="Times New Roman" w:cs="Times New Roman" w:eastAsia="Times New Roman" w:hAnsi="Times New Roman"/>
                <w:sz w:val="8"/>
                <w:szCs w:val="8"/>
                <w:b w:val="1"/>
                <w:bCs w:val="1"/>
                <w:color w:val="auto"/>
              </w:rPr>
              <w:t>Stock</w:t>
            </w:r>
          </w:p>
        </w:tc>
        <w:tc>
          <w:tcPr>
            <w:tcW w:w="0" w:type="dxa"/>
            <w:vAlign w:val="bottom"/>
          </w:tcPr>
          <w:p>
            <w:pPr>
              <w:spacing w:after="0"/>
              <w:rPr>
                <w:sz w:val="1"/>
                <w:szCs w:val="1"/>
                <w:color w:val="auto"/>
              </w:rPr>
            </w:pPr>
          </w:p>
        </w:tc>
      </w:tr>
      <w:tr>
        <w:trPr>
          <w:trHeight w:val="113"/>
        </w:trPr>
        <w:tc>
          <w:tcPr>
            <w:tcW w:w="33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Basic and diluted net (loss) income per share</w:t>
            </w:r>
          </w:p>
        </w:tc>
        <w:tc>
          <w:tcPr>
            <w:tcW w:w="174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Numerator:</w:t>
            </w:r>
          </w:p>
        </w:tc>
        <w:tc>
          <w:tcPr>
            <w:tcW w:w="1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Allocation of net (loss) income</w:t>
            </w:r>
          </w:p>
        </w:tc>
        <w:tc>
          <w:tcPr>
            <w:tcW w:w="174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FF0FC"/>
          </w:tcPr>
          <w:p>
            <w:pPr>
              <w:jc w:val="right"/>
              <w:ind w:right="116"/>
              <w:spacing w:after="0" w:line="113" w:lineRule="exact"/>
              <w:rPr>
                <w:sz w:val="20"/>
                <w:szCs w:val="20"/>
                <w:color w:val="auto"/>
              </w:rPr>
            </w:pPr>
            <w:r>
              <w:rPr>
                <w:rFonts w:ascii="Times New Roman" w:cs="Times New Roman" w:eastAsia="Times New Roman" w:hAnsi="Times New Roman"/>
                <w:sz w:val="10"/>
                <w:szCs w:val="10"/>
                <w:color w:val="auto"/>
              </w:rPr>
              <w:t>(105,483 )</w:t>
            </w:r>
          </w:p>
        </w:tc>
        <w:tc>
          <w:tcPr>
            <w:tcW w:w="140" w:type="dxa"/>
            <w:vAlign w:val="bottom"/>
            <w:shd w:val="clear" w:color="auto" w:fill="CFF0FC"/>
          </w:tcPr>
          <w:p>
            <w:pPr>
              <w:jc w:val="right"/>
              <w:ind w:right="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FF0FC"/>
          </w:tcPr>
          <w:p>
            <w:pPr>
              <w:jc w:val="right"/>
              <w:ind w:right="56"/>
              <w:spacing w:after="0" w:line="113" w:lineRule="exact"/>
              <w:rPr>
                <w:sz w:val="20"/>
                <w:szCs w:val="20"/>
                <w:color w:val="auto"/>
              </w:rPr>
            </w:pPr>
            <w:r>
              <w:rPr>
                <w:rFonts w:ascii="Times New Roman" w:cs="Times New Roman" w:eastAsia="Times New Roman" w:hAnsi="Times New Roman"/>
                <w:sz w:val="10"/>
                <w:szCs w:val="10"/>
                <w:color w:val="auto"/>
              </w:rPr>
              <w:t>(254,831 )</w:t>
            </w:r>
          </w:p>
        </w:tc>
        <w:tc>
          <w:tcPr>
            <w:tcW w:w="24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439,673</w:t>
            </w:r>
          </w:p>
        </w:tc>
        <w:tc>
          <w:tcPr>
            <w:tcW w:w="320" w:type="dxa"/>
            <w:vAlign w:val="bottom"/>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FF0FC"/>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167,354</w:t>
            </w:r>
          </w:p>
        </w:tc>
        <w:tc>
          <w:tcPr>
            <w:tcW w:w="0" w:type="dxa"/>
            <w:vAlign w:val="bottom"/>
          </w:tcPr>
          <w:p>
            <w:pPr>
              <w:spacing w:after="0"/>
              <w:rPr>
                <w:sz w:val="1"/>
                <w:szCs w:val="1"/>
                <w:color w:val="auto"/>
              </w:rPr>
            </w:pPr>
          </w:p>
        </w:tc>
      </w:tr>
      <w:tr>
        <w:trPr>
          <w:trHeight w:val="113"/>
        </w:trPr>
        <w:tc>
          <w:tcPr>
            <w:tcW w:w="33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Denominator</w:t>
            </w:r>
          </w:p>
        </w:tc>
        <w:tc>
          <w:tcPr>
            <w:tcW w:w="1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Weighted-average shares outstanding</w:t>
            </w:r>
          </w:p>
        </w:tc>
        <w:tc>
          <w:tcPr>
            <w:tcW w:w="1740" w:type="dxa"/>
            <w:vAlign w:val="bottom"/>
            <w:shd w:val="clear" w:color="auto" w:fill="CFF0FC"/>
          </w:tcPr>
          <w:p>
            <w:pPr>
              <w:spacing w:after="0"/>
              <w:rPr>
                <w:sz w:val="9"/>
                <w:szCs w:val="9"/>
                <w:color w:val="auto"/>
              </w:rPr>
            </w:pPr>
          </w:p>
        </w:tc>
        <w:tc>
          <w:tcPr>
            <w:tcW w:w="1020" w:type="dxa"/>
            <w:vAlign w:val="bottom"/>
            <w:shd w:val="clear" w:color="auto" w:fill="CFF0FC"/>
          </w:tcPr>
          <w:p>
            <w:pPr>
              <w:jc w:val="right"/>
              <w:ind w:right="156"/>
              <w:spacing w:after="0" w:line="113" w:lineRule="exact"/>
              <w:rPr>
                <w:sz w:val="20"/>
                <w:szCs w:val="20"/>
                <w:color w:val="auto"/>
              </w:rPr>
            </w:pPr>
            <w:r>
              <w:rPr>
                <w:rFonts w:ascii="Times New Roman" w:cs="Times New Roman" w:eastAsia="Times New Roman" w:hAnsi="Times New Roman"/>
                <w:sz w:val="10"/>
                <w:szCs w:val="10"/>
                <w:color w:val="auto"/>
              </w:rPr>
              <w:t>2,363,349</w:t>
            </w:r>
          </w:p>
        </w:tc>
        <w:tc>
          <w:tcPr>
            <w:tcW w:w="140" w:type="dxa"/>
            <w:vAlign w:val="bottom"/>
            <w:shd w:val="clear" w:color="auto" w:fill="CFF0FC"/>
          </w:tcPr>
          <w:p>
            <w:pPr>
              <w:spacing w:after="0"/>
              <w:rPr>
                <w:sz w:val="9"/>
                <w:szCs w:val="9"/>
                <w:color w:val="auto"/>
              </w:rPr>
            </w:pPr>
          </w:p>
        </w:tc>
        <w:tc>
          <w:tcPr>
            <w:tcW w:w="1000" w:type="dxa"/>
            <w:vAlign w:val="bottom"/>
            <w:shd w:val="clear" w:color="auto" w:fill="CFF0FC"/>
          </w:tcPr>
          <w:p>
            <w:pPr>
              <w:jc w:val="right"/>
              <w:ind w:right="96"/>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24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15,000,000</w:t>
            </w:r>
          </w:p>
        </w:tc>
        <w:tc>
          <w:tcPr>
            <w:tcW w:w="320" w:type="dxa"/>
            <w:vAlign w:val="bottom"/>
            <w:shd w:val="clear" w:color="auto" w:fill="CFF0FC"/>
          </w:tcPr>
          <w:p>
            <w:pPr>
              <w:spacing w:after="0"/>
              <w:rPr>
                <w:sz w:val="9"/>
                <w:szCs w:val="9"/>
                <w:color w:val="auto"/>
              </w:rPr>
            </w:pPr>
          </w:p>
        </w:tc>
        <w:tc>
          <w:tcPr>
            <w:tcW w:w="940" w:type="dxa"/>
            <w:vAlign w:val="bottom"/>
            <w:shd w:val="clear" w:color="auto" w:fill="CFF0FC"/>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0" w:type="dxa"/>
            <w:vAlign w:val="bottom"/>
          </w:tcPr>
          <w:p>
            <w:pPr>
              <w:spacing w:after="0"/>
              <w:rPr>
                <w:sz w:val="1"/>
                <w:szCs w:val="1"/>
                <w:color w:val="auto"/>
              </w:rPr>
            </w:pPr>
          </w:p>
        </w:tc>
      </w:tr>
      <w:tr>
        <w:trPr>
          <w:trHeight w:val="125"/>
        </w:trPr>
        <w:tc>
          <w:tcPr>
            <w:tcW w:w="33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Basic and diluted net (loss) income per share</w:t>
            </w:r>
          </w:p>
        </w:tc>
        <w:tc>
          <w:tcPr>
            <w:tcW w:w="17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116"/>
              <w:spacing w:after="0"/>
              <w:rPr>
                <w:sz w:val="20"/>
                <w:szCs w:val="20"/>
                <w:color w:val="auto"/>
              </w:rPr>
            </w:pPr>
            <w:r>
              <w:rPr>
                <w:rFonts w:ascii="Times New Roman" w:cs="Times New Roman" w:eastAsia="Times New Roman" w:hAnsi="Times New Roman"/>
                <w:sz w:val="10"/>
                <w:szCs w:val="10"/>
                <w:color w:val="auto"/>
              </w:rPr>
              <w:t>(0.04 )</w:t>
            </w:r>
          </w:p>
        </w:tc>
        <w:tc>
          <w:tcPr>
            <w:tcW w:w="1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0"/>
                <w:szCs w:val="10"/>
                <w:color w:val="auto"/>
              </w:rPr>
              <w:t>(0.04 )</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0.03</w:t>
            </w:r>
          </w:p>
        </w:tc>
        <w:tc>
          <w:tcPr>
            <w:tcW w:w="32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0"/>
                <w:szCs w:val="10"/>
                <w:color w:val="auto"/>
              </w:rPr>
              <w:t>0.03</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Stock-Based Compensation</w:t>
      </w:r>
    </w:p>
    <w:p>
      <w:pPr>
        <w:spacing w:after="0" w:line="60"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 based payments on their estimated fair values measured as of the grant date. These costs are recognized as an expense in the statements of operations upon vesting, once the applicable performance conditions are met, with an offsetting increase to additional paid-in capital. Forfeitures are recognized as they occur.</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47" w:name="page248"/>
    <w:bookmarkEnd w:id="247"/>
    <w:p>
      <w:pPr>
        <w:jc w:val="both"/>
        <w:ind w:right="220" w:firstLine="480"/>
        <w:spacing w:after="0" w:line="285" w:lineRule="auto"/>
        <w:rPr>
          <w:sz w:val="20"/>
          <w:szCs w:val="20"/>
          <w:color w:val="auto"/>
        </w:rPr>
      </w:pPr>
      <w:r>
        <w:rPr>
          <w:rFonts w:ascii="Times New Roman" w:cs="Times New Roman" w:eastAsia="Times New Roman" w:hAnsi="Times New Roman"/>
          <w:sz w:val="9"/>
          <w:szCs w:val="9"/>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 -classified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December 31, 2023, all shares under the June 16, 2021 grant were vested.</w:t>
      </w:r>
    </w:p>
    <w:p>
      <w:pPr>
        <w:spacing w:after="0" w:line="89"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$50,400 of stock-based compensation related to this grant for the three months ended December 31, 2023.</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recognized $50,400 and $27,963 of stock-based compensation for the three-month periods ended December 31, 2023 and December 31,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Income Taxes</w:t>
      </w:r>
    </w:p>
    <w:p>
      <w:pPr>
        <w:spacing w:after="0" w:line="60"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7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05"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accrued interest and penalties related to unrecognized tax benefits as income tax expense. There were no unrecognized tax benefits and no amounts accrued for interest and penalties as of December 31, 2023 and 2022. The Company is currently not aware of any issues under review that could result in significant payments, accruals or material deviation from its position.</w:t>
      </w:r>
    </w:p>
    <w:p>
      <w:pPr>
        <w:spacing w:after="0" w:line="101"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01"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As of December 31, 2023, and September 30, 2023, the Company’s deferred tax asset had a full valuation allowance recorded against it. Our effective tax rate was 23.19% and 30.01% for the three months ended December 31, 2023 and 2022. The effective tax rate differs from the statutory tax rate of 21% for three months ended December 31, 2023, and 2022, due to the valuation allowance on the deferred tax assets and permanent differences related to the business acquisition and stock-based compensation expenses.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Debt discounts</w:t>
      </w:r>
    </w:p>
    <w:p>
      <w:pPr>
        <w:spacing w:after="0" w:line="6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Debt discounts relate to the issuance costs of some of the promissory notes to related parties, and are included in the condensed consolidated balance sheets as a direct deduction from the face amount of the promissory notes. Debt discounts are amortized over the term of the related promissory notes and included in the interest expense.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Recent Accounting Pronouncements</w:t>
      </w:r>
    </w:p>
    <w:p>
      <w:pPr>
        <w:spacing w:after="0" w:line="60" w:lineRule="exact"/>
        <w:rPr>
          <w:sz w:val="20"/>
          <w:szCs w:val="20"/>
          <w:color w:val="auto"/>
        </w:rPr>
      </w:pPr>
    </w:p>
    <w:p>
      <w:pPr>
        <w:ind w:right="240" w:firstLine="480"/>
        <w:spacing w:after="0" w:line="245" w:lineRule="auto"/>
        <w:rPr>
          <w:sz w:val="20"/>
          <w:szCs w:val="20"/>
          <w:color w:val="auto"/>
        </w:rPr>
      </w:pPr>
      <w:r>
        <w:rPr>
          <w:rFonts w:ascii="Times New Roman" w:cs="Times New Roman" w:eastAsia="Times New Roman" w:hAnsi="Times New Roman"/>
          <w:sz w:val="10"/>
          <w:szCs w:val="10"/>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consolidated financial statements and disclosures.</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0"/>
          <w:szCs w:val="10"/>
          <w:b w:val="1"/>
          <w:bCs w:val="1"/>
          <w:color w:val="auto"/>
        </w:rPr>
        <w:t>Note 3 — Related Party Transactions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Founder Shares</w:t>
      </w:r>
    </w:p>
    <w:p>
      <w:pPr>
        <w:spacing w:after="0" w:line="58" w:lineRule="exact"/>
        <w:rPr>
          <w:sz w:val="20"/>
          <w:szCs w:val="20"/>
          <w:color w:val="auto"/>
        </w:rPr>
      </w:pPr>
    </w:p>
    <w:p>
      <w:pPr>
        <w:ind w:right="340" w:firstLine="488"/>
        <w:spacing w:after="0" w:line="239" w:lineRule="auto"/>
        <w:rPr>
          <w:sz w:val="20"/>
          <w:szCs w:val="20"/>
          <w:color w:val="auto"/>
        </w:rPr>
      </w:pPr>
      <w:r>
        <w:rPr>
          <w:rFonts w:ascii="Times New Roman" w:cs="Times New Roman" w:eastAsia="Times New Roman" w:hAnsi="Times New Roman"/>
          <w:sz w:val="10"/>
          <w:szCs w:val="10"/>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10"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05" w:lineRule="exact"/>
        <w:rPr>
          <w:sz w:val="20"/>
          <w:szCs w:val="20"/>
          <w:color w:val="auto"/>
        </w:rPr>
      </w:pPr>
    </w:p>
    <w:p>
      <w:pPr>
        <w:ind w:right="20" w:firstLine="480"/>
        <w:spacing w:after="0" w:line="285" w:lineRule="auto"/>
        <w:rPr>
          <w:sz w:val="20"/>
          <w:szCs w:val="20"/>
          <w:color w:val="auto"/>
        </w:rPr>
      </w:pPr>
      <w:r>
        <w:rPr>
          <w:rFonts w:ascii="Times New Roman" w:cs="Times New Roman" w:eastAsia="Times New Roman" w:hAnsi="Times New Roman"/>
          <w:sz w:val="9"/>
          <w:szCs w:val="9"/>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Representative Common Stock</w:t>
      </w:r>
    </w:p>
    <w:p>
      <w:pPr>
        <w:spacing w:after="0" w:line="58"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$25.00. On May 29, 2021, Northland returned 87,500 shares of common stock to the Company, for no consideration, which were subsequently cancelled.</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18"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Promissory Notes-to Related Party</w:t>
      </w:r>
    </w:p>
    <w:p>
      <w:pPr>
        <w:spacing w:after="0" w:line="60"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period ended December 31, 2023 and September 30, 2023, respectively. These amounts were applied against the balance owing to the Sponsor under the remaining promissory note. As of December 31, 2023 and September 30, 2023, the net amount outstanding under the promissory note was $247,454 and $247,454, respectively.</w:t>
      </w:r>
    </w:p>
    <w:p>
      <w:pPr>
        <w:spacing w:after="0" w:line="108"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On November 10, 2022, the Sponsor loaned the Company $1,500,000 in order to cover the additional contribution to the Trust Account in connection with the Company’s exercise of the extension of the Combination Period until February 17, 2023, and $450,000 to fund its working capital needs. The promissory notes are non-interest bearing and due on the earlier of: (i) the liquidation</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49" w:name="page250"/>
    <w:bookmarkEnd w:id="249"/>
    <w:p>
      <w:pPr>
        <w:ind w:left="10"/>
        <w:spacing w:after="0"/>
        <w:rPr>
          <w:sz w:val="20"/>
          <w:szCs w:val="20"/>
          <w:color w:val="auto"/>
        </w:rPr>
      </w:pPr>
      <w:r>
        <w:rPr>
          <w:rFonts w:ascii="Times New Roman" w:cs="Times New Roman" w:eastAsia="Times New Roman" w:hAnsi="Times New Roman"/>
          <w:sz w:val="10"/>
          <w:szCs w:val="10"/>
          <w:color w:val="auto"/>
        </w:rPr>
        <w:t>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1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July 28, 2023, the Company issued a promissory note to the Sponsor for the aggregate amount of $125,245. The promissory note is non-interest bearing and due on the earlier of: (i) the liquidation or release of all of the monies held in the Trust Account or</w:t>
      </w:r>
    </w:p>
    <w:p>
      <w:pPr>
        <w:spacing w:after="0" w:line="19" w:lineRule="exact"/>
        <w:rPr>
          <w:sz w:val="20"/>
          <w:szCs w:val="20"/>
          <w:color w:val="auto"/>
        </w:rPr>
      </w:pPr>
    </w:p>
    <w:p>
      <w:pPr>
        <w:ind w:left="10" w:right="20" w:hanging="10"/>
        <w:spacing w:after="0" w:line="237" w:lineRule="auto"/>
        <w:tabs>
          <w:tab w:leader="none" w:pos="153" w:val="left"/>
        </w:tabs>
        <w:numPr>
          <w:ilvl w:val="0"/>
          <w:numId w:val="1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The principal balance may be prepaid at any time. The amount outstanding under this promissory note was $125,245 as of December 31, 2023.</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August 2, 2023, the Company entered into a promissory note to the Sponsor in the amount of up to $425,402. The Extension Note is non-interest bearing and due on the earlier of: (i) the liquidation or release of all of the monies held in the Trust Account or</w:t>
      </w:r>
    </w:p>
    <w:p>
      <w:pPr>
        <w:spacing w:after="0" w:line="19" w:lineRule="exact"/>
        <w:rPr>
          <w:sz w:val="20"/>
          <w:szCs w:val="20"/>
          <w:color w:val="auto"/>
        </w:rPr>
      </w:pPr>
    </w:p>
    <w:p>
      <w:pPr>
        <w:ind w:left="10" w:hanging="10"/>
        <w:spacing w:after="0" w:line="235" w:lineRule="auto"/>
        <w:tabs>
          <w:tab w:leader="none" w:pos="153" w:val="left"/>
        </w:tabs>
        <w:numPr>
          <w:ilvl w:val="0"/>
          <w:numId w:val="1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 December 17, 2023. On December 19, 2023, the Company borrowed an additional $70,900 under the Extension Note and deposited the funds into the Trust Account thereby extending the Termination Date to January 17, 2024. As of December 31, 2023,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109" w:lineRule="exact"/>
        <w:rPr>
          <w:sz w:val="20"/>
          <w:szCs w:val="20"/>
          <w:color w:val="auto"/>
        </w:rPr>
      </w:pPr>
    </w:p>
    <w:p>
      <w:pPr>
        <w:ind w:left="10" w:right="220" w:firstLine="480"/>
        <w:spacing w:after="0" w:line="245" w:lineRule="auto"/>
        <w:rPr>
          <w:sz w:val="20"/>
          <w:szCs w:val="20"/>
          <w:color w:val="auto"/>
        </w:rPr>
      </w:pPr>
      <w:r>
        <w:rPr>
          <w:rFonts w:ascii="Times New Roman" w:cs="Times New Roman" w:eastAsia="Times New Roman" w:hAnsi="Times New Roman"/>
          <w:sz w:val="10"/>
          <w:szCs w:val="10"/>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December 31, 2023.</w:t>
      </w:r>
    </w:p>
    <w:p>
      <w:pPr>
        <w:spacing w:after="0" w:line="105" w:lineRule="exact"/>
        <w:rPr>
          <w:sz w:val="20"/>
          <w:szCs w:val="20"/>
          <w:color w:val="auto"/>
        </w:rPr>
      </w:pPr>
    </w:p>
    <w:p>
      <w:pPr>
        <w:ind w:left="10" w:right="140" w:firstLine="480"/>
        <w:spacing w:after="0" w:line="245" w:lineRule="auto"/>
        <w:rPr>
          <w:sz w:val="20"/>
          <w:szCs w:val="20"/>
          <w:color w:val="auto"/>
        </w:rPr>
      </w:pPr>
      <w:r>
        <w:rPr>
          <w:rFonts w:ascii="Times New Roman" w:cs="Times New Roman" w:eastAsia="Times New Roman" w:hAnsi="Times New Roman"/>
          <w:sz w:val="10"/>
          <w:szCs w:val="10"/>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December 31, 2023.</w:t>
      </w:r>
    </w:p>
    <w:p>
      <w:pPr>
        <w:spacing w:after="0" w:line="105" w:lineRule="exact"/>
        <w:rPr>
          <w:sz w:val="20"/>
          <w:szCs w:val="20"/>
          <w:color w:val="auto"/>
        </w:rPr>
      </w:pPr>
    </w:p>
    <w:p>
      <w:pPr>
        <w:jc w:val="both"/>
        <w:ind w:left="10" w:right="200" w:firstLine="480"/>
        <w:spacing w:after="0" w:line="245" w:lineRule="auto"/>
        <w:rPr>
          <w:sz w:val="20"/>
          <w:szCs w:val="20"/>
          <w:color w:val="auto"/>
        </w:rPr>
      </w:pPr>
      <w:r>
        <w:rPr>
          <w:rFonts w:ascii="Times New Roman" w:cs="Times New Roman" w:eastAsia="Times New Roman" w:hAnsi="Times New Roman"/>
          <w:sz w:val="10"/>
          <w:szCs w:val="10"/>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December 31, 2023.</w:t>
      </w:r>
    </w:p>
    <w:p>
      <w:pPr>
        <w:spacing w:after="0" w:line="105" w:lineRule="exact"/>
        <w:rPr>
          <w:sz w:val="20"/>
          <w:szCs w:val="20"/>
          <w:color w:val="auto"/>
        </w:rPr>
      </w:pPr>
    </w:p>
    <w:p>
      <w:pPr>
        <w:ind w:left="10" w:right="100" w:firstLine="480"/>
        <w:spacing w:after="0" w:line="245" w:lineRule="auto"/>
        <w:rPr>
          <w:sz w:val="20"/>
          <w:szCs w:val="20"/>
          <w:color w:val="auto"/>
        </w:rPr>
      </w:pPr>
      <w:r>
        <w:rPr>
          <w:rFonts w:ascii="Times New Roman" w:cs="Times New Roman" w:eastAsia="Times New Roman" w:hAnsi="Times New Roman"/>
          <w:sz w:val="10"/>
          <w:szCs w:val="10"/>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December 31, 2023.</w:t>
      </w:r>
    </w:p>
    <w:p>
      <w:pPr>
        <w:spacing w:after="0" w:line="105" w:lineRule="exact"/>
        <w:rPr>
          <w:sz w:val="20"/>
          <w:szCs w:val="20"/>
          <w:color w:val="auto"/>
        </w:rPr>
      </w:pPr>
    </w:p>
    <w:p>
      <w:pPr>
        <w:ind w:left="10" w:right="120" w:firstLine="480"/>
        <w:spacing w:after="0" w:line="245" w:lineRule="auto"/>
        <w:rPr>
          <w:sz w:val="20"/>
          <w:szCs w:val="20"/>
          <w:color w:val="auto"/>
        </w:rPr>
      </w:pPr>
      <w:r>
        <w:rPr>
          <w:rFonts w:ascii="Times New Roman" w:cs="Times New Roman" w:eastAsia="Times New Roman" w:hAnsi="Times New Roman"/>
          <w:sz w:val="10"/>
          <w:szCs w:val="10"/>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4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0"/>
          <w:szCs w:val="10"/>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30"/>
          </w:cols>
          <w:pgMar w:left="630" w:top="1155" w:right="640" w:bottom="1440" w:gutter="0" w:footer="0" w:header="0"/>
        </w:sectPr>
      </w:pPr>
    </w:p>
    <w:bookmarkStart w:id="250" w:name="page251"/>
    <w:bookmarkEnd w:id="250"/>
    <w:p>
      <w:pPr>
        <w:ind w:right="480" w:firstLine="480"/>
        <w:spacing w:after="0" w:line="255" w:lineRule="auto"/>
        <w:rPr>
          <w:sz w:val="20"/>
          <w:szCs w:val="20"/>
          <w:color w:val="auto"/>
        </w:rPr>
      </w:pPr>
      <w:r>
        <w:rPr>
          <w:rFonts w:ascii="Times New Roman" w:cs="Times New Roman" w:eastAsia="Times New Roman" w:hAnsi="Times New Roman"/>
          <w:sz w:val="10"/>
          <w:szCs w:val="10"/>
          <w:color w:val="auto"/>
        </w:rPr>
        <w:t>The aggregate balance outstanding under all promissory notes, excluding the funding under the Subscription Agreement with Polar (as described in the Not 4 below) was $2,776,600 and $2,564,439 as of December 31, 2023 and September 30, 2023,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Administrative Service Fee</w:t>
      </w:r>
    </w:p>
    <w:p>
      <w:pPr>
        <w:spacing w:after="0" w:line="60"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three months ended December 31, 2023, the Company incurred $30,000 in administrative service fees which were not paid and which were recorded in the accounts payable and accrued liabilities in the Company’s balance sheet, and for the three months ended December 31, 2022, the Company incurred and paid $30,000 in administrative service fees.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4 — Subscription Agreement Liability</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Effective December 12, 2023, the Company and the Sponsor, entered into a subscription agreement (the “Subscription Agreement”) with Polar Multi-Strategy Master Fund (“Polar”), an unaffiliated third party of the Company, pursuant to which Polar agreed to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make certain capital contributions (the “Investor Capital Contribution”) from time to time, at the request of the Sponsor, subject to the terms and conditions of the Subscription Agreement, to the Sponsor to meet the Sponsor’s commitment to fund the Company’s working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capital needs and extension payments. In exchange for the commitment of Polar to provide the Investor Capital Contribution, (i) the Sponsor will transfer shares of common stock, par value $0.0001 per share, to Polar at the closing of its initial business combination,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further described below; and (ii) the Company and the Sponsor have agreed jointly and severally to return the Investor Capital Contribution to the Investor at the closing of an initial business combination. The maximum aggregate Investor Capital Contribution is $440,000,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with an initial Investor Capital Contribution of $110,000 available for drawdown within five (5) business days of the Subscription Agreement and the remaining amount to be available for drawdown in three equal tranches of $110,000 during January, February and March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2024. The initial Investor Capital Contribution of $110,000 has been funded to the Sponsor, on January 16, 2024, the second Investor Capital Contribution of $110,000 was funded to the Sponsor, and on February 13, 2024, the third Investor Capital Contribution of</w:t>
      </w:r>
    </w:p>
    <w:p>
      <w:pPr>
        <w:spacing w:after="0"/>
        <w:rPr>
          <w:sz w:val="20"/>
          <w:szCs w:val="20"/>
          <w:color w:val="auto"/>
        </w:rPr>
      </w:pPr>
      <w:r>
        <w:rPr>
          <w:rFonts w:ascii="Times New Roman" w:cs="Times New Roman" w:eastAsia="Times New Roman" w:hAnsi="Times New Roman"/>
          <w:sz w:val="9"/>
          <w:szCs w:val="9"/>
          <w:color w:val="auto"/>
        </w:rPr>
        <w:t>$110,000 was funded to the Sponsor. In exchange for the foregoing commitment of Polar to make the Investor Capital Contributions to the Sponsor, the Company agrees to, or cause the surviving entity following the closing of the Company’s initial business combination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to, issue 880,000 shares of Company common stock currently held by the Sponsor in consideration for the amount that has been funded by Polar as of or prior to the closing of an initial business combination (the “Subscription Shares”). The Company or the surviving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of the business combination shall promptly file a registration statement for resale to register the Subscription Shares after the closing of an initial business combination, but no later than 45 calendar days after the closing of business combination, and cause the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statement to be declared effective by 150 calendar days after the closing of an initial business combination. The Subscription Shares shall be free from the lockup provisions currently applicable to these shares (for a period of 180 days following the closing of the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combination), provided that the stockholders of the Company shall have approved a proposal to such effect at the stockholders meeting held to approve the initial business combination.</w:t>
      </w:r>
    </w:p>
    <w:p>
      <w:pPr>
        <w:spacing w:after="0" w:line="10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 the event that Sponsor or the Company defaults in its obligations under the terms of the Subscription Agreement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101"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The Company accounts for the subscription agreement liability as a bundled transaction with allocation of individual items based on their relative fair values. The fair value of shares issuable under the Subscription Agreement is considered cost of borrowing of the funds lent by the Sponsor upon receipt of the Contributions from the Investor and the net amount is recorded as subscription agreement liability in the Company’s balance sheet. The Company recognized $108,634 of cost of borrowing attributable to the draw under the Subscription Agreement in December 2023. Such cost of borrowing is amortized over the term of the Subscription Agreement and is included in the Company’s statement of operations as interest expense. For the three months ended December 31, 2023, the Company recorded $5,384 of interest expense attributable to the previously recognized cost of borrowing. The net amount of subscription liability is presented as a separate line item in the Company’s balance sheet as of December 31, 2023.</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0"/>
          <w:szCs w:val="10"/>
          <w:b w:val="1"/>
          <w:bCs w:val="1"/>
          <w:color w:val="auto"/>
        </w:rPr>
        <w:t>Note 5 — Commitments and Contingencies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Registration Rights</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01"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Underwriting Agreement</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Financial Advisory Fee</w:t>
      </w:r>
    </w:p>
    <w:p>
      <w:pPr>
        <w:spacing w:after="0" w:line="60" w:lineRule="exact"/>
        <w:rPr>
          <w:sz w:val="20"/>
          <w:szCs w:val="20"/>
          <w:color w:val="auto"/>
        </w:rPr>
      </w:pPr>
    </w:p>
    <w:p>
      <w:pPr>
        <w:ind w:right="140" w:firstLine="480"/>
        <w:spacing w:after="0" w:line="241" w:lineRule="auto"/>
        <w:rPr>
          <w:sz w:val="20"/>
          <w:szCs w:val="20"/>
          <w:color w:val="auto"/>
        </w:rPr>
      </w:pPr>
      <w:r>
        <w:rPr>
          <w:rFonts w:ascii="Times New Roman" w:cs="Times New Roman" w:eastAsia="Times New Roman" w:hAnsi="Times New Roman"/>
          <w:sz w:val="10"/>
          <w:szCs w:val="10"/>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18"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05"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The Company has engaged Bishop IR (“Bishop”) as an investor relations advisor in connection with the initial Business Combination for the period from June 21, 2023 through June 20, 2024 with a monthly fee of $ 8,000,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Business Combination Marketing Agreement</w:t>
      </w:r>
    </w:p>
    <w:p>
      <w:pPr>
        <w:spacing w:after="0" w:line="60" w:lineRule="exact"/>
        <w:rPr>
          <w:sz w:val="20"/>
          <w:szCs w:val="20"/>
          <w:color w:val="auto"/>
        </w:rPr>
      </w:pPr>
    </w:p>
    <w:p>
      <w:pPr>
        <w:jc w:val="both"/>
        <w:ind w:right="40" w:firstLine="480"/>
        <w:spacing w:after="0" w:line="285" w:lineRule="auto"/>
        <w:rPr>
          <w:sz w:val="20"/>
          <w:szCs w:val="20"/>
          <w:color w:val="auto"/>
        </w:rPr>
      </w:pPr>
      <w:r>
        <w:rPr>
          <w:rFonts w:ascii="Times New Roman" w:cs="Times New Roman" w:eastAsia="Times New Roman" w:hAnsi="Times New Roman"/>
          <w:sz w:val="9"/>
          <w:szCs w:val="9"/>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252" w:name="page253"/>
    <w:bookmarkEnd w:id="252"/>
    <w:p>
      <w:pPr>
        <w:jc w:val="both"/>
        <w:spacing w:after="0" w:line="245" w:lineRule="auto"/>
        <w:rPr>
          <w:sz w:val="20"/>
          <w:szCs w:val="20"/>
          <w:color w:val="auto"/>
        </w:rPr>
      </w:pPr>
      <w:r>
        <w:rPr>
          <w:rFonts w:ascii="Times New Roman" w:cs="Times New Roman" w:eastAsia="Times New Roman" w:hAnsi="Times New Roman"/>
          <w:sz w:val="10"/>
          <w:szCs w:val="10"/>
          <w:color w:val="auto"/>
        </w:rPr>
        <w:t>Company will also pay the representative a separate capital market advisory fee of $ 2,500,000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05"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Non-Redemption Agreements</w:t>
      </w:r>
    </w:p>
    <w:p>
      <w:pPr>
        <w:spacing w:after="0" w:line="60"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On January 20, 2023, the Company and its Sponsor entered into ten agreements (the “Non- 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Right of First Refusal</w:t>
      </w:r>
    </w:p>
    <w:p>
      <w:pPr>
        <w:spacing w:after="0" w:line="60" w:lineRule="exact"/>
        <w:rPr>
          <w:sz w:val="20"/>
          <w:szCs w:val="20"/>
          <w:color w:val="auto"/>
        </w:rPr>
      </w:pPr>
    </w:p>
    <w:p>
      <w:pPr>
        <w:jc w:val="both"/>
        <w:ind w:right="220" w:firstLine="480"/>
        <w:spacing w:after="0" w:line="245" w:lineRule="auto"/>
        <w:rPr>
          <w:sz w:val="20"/>
          <w:szCs w:val="20"/>
          <w:color w:val="auto"/>
        </w:rPr>
      </w:pPr>
      <w:r>
        <w:rPr>
          <w:rFonts w:ascii="Times New Roman" w:cs="Times New Roman" w:eastAsia="Times New Roman" w:hAnsi="Times New Roman"/>
          <w:sz w:val="10"/>
          <w:szCs w:val="10"/>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Purchasing Agreement</w:t>
      </w:r>
    </w:p>
    <w:p>
      <w:pPr>
        <w:spacing w:after="0" w:line="60" w:lineRule="exact"/>
        <w:rPr>
          <w:sz w:val="20"/>
          <w:szCs w:val="20"/>
          <w:color w:val="auto"/>
        </w:rPr>
      </w:pPr>
    </w:p>
    <w:p>
      <w:pPr>
        <w:ind w:right="80" w:firstLine="480"/>
        <w:spacing w:after="0" w:line="239" w:lineRule="auto"/>
        <w:rPr>
          <w:sz w:val="20"/>
          <w:szCs w:val="20"/>
          <w:color w:val="auto"/>
        </w:rPr>
      </w:pPr>
      <w:r>
        <w:rPr>
          <w:rFonts w:ascii="Times New Roman" w:cs="Times New Roman" w:eastAsia="Times New Roman" w:hAnsi="Times New Roman"/>
          <w:sz w:val="10"/>
          <w:szCs w:val="10"/>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1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095" w:right="600"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0"/>
          <w:szCs w:val="10"/>
          <w:b w:val="1"/>
          <w:bCs w:val="1"/>
          <w:color w:val="auto"/>
        </w:rPr>
        <w:t>Note 6 — Stockholders’ Deficit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Preferred stock</w:t>
      </w:r>
    </w:p>
    <w:p>
      <w:pPr>
        <w:spacing w:after="0" w:line="60"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The Company is authorized to issue 1,000,000 shares of preferred stock with apar value of $0.0001 and with such designations, voting and other rights and preferences as may be determined from time to time by the Company’s board of directors. As of December 31, 2023 and September 30, 2023, there were no shares of preferred stock issued or outstanding.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Company is authorized to issue 100,000,000 shares of common stock with a par value of $0.0001 per share. At December 31, 2023 and September 30, 2023, there were 5,709,500 shares of common stock issued and outstanding, excluding 2,363,349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05"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w:t>
      </w:r>
    </w:p>
    <w:p>
      <w:pPr>
        <w:spacing w:after="0" w:line="101"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01"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Warrants</w:t>
      </w:r>
    </w:p>
    <w:p>
      <w:pPr>
        <w:spacing w:after="0" w:line="60" w:lineRule="exact"/>
        <w:rPr>
          <w:sz w:val="20"/>
          <w:szCs w:val="20"/>
          <w:color w:val="auto"/>
        </w:rPr>
      </w:pPr>
    </w:p>
    <w:p>
      <w:pPr>
        <w:ind w:right="20" w:firstLine="480"/>
        <w:spacing w:after="0" w:line="238" w:lineRule="auto"/>
        <w:rPr>
          <w:sz w:val="20"/>
          <w:szCs w:val="20"/>
          <w:color w:val="auto"/>
        </w:rPr>
      </w:pPr>
      <w:r>
        <w:rPr>
          <w:rFonts w:ascii="Times New Roman" w:cs="Times New Roman" w:eastAsia="Times New Roman" w:hAnsi="Times New Roman"/>
          <w:sz w:val="10"/>
          <w:szCs w:val="10"/>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may call the warrants for redemption, in whole and not in part, at a price of $0.01 per warrant, in whole and not in part: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•at any time after the warrants become exercisable,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not less than 30 days’ prior written notice of redemption to each warrant holder</w:t>
      </w:r>
    </w:p>
    <w:p>
      <w:pPr>
        <w:spacing w:after="0" w:line="58" w:lineRule="exact"/>
        <w:rPr>
          <w:sz w:val="20"/>
          <w:szCs w:val="20"/>
          <w:color w:val="auto"/>
        </w:rPr>
      </w:pPr>
    </w:p>
    <w:p>
      <w:pPr>
        <w:ind w:left="5180" w:right="1040" w:hanging="4717"/>
        <w:spacing w:after="0" w:line="380" w:lineRule="auto"/>
        <w:rPr>
          <w:sz w:val="20"/>
          <w:szCs w:val="20"/>
          <w:color w:val="auto"/>
        </w:rPr>
      </w:pPr>
      <w:r>
        <w:rPr>
          <w:rFonts w:ascii="Times New Roman" w:cs="Times New Roman" w:eastAsia="Times New Roman" w:hAnsi="Times New Roman"/>
          <w:sz w:val="10"/>
          <w:szCs w:val="10"/>
          <w:color w:val="auto"/>
        </w:rPr>
        <w:t>•if, and only if, the reported last sale price of the common stock equals or exceeds $18.00 per share (as adjusted for stock splits, stock dividends, reorganizations, recapitalizations) for any 20 trading days within a 30-trading day period F-125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54" w:name="page255"/>
    <w:bookmarkEnd w:id="254"/>
    <w:p>
      <w:pPr>
        <w:ind w:left="480" w:right="4040"/>
        <w:spacing w:after="0" w:line="380" w:lineRule="auto"/>
        <w:rPr>
          <w:sz w:val="20"/>
          <w:szCs w:val="20"/>
          <w:color w:val="auto"/>
        </w:rPr>
      </w:pPr>
      <w:r>
        <w:rPr>
          <w:rFonts w:ascii="Times New Roman" w:cs="Times New Roman" w:eastAsia="Times New Roman" w:hAnsi="Times New Roman"/>
          <w:sz w:val="10"/>
          <w:szCs w:val="10"/>
          <w:color w:val="auto"/>
        </w:rPr>
        <w:t>commencing at any time after the warrants become exercisable and ending on the third business day prior to the notice of redemption to warrant holders; and •if, and only if, there is a current registration statement in effect with respect to the shares of common stock underlying such warrants.</w:t>
      </w:r>
    </w:p>
    <w:p>
      <w:pPr>
        <w:spacing w:after="0" w:line="41"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08"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7— Subsequent Events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financial statements.</w:t>
      </w:r>
    </w:p>
    <w:p>
      <w:pPr>
        <w:spacing w:after="0" w:line="101"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above.</w:t>
      </w:r>
    </w:p>
    <w:p>
      <w:pPr>
        <w:spacing w:after="0" w:line="101"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above).</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101"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1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255" w:name="page256"/>
    <w:bookmarkEnd w:id="255"/>
    <w:p>
      <w:pPr>
        <w:ind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w:t>
      </w:r>
    </w:p>
    <w:p>
      <w:pPr>
        <w:spacing w:after="0" w:line="108"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On February 16, 2024, the Company borrowed $49,619 under the Second Extension Note and deposited the funds into the Trust Account thereby extending the Termination Date to March 17, 2024. The funds made available by the Sponsor to the Company under the Extension Note were attributable to a draw down under the Subscription Agreement with Polar described in Note 4 above.</w:t>
      </w:r>
    </w:p>
    <w:p>
      <w:pPr>
        <w:spacing w:after="0" w:line="101"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above.</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56" w:name="page257"/>
    <w:bookmarkEnd w:id="256"/>
    <w:p>
      <w:pPr>
        <w:jc w:val="center"/>
        <w:spacing w:after="0"/>
        <w:rPr>
          <w:sz w:val="20"/>
          <w:szCs w:val="20"/>
          <w:color w:val="auto"/>
        </w:rPr>
      </w:pPr>
      <w:r>
        <w:rPr>
          <w:rFonts w:ascii="Times New Roman" w:cs="Times New Roman" w:eastAsia="Times New Roman" w:hAnsi="Times New Roman"/>
          <w:sz w:val="10"/>
          <w:szCs w:val="10"/>
          <w:b w:val="1"/>
          <w:bCs w:val="1"/>
          <w:color w:val="auto"/>
        </w:rPr>
        <w:t>REPORT OF INDEPENDENT REGISTERED PUBLIC ACCOUNTING FIRM</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To the Stockholders and Board of Directors of Armada Acquisition Corp. 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Opinion on the Financial Statements</w:t>
      </w:r>
    </w:p>
    <w:p>
      <w:pPr>
        <w:spacing w:after="0" w:line="6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0"/>
          <w:szCs w:val="10"/>
          <w:color w:val="auto"/>
        </w:rPr>
        <w:t>We have audited the accompanying balance sheets of Armada Acquisition Corp. I (the “Company”) as of September 30, 2023 and 2022, the related statements of operations, changes in stockholders’ equity (deficit) and cash flows for each of the two years in the period ended September 30, 2023, and the related notes (collectively referred to as the “financial statements”). In our opinion, the financial statements present fairly, in all material respects, the financial position of the Company as of September 30, 2023 and 2022, and the results of its operations and its cash flows for each of the two years in the period ended September 30, 2023, in conformity with accounting principles generally accepted in the United States of America.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Explanatory Paragraph – Going Concern</w:t>
      </w:r>
    </w:p>
    <w:p>
      <w:pPr>
        <w:spacing w:after="0" w:line="60"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0"/>
          <w:szCs w:val="10"/>
          <w:color w:val="auto"/>
        </w:rPr>
        <w:t>The accompanying financial statements have been prepared assuming that the Company will continue as a going concern. As more fully described in Note 1, the Company has a significant working capital deficiency, has incurred significant costs and needs to raise additional funds to meet its obligations and sustain its operations. Additionally, the Company’s business plan is dependent on the completion of a business combination.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Basis for Opinion</w:t>
      </w:r>
    </w:p>
    <w:p>
      <w:pPr>
        <w:spacing w:after="0" w:line="60" w:lineRule="exact"/>
        <w:rPr>
          <w:sz w:val="20"/>
          <w:szCs w:val="20"/>
          <w:color w:val="auto"/>
        </w:rPr>
      </w:pPr>
    </w:p>
    <w:p>
      <w:pPr>
        <w:ind w:right="280"/>
        <w:spacing w:after="0" w:line="310" w:lineRule="auto"/>
        <w:rPr>
          <w:sz w:val="20"/>
          <w:szCs w:val="20"/>
          <w:color w:val="auto"/>
        </w:rPr>
      </w:pPr>
      <w:r>
        <w:rPr>
          <w:rFonts w:ascii="Times New Roman" w:cs="Times New Roman" w:eastAsia="Times New Roman" w:hAnsi="Times New Roman"/>
          <w:sz w:val="9"/>
          <w:szCs w:val="9"/>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0"/>
          <w:szCs w:val="10"/>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0"/>
          <w:szCs w:val="1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/s/ Marcum LLP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Marcum LLP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We have served as the Company’s auditor since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East Hanover, NJ</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December 4, 2023</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57" w:name="page258"/>
    <w:bookmarkEnd w:id="257"/>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300" w:type="dxa"/>
            <w:vAlign w:val="bottom"/>
          </w:tcPr>
          <w:p>
            <w:pPr>
              <w:spacing w:after="0"/>
              <w:rPr>
                <w:sz w:val="8"/>
                <w:szCs w:val="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0" w:type="dxa"/>
            <w:vAlign w:val="bottom"/>
          </w:tcPr>
          <w:p>
            <w:pPr>
              <w:spacing w:after="0"/>
              <w:rPr>
                <w:sz w:val="1"/>
                <w:szCs w:val="1"/>
                <w:color w:val="auto"/>
              </w:rPr>
            </w:pPr>
          </w:p>
        </w:tc>
      </w:tr>
      <w:tr>
        <w:trPr>
          <w:trHeight w:val="106"/>
        </w:trPr>
        <w:tc>
          <w:tcPr>
            <w:tcW w:w="7300" w:type="dxa"/>
            <w:vAlign w:val="bottom"/>
          </w:tcPr>
          <w:p>
            <w:pPr>
              <w:spacing w:after="0"/>
              <w:rPr>
                <w:sz w:val="9"/>
                <w:szCs w:val="9"/>
                <w:color w:val="auto"/>
              </w:rPr>
            </w:pP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8"/>
                <w:szCs w:val="8"/>
                <w:b w:val="1"/>
                <w:bCs w:val="1"/>
                <w:color w:val="auto"/>
              </w:rPr>
              <w:t>2023</w:t>
            </w: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1000" w:type="dxa"/>
            <w:vAlign w:val="bottom"/>
          </w:tcPr>
          <w:p>
            <w:pPr>
              <w:jc w:val="right"/>
              <w:ind w:right="89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60,284</w:t>
            </w:r>
          </w:p>
        </w:tc>
        <w:tc>
          <w:tcPr>
            <w:tcW w:w="260" w:type="dxa"/>
            <w:vAlign w:val="bottom"/>
          </w:tcPr>
          <w:p>
            <w:pPr>
              <w:spacing w:after="0"/>
              <w:rPr>
                <w:sz w:val="9"/>
                <w:szCs w:val="9"/>
                <w:color w:val="auto"/>
              </w:rPr>
            </w:pPr>
          </w:p>
        </w:tc>
        <w:tc>
          <w:tcPr>
            <w:tcW w:w="280" w:type="dxa"/>
            <w:vAlign w:val="bottom"/>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177,578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33,605</w:t>
            </w: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61,942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100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93,889</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239,520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Investments held in Trust Account</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w w:val="97"/>
              </w:rPr>
              <w:t>25,324,028</w:t>
            </w: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150,844,925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1000" w:type="dxa"/>
            <w:vAlign w:val="bottom"/>
            <w:tcBorders>
              <w:bottom w:val="single" w:sz="8" w:color="auto"/>
            </w:tcBorders>
          </w:tcPr>
          <w:p>
            <w:pPr>
              <w:jc w:val="right"/>
              <w:ind w:right="89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w w:val="97"/>
              </w:rPr>
              <w:t>25,417,917</w:t>
            </w:r>
          </w:p>
        </w:tc>
        <w:tc>
          <w:tcPr>
            <w:tcW w:w="260" w:type="dxa"/>
            <w:vAlign w:val="bottom"/>
          </w:tcPr>
          <w:p>
            <w:pPr>
              <w:spacing w:after="0"/>
              <w:rPr>
                <w:sz w:val="10"/>
                <w:szCs w:val="10"/>
                <w:color w:val="auto"/>
              </w:rPr>
            </w:pPr>
          </w:p>
        </w:tc>
        <w:tc>
          <w:tcPr>
            <w:tcW w:w="280" w:type="dxa"/>
            <w:vAlign w:val="bottom"/>
            <w:tcBorders>
              <w:bottom w:val="single" w:sz="8" w:color="auto"/>
            </w:tcBorders>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151,084,445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730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Liabilities, Common Stock Subject to Possible Redemption and Stockholders’</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7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0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Current liabilities:</w:t>
            </w:r>
          </w:p>
        </w:tc>
        <w:tc>
          <w:tcPr>
            <w:tcW w:w="1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1000" w:type="dxa"/>
            <w:vAlign w:val="bottom"/>
            <w:shd w:val="clear" w:color="auto" w:fill="CFF0FC"/>
          </w:tcPr>
          <w:p>
            <w:pPr>
              <w:jc w:val="right"/>
              <w:ind w:right="89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4,708,050</w:t>
            </w: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3,137,535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100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12,100</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150,000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10,783</w:t>
            </w: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145,621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Promissory Notes-Related Party</w:t>
            </w:r>
          </w:p>
        </w:tc>
        <w:tc>
          <w:tcPr>
            <w:tcW w:w="100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2,564,439</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251,754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1,291,751</w:t>
            </w: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100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8,587,123</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3,684,910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Commitments and Contingencies (Note 4)</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30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Common stock subject to possible redemption, 2,363,349 and 15,000,000 shares</w:t>
            </w:r>
          </w:p>
        </w:tc>
        <w:tc>
          <w:tcPr>
            <w:tcW w:w="1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ind w:left="80"/>
              <w:spacing w:after="0" w:line="113" w:lineRule="exact"/>
              <w:rPr>
                <w:sz w:val="20"/>
                <w:szCs w:val="20"/>
                <w:color w:val="auto"/>
              </w:rPr>
            </w:pPr>
            <w:r>
              <w:rPr>
                <w:rFonts w:ascii="Times New Roman" w:cs="Times New Roman" w:eastAsia="Times New Roman" w:hAnsi="Times New Roman"/>
                <w:sz w:val="10"/>
                <w:szCs w:val="10"/>
                <w:color w:val="auto"/>
              </w:rPr>
              <w:t>at redemption value of approximately $10.71 and $10.04 per share at</w:t>
            </w:r>
          </w:p>
        </w:tc>
        <w:tc>
          <w:tcPr>
            <w:tcW w:w="1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3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September 30, 2023 and 2022, respectively</w:t>
            </w:r>
          </w:p>
        </w:tc>
        <w:tc>
          <w:tcPr>
            <w:tcW w:w="10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25,316,806</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150,548,862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Stockholders’ Deficit:</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30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Preferred stock, $0.0001 par value; 1,000,000 shares authorized; none issued or</w:t>
            </w:r>
          </w:p>
        </w:tc>
        <w:tc>
          <w:tcPr>
            <w:tcW w:w="1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3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outstanding</w:t>
            </w:r>
          </w:p>
        </w:tc>
        <w:tc>
          <w:tcPr>
            <w:tcW w:w="1000" w:type="dxa"/>
            <w:vAlign w:val="bottom"/>
          </w:tcPr>
          <w:p>
            <w:pPr>
              <w:spacing w:after="0"/>
              <w:rPr>
                <w:sz w:val="10"/>
                <w:szCs w:val="10"/>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6"/>
        </w:trPr>
        <w:tc>
          <w:tcPr>
            <w:tcW w:w="730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Common stock, $0.0001 par value; 100,000,000 shares authorized, 5,709,500 shares</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issued and outstanding (excluding 2,363,349 and 15,000,000 shares subject to</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possible redemption) at September 30, 2023 and 2022, respectively</w:t>
            </w:r>
          </w:p>
        </w:tc>
        <w:tc>
          <w:tcPr>
            <w:tcW w:w="100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2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1000" w:type="dxa"/>
            <w:vAlign w:val="bottom"/>
          </w:tcPr>
          <w:p>
            <w:pPr>
              <w:spacing w:after="0"/>
              <w:rPr>
                <w:sz w:val="9"/>
                <w:szCs w:val="9"/>
                <w:color w:val="auto"/>
              </w:rPr>
            </w:pPr>
          </w:p>
        </w:tc>
        <w:tc>
          <w:tcPr>
            <w:tcW w:w="740" w:type="dxa"/>
            <w:vAlign w:val="bottom"/>
            <w:gridSpan w:val="2"/>
          </w:tcPr>
          <w:p>
            <w:pPr>
              <w:jc w:val="right"/>
              <w:ind w:right="28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941,796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100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(8,486,582 )</w:t>
            </w:r>
          </w:p>
        </w:tc>
        <w:tc>
          <w:tcPr>
            <w:tcW w:w="28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(4,091,693 )</w:t>
            </w: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Stockholders’ Deficit</w:t>
            </w:r>
          </w:p>
        </w:tc>
        <w:tc>
          <w:tcPr>
            <w:tcW w:w="1000" w:type="dxa"/>
            <w:vAlign w:val="bottom"/>
          </w:tcPr>
          <w:p>
            <w:pPr>
              <w:spacing w:after="0"/>
              <w:rPr>
                <w:sz w:val="9"/>
                <w:szCs w:val="9"/>
                <w:color w:val="auto"/>
              </w:rPr>
            </w:pPr>
          </w:p>
        </w:tc>
        <w:tc>
          <w:tcPr>
            <w:tcW w:w="7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(8,486,012 )</w:t>
            </w:r>
          </w:p>
        </w:tc>
        <w:tc>
          <w:tcPr>
            <w:tcW w:w="280" w:type="dxa"/>
            <w:vAlign w:val="bottom"/>
          </w:tcPr>
          <w:p>
            <w:pPr>
              <w:spacing w:after="0"/>
              <w:rPr>
                <w:sz w:val="9"/>
                <w:szCs w:val="9"/>
                <w:color w:val="auto"/>
              </w:rPr>
            </w:pPr>
          </w:p>
        </w:tc>
        <w:tc>
          <w:tcPr>
            <w:tcW w:w="13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(3,149,327 )</w:t>
            </w:r>
          </w:p>
        </w:tc>
        <w:tc>
          <w:tcPr>
            <w:tcW w:w="0" w:type="dxa"/>
            <w:vAlign w:val="bottom"/>
          </w:tcPr>
          <w:p>
            <w:pPr>
              <w:spacing w:after="0"/>
              <w:rPr>
                <w:sz w:val="1"/>
                <w:szCs w:val="1"/>
                <w:color w:val="auto"/>
              </w:rPr>
            </w:pPr>
          </w:p>
        </w:tc>
      </w:tr>
      <w:tr>
        <w:trPr>
          <w:trHeight w:val="104"/>
        </w:trPr>
        <w:tc>
          <w:tcPr>
            <w:tcW w:w="730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Total Liabilities, Common Stock Subject to Possible Redemption and</w:t>
            </w:r>
          </w:p>
        </w:tc>
        <w:tc>
          <w:tcPr>
            <w:tcW w:w="1000" w:type="dxa"/>
            <w:vAlign w:val="bottom"/>
            <w:vMerge w:val="restart"/>
            <w:shd w:val="clear" w:color="auto" w:fill="CFF0FC"/>
          </w:tcPr>
          <w:p>
            <w:pPr>
              <w:jc w:val="right"/>
              <w:ind w:right="894"/>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7"/>
              </w:rPr>
              <w:t>25,417,917</w:t>
            </w:r>
          </w:p>
        </w:tc>
        <w:tc>
          <w:tcPr>
            <w:tcW w:w="260" w:type="dxa"/>
            <w:vAlign w:val="bottom"/>
            <w:shd w:val="clear" w:color="auto" w:fill="CFF0FC"/>
          </w:tcPr>
          <w:p>
            <w:pPr>
              <w:spacing w:after="0"/>
              <w:rPr>
                <w:sz w:val="9"/>
                <w:szCs w:val="9"/>
                <w:color w:val="auto"/>
              </w:rPr>
            </w:pPr>
          </w:p>
        </w:tc>
        <w:tc>
          <w:tcPr>
            <w:tcW w:w="280" w:type="dxa"/>
            <w:vAlign w:val="bottom"/>
            <w:vMerge w:val="restart"/>
            <w:shd w:val="clear" w:color="auto" w:fill="CFF0FC"/>
          </w:tcPr>
          <w:p>
            <w:pPr>
              <w:jc w:val="right"/>
              <w:ind w:right="171"/>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151,084,445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7300" w:type="dxa"/>
            <w:vAlign w:val="bottom"/>
            <w:tcBorders>
              <w:bottom w:val="single" w:sz="8" w:color="CFF0FC"/>
            </w:tcBorders>
            <w:shd w:val="clear" w:color="auto" w:fill="CFF0FC"/>
          </w:tcPr>
          <w:p>
            <w:pPr>
              <w:ind w:left="80"/>
              <w:spacing w:after="0" w:line="79" w:lineRule="exact"/>
              <w:rPr>
                <w:sz w:val="20"/>
                <w:szCs w:val="20"/>
                <w:color w:val="auto"/>
              </w:rPr>
            </w:pPr>
            <w:r>
              <w:rPr>
                <w:rFonts w:ascii="Times New Roman" w:cs="Times New Roman" w:eastAsia="Times New Roman" w:hAnsi="Times New Roman"/>
                <w:sz w:val="9"/>
                <w:szCs w:val="9"/>
                <w:b w:val="1"/>
                <w:bCs w:val="1"/>
                <w:color w:val="auto"/>
              </w:rPr>
              <w:t>Stockholders’ Deficit</w:t>
            </w:r>
          </w:p>
        </w:tc>
        <w:tc>
          <w:tcPr>
            <w:tcW w:w="1000" w:type="dxa"/>
            <w:vAlign w:val="bottom"/>
            <w:tcBorders>
              <w:bottom w:val="single" w:sz="8" w:color="auto"/>
            </w:tcBorders>
            <w:vMerge w:val="continue"/>
            <w:shd w:val="clear" w:color="auto" w:fill="CFF0FC"/>
          </w:tcPr>
          <w:p>
            <w:pPr>
              <w:spacing w:after="0"/>
              <w:rPr>
                <w:sz w:val="8"/>
                <w:szCs w:val="8"/>
                <w:color w:val="auto"/>
              </w:rPr>
            </w:pPr>
          </w:p>
        </w:tc>
        <w:tc>
          <w:tcPr>
            <w:tcW w:w="480" w:type="dxa"/>
            <w:vAlign w:val="bottom"/>
            <w:tcBorders>
              <w:bottom w:val="single" w:sz="8" w:color="auto"/>
            </w:tcBorders>
            <w:vMerge w:val="continue"/>
            <w:shd w:val="clear" w:color="auto" w:fill="CFF0FC"/>
          </w:tcPr>
          <w:p>
            <w:pPr>
              <w:spacing w:after="0"/>
              <w:rPr>
                <w:sz w:val="8"/>
                <w:szCs w:val="8"/>
                <w:color w:val="auto"/>
              </w:rPr>
            </w:pPr>
          </w:p>
        </w:tc>
        <w:tc>
          <w:tcPr>
            <w:tcW w:w="260" w:type="dxa"/>
            <w:vAlign w:val="bottom"/>
            <w:tcBorders>
              <w:bottom w:val="single" w:sz="8" w:color="CFF0FC"/>
            </w:tcBorders>
            <w:shd w:val="clear" w:color="auto" w:fill="CFF0FC"/>
          </w:tcPr>
          <w:p>
            <w:pPr>
              <w:spacing w:after="0"/>
              <w:rPr>
                <w:sz w:val="8"/>
                <w:szCs w:val="8"/>
                <w:color w:val="auto"/>
              </w:rPr>
            </w:pPr>
          </w:p>
        </w:tc>
        <w:tc>
          <w:tcPr>
            <w:tcW w:w="280" w:type="dxa"/>
            <w:vAlign w:val="bottom"/>
            <w:tcBorders>
              <w:bottom w:val="single" w:sz="8" w:color="auto"/>
            </w:tcBorders>
            <w:vMerge w:val="continue"/>
            <w:shd w:val="clear" w:color="auto" w:fill="CFF0FC"/>
          </w:tcPr>
          <w:p>
            <w:pPr>
              <w:spacing w:after="0"/>
              <w:rPr>
                <w:sz w:val="8"/>
                <w:szCs w:val="8"/>
                <w:color w:val="auto"/>
              </w:rPr>
            </w:pPr>
          </w:p>
        </w:tc>
        <w:tc>
          <w:tcPr>
            <w:tcW w:w="1200" w:type="dxa"/>
            <w:vAlign w:val="bottom"/>
            <w:tcBorders>
              <w:bottom w:val="single" w:sz="8" w:color="auto"/>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The accompanying notes are an integral part of these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58" w:name="page259"/>
    <w:bookmarkEnd w:id="258"/>
    <w:p>
      <w:pPr>
        <w:ind w:left="454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0"/>
          <w:szCs w:val="10"/>
          <w:b w:val="1"/>
          <w:bCs w:val="1"/>
          <w:color w:val="auto"/>
        </w:rPr>
        <w:t>STATEMENTS OF OPERATIONS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7300" w:type="dxa"/>
            <w:vAlign w:val="bottom"/>
          </w:tcPr>
          <w:p>
            <w:pPr>
              <w:spacing w:after="0"/>
              <w:rPr>
                <w:sz w:val="9"/>
                <w:szCs w:val="9"/>
                <w:color w:val="auto"/>
              </w:rPr>
            </w:pPr>
          </w:p>
        </w:tc>
        <w:tc>
          <w:tcPr>
            <w:tcW w:w="900" w:type="dxa"/>
            <w:vAlign w:val="bottom"/>
            <w:vMerge w:val="restart"/>
          </w:tcPr>
          <w:p>
            <w:pPr>
              <w:jc w:val="right"/>
              <w:ind w:right="33"/>
              <w:spacing w:after="0"/>
              <w:rPr>
                <w:sz w:val="20"/>
                <w:szCs w:val="20"/>
                <w:color w:val="auto"/>
              </w:rPr>
            </w:pPr>
            <w:r>
              <w:rPr>
                <w:rFonts w:ascii="Times New Roman" w:cs="Times New Roman" w:eastAsia="Times New Roman" w:hAnsi="Times New Roman"/>
                <w:sz w:val="8"/>
                <w:szCs w:val="8"/>
                <w:b w:val="1"/>
                <w:bCs w:val="1"/>
                <w:color w:val="auto"/>
              </w:rPr>
              <w:t>2023</w:t>
            </w:r>
          </w:p>
        </w:tc>
        <w:tc>
          <w:tcPr>
            <w:tcW w:w="1420" w:type="dxa"/>
            <w:vAlign w:val="bottom"/>
            <w:gridSpan w:val="3"/>
          </w:tcPr>
          <w:p>
            <w:pPr>
              <w:jc w:val="right"/>
              <w:ind w:right="51"/>
              <w:spacing w:after="0"/>
              <w:rPr>
                <w:sz w:val="20"/>
                <w:szCs w:val="20"/>
                <w:color w:val="auto"/>
              </w:rPr>
            </w:pPr>
            <w:r>
              <w:rPr>
                <w:rFonts w:ascii="Times New Roman" w:cs="Times New Roman" w:eastAsia="Times New Roman" w:hAnsi="Times New Roman"/>
                <w:sz w:val="8"/>
                <w:szCs w:val="8"/>
                <w:b w:val="1"/>
                <w:bCs w:val="1"/>
                <w:color w:val="auto"/>
              </w:rPr>
              <w:t>For the Year Ended September 30,</w:t>
            </w:r>
          </w:p>
        </w:tc>
        <w:tc>
          <w:tcPr>
            <w:tcW w:w="900" w:type="dxa"/>
            <w:vAlign w:val="bottom"/>
            <w:vMerge w:val="restart"/>
          </w:tcPr>
          <w:p>
            <w:pPr>
              <w:jc w:val="right"/>
              <w:ind w:right="613"/>
              <w:spacing w:after="0"/>
              <w:rPr>
                <w:sz w:val="20"/>
                <w:szCs w:val="20"/>
                <w:color w:val="auto"/>
              </w:rPr>
            </w:pPr>
            <w:r>
              <w:rPr>
                <w:rFonts w:ascii="Times New Roman" w:cs="Times New Roman" w:eastAsia="Times New Roman" w:hAnsi="Times New Roman"/>
                <w:sz w:val="8"/>
                <w:szCs w:val="8"/>
                <w:b w:val="1"/>
                <w:bCs w:val="1"/>
                <w:color w:val="auto"/>
              </w:rPr>
              <w:t>2022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73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Formation and operating costs</w:t>
            </w:r>
          </w:p>
        </w:tc>
        <w:tc>
          <w:tcPr>
            <w:tcW w:w="900" w:type="dxa"/>
            <w:vAlign w:val="bottom"/>
            <w:shd w:val="clear" w:color="auto" w:fill="CFF0FC"/>
          </w:tcPr>
          <w:p>
            <w:pPr>
              <w:jc w:val="right"/>
              <w:ind w:right="793"/>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2,570,872</w:t>
            </w: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jc w:val="right"/>
              <w:ind w:right="4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4,391,263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90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218,254</w:t>
            </w: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111,852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Loss from operations</w:t>
            </w:r>
          </w:p>
        </w:tc>
        <w:tc>
          <w:tcPr>
            <w:tcW w:w="900" w:type="dxa"/>
            <w:vAlign w:val="bottom"/>
            <w:shd w:val="clear" w:color="auto" w:fill="CFF0FC"/>
          </w:tcPr>
          <w:p>
            <w:pPr>
              <w:spacing w:after="0"/>
              <w:rPr>
                <w:sz w:val="9"/>
                <w:szCs w:val="9"/>
                <w:color w:val="auto"/>
              </w:rPr>
            </w:pPr>
          </w:p>
        </w:tc>
        <w:tc>
          <w:tcPr>
            <w:tcW w:w="840" w:type="dxa"/>
            <w:vAlign w:val="bottom"/>
            <w:gridSpan w:val="2"/>
            <w:shd w:val="clear" w:color="auto" w:fill="CFF0FC"/>
          </w:tcPr>
          <w:p>
            <w:pPr>
              <w:jc w:val="right"/>
              <w:ind w:right="183"/>
              <w:spacing w:after="0" w:line="113" w:lineRule="exact"/>
              <w:rPr>
                <w:sz w:val="20"/>
                <w:szCs w:val="20"/>
                <w:color w:val="auto"/>
              </w:rPr>
            </w:pPr>
            <w:r>
              <w:rPr>
                <w:rFonts w:ascii="Times New Roman" w:cs="Times New Roman" w:eastAsia="Times New Roman" w:hAnsi="Times New Roman"/>
                <w:sz w:val="10"/>
                <w:szCs w:val="10"/>
                <w:color w:val="auto"/>
              </w:rPr>
              <w:t>(2,789,126 )</w:t>
            </w:r>
          </w:p>
        </w:tc>
        <w:tc>
          <w:tcPr>
            <w:tcW w:w="5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23"/>
              <w:spacing w:after="0" w:line="113" w:lineRule="exact"/>
              <w:rPr>
                <w:sz w:val="20"/>
                <w:szCs w:val="20"/>
                <w:color w:val="auto"/>
              </w:rPr>
            </w:pPr>
            <w:r>
              <w:rPr>
                <w:rFonts w:ascii="Times New Roman" w:cs="Times New Roman" w:eastAsia="Times New Roman" w:hAnsi="Times New Roman"/>
                <w:sz w:val="10"/>
                <w:szCs w:val="10"/>
                <w:color w:val="auto"/>
              </w:rPr>
              <w:t>(4,503,115 )</w:t>
            </w: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Other income</w:t>
            </w: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Trust interest income</w:t>
            </w:r>
          </w:p>
        </w:tc>
        <w:tc>
          <w:tcPr>
            <w:tcW w:w="90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3,084,260</w:t>
            </w: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1,025,942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other income</w:t>
            </w:r>
          </w:p>
        </w:tc>
        <w:tc>
          <w:tcPr>
            <w:tcW w:w="90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3,084,260</w:t>
            </w: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1,025,942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Income (loss) before income tax provision</w:t>
            </w:r>
          </w:p>
        </w:tc>
        <w:tc>
          <w:tcPr>
            <w:tcW w:w="90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295,134</w:t>
            </w: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23"/>
              <w:spacing w:after="0" w:line="113" w:lineRule="exact"/>
              <w:rPr>
                <w:sz w:val="20"/>
                <w:szCs w:val="20"/>
                <w:color w:val="auto"/>
              </w:rPr>
            </w:pPr>
            <w:r>
              <w:rPr>
                <w:rFonts w:ascii="Times New Roman" w:cs="Times New Roman" w:eastAsia="Times New Roman" w:hAnsi="Times New Roman"/>
                <w:sz w:val="10"/>
                <w:szCs w:val="10"/>
                <w:color w:val="auto"/>
              </w:rPr>
              <w:t>(3,477,173 )</w:t>
            </w: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Income tax provision</w:t>
            </w:r>
          </w:p>
        </w:tc>
        <w:tc>
          <w:tcPr>
            <w:tcW w:w="900" w:type="dxa"/>
            <w:vAlign w:val="bottom"/>
          </w:tcPr>
          <w:p>
            <w:pPr>
              <w:spacing w:after="0"/>
              <w:rPr>
                <w:sz w:val="9"/>
                <w:szCs w:val="9"/>
                <w:color w:val="auto"/>
              </w:rPr>
            </w:pPr>
          </w:p>
        </w:tc>
        <w:tc>
          <w:tcPr>
            <w:tcW w:w="840" w:type="dxa"/>
            <w:vAlign w:val="bottom"/>
            <w:gridSpan w:val="2"/>
          </w:tcPr>
          <w:p>
            <w:pPr>
              <w:jc w:val="right"/>
              <w:ind w:right="183"/>
              <w:spacing w:after="0" w:line="113" w:lineRule="exact"/>
              <w:rPr>
                <w:sz w:val="20"/>
                <w:szCs w:val="20"/>
                <w:color w:val="auto"/>
              </w:rPr>
            </w:pPr>
            <w:r>
              <w:rPr>
                <w:rFonts w:ascii="Times New Roman" w:cs="Times New Roman" w:eastAsia="Times New Roman" w:hAnsi="Times New Roman"/>
                <w:sz w:val="10"/>
                <w:szCs w:val="10"/>
                <w:color w:val="auto"/>
              </w:rPr>
              <w:t>(615,284 )</w:t>
            </w:r>
          </w:p>
        </w:tc>
        <w:tc>
          <w:tcPr>
            <w:tcW w:w="580" w:type="dxa"/>
            <w:vAlign w:val="bottom"/>
          </w:tcPr>
          <w:p>
            <w:pPr>
              <w:spacing w:after="0"/>
              <w:rPr>
                <w:sz w:val="9"/>
                <w:szCs w:val="9"/>
                <w:color w:val="auto"/>
              </w:rPr>
            </w:pPr>
          </w:p>
        </w:tc>
        <w:tc>
          <w:tcPr>
            <w:tcW w:w="1000" w:type="dxa"/>
            <w:vAlign w:val="bottom"/>
            <w:gridSpan w:val="2"/>
          </w:tcPr>
          <w:p>
            <w:pPr>
              <w:jc w:val="right"/>
              <w:ind w:right="23"/>
              <w:spacing w:after="0" w:line="113" w:lineRule="exact"/>
              <w:rPr>
                <w:sz w:val="20"/>
                <w:szCs w:val="20"/>
                <w:color w:val="auto"/>
              </w:rPr>
            </w:pPr>
            <w:r>
              <w:rPr>
                <w:rFonts w:ascii="Times New Roman" w:cs="Times New Roman" w:eastAsia="Times New Roman" w:hAnsi="Times New Roman"/>
                <w:sz w:val="10"/>
                <w:szCs w:val="10"/>
                <w:color w:val="auto"/>
              </w:rPr>
              <w:t>(145,621 )</w:t>
            </w:r>
          </w:p>
        </w:tc>
        <w:tc>
          <w:tcPr>
            <w:tcW w:w="0" w:type="dxa"/>
            <w:vAlign w:val="bottom"/>
          </w:tcPr>
          <w:p>
            <w:pPr>
              <w:spacing w:after="0"/>
              <w:rPr>
                <w:sz w:val="1"/>
                <w:szCs w:val="1"/>
                <w:color w:val="auto"/>
              </w:rPr>
            </w:pPr>
          </w:p>
        </w:tc>
      </w:tr>
      <w:tr>
        <w:trPr>
          <w:trHeight w:val="115"/>
        </w:trPr>
        <w:tc>
          <w:tcPr>
            <w:tcW w:w="7300" w:type="dxa"/>
            <w:vAlign w:val="bottom"/>
            <w:shd w:val="clear" w:color="auto" w:fill="CFF0FC"/>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Net loss</w:t>
            </w:r>
          </w:p>
        </w:tc>
        <w:tc>
          <w:tcPr>
            <w:tcW w:w="900" w:type="dxa"/>
            <w:vAlign w:val="bottom"/>
            <w:shd w:val="clear" w:color="auto" w:fill="CFF0FC"/>
          </w:tcPr>
          <w:p>
            <w:pPr>
              <w:jc w:val="right"/>
              <w:ind w:right="793"/>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2"/>
            <w:shd w:val="clear" w:color="auto" w:fill="CFF0FC"/>
          </w:tcPr>
          <w:p>
            <w:pPr>
              <w:jc w:val="right"/>
              <w:ind w:right="183"/>
              <w:spacing w:after="0" w:line="93" w:lineRule="exact"/>
              <w:rPr>
                <w:sz w:val="20"/>
                <w:szCs w:val="20"/>
                <w:color w:val="auto"/>
              </w:rPr>
            </w:pPr>
            <w:r>
              <w:rPr>
                <w:rFonts w:ascii="Times New Roman" w:cs="Times New Roman" w:eastAsia="Times New Roman" w:hAnsi="Times New Roman"/>
                <w:sz w:val="6"/>
                <w:szCs w:val="6"/>
                <w:color w:val="auto"/>
              </w:rPr>
              <w:t xml:space="preserve">(320,150 </w:t>
            </w:r>
            <w:r>
              <w:rPr>
                <w:rFonts w:ascii="Times New Roman" w:cs="Times New Roman" w:eastAsia="Times New Roman" w:hAnsi="Times New Roman"/>
                <w:sz w:val="10"/>
                <w:szCs w:val="10"/>
                <w:color w:val="auto"/>
                <w:vertAlign w:val="subscript"/>
              </w:rPr>
              <w:t>)</w:t>
            </w:r>
          </w:p>
        </w:tc>
        <w:tc>
          <w:tcPr>
            <w:tcW w:w="580" w:type="dxa"/>
            <w:vAlign w:val="bottom"/>
            <w:shd w:val="clear" w:color="auto" w:fill="CFF0FC"/>
          </w:tcPr>
          <w:p>
            <w:pPr>
              <w:jc w:val="right"/>
              <w:ind w:right="47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gridSpan w:val="2"/>
            <w:shd w:val="clear" w:color="auto" w:fill="CFF0FC"/>
          </w:tcPr>
          <w:p>
            <w:pPr>
              <w:jc w:val="right"/>
              <w:ind w:right="23"/>
              <w:spacing w:after="0" w:line="93" w:lineRule="exact"/>
              <w:rPr>
                <w:sz w:val="20"/>
                <w:szCs w:val="20"/>
                <w:color w:val="auto"/>
              </w:rPr>
            </w:pPr>
            <w:r>
              <w:rPr>
                <w:rFonts w:ascii="Times New Roman" w:cs="Times New Roman" w:eastAsia="Times New Roman" w:hAnsi="Times New Roman"/>
                <w:sz w:val="6"/>
                <w:szCs w:val="6"/>
                <w:color w:val="auto"/>
              </w:rPr>
              <w:t xml:space="preserve">(3,622,794 </w:t>
            </w:r>
            <w:r>
              <w:rPr>
                <w:rFonts w:ascii="Times New Roman" w:cs="Times New Roman" w:eastAsia="Times New Roman" w:hAnsi="Times New Roman"/>
                <w:sz w:val="10"/>
                <w:szCs w:val="10"/>
                <w:color w:val="auto"/>
                <w:vertAlign w:val="subscript"/>
              </w:rPr>
              <w:t>)</w:t>
            </w:r>
          </w:p>
        </w:tc>
        <w:tc>
          <w:tcPr>
            <w:tcW w:w="0" w:type="dxa"/>
            <w:vAlign w:val="bottom"/>
          </w:tcPr>
          <w:p>
            <w:pPr>
              <w:spacing w:after="0"/>
              <w:rPr>
                <w:sz w:val="1"/>
                <w:szCs w:val="1"/>
                <w:color w:val="auto"/>
              </w:rPr>
            </w:pPr>
          </w:p>
        </w:tc>
      </w:tr>
      <w:tr>
        <w:trPr>
          <w:trHeight w:val="106"/>
        </w:trPr>
        <w:tc>
          <w:tcPr>
            <w:tcW w:w="7300" w:type="dxa"/>
            <w:vAlign w:val="bottom"/>
            <w:tcBorders>
              <w:top w:val="single" w:sz="8" w:color="CFF0FC"/>
            </w:tcBorders>
          </w:tcPr>
          <w:p>
            <w:pPr>
              <w:spacing w:after="0" w:line="106" w:lineRule="exact"/>
              <w:rPr>
                <w:sz w:val="20"/>
                <w:szCs w:val="20"/>
                <w:color w:val="auto"/>
              </w:rPr>
            </w:pPr>
            <w:r>
              <w:rPr>
                <w:rFonts w:ascii="Times New Roman" w:cs="Times New Roman" w:eastAsia="Times New Roman" w:hAnsi="Times New Roman"/>
                <w:sz w:val="10"/>
                <w:szCs w:val="10"/>
                <w:color w:val="auto"/>
              </w:rPr>
              <w:t>Basic and diluted weighted average shares outstanding, common stock subject to</w:t>
            </w:r>
          </w:p>
        </w:tc>
        <w:tc>
          <w:tcPr>
            <w:tcW w:w="9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7,259,013</w:t>
            </w:r>
          </w:p>
        </w:tc>
        <w:tc>
          <w:tcPr>
            <w:tcW w:w="260" w:type="dxa"/>
            <w:vAlign w:val="bottom"/>
            <w:tcBorders>
              <w:top w:val="single" w:sz="8" w:color="CFF0FC"/>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15,000,000</w:t>
            </w: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7300" w:type="dxa"/>
            <w:vAlign w:val="bottom"/>
          </w:tcPr>
          <w:p>
            <w:pPr>
              <w:ind w:left="80"/>
              <w:spacing w:after="0" w:line="77" w:lineRule="exact"/>
              <w:rPr>
                <w:sz w:val="20"/>
                <w:szCs w:val="20"/>
                <w:color w:val="auto"/>
              </w:rPr>
            </w:pPr>
            <w:r>
              <w:rPr>
                <w:rFonts w:ascii="Times New Roman" w:cs="Times New Roman" w:eastAsia="Times New Roman" w:hAnsi="Times New Roman"/>
                <w:sz w:val="7"/>
                <w:szCs w:val="7"/>
                <w:color w:val="auto"/>
              </w:rPr>
              <w:t>possible redemption</w:t>
            </w:r>
          </w:p>
        </w:tc>
        <w:tc>
          <w:tcPr>
            <w:tcW w:w="9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vMerge w:val="continue"/>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7300" w:type="dxa"/>
            <w:vAlign w:val="bottom"/>
            <w:tcBorders>
              <w:bottom w:val="single" w:sz="8" w:color="CFF0FC"/>
            </w:tcBorders>
            <w:shd w:val="clear" w:color="auto" w:fill="CFF0FC"/>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per share</w:t>
            </w:r>
          </w:p>
        </w:tc>
        <w:tc>
          <w:tcPr>
            <w:tcW w:w="900" w:type="dxa"/>
            <w:vAlign w:val="bottom"/>
            <w:tcBorders>
              <w:bottom w:val="single" w:sz="8" w:color="auto"/>
            </w:tcBorders>
            <w:shd w:val="clear" w:color="auto" w:fill="CFF0FC"/>
          </w:tcPr>
          <w:p>
            <w:pPr>
              <w:jc w:val="right"/>
              <w:ind w:right="79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(0.02</w:t>
            </w:r>
          </w:p>
        </w:tc>
        <w:tc>
          <w:tcPr>
            <w:tcW w:w="260" w:type="dxa"/>
            <w:vAlign w:val="bottom"/>
            <w:tcBorders>
              <w:bottom w:val="single" w:sz="8" w:color="CFF0FC"/>
            </w:tcBorders>
            <w:shd w:val="clear" w:color="auto" w:fill="CFF0FC"/>
          </w:tcPr>
          <w:p>
            <w:pPr>
              <w:jc w:val="right"/>
              <w:ind w:right="18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580" w:type="dxa"/>
            <w:vAlign w:val="bottom"/>
            <w:tcBorders>
              <w:bottom w:val="single" w:sz="8" w:color="auto"/>
            </w:tcBorders>
            <w:shd w:val="clear" w:color="auto" w:fill="CFF0FC"/>
          </w:tcPr>
          <w:p>
            <w:pPr>
              <w:jc w:val="right"/>
              <w:ind w:right="47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bottom w:val="single" w:sz="8" w:color="auto"/>
            </w:tcBorders>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(0.17</w:t>
            </w:r>
          </w:p>
        </w:tc>
        <w:tc>
          <w:tcPr>
            <w:tcW w:w="100" w:type="dxa"/>
            <w:vAlign w:val="bottom"/>
            <w:tcBorders>
              <w:bottom w:val="single" w:sz="8" w:color="CFF0FC"/>
            </w:tcBorders>
            <w:shd w:val="clear" w:color="auto" w:fill="CFF0FC"/>
          </w:tcPr>
          <w:p>
            <w:pPr>
              <w:jc w:val="right"/>
              <w:ind w:right="2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0" w:type="dxa"/>
            <w:vAlign w:val="bottom"/>
          </w:tcPr>
          <w:p>
            <w:pPr>
              <w:spacing w:after="0"/>
              <w:rPr>
                <w:sz w:val="1"/>
                <w:szCs w:val="1"/>
                <w:color w:val="auto"/>
              </w:rPr>
            </w:pPr>
          </w:p>
        </w:tc>
      </w:tr>
      <w:tr>
        <w:trPr>
          <w:trHeight w:val="115"/>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Basic and diluted weighted average shares outstanding, non-redeemable common stock</w:t>
            </w:r>
          </w:p>
        </w:tc>
        <w:tc>
          <w:tcPr>
            <w:tcW w:w="9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26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300" w:type="dxa"/>
            <w:vAlign w:val="bottom"/>
            <w:tcBorders>
              <w:bottom w:val="single" w:sz="8" w:color="CFF0FC"/>
            </w:tcBorders>
            <w:shd w:val="clear" w:color="auto" w:fill="CFF0FC"/>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per share</w:t>
            </w:r>
          </w:p>
        </w:tc>
        <w:tc>
          <w:tcPr>
            <w:tcW w:w="900" w:type="dxa"/>
            <w:vAlign w:val="bottom"/>
            <w:tcBorders>
              <w:bottom w:val="single" w:sz="8" w:color="auto"/>
            </w:tcBorders>
            <w:shd w:val="clear" w:color="auto" w:fill="CFF0FC"/>
          </w:tcPr>
          <w:p>
            <w:pPr>
              <w:jc w:val="right"/>
              <w:ind w:right="79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(0.02</w:t>
            </w:r>
          </w:p>
        </w:tc>
        <w:tc>
          <w:tcPr>
            <w:tcW w:w="260" w:type="dxa"/>
            <w:vAlign w:val="bottom"/>
            <w:tcBorders>
              <w:bottom w:val="single" w:sz="8" w:color="CFF0FC"/>
            </w:tcBorders>
            <w:shd w:val="clear" w:color="auto" w:fill="CFF0FC"/>
          </w:tcPr>
          <w:p>
            <w:pPr>
              <w:jc w:val="right"/>
              <w:ind w:right="18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580" w:type="dxa"/>
            <w:vAlign w:val="bottom"/>
            <w:tcBorders>
              <w:bottom w:val="single" w:sz="8" w:color="auto"/>
            </w:tcBorders>
            <w:shd w:val="clear" w:color="auto" w:fill="CFF0FC"/>
          </w:tcPr>
          <w:p>
            <w:pPr>
              <w:jc w:val="right"/>
              <w:ind w:right="47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bottom w:val="single" w:sz="8" w:color="auto"/>
            </w:tcBorders>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(0.17</w:t>
            </w:r>
          </w:p>
        </w:tc>
        <w:tc>
          <w:tcPr>
            <w:tcW w:w="100" w:type="dxa"/>
            <w:vAlign w:val="bottom"/>
            <w:tcBorders>
              <w:bottom w:val="single" w:sz="8" w:color="CFF0FC"/>
            </w:tcBorders>
            <w:shd w:val="clear" w:color="auto" w:fill="CFF0FC"/>
          </w:tcPr>
          <w:p>
            <w:pPr>
              <w:jc w:val="right"/>
              <w:ind w:right="2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The accompanying notes are an integral part of these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59" w:name="page260"/>
    <w:bookmarkEnd w:id="259"/>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STATEMENTS OF CHANGES IN STOCKHOLDERS’ EQUITY (DEFICIT)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4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w w:val="98"/>
              </w:rPr>
              <w:t>Total</w:t>
            </w:r>
          </w:p>
        </w:tc>
      </w:tr>
      <w:tr>
        <w:trPr>
          <w:trHeight w:val="98"/>
        </w:trPr>
        <w:tc>
          <w:tcPr>
            <w:tcW w:w="4440" w:type="dxa"/>
            <w:vAlign w:val="bottom"/>
          </w:tcPr>
          <w:p>
            <w:pPr>
              <w:spacing w:after="0"/>
              <w:rPr>
                <w:sz w:val="8"/>
                <w:szCs w:val="8"/>
                <w:color w:val="auto"/>
              </w:rPr>
            </w:pPr>
          </w:p>
        </w:tc>
        <w:tc>
          <w:tcPr>
            <w:tcW w:w="1540" w:type="dxa"/>
            <w:vAlign w:val="bottom"/>
            <w:gridSpan w:val="3"/>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jc w:val="right"/>
              <w:ind w:right="600"/>
              <w:spacing w:after="0"/>
              <w:rPr>
                <w:sz w:val="20"/>
                <w:szCs w:val="20"/>
                <w:color w:val="auto"/>
              </w:rPr>
            </w:pPr>
            <w:r>
              <w:rPr>
                <w:rFonts w:ascii="Times New Roman" w:cs="Times New Roman" w:eastAsia="Times New Roman" w:hAnsi="Times New Roman"/>
                <w:sz w:val="8"/>
                <w:szCs w:val="8"/>
                <w:b w:val="1"/>
                <w:bCs w:val="1"/>
                <w:color w:val="auto"/>
              </w:rPr>
              <w:t>Paid-in</w:t>
            </w:r>
          </w:p>
        </w:tc>
        <w:tc>
          <w:tcPr>
            <w:tcW w:w="180" w:type="dxa"/>
            <w:vAlign w:val="bottom"/>
          </w:tcPr>
          <w:p>
            <w:pPr>
              <w:spacing w:after="0"/>
              <w:rPr>
                <w:sz w:val="8"/>
                <w:szCs w:val="8"/>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60" w:type="dxa"/>
            <w:vAlign w:val="bottom"/>
          </w:tcPr>
          <w:p>
            <w:pPr>
              <w:spacing w:after="0"/>
              <w:rPr>
                <w:sz w:val="8"/>
                <w:szCs w:val="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6"/>
        </w:trPr>
        <w:tc>
          <w:tcPr>
            <w:tcW w:w="4440" w:type="dxa"/>
            <w:vAlign w:val="bottom"/>
          </w:tcPr>
          <w:p>
            <w:pPr>
              <w:spacing w:after="0"/>
              <w:rPr>
                <w:sz w:val="9"/>
                <w:szCs w:val="9"/>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8"/>
                <w:szCs w:val="8"/>
                <w:b w:val="1"/>
                <w:bCs w:val="1"/>
                <w:color w:val="auto"/>
              </w:rPr>
              <w:t>Shares</w:t>
            </w:r>
          </w:p>
        </w:tc>
        <w:tc>
          <w:tcPr>
            <w:tcW w:w="260" w:type="dxa"/>
            <w:vAlign w:val="bottom"/>
          </w:tcPr>
          <w:p>
            <w:pPr>
              <w:spacing w:after="0"/>
              <w:rPr>
                <w:sz w:val="9"/>
                <w:szCs w:val="9"/>
                <w:color w:val="auto"/>
              </w:rPr>
            </w:pPr>
          </w:p>
        </w:tc>
        <w:tc>
          <w:tcPr>
            <w:tcW w:w="980" w:type="dxa"/>
            <w:vAlign w:val="bottom"/>
            <w:gridSpan w:val="2"/>
          </w:tcPr>
          <w:p>
            <w:pPr>
              <w:jc w:val="right"/>
              <w:ind w:right="580"/>
              <w:spacing w:after="0"/>
              <w:rPr>
                <w:sz w:val="20"/>
                <w:szCs w:val="20"/>
                <w:color w:val="auto"/>
              </w:rPr>
            </w:pPr>
            <w:r>
              <w:rPr>
                <w:rFonts w:ascii="Times New Roman" w:cs="Times New Roman" w:eastAsia="Times New Roman" w:hAnsi="Times New Roman"/>
                <w:sz w:val="8"/>
                <w:szCs w:val="8"/>
                <w:b w:val="1"/>
                <w:bCs w:val="1"/>
                <w:color w:val="auto"/>
              </w:rPr>
              <w:t>Amount</w:t>
            </w:r>
          </w:p>
        </w:tc>
        <w:tc>
          <w:tcPr>
            <w:tcW w:w="180" w:type="dxa"/>
            <w:vAlign w:val="bottom"/>
          </w:tcPr>
          <w:p>
            <w:pPr>
              <w:spacing w:after="0"/>
              <w:rPr>
                <w:sz w:val="9"/>
                <w:szCs w:val="9"/>
                <w:color w:val="auto"/>
              </w:rPr>
            </w:pPr>
          </w:p>
        </w:tc>
        <w:tc>
          <w:tcPr>
            <w:tcW w:w="1040" w:type="dxa"/>
            <w:vAlign w:val="bottom"/>
            <w:gridSpan w:val="2"/>
          </w:tcPr>
          <w:p>
            <w:pPr>
              <w:jc w:val="right"/>
              <w:ind w:right="60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180" w:type="dxa"/>
            <w:vAlign w:val="bottom"/>
          </w:tcPr>
          <w:p>
            <w:pPr>
              <w:spacing w:after="0"/>
              <w:rPr>
                <w:sz w:val="9"/>
                <w:szCs w:val="9"/>
                <w:color w:val="auto"/>
              </w:rPr>
            </w:pP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60" w:type="dxa"/>
            <w:vAlign w:val="bottom"/>
          </w:tcPr>
          <w:p>
            <w:pPr>
              <w:spacing w:after="0"/>
              <w:rPr>
                <w:sz w:val="9"/>
                <w:szCs w:val="9"/>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Equity (Deficit)</w:t>
            </w:r>
          </w:p>
        </w:tc>
      </w:tr>
      <w:tr>
        <w:trPr>
          <w:trHeight w:val="113"/>
        </w:trPr>
        <w:tc>
          <w:tcPr>
            <w:tcW w:w="4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2021</w:t>
            </w:r>
          </w:p>
        </w:tc>
        <w:tc>
          <w:tcPr>
            <w:tcW w:w="10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6,834,500</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683</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1,378,693</w:t>
            </w: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(468,899 )</w:t>
            </w:r>
          </w:p>
        </w:tc>
        <w:tc>
          <w:tcPr>
            <w:tcW w:w="1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910,477</w:t>
            </w:r>
          </w:p>
        </w:tc>
        <w:tc>
          <w:tcPr>
            <w:tcW w:w="100" w:type="dxa"/>
            <w:vAlign w:val="bottom"/>
            <w:shd w:val="clear" w:color="auto" w:fill="CFF0FC"/>
          </w:tcPr>
          <w:p>
            <w:pPr>
              <w:spacing w:after="0"/>
              <w:rPr>
                <w:sz w:val="9"/>
                <w:szCs w:val="9"/>
                <w:color w:val="auto"/>
              </w:rPr>
            </w:pPr>
          </w:p>
        </w:tc>
      </w:tr>
      <w:tr>
        <w:trPr>
          <w:trHeight w:val="113"/>
        </w:trPr>
        <w:tc>
          <w:tcPr>
            <w:tcW w:w="44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Forfeiture of founder shares</w:t>
            </w:r>
          </w:p>
        </w:tc>
        <w:tc>
          <w:tcPr>
            <w:tcW w:w="128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(1,125,000 )</w:t>
            </w:r>
          </w:p>
        </w:tc>
        <w:tc>
          <w:tcPr>
            <w:tcW w:w="260" w:type="dxa"/>
            <w:vAlign w:val="bottom"/>
          </w:tcPr>
          <w:p>
            <w:pPr>
              <w:spacing w:after="0"/>
              <w:rPr>
                <w:sz w:val="9"/>
                <w:szCs w:val="9"/>
                <w:color w:val="auto"/>
              </w:rPr>
            </w:pPr>
          </w:p>
        </w:tc>
        <w:tc>
          <w:tcPr>
            <w:tcW w:w="98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(113 )</w:t>
            </w: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113</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0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12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9"/>
                <w:szCs w:val="9"/>
                <w:color w:val="auto"/>
              </w:rPr>
            </w:pPr>
          </w:p>
        </w:tc>
        <w:tc>
          <w:tcPr>
            <w:tcW w:w="98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111,852</w:t>
            </w: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9"/>
                <w:szCs w:val="9"/>
                <w:color w:val="auto"/>
              </w:rPr>
            </w:pPr>
          </w:p>
        </w:tc>
        <w:tc>
          <w:tcPr>
            <w:tcW w:w="9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111,852</w:t>
            </w:r>
          </w:p>
        </w:tc>
        <w:tc>
          <w:tcPr>
            <w:tcW w:w="100" w:type="dxa"/>
            <w:vAlign w:val="bottom"/>
            <w:shd w:val="clear" w:color="auto" w:fill="CFF0FC"/>
          </w:tcPr>
          <w:p>
            <w:pPr>
              <w:spacing w:after="0"/>
              <w:rPr>
                <w:sz w:val="9"/>
                <w:szCs w:val="9"/>
                <w:color w:val="auto"/>
              </w:rPr>
            </w:pPr>
          </w:p>
        </w:tc>
      </w:tr>
      <w:tr>
        <w:trPr>
          <w:trHeight w:val="106"/>
        </w:trPr>
        <w:tc>
          <w:tcPr>
            <w:tcW w:w="444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w:t>
            </w: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4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subject to possible redemption</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(548,862 )</w:t>
            </w:r>
          </w:p>
        </w:tc>
        <w:tc>
          <w:tcPr>
            <w:tcW w:w="180" w:type="dxa"/>
            <w:vAlign w:val="bottom"/>
          </w:tcPr>
          <w:p>
            <w:pPr>
              <w:spacing w:after="0"/>
              <w:rPr>
                <w:sz w:val="10"/>
                <w:szCs w:val="1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(548,862 )</w:t>
            </w:r>
          </w:p>
        </w:tc>
      </w:tr>
      <w:tr>
        <w:trPr>
          <w:trHeight w:val="113"/>
        </w:trPr>
        <w:tc>
          <w:tcPr>
            <w:tcW w:w="4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12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9"/>
                <w:szCs w:val="9"/>
                <w:color w:val="auto"/>
              </w:rPr>
            </w:pPr>
          </w:p>
        </w:tc>
        <w:tc>
          <w:tcPr>
            <w:tcW w:w="98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(3,622,794 )</w:t>
            </w:r>
          </w:p>
        </w:tc>
        <w:tc>
          <w:tcPr>
            <w:tcW w:w="16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(3,622,794 )</w:t>
            </w:r>
          </w:p>
        </w:tc>
      </w:tr>
      <w:tr>
        <w:trPr>
          <w:trHeight w:val="113"/>
        </w:trPr>
        <w:tc>
          <w:tcPr>
            <w:tcW w:w="4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2022</w:t>
            </w:r>
          </w:p>
        </w:tc>
        <w:tc>
          <w:tcPr>
            <w:tcW w:w="10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5,709,500</w:t>
            </w:r>
          </w:p>
        </w:tc>
        <w:tc>
          <w:tcPr>
            <w:tcW w:w="220" w:type="dxa"/>
            <w:vAlign w:val="bottom"/>
          </w:tcPr>
          <w:p>
            <w:pPr>
              <w:spacing w:after="0"/>
              <w:rPr>
                <w:sz w:val="9"/>
                <w:szCs w:val="9"/>
                <w:color w:val="auto"/>
              </w:rPr>
            </w:pPr>
          </w:p>
        </w:tc>
        <w:tc>
          <w:tcPr>
            <w:tcW w:w="260" w:type="dxa"/>
            <w:vAlign w:val="bottom"/>
          </w:tcPr>
          <w:p>
            <w:pPr>
              <w:jc w:val="right"/>
              <w:ind w:right="1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tcPr>
          <w:p>
            <w:pPr>
              <w:spacing w:after="0"/>
              <w:rPr>
                <w:sz w:val="9"/>
                <w:szCs w:val="9"/>
                <w:color w:val="auto"/>
              </w:rPr>
            </w:pPr>
          </w:p>
        </w:tc>
        <w:tc>
          <w:tcPr>
            <w:tcW w:w="180" w:type="dxa"/>
            <w:vAlign w:val="bottom"/>
          </w:tcPr>
          <w:p>
            <w:pPr>
              <w:jc w:val="right"/>
              <w:ind w:right="11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941,796</w:t>
            </w:r>
          </w:p>
        </w:tc>
        <w:tc>
          <w:tcPr>
            <w:tcW w:w="200" w:type="dxa"/>
            <w:vAlign w:val="bottom"/>
          </w:tcPr>
          <w:p>
            <w:pPr>
              <w:spacing w:after="0"/>
              <w:rPr>
                <w:sz w:val="9"/>
                <w:szCs w:val="9"/>
                <w:color w:val="auto"/>
              </w:rPr>
            </w:pPr>
          </w:p>
        </w:tc>
        <w:tc>
          <w:tcPr>
            <w:tcW w:w="18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(4,091,693 )</w:t>
            </w:r>
          </w:p>
        </w:tc>
        <w:tc>
          <w:tcPr>
            <w:tcW w:w="160" w:type="dxa"/>
            <w:vAlign w:val="bottom"/>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(3,149,327 )</w:t>
            </w:r>
          </w:p>
        </w:tc>
      </w:tr>
      <w:tr>
        <w:trPr>
          <w:trHeight w:val="106"/>
        </w:trPr>
        <w:tc>
          <w:tcPr>
            <w:tcW w:w="444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Capital contribution made by Sponsor related to</w:t>
            </w:r>
          </w:p>
        </w:tc>
        <w:tc>
          <w:tcPr>
            <w:tcW w:w="10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the stockholder non-redemption agreements</w:t>
            </w: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1,102,909</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1,102,909</w:t>
            </w:r>
          </w:p>
        </w:tc>
        <w:tc>
          <w:tcPr>
            <w:tcW w:w="100" w:type="dxa"/>
            <w:vAlign w:val="bottom"/>
            <w:shd w:val="clear" w:color="auto" w:fill="CFF0FC"/>
          </w:tcPr>
          <w:p>
            <w:pPr>
              <w:spacing w:after="0"/>
              <w:rPr>
                <w:sz w:val="10"/>
                <w:szCs w:val="10"/>
                <w:color w:val="auto"/>
              </w:rPr>
            </w:pPr>
          </w:p>
        </w:tc>
      </w:tr>
      <w:tr>
        <w:trPr>
          <w:trHeight w:val="106"/>
        </w:trPr>
        <w:tc>
          <w:tcPr>
            <w:tcW w:w="444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Cost of raising capital related to the stockholder</w:t>
            </w: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4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non-redemption agreements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(1,102,909 )</w:t>
            </w:r>
          </w:p>
        </w:tc>
        <w:tc>
          <w:tcPr>
            <w:tcW w:w="180" w:type="dxa"/>
            <w:vAlign w:val="bottom"/>
          </w:tcPr>
          <w:p>
            <w:pPr>
              <w:spacing w:after="0"/>
              <w:rPr>
                <w:sz w:val="10"/>
                <w:szCs w:val="1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(1,102,909 )</w:t>
            </w:r>
          </w:p>
        </w:tc>
      </w:tr>
      <w:tr>
        <w:trPr>
          <w:trHeight w:val="113"/>
        </w:trPr>
        <w:tc>
          <w:tcPr>
            <w:tcW w:w="4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Excise tax on redemptions</w:t>
            </w:r>
          </w:p>
        </w:tc>
        <w:tc>
          <w:tcPr>
            <w:tcW w:w="12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9"/>
                <w:szCs w:val="9"/>
                <w:color w:val="auto"/>
              </w:rPr>
            </w:pPr>
          </w:p>
        </w:tc>
        <w:tc>
          <w:tcPr>
            <w:tcW w:w="98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(1,160,050 )</w:t>
            </w:r>
          </w:p>
        </w:tc>
        <w:tc>
          <w:tcPr>
            <w:tcW w:w="18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(131,701 )</w:t>
            </w:r>
          </w:p>
        </w:tc>
        <w:tc>
          <w:tcPr>
            <w:tcW w:w="16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(1,291,751 )</w:t>
            </w:r>
          </w:p>
        </w:tc>
      </w:tr>
      <w:tr>
        <w:trPr>
          <w:trHeight w:val="113"/>
        </w:trPr>
        <w:tc>
          <w:tcPr>
            <w:tcW w:w="44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128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9"/>
                <w:szCs w:val="9"/>
                <w:color w:val="auto"/>
              </w:rPr>
            </w:pPr>
          </w:p>
        </w:tc>
        <w:tc>
          <w:tcPr>
            <w:tcW w:w="98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218,254</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218,254</w:t>
            </w:r>
          </w:p>
        </w:tc>
        <w:tc>
          <w:tcPr>
            <w:tcW w:w="100" w:type="dxa"/>
            <w:vAlign w:val="bottom"/>
          </w:tcPr>
          <w:p>
            <w:pPr>
              <w:spacing w:after="0"/>
              <w:rPr>
                <w:sz w:val="9"/>
                <w:szCs w:val="9"/>
                <w:color w:val="auto"/>
              </w:rPr>
            </w:pPr>
          </w:p>
        </w:tc>
      </w:tr>
      <w:tr>
        <w:trPr>
          <w:trHeight w:val="106"/>
        </w:trPr>
        <w:tc>
          <w:tcPr>
            <w:tcW w:w="444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w:t>
            </w:r>
          </w:p>
        </w:tc>
        <w:tc>
          <w:tcPr>
            <w:tcW w:w="10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subject to possible redemption</w:t>
            </w: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(3,943,038 )</w:t>
            </w:r>
          </w:p>
        </w:tc>
        <w:tc>
          <w:tcPr>
            <w:tcW w:w="16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(3,943,038 )</w:t>
            </w:r>
          </w:p>
        </w:tc>
      </w:tr>
      <w:tr>
        <w:trPr>
          <w:trHeight w:val="113"/>
        </w:trPr>
        <w:tc>
          <w:tcPr>
            <w:tcW w:w="44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128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9"/>
                <w:szCs w:val="9"/>
                <w:color w:val="auto"/>
              </w:rPr>
            </w:pPr>
          </w:p>
        </w:tc>
        <w:tc>
          <w:tcPr>
            <w:tcW w:w="98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106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(320,150 )</w:t>
            </w:r>
          </w:p>
        </w:tc>
        <w:tc>
          <w:tcPr>
            <w:tcW w:w="160" w:type="dxa"/>
            <w:vAlign w:val="bottom"/>
          </w:tcPr>
          <w:p>
            <w:pPr>
              <w:spacing w:after="0"/>
              <w:rPr>
                <w:sz w:val="9"/>
                <w:szCs w:val="9"/>
                <w:color w:val="auto"/>
              </w:rPr>
            </w:pP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(320,150 )</w:t>
            </w:r>
          </w:p>
        </w:tc>
      </w:tr>
      <w:tr>
        <w:trPr>
          <w:trHeight w:val="113"/>
        </w:trPr>
        <w:tc>
          <w:tcPr>
            <w:tcW w:w="4440" w:type="dxa"/>
            <w:vAlign w:val="bottom"/>
            <w:shd w:val="clear" w:color="auto" w:fill="CFF0FC"/>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 September 30, 2023</w:t>
            </w:r>
          </w:p>
        </w:tc>
        <w:tc>
          <w:tcPr>
            <w:tcW w:w="106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5,709,500</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4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jc w:val="right"/>
              <w:ind w:right="7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shd w:val="clear" w:color="auto" w:fill="CFF0FC"/>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(8,486,582 </w:t>
            </w:r>
            <w:r>
              <w:rPr>
                <w:rFonts w:ascii="Times New Roman" w:cs="Times New Roman" w:eastAsia="Times New Roman" w:hAnsi="Times New Roman"/>
                <w:sz w:val="10"/>
                <w:szCs w:val="10"/>
                <w:b w:val="1"/>
                <w:bCs w:val="1"/>
                <w:color w:val="auto"/>
                <w:vertAlign w:val="subscript"/>
              </w:rPr>
              <w:t>)</w:t>
            </w:r>
          </w:p>
        </w:tc>
        <w:tc>
          <w:tcPr>
            <w:tcW w:w="160" w:type="dxa"/>
            <w:vAlign w:val="bottom"/>
            <w:shd w:val="clear" w:color="auto" w:fill="CFF0FC"/>
          </w:tcPr>
          <w:p>
            <w:pPr>
              <w:jc w:val="right"/>
              <w:ind w:right="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shd w:val="clear" w:color="auto" w:fill="CFF0FC"/>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(8,486,012 </w:t>
            </w:r>
            <w:r>
              <w:rPr>
                <w:rFonts w:ascii="Times New Roman" w:cs="Times New Roman" w:eastAsia="Times New Roman" w:hAnsi="Times New Roman"/>
                <w:sz w:val="10"/>
                <w:szCs w:val="10"/>
                <w:b w:val="1"/>
                <w:bCs w:val="1"/>
                <w:color w:val="auto"/>
                <w:vertAlign w:val="subscript"/>
              </w:rPr>
              <w:t>)</w:t>
            </w:r>
          </w:p>
        </w:tc>
      </w:tr>
      <w:tr>
        <w:trPr>
          <w:trHeight w:val="23"/>
        </w:trPr>
        <w:tc>
          <w:tcPr>
            <w:tcW w:w="44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The accompanying notes are an integral part of these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60" w:name="page261"/>
    <w:bookmarkEnd w:id="260"/>
    <w:p>
      <w:pPr>
        <w:ind w:left="454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0"/>
          <w:szCs w:val="10"/>
          <w:b w:val="1"/>
          <w:bCs w:val="1"/>
          <w:color w:val="auto"/>
        </w:rPr>
        <w:t>STATEMENTS OF CASH FLOWS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7300" w:type="dxa"/>
            <w:vAlign w:val="bottom"/>
          </w:tcPr>
          <w:p>
            <w:pPr>
              <w:spacing w:after="0"/>
              <w:rPr>
                <w:sz w:val="9"/>
                <w:szCs w:val="9"/>
                <w:color w:val="auto"/>
              </w:rPr>
            </w:pPr>
          </w:p>
        </w:tc>
        <w:tc>
          <w:tcPr>
            <w:tcW w:w="880" w:type="dxa"/>
            <w:vAlign w:val="bottom"/>
            <w:vMerge w:val="restart"/>
          </w:tcPr>
          <w:p>
            <w:pPr>
              <w:jc w:val="right"/>
              <w:ind w:right="13"/>
              <w:spacing w:after="0"/>
              <w:rPr>
                <w:sz w:val="20"/>
                <w:szCs w:val="20"/>
                <w:color w:val="auto"/>
              </w:rPr>
            </w:pPr>
            <w:r>
              <w:rPr>
                <w:rFonts w:ascii="Times New Roman" w:cs="Times New Roman" w:eastAsia="Times New Roman" w:hAnsi="Times New Roman"/>
                <w:sz w:val="8"/>
                <w:szCs w:val="8"/>
                <w:b w:val="1"/>
                <w:bCs w:val="1"/>
                <w:color w:val="auto"/>
              </w:rPr>
              <w:t>2023</w:t>
            </w:r>
          </w:p>
        </w:tc>
        <w:tc>
          <w:tcPr>
            <w:tcW w:w="1440" w:type="dxa"/>
            <w:vAlign w:val="bottom"/>
            <w:gridSpan w:val="3"/>
          </w:tcPr>
          <w:p>
            <w:pPr>
              <w:jc w:val="right"/>
              <w:ind w:right="51"/>
              <w:spacing w:after="0"/>
              <w:rPr>
                <w:sz w:val="20"/>
                <w:szCs w:val="20"/>
                <w:color w:val="auto"/>
              </w:rPr>
            </w:pPr>
            <w:r>
              <w:rPr>
                <w:rFonts w:ascii="Times New Roman" w:cs="Times New Roman" w:eastAsia="Times New Roman" w:hAnsi="Times New Roman"/>
                <w:sz w:val="8"/>
                <w:szCs w:val="8"/>
                <w:b w:val="1"/>
                <w:bCs w:val="1"/>
                <w:color w:val="auto"/>
              </w:rPr>
              <w:t>For the Year Ended September 30,</w:t>
            </w:r>
          </w:p>
        </w:tc>
        <w:tc>
          <w:tcPr>
            <w:tcW w:w="900" w:type="dxa"/>
            <w:vAlign w:val="bottom"/>
            <w:vMerge w:val="restart"/>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73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8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880" w:type="dxa"/>
            <w:vAlign w:val="bottom"/>
          </w:tcPr>
          <w:p>
            <w:pPr>
              <w:jc w:val="right"/>
              <w:ind w:right="773"/>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(320,150 )</w:t>
            </w:r>
          </w:p>
        </w:tc>
        <w:tc>
          <w:tcPr>
            <w:tcW w:w="580" w:type="dxa"/>
            <w:vAlign w:val="bottom"/>
          </w:tcPr>
          <w:p>
            <w:pPr>
              <w:jc w:val="right"/>
              <w:ind w:right="4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(3,622,794 )</w:t>
            </w: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Adjustments to reconcile net loss to net cash used in operating activities:</w:t>
            </w:r>
          </w:p>
        </w:tc>
        <w:tc>
          <w:tcPr>
            <w:tcW w:w="8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Interest earned on cash and marketable securities held in Trust Account</w:t>
            </w:r>
          </w:p>
        </w:tc>
        <w:tc>
          <w:tcPr>
            <w:tcW w:w="880" w:type="dxa"/>
            <w:vAlign w:val="bottom"/>
          </w:tcPr>
          <w:p>
            <w:pPr>
              <w:spacing w:after="0"/>
              <w:rPr>
                <w:sz w:val="9"/>
                <w:szCs w:val="9"/>
                <w:color w:val="auto"/>
              </w:rPr>
            </w:pPr>
          </w:p>
        </w:tc>
        <w:tc>
          <w:tcPr>
            <w:tcW w:w="8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(3,084,260 )</w:t>
            </w:r>
          </w:p>
        </w:tc>
        <w:tc>
          <w:tcPr>
            <w:tcW w:w="580" w:type="dxa"/>
            <w:vAlign w:val="bottom"/>
          </w:tcPr>
          <w:p>
            <w:pPr>
              <w:spacing w:after="0"/>
              <w:rPr>
                <w:sz w:val="9"/>
                <w:szCs w:val="9"/>
                <w:color w:val="auto"/>
              </w:rPr>
            </w:pPr>
          </w:p>
        </w:tc>
        <w:tc>
          <w:tcPr>
            <w:tcW w:w="10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(1,025,942 )</w:t>
            </w: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88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218,254</w:t>
            </w: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111,852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Changes in current assets and liabilities:</w:t>
            </w:r>
          </w:p>
        </w:tc>
        <w:tc>
          <w:tcPr>
            <w:tcW w:w="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88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28,337</w:t>
            </w: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398,920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88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1,570,515</w:t>
            </w: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2,954,179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88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(137,900 )</w:t>
            </w: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124,329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880" w:type="dxa"/>
            <w:vAlign w:val="bottom"/>
          </w:tcPr>
          <w:p>
            <w:pPr>
              <w:spacing w:after="0"/>
              <w:rPr>
                <w:sz w:val="9"/>
                <w:szCs w:val="9"/>
                <w:color w:val="auto"/>
              </w:rPr>
            </w:pPr>
          </w:p>
        </w:tc>
        <w:tc>
          <w:tcPr>
            <w:tcW w:w="8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(134,838 )</w:t>
            </w:r>
          </w:p>
        </w:tc>
        <w:tc>
          <w:tcPr>
            <w:tcW w:w="5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145,621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88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(1,860,042 )</w:t>
            </w:r>
          </w:p>
        </w:tc>
        <w:tc>
          <w:tcPr>
            <w:tcW w:w="5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(913,835 )</w:t>
            </w: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Flows from Investing Activities:</w:t>
            </w:r>
          </w:p>
        </w:tc>
        <w:tc>
          <w:tcPr>
            <w:tcW w:w="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Withdrawals from Trust Account for redemptions of common stock</w:t>
            </w:r>
          </w:p>
        </w:tc>
        <w:tc>
          <w:tcPr>
            <w:tcW w:w="88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129,175,094</w:t>
            </w: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Withdrawals from Trust Account to pay for taxes</w:t>
            </w:r>
          </w:p>
        </w:tc>
        <w:tc>
          <w:tcPr>
            <w:tcW w:w="88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1,071,864</w:t>
            </w: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182,069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Extension deposits in Trust Account</w:t>
            </w:r>
          </w:p>
        </w:tc>
        <w:tc>
          <w:tcPr>
            <w:tcW w:w="88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(1,641,801 )</w:t>
            </w:r>
          </w:p>
        </w:tc>
        <w:tc>
          <w:tcPr>
            <w:tcW w:w="5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provided by investing activities</w:t>
            </w:r>
          </w:p>
        </w:tc>
        <w:tc>
          <w:tcPr>
            <w:tcW w:w="88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128,605,157</w:t>
            </w: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182,069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Cash Flows from Financing Activities:</w:t>
            </w:r>
          </w:p>
        </w:tc>
        <w:tc>
          <w:tcPr>
            <w:tcW w:w="8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Promissory Notes to Related Party</w:t>
            </w:r>
          </w:p>
        </w:tc>
        <w:tc>
          <w:tcPr>
            <w:tcW w:w="88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2,316,985</w:t>
            </w: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483,034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Repayment of Promissory Notes to Related Party</w:t>
            </w:r>
          </w:p>
        </w:tc>
        <w:tc>
          <w:tcPr>
            <w:tcW w:w="88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(4,300 )</w:t>
            </w:r>
          </w:p>
        </w:tc>
        <w:tc>
          <w:tcPr>
            <w:tcW w:w="5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(231,280 )</w:t>
            </w: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Redemptions of common stock</w:t>
            </w:r>
          </w:p>
        </w:tc>
        <w:tc>
          <w:tcPr>
            <w:tcW w:w="880" w:type="dxa"/>
            <w:vAlign w:val="bottom"/>
          </w:tcPr>
          <w:p>
            <w:pPr>
              <w:spacing w:after="0"/>
              <w:rPr>
                <w:sz w:val="9"/>
                <w:szCs w:val="9"/>
                <w:color w:val="auto"/>
              </w:rPr>
            </w:pPr>
          </w:p>
        </w:tc>
        <w:tc>
          <w:tcPr>
            <w:tcW w:w="8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(129,175,094 )</w:t>
            </w:r>
          </w:p>
        </w:tc>
        <w:tc>
          <w:tcPr>
            <w:tcW w:w="580" w:type="dxa"/>
            <w:vAlign w:val="bottom"/>
          </w:tcPr>
          <w:p>
            <w:pPr>
              <w:spacing w:after="0"/>
              <w:rPr>
                <w:sz w:val="9"/>
                <w:szCs w:val="9"/>
                <w:color w:val="auto"/>
              </w:rPr>
            </w:pPr>
          </w:p>
        </w:tc>
        <w:tc>
          <w:tcPr>
            <w:tcW w:w="100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provided by (used in) financing activities</w:t>
            </w:r>
          </w:p>
        </w:tc>
        <w:tc>
          <w:tcPr>
            <w:tcW w:w="88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(126,862,409 )</w:t>
            </w: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251,754</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change in cash</w:t>
            </w:r>
          </w:p>
        </w:tc>
        <w:tc>
          <w:tcPr>
            <w:tcW w:w="880" w:type="dxa"/>
            <w:vAlign w:val="bottom"/>
          </w:tcPr>
          <w:p>
            <w:pPr>
              <w:spacing w:after="0"/>
              <w:rPr>
                <w:sz w:val="9"/>
                <w:szCs w:val="9"/>
                <w:color w:val="auto"/>
              </w:rPr>
            </w:pPr>
          </w:p>
        </w:tc>
        <w:tc>
          <w:tcPr>
            <w:tcW w:w="8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(117,294 )</w:t>
            </w:r>
          </w:p>
        </w:tc>
        <w:tc>
          <w:tcPr>
            <w:tcW w:w="580" w:type="dxa"/>
            <w:vAlign w:val="bottom"/>
          </w:tcPr>
          <w:p>
            <w:pPr>
              <w:spacing w:after="0"/>
              <w:rPr>
                <w:sz w:val="9"/>
                <w:szCs w:val="9"/>
                <w:color w:val="auto"/>
              </w:rPr>
            </w:pPr>
          </w:p>
        </w:tc>
        <w:tc>
          <w:tcPr>
            <w:tcW w:w="10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(480,012 )</w:t>
            </w: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Cash, beginning of the period</w:t>
            </w:r>
          </w:p>
        </w:tc>
        <w:tc>
          <w:tcPr>
            <w:tcW w:w="88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177,578</w:t>
            </w: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657,590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end of the period</w:t>
            </w:r>
          </w:p>
        </w:tc>
        <w:tc>
          <w:tcPr>
            <w:tcW w:w="880" w:type="dxa"/>
            <w:vAlign w:val="bottom"/>
            <w:tcBorders>
              <w:bottom w:val="single" w:sz="8" w:color="auto"/>
            </w:tcBorders>
          </w:tcPr>
          <w:p>
            <w:pPr>
              <w:jc w:val="right"/>
              <w:ind w:right="773"/>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60,284</w:t>
            </w:r>
          </w:p>
        </w:tc>
        <w:tc>
          <w:tcPr>
            <w:tcW w:w="260" w:type="dxa"/>
            <w:vAlign w:val="bottom"/>
          </w:tcPr>
          <w:p>
            <w:pPr>
              <w:spacing w:after="0"/>
              <w:rPr>
                <w:sz w:val="10"/>
                <w:szCs w:val="10"/>
                <w:color w:val="auto"/>
              </w:rPr>
            </w:pPr>
          </w:p>
        </w:tc>
        <w:tc>
          <w:tcPr>
            <w:tcW w:w="580" w:type="dxa"/>
            <w:vAlign w:val="bottom"/>
            <w:tcBorders>
              <w:bottom w:val="single" w:sz="8" w:color="auto"/>
            </w:tcBorders>
          </w:tcPr>
          <w:p>
            <w:pPr>
              <w:jc w:val="right"/>
              <w:ind w:right="4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177,578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Supplemental disclosure of noncash investing and financing activities</w:t>
            </w:r>
          </w:p>
        </w:tc>
        <w:tc>
          <w:tcPr>
            <w:tcW w:w="8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common stock subject to possible redemption</w:t>
            </w:r>
          </w:p>
        </w:tc>
        <w:tc>
          <w:tcPr>
            <w:tcW w:w="880" w:type="dxa"/>
            <w:vAlign w:val="bottom"/>
            <w:tcBorders>
              <w:bottom w:val="single" w:sz="8" w:color="auto"/>
            </w:tcBorders>
          </w:tcPr>
          <w:p>
            <w:pPr>
              <w:jc w:val="right"/>
              <w:ind w:right="773"/>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3,943,038</w:t>
            </w:r>
          </w:p>
        </w:tc>
        <w:tc>
          <w:tcPr>
            <w:tcW w:w="260" w:type="dxa"/>
            <w:vAlign w:val="bottom"/>
          </w:tcPr>
          <w:p>
            <w:pPr>
              <w:spacing w:after="0"/>
              <w:rPr>
                <w:sz w:val="10"/>
                <w:szCs w:val="10"/>
                <w:color w:val="auto"/>
              </w:rPr>
            </w:pPr>
          </w:p>
        </w:tc>
        <w:tc>
          <w:tcPr>
            <w:tcW w:w="580" w:type="dxa"/>
            <w:vAlign w:val="bottom"/>
            <w:tcBorders>
              <w:bottom w:val="single" w:sz="8" w:color="auto"/>
            </w:tcBorders>
          </w:tcPr>
          <w:p>
            <w:pPr>
              <w:jc w:val="right"/>
              <w:ind w:right="4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548,862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30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Excise tax on redemptions</w:t>
            </w:r>
          </w:p>
        </w:tc>
        <w:tc>
          <w:tcPr>
            <w:tcW w:w="880" w:type="dxa"/>
            <w:vAlign w:val="bottom"/>
            <w:tcBorders>
              <w:bottom w:val="single" w:sz="8" w:color="auto"/>
            </w:tcBorders>
            <w:shd w:val="clear" w:color="auto" w:fill="CFF0FC"/>
          </w:tcPr>
          <w:p>
            <w:pPr>
              <w:jc w:val="right"/>
              <w:ind w:right="773"/>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1,291,751</w:t>
            </w:r>
          </w:p>
        </w:tc>
        <w:tc>
          <w:tcPr>
            <w:tcW w:w="26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auto"/>
            </w:tcBorders>
            <w:shd w:val="clear" w:color="auto" w:fill="CFF0FC"/>
          </w:tcPr>
          <w:p>
            <w:pPr>
              <w:jc w:val="right"/>
              <w:ind w:right="4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The accompanying notes are an integral part of these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61" w:name="page262"/>
    <w:bookmarkEnd w:id="261"/>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NOTES TO FINANCIAL STATEMENTS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Note–1 - Organization, Business Operations and Going Concern</w:t>
      </w:r>
    </w:p>
    <w:p>
      <w:pPr>
        <w:spacing w:after="0" w:line="60" w:lineRule="exact"/>
        <w:rPr>
          <w:sz w:val="20"/>
          <w:szCs w:val="20"/>
          <w:color w:val="auto"/>
        </w:rPr>
      </w:pPr>
    </w:p>
    <w:p>
      <w:pPr>
        <w:ind w:right="60" w:firstLine="480"/>
        <w:spacing w:after="0" w:line="285" w:lineRule="auto"/>
        <w:rPr>
          <w:sz w:val="20"/>
          <w:szCs w:val="20"/>
          <w:color w:val="auto"/>
        </w:rPr>
      </w:pPr>
      <w:r>
        <w:rPr>
          <w:rFonts w:ascii="Times New Roman" w:cs="Times New Roman" w:eastAsia="Times New Roman" w:hAnsi="Times New Roman"/>
          <w:sz w:val="9"/>
          <w:szCs w:val="9"/>
          <w:color w:val="auto"/>
        </w:rPr>
        <w:t>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As more fully described in this Note 1, on December 17, 2021 the Company entered into a business combination agreement with a target business which was amended and restated on June 16, 2023. The Company concentrated its efforts in identifying businesses in the financial services industry with particular emphasis on businesses that are providing or changing technology for traditional financial services.</w:t>
      </w:r>
    </w:p>
    <w:p>
      <w:pPr>
        <w:spacing w:after="0" w:line="89"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As of September 30, 2023, the Company had not commenced any operations. All activity for the period from November 5, 2020 (inception) through September 30, 2023,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sponsor is Armada Sponsor LLC (the “Sponsor”).</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registration statement for the Company’s IPO was declared effective on August 12, 2021 (the “Effective Date”). On August 17, 2021, the Company commenced the IPO of 15,000,000 units at $10.00 per unit (the “Units”).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Simultaneously with the consummation of the IPO, the Company consummated the private placement of 459,500 shares of common stock (“Private Shares”) at a price of $10.00 per share for an aggregate purchase price of $4,595,000.</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Transaction costs amounted to $3,537,515, consisting of $1,500,000 of underwriting commissions, and $2,037,515 of other offering costs.</w:t>
      </w:r>
    </w:p>
    <w:p>
      <w:pPr>
        <w:spacing w:after="0" w:line="118"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2a- 7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 The Trust Account has released $130,246,958 and $182,069 as of September 30, 2023 and 2022, respectively, to the Company to pay its income and franchise tax obligations and in connection with redemptions.</w:t>
      </w:r>
    </w:p>
    <w:p>
      <w:pPr>
        <w:spacing w:after="0" w:line="108"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01"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105"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62" w:name="page263"/>
    <w:bookmarkEnd w:id="262"/>
    <w:p>
      <w:pPr>
        <w:spacing w:after="0" w:line="245" w:lineRule="auto"/>
        <w:rPr>
          <w:sz w:val="20"/>
          <w:szCs w:val="20"/>
          <w:color w:val="auto"/>
        </w:rPr>
      </w:pPr>
      <w:r>
        <w:rPr>
          <w:rFonts w:ascii="Times New Roman" w:cs="Times New Roman" w:eastAsia="Times New Roman" w:hAnsi="Times New Roman"/>
          <w:sz w:val="10"/>
          <w:szCs w:val="10"/>
          <w:color w:val="auto"/>
        </w:rPr>
        <w:t>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05"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08" w:lineRule="exact"/>
        <w:rPr>
          <w:sz w:val="20"/>
          <w:szCs w:val="20"/>
          <w:color w:val="auto"/>
        </w:rPr>
      </w:pPr>
    </w:p>
    <w:p>
      <w:pPr>
        <w:ind w:right="20" w:firstLine="480"/>
        <w:spacing w:after="0" w:line="237" w:lineRule="auto"/>
        <w:rPr>
          <w:sz w:val="20"/>
          <w:szCs w:val="20"/>
          <w:color w:val="auto"/>
        </w:rPr>
      </w:pPr>
      <w:r>
        <w:rPr>
          <w:rFonts w:ascii="Times New Roman" w:cs="Times New Roman" w:eastAsia="Times New Roman" w:hAnsi="Times New Roman"/>
          <w:sz w:val="10"/>
          <w:szCs w:val="10"/>
          <w:color w:val="auto"/>
        </w:rPr>
        <w:t>The Company had until February 17, 2023 (or 18 months following the IPO) to consummate a Business Combination (the “Combination Period”). As further described in Note 1, on February 2, 2023, the stockholders approved an amendment to our certificate of incorporation to extend the Combination Period until August 17, 2023, and on August 2, 2023, the stockholders approved a further amendment to our certificate of incorporation to extend the Combination Period for six monthly periods or until no later than February 17, 2024. On August 8, 2023, the Company deposited $70,900 into the Trust Account thereby extending the Combination Period until September 17, 2023, and on each of September 8, 2023, October 11, 2023 and November 9, 2023, the Company deposited $70,900 into the Trust Account thereby extending the Combination Period for three additional months or until December 17, 2023. 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11"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05"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10"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05"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63" w:name="page264"/>
    <w:bookmarkEnd w:id="263"/>
    <w:p>
      <w:pPr>
        <w:ind w:right="320"/>
        <w:spacing w:after="0" w:line="255" w:lineRule="auto"/>
        <w:rPr>
          <w:sz w:val="20"/>
          <w:szCs w:val="20"/>
          <w:color w:val="auto"/>
        </w:rPr>
      </w:pPr>
      <w:r>
        <w:rPr>
          <w:rFonts w:ascii="Times New Roman" w:cs="Times New Roman" w:eastAsia="Times New Roman" w:hAnsi="Times New Roman"/>
          <w:sz w:val="10"/>
          <w:szCs w:val="10"/>
          <w:color w:val="auto"/>
        </w:rPr>
        <w:t>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01"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08" w:lineRule="exact"/>
        <w:rPr>
          <w:sz w:val="20"/>
          <w:szCs w:val="20"/>
          <w:color w:val="auto"/>
        </w:rPr>
      </w:pPr>
    </w:p>
    <w:p>
      <w:pPr>
        <w:ind w:right="20" w:firstLine="480"/>
        <w:spacing w:after="0" w:line="269" w:lineRule="auto"/>
        <w:rPr>
          <w:sz w:val="20"/>
          <w:szCs w:val="20"/>
          <w:color w:val="auto"/>
        </w:rPr>
      </w:pPr>
      <w:r>
        <w:rPr>
          <w:rFonts w:ascii="Times New Roman" w:cs="Times New Roman" w:eastAsia="Times New Roman" w:hAnsi="Times New Roman"/>
          <w:sz w:val="9"/>
          <w:szCs w:val="9"/>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 “Pre-Closing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 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96" w:lineRule="exact"/>
        <w:rPr>
          <w:sz w:val="20"/>
          <w:szCs w:val="20"/>
          <w:color w:val="auto"/>
        </w:rPr>
      </w:pPr>
    </w:p>
    <w:p>
      <w:pPr>
        <w:ind w:firstLine="480"/>
        <w:spacing w:after="0" w:line="285" w:lineRule="auto"/>
        <w:rPr>
          <w:sz w:val="20"/>
          <w:szCs w:val="20"/>
          <w:color w:val="auto"/>
        </w:rPr>
      </w:pPr>
      <w:r>
        <w:rPr>
          <w:rFonts w:ascii="Times New Roman" w:cs="Times New Roman" w:eastAsia="Times New Roman" w:hAnsi="Times New Roman"/>
          <w:sz w:val="9"/>
          <w:szCs w:val="9"/>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89"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1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101"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8, 2023, October 11, 2023 and November</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0"/>
          <w:szCs w:val="10"/>
          <w:color w:val="auto"/>
        </w:rPr>
        <w:t>9, 2023 the Company borrowed $70,900 under the Extension Note on each such date and deposited the funds into the Trust Account thereby extending the Combination Period for three additional months or until December 17, 2023.</w:t>
      </w:r>
    </w:p>
    <w:p>
      <w:pPr>
        <w:spacing w:after="0" w:line="118" w:lineRule="exact"/>
        <w:rPr>
          <w:sz w:val="20"/>
          <w:szCs w:val="20"/>
          <w:color w:val="auto"/>
        </w:rPr>
      </w:pPr>
    </w:p>
    <w:p>
      <w:pPr>
        <w:ind w:right="240" w:firstLine="480"/>
        <w:spacing w:after="0" w:line="255" w:lineRule="auto"/>
        <w:rPr>
          <w:sz w:val="20"/>
          <w:szCs w:val="20"/>
          <w:color w:val="auto"/>
        </w:rPr>
      </w:pPr>
      <w:r>
        <w:rPr>
          <w:rFonts w:ascii="Times New Roman" w:cs="Times New Roman" w:eastAsia="Times New Roman" w:hAnsi="Times New Roman"/>
          <w:sz w:val="10"/>
          <w:szCs w:val="10"/>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Liquidity and Going Concern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September 30, 2023, the Company had approximately $60,000 of cash in its bank operating account and a working capital deficiency of approximately $8.5 million (excluding income tax payable and franchise tax payable).</w:t>
      </w:r>
    </w:p>
    <w:p>
      <w:pPr>
        <w:spacing w:after="0" w:line="118"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Prior to the completion of the IPO, the Company’s liquidity needs have been satisfied through the $36,045 proceeds received from the sale of its founder shares to the Sponsor, the advances of $230,352 from the Sponsor to cover the Company’s offering costs in connection with the IPO, and the net proceeds from the consummation of the Private Placement not held in the Trust Account. The balance of the advances from Sponsor was fully repaid on August 17, 2021.</w:t>
      </w:r>
    </w:p>
    <w:p>
      <w:pPr>
        <w:spacing w:after="0" w:line="10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aggregate balance outstanding under all promissory notes, including the Extension Note, was $2,564,439 and $251,754 as of September 30, 2023 and 2022, respectively.</w:t>
      </w:r>
    </w:p>
    <w:p>
      <w:pPr>
        <w:spacing w:after="0" w:line="118"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Company’s assessment of going concern considerations in accordance with the Financial Accounting Standards Board’s (“FASB”) Accounting Standards Update (“ASU”) 2014 -15,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February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Risks and Uncertainties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this uncertainty.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Inflation Reduction Act of 2022</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65" w:name="page266"/>
    <w:bookmarkEnd w:id="265"/>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08"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Management has evaluated the requirements of the IR Act and the Company’s operations, and has determined that $1,291,751 is required to be recorded as a liability on the Company’s balance sheet as of September 30, 2023. This liability will be reevaluated and remeasured at the end of each quarterly period.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2 - Significant Accounting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Basis of Presentation</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accompanying consolidated financial statements have been prepared in accordance with generally accepted accounting principles in the United States of America (U.S. GAAP) and with the instructions to Form 10-K and Regulation S-X. In the opinion of management, all adjustments (consisting of normal recurring adjustments) have been made that are necessary to present fairly the financial position, and the results of its operations and its cash flows.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Emerging Growth Company Status</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9"/>
          <w:szCs w:val="9"/>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Use of Estimates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0"/>
          <w:szCs w:val="10"/>
          <w:b w:val="1"/>
          <w:bCs w:val="1"/>
          <w:i w:val="1"/>
          <w:iCs w:val="1"/>
          <w:color w:val="auto"/>
        </w:rPr>
        <w:t>Cash</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considers all short-term investments with an original maturity of three months or less when purchased to be cash equivalents. The Company had $60,284 and $177,578 in cash as of September 30, 2023 and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Investments Held in Trust Account</w:t>
      </w:r>
    </w:p>
    <w:p>
      <w:pPr>
        <w:spacing w:after="0" w:line="60" w:lineRule="exact"/>
        <w:rPr>
          <w:sz w:val="20"/>
          <w:szCs w:val="20"/>
          <w:color w:val="auto"/>
        </w:rPr>
      </w:pPr>
    </w:p>
    <w:p>
      <w:pPr>
        <w:ind w:right="160" w:firstLine="480"/>
        <w:spacing w:after="0" w:line="245" w:lineRule="auto"/>
        <w:rPr>
          <w:sz w:val="20"/>
          <w:szCs w:val="20"/>
          <w:color w:val="auto"/>
        </w:rPr>
      </w:pPr>
      <w:r>
        <w:rPr>
          <w:rFonts w:ascii="Times New Roman" w:cs="Times New Roman" w:eastAsia="Times New Roman" w:hAnsi="Times New Roman"/>
          <w:sz w:val="10"/>
          <w:szCs w:val="10"/>
          <w:color w:val="auto"/>
        </w:rPr>
        <w:t>As of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September 30, 2022, the assets held in the Trust Account were held in U.S. Treasury Bills with a maturity of 185 days or less.</w:t>
      </w:r>
    </w:p>
    <w:p>
      <w:pPr>
        <w:spacing w:after="0" w:line="118"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Company classifies its U.S. Treasury bills as held-to-maturity in accordance with FASB ASC Topic 320 “Investments—Debt and Equity Securities.” Held-to-maturity securities are those securities which the Company has the ability and intent to hold until maturity. Held-to-maturity treasury securities are recorded at amortized cost and adjusted for the amortization or accretion of premiums or discounts.</w:t>
      </w:r>
    </w:p>
    <w:p>
      <w:pPr>
        <w:spacing w:after="0" w:line="101"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A decline in the market value of held-to- maturity securities below cost that is deemed to be other than temporary, results in an impairment that reduces the carrying costs to such securities’ fair value. The impairment is charged to earnings and a new cost basis for the security is established. To determine whether an impairment is other than temporary, the Company considers whether it has the ability and intent to hold the investment until a market price recovery and considers whether evidence indicating the cost of the investment is recoverable outweighs evidence to the contrary. Evidence considered in this assessment includes the reasons for the impairment, the severity and the duration of the impairment, changes in value subsequent to year-end, forecasted performance of the investee, and the general market condition in the geographic area or industry in which the investee operates. Management had determined that there has not been an impairment of held-to-maturity securities as of September 30, 2022.</w:t>
      </w:r>
    </w:p>
    <w:p>
      <w:pPr>
        <w:spacing w:after="0" w:line="10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Premiums and discounts are amortized or accreted over the life of the related held-to-maturity security as an adjustment to yield using the effective-interest method. Such amortization and accretion are included in the “interest income” line item in the statements of operations. Interest income is recognized when earned.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Fair Value Measurements</w:t>
      </w:r>
    </w:p>
    <w:p>
      <w:pPr>
        <w:spacing w:after="0" w:line="60"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 defined as observable inputs such as quoted prices (unadjusted) for identical instruments in active markets;</w:t>
      </w:r>
    </w:p>
    <w:p>
      <w:pPr>
        <w:spacing w:after="0" w:line="58" w:lineRule="exact"/>
        <w:rPr>
          <w:sz w:val="20"/>
          <w:szCs w:val="20"/>
          <w:color w:val="auto"/>
        </w:rPr>
      </w:pPr>
    </w:p>
    <w:p>
      <w:pPr>
        <w:ind w:left="480" w:right="260"/>
        <w:spacing w:after="0" w:line="255" w:lineRule="auto"/>
        <w:rPr>
          <w:sz w:val="20"/>
          <w:szCs w:val="20"/>
          <w:color w:val="auto"/>
        </w:rPr>
      </w:pPr>
      <w:r>
        <w:rPr>
          <w:rFonts w:ascii="Times New Roman" w:cs="Times New Roman" w:eastAsia="Times New Roman" w:hAnsi="Times New Roman"/>
          <w:sz w:val="10"/>
          <w:szCs w:val="10"/>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41" w:lineRule="exact"/>
        <w:rPr>
          <w:sz w:val="20"/>
          <w:szCs w:val="20"/>
          <w:color w:val="auto"/>
        </w:rPr>
      </w:pPr>
    </w:p>
    <w:p>
      <w:pPr>
        <w:ind w:left="480" w:right="220"/>
        <w:spacing w:after="0" w:line="255" w:lineRule="auto"/>
        <w:rPr>
          <w:sz w:val="20"/>
          <w:szCs w:val="20"/>
          <w:color w:val="auto"/>
        </w:rPr>
      </w:pPr>
      <w:r>
        <w:rPr>
          <w:rFonts w:ascii="Times New Roman" w:cs="Times New Roman" w:eastAsia="Times New Roman" w:hAnsi="Times New Roman"/>
          <w:sz w:val="10"/>
          <w:szCs w:val="10"/>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fair value of certain of the Company’s assets and liabilities, which qualify as financial instruments under ASC 820, “Fair Value Measurement,” approximates the carrying amounts represented in the balance sheets.</w:t>
      </w:r>
    </w:p>
    <w:p>
      <w:pPr>
        <w:spacing w:after="0" w:line="5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0"/>
          <w:szCs w:val="10"/>
          <w:color w:val="auto"/>
        </w:rPr>
        <w:t>F-138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0"/>
          <w:szCs w:val="10"/>
          <w:b w:val="1"/>
          <w:bCs w:val="1"/>
          <w:i w:val="1"/>
          <w:iCs w:val="1"/>
          <w:color w:val="auto"/>
        </w:rPr>
        <w:t>Concentration of Credit Risk</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Financial instruments that potentially subject the Company to concentrations of credit risk consist of a cash account in a financial institution, which, at times, may exceed the Federal Depository Insurance Corporation limit of $250,000. At September 30, 2023 and 2022, the Company has not experienced losses on this account and management believes the Company is not exposed to significant risks on such account.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Offering Costs Associated with IPO</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the requirements of ASC340-10-S99-1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 Subject to Possible Redemption</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equity. The Company’s shares of common stock feature certain redemption rights that are considered to be outside of the Company’s control and subject to the occurrence of uncertain future events. Accordingly, 15,000,000 shares of common stock as of September 30, 2022, and 2,363,349 shares of common stock as of September 30, 2023 subject to possible redemption are presented at redemption value as temporary equity, outside of the stockholders’ deficit section of the Company’s balance sheets.</w:t>
      </w:r>
    </w:p>
    <w:p>
      <w:pPr>
        <w:spacing w:after="0" w:line="11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changes in redemption value immediately as they occur. Immediately upon the closing of the IPO, the Company recognized the remeasurement adjustment from initial carrying amount to redemption book value. The change in the carrying value of redeemable common stock resulted in charges against additional paid-in capital.</w:t>
      </w:r>
    </w:p>
    <w:p>
      <w:pPr>
        <w:spacing w:after="0" w:line="101" w:lineRule="exact"/>
        <w:rPr>
          <w:sz w:val="20"/>
          <w:szCs w:val="20"/>
          <w:color w:val="auto"/>
        </w:rPr>
      </w:pPr>
    </w:p>
    <w:tbl>
      <w:tblPr>
        <w:tblLayout w:type="fixed"/>
        <w:tblInd w:w="480" w:type="dxa"/>
        <w:tblCellMar>
          <w:top w:w="0" w:type="dxa"/>
          <w:left w:w="0" w:type="dxa"/>
          <w:bottom w:w="0" w:type="dxa"/>
          <w:right w:w="0" w:type="dxa"/>
        </w:tblCellMar>
      </w:tblPr>
      <w:tr>
        <w:trPr>
          <w:trHeight w:val="125"/>
        </w:trPr>
        <w:tc>
          <w:tcPr>
            <w:tcW w:w="56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At September 30, 2023 and 2022, the common stock reflected in the balance sheets are reconciled in the following table:</w:t>
            </w:r>
          </w:p>
        </w:tc>
        <w:tc>
          <w:tcPr>
            <w:tcW w:w="138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52"/>
        </w:trPr>
        <w:tc>
          <w:tcPr>
            <w:tcW w:w="16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13"/>
        </w:trPr>
        <w:tc>
          <w:tcPr>
            <w:tcW w:w="1640" w:type="dxa"/>
            <w:vAlign w:val="bottom"/>
          </w:tcPr>
          <w:p>
            <w:pPr>
              <w:spacing w:after="0"/>
              <w:rPr>
                <w:sz w:val="9"/>
                <w:szCs w:val="9"/>
                <w:color w:val="auto"/>
              </w:rPr>
            </w:pPr>
          </w:p>
        </w:tc>
        <w:tc>
          <w:tcPr>
            <w:tcW w:w="40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Gross Proceeds</w:t>
            </w:r>
          </w:p>
        </w:tc>
        <w:tc>
          <w:tcPr>
            <w:tcW w:w="1380" w:type="dxa"/>
            <w:vAlign w:val="bottom"/>
            <w:shd w:val="clear" w:color="auto" w:fill="CFF0FC"/>
          </w:tcPr>
          <w:p>
            <w:pPr>
              <w:jc w:val="right"/>
              <w:ind w:right="3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150,000,000</w:t>
            </w:r>
          </w:p>
        </w:tc>
      </w:tr>
      <w:tr>
        <w:trPr>
          <w:trHeight w:val="113"/>
        </w:trPr>
        <w:tc>
          <w:tcPr>
            <w:tcW w:w="1640" w:type="dxa"/>
            <w:vAlign w:val="bottom"/>
          </w:tcPr>
          <w:p>
            <w:pPr>
              <w:spacing w:after="0"/>
              <w:rPr>
                <w:sz w:val="9"/>
                <w:szCs w:val="9"/>
                <w:color w:val="auto"/>
              </w:rPr>
            </w:pPr>
          </w:p>
        </w:tc>
        <w:tc>
          <w:tcPr>
            <w:tcW w:w="40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allocated to Public Warrants</w:t>
            </w:r>
          </w:p>
        </w:tc>
        <w:tc>
          <w:tcPr>
            <w:tcW w:w="13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(11,700,000 )</w:t>
            </w:r>
          </w:p>
        </w:tc>
      </w:tr>
      <w:tr>
        <w:trPr>
          <w:trHeight w:val="113"/>
        </w:trPr>
        <w:tc>
          <w:tcPr>
            <w:tcW w:w="1640" w:type="dxa"/>
            <w:vAlign w:val="bottom"/>
          </w:tcPr>
          <w:p>
            <w:pPr>
              <w:spacing w:after="0"/>
              <w:rPr>
                <w:sz w:val="9"/>
                <w:szCs w:val="9"/>
                <w:color w:val="auto"/>
              </w:rPr>
            </w:pPr>
          </w:p>
        </w:tc>
        <w:tc>
          <w:tcPr>
            <w:tcW w:w="40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Issuance costs related to common stock</w:t>
            </w:r>
          </w:p>
        </w:tc>
        <w:tc>
          <w:tcPr>
            <w:tcW w:w="13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(3,261,589 )</w:t>
            </w:r>
          </w:p>
        </w:tc>
      </w:tr>
      <w:tr>
        <w:trPr>
          <w:trHeight w:val="113"/>
        </w:trPr>
        <w:tc>
          <w:tcPr>
            <w:tcW w:w="1640" w:type="dxa"/>
            <w:vAlign w:val="bottom"/>
          </w:tcPr>
          <w:p>
            <w:pPr>
              <w:spacing w:after="0"/>
              <w:rPr>
                <w:sz w:val="9"/>
                <w:szCs w:val="9"/>
                <w:color w:val="auto"/>
              </w:rPr>
            </w:pPr>
          </w:p>
        </w:tc>
        <w:tc>
          <w:tcPr>
            <w:tcW w:w="40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1380" w:type="dxa"/>
            <w:vAlign w:val="bottom"/>
          </w:tcPr>
          <w:p>
            <w:pPr>
              <w:spacing w:after="0"/>
              <w:rPr>
                <w:sz w:val="9"/>
                <w:szCs w:val="9"/>
                <w:color w:val="auto"/>
              </w:rPr>
            </w:pPr>
          </w:p>
        </w:tc>
        <w:tc>
          <w:tcPr>
            <w:tcW w:w="980" w:type="dxa"/>
            <w:vAlign w:val="bottom"/>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14,961,589</w:t>
            </w:r>
          </w:p>
        </w:tc>
      </w:tr>
      <w:tr>
        <w:trPr>
          <w:trHeight w:val="106"/>
        </w:trPr>
        <w:tc>
          <w:tcPr>
            <w:tcW w:w="1640" w:type="dxa"/>
            <w:vAlign w:val="bottom"/>
          </w:tcPr>
          <w:p>
            <w:pPr>
              <w:spacing w:after="0"/>
              <w:rPr>
                <w:sz w:val="9"/>
                <w:szCs w:val="9"/>
                <w:color w:val="auto"/>
              </w:rPr>
            </w:pPr>
          </w:p>
        </w:tc>
        <w:tc>
          <w:tcPr>
            <w:tcW w:w="402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carrying value to redemption</w:t>
            </w:r>
          </w:p>
        </w:tc>
        <w:tc>
          <w:tcPr>
            <w:tcW w:w="13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r>
      <w:tr>
        <w:trPr>
          <w:trHeight w:val="113"/>
        </w:trPr>
        <w:tc>
          <w:tcPr>
            <w:tcW w:w="1640" w:type="dxa"/>
            <w:vAlign w:val="bottom"/>
          </w:tcPr>
          <w:p>
            <w:pPr>
              <w:spacing w:after="0"/>
              <w:rPr>
                <w:sz w:val="9"/>
                <w:szCs w:val="9"/>
                <w:color w:val="auto"/>
              </w:rPr>
            </w:pPr>
          </w:p>
        </w:tc>
        <w:tc>
          <w:tcPr>
            <w:tcW w:w="402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value – Trust interest income (excluding the amount</w:t>
            </w:r>
          </w:p>
        </w:tc>
        <w:tc>
          <w:tcPr>
            <w:tcW w:w="13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r>
      <w:tr>
        <w:trPr>
          <w:trHeight w:val="119"/>
        </w:trPr>
        <w:tc>
          <w:tcPr>
            <w:tcW w:w="1640" w:type="dxa"/>
            <w:vAlign w:val="bottom"/>
          </w:tcPr>
          <w:p>
            <w:pPr>
              <w:spacing w:after="0"/>
              <w:rPr>
                <w:sz w:val="10"/>
                <w:szCs w:val="10"/>
                <w:color w:val="auto"/>
              </w:rPr>
            </w:pPr>
          </w:p>
        </w:tc>
        <w:tc>
          <w:tcPr>
            <w:tcW w:w="4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that can be withdrawn from Trust Account for taxes)</w:t>
            </w:r>
          </w:p>
        </w:tc>
        <w:tc>
          <w:tcPr>
            <w:tcW w:w="1380" w:type="dxa"/>
            <w:vAlign w:val="bottom"/>
            <w:shd w:val="clear" w:color="auto" w:fill="CFF0FC"/>
          </w:tcPr>
          <w:p>
            <w:pPr>
              <w:spacing w:after="0"/>
              <w:rPr>
                <w:sz w:val="10"/>
                <w:szCs w:val="10"/>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color w:val="auto"/>
              </w:rPr>
              <w:t>548,862</w:t>
            </w:r>
          </w:p>
        </w:tc>
      </w:tr>
      <w:tr>
        <w:trPr>
          <w:trHeight w:val="104"/>
        </w:trPr>
        <w:tc>
          <w:tcPr>
            <w:tcW w:w="1640" w:type="dxa"/>
            <w:vAlign w:val="bottom"/>
          </w:tcPr>
          <w:p>
            <w:pPr>
              <w:spacing w:after="0"/>
              <w:rPr>
                <w:sz w:val="9"/>
                <w:szCs w:val="9"/>
                <w:color w:val="auto"/>
              </w:rPr>
            </w:pPr>
          </w:p>
        </w:tc>
        <w:tc>
          <w:tcPr>
            <w:tcW w:w="402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138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21"/>
        </w:trPr>
        <w:tc>
          <w:tcPr>
            <w:tcW w:w="1640" w:type="dxa"/>
            <w:vAlign w:val="bottom"/>
          </w:tcPr>
          <w:p>
            <w:pPr>
              <w:spacing w:after="0"/>
              <w:rPr>
                <w:sz w:val="10"/>
                <w:szCs w:val="10"/>
                <w:color w:val="auto"/>
              </w:rPr>
            </w:pPr>
          </w:p>
        </w:tc>
        <w:tc>
          <w:tcPr>
            <w:tcW w:w="402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 2022</w:t>
            </w:r>
          </w:p>
        </w:tc>
        <w:tc>
          <w:tcPr>
            <w:tcW w:w="1380" w:type="dxa"/>
            <w:vAlign w:val="bottom"/>
          </w:tcPr>
          <w:p>
            <w:pPr>
              <w:spacing w:after="0"/>
              <w:rPr>
                <w:sz w:val="10"/>
                <w:szCs w:val="1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150,548,862</w:t>
            </w:r>
          </w:p>
        </w:tc>
      </w:tr>
      <w:tr>
        <w:trPr>
          <w:trHeight w:val="113"/>
        </w:trPr>
        <w:tc>
          <w:tcPr>
            <w:tcW w:w="1640" w:type="dxa"/>
            <w:vAlign w:val="bottom"/>
          </w:tcPr>
          <w:p>
            <w:pPr>
              <w:spacing w:after="0"/>
              <w:rPr>
                <w:sz w:val="9"/>
                <w:szCs w:val="9"/>
                <w:color w:val="auto"/>
              </w:rPr>
            </w:pPr>
          </w:p>
        </w:tc>
        <w:tc>
          <w:tcPr>
            <w:tcW w:w="40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Redemptions</w:t>
            </w:r>
          </w:p>
        </w:tc>
        <w:tc>
          <w:tcPr>
            <w:tcW w:w="13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(129,175,094 )</w:t>
            </w:r>
          </w:p>
        </w:tc>
      </w:tr>
      <w:tr>
        <w:trPr>
          <w:trHeight w:val="113"/>
        </w:trPr>
        <w:tc>
          <w:tcPr>
            <w:tcW w:w="1640" w:type="dxa"/>
            <w:vAlign w:val="bottom"/>
          </w:tcPr>
          <w:p>
            <w:pPr>
              <w:spacing w:after="0"/>
              <w:rPr>
                <w:sz w:val="9"/>
                <w:szCs w:val="9"/>
                <w:color w:val="auto"/>
              </w:rPr>
            </w:pPr>
          </w:p>
        </w:tc>
        <w:tc>
          <w:tcPr>
            <w:tcW w:w="40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1380" w:type="dxa"/>
            <w:vAlign w:val="bottom"/>
          </w:tcPr>
          <w:p>
            <w:pPr>
              <w:spacing w:after="0"/>
              <w:rPr>
                <w:sz w:val="9"/>
                <w:szCs w:val="9"/>
                <w:color w:val="auto"/>
              </w:rPr>
            </w:pPr>
          </w:p>
        </w:tc>
        <w:tc>
          <w:tcPr>
            <w:tcW w:w="980" w:type="dxa"/>
            <w:vAlign w:val="bottom"/>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3,943,038</w:t>
            </w:r>
          </w:p>
        </w:tc>
      </w:tr>
      <w:tr>
        <w:trPr>
          <w:trHeight w:val="104"/>
        </w:trPr>
        <w:tc>
          <w:tcPr>
            <w:tcW w:w="1640" w:type="dxa"/>
            <w:vAlign w:val="bottom"/>
          </w:tcPr>
          <w:p>
            <w:pPr>
              <w:spacing w:after="0"/>
              <w:rPr>
                <w:sz w:val="9"/>
                <w:szCs w:val="9"/>
                <w:color w:val="auto"/>
              </w:rPr>
            </w:pPr>
          </w:p>
        </w:tc>
        <w:tc>
          <w:tcPr>
            <w:tcW w:w="402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13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r>
      <w:tr>
        <w:trPr>
          <w:trHeight w:val="121"/>
        </w:trPr>
        <w:tc>
          <w:tcPr>
            <w:tcW w:w="1640" w:type="dxa"/>
            <w:vAlign w:val="bottom"/>
          </w:tcPr>
          <w:p>
            <w:pPr>
              <w:spacing w:after="0"/>
              <w:rPr>
                <w:sz w:val="10"/>
                <w:szCs w:val="10"/>
                <w:color w:val="auto"/>
              </w:rPr>
            </w:pPr>
          </w:p>
        </w:tc>
        <w:tc>
          <w:tcPr>
            <w:tcW w:w="4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 2023</w:t>
            </w:r>
          </w:p>
        </w:tc>
        <w:tc>
          <w:tcPr>
            <w:tcW w:w="1380" w:type="dxa"/>
            <w:vAlign w:val="bottom"/>
            <w:shd w:val="clear" w:color="auto" w:fill="CFF0FC"/>
          </w:tcPr>
          <w:p>
            <w:pPr>
              <w:jc w:val="right"/>
              <w:ind w:right="331"/>
              <w:spacing w:after="0"/>
              <w:rPr>
                <w:sz w:val="20"/>
                <w:szCs w:val="20"/>
                <w:color w:val="auto"/>
              </w:rPr>
            </w:pPr>
            <w:r>
              <w:rPr>
                <w:rFonts w:ascii="Times New Roman" w:cs="Times New Roman" w:eastAsia="Times New Roman" w:hAnsi="Times New Roman"/>
                <w:sz w:val="10"/>
                <w:szCs w:val="10"/>
                <w:b w:val="1"/>
                <w:bCs w:val="1"/>
                <w:color w:val="auto"/>
              </w:rPr>
              <w:t>$</w:t>
            </w: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25,316,806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Net Loss Per Common Stock</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complies with accounting and disclosure requirements of FASB ASC Topic 260, “Earnings Per Share”. Net loss per common stock is computed by dividing net loss by the weighted average number of common stock outstanding for the period.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Remeasurement adjustments associated with the redeemable shares of common stock are excluded from earnings per share as the redemption value approximates fair value.</w:t>
      </w:r>
    </w:p>
    <w:p>
      <w:pPr>
        <w:spacing w:after="0" w:line="108"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The calculation of diluted loss per share does not consider the effect of the warrants issued in connection with the IPO because the warrants are contingently exercisable, and the contingencies have not yet been met. The warrants are exercisable to purchase 7,500,000 shares of common stock in the aggregate. As of September 30, 2023 and 2022, the Company did not have any dilutive securities or other contracts that could, potentially, be exercised or converted into common stock and then share in the earnings of the Company. As a result, diluted net loss per common stock is the same as basic net loss per common stock for the periods presented.</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68" w:name="page269"/>
    <w:bookmarkEnd w:id="268"/>
    <w:p>
      <w:pPr>
        <w:ind w:left="480"/>
        <w:spacing w:after="0"/>
        <w:rPr>
          <w:sz w:val="20"/>
          <w:szCs w:val="20"/>
          <w:color w:val="auto"/>
        </w:rPr>
      </w:pPr>
      <w:r>
        <w:rPr>
          <w:rFonts w:ascii="Times New Roman" w:cs="Times New Roman" w:eastAsia="Times New Roman" w:hAnsi="Times New Roman"/>
          <w:sz w:val="10"/>
          <w:szCs w:val="10"/>
          <w:color w:val="auto"/>
        </w:rPr>
        <w:t>Accretion of the carrying value of common stock subject to redemption value is excluded from net loss per common stock because the redemption value approximates fair value.</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30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300" w:type="dxa"/>
            <w:vAlign w:val="bottom"/>
            <w:gridSpan w:val="3"/>
          </w:tcPr>
          <w:p>
            <w:pPr>
              <w:jc w:val="right"/>
              <w:ind w:right="716"/>
              <w:spacing w:after="0"/>
              <w:rPr>
                <w:sz w:val="20"/>
                <w:szCs w:val="20"/>
                <w:color w:val="auto"/>
              </w:rPr>
            </w:pPr>
            <w:r>
              <w:rPr>
                <w:rFonts w:ascii="Times New Roman" w:cs="Times New Roman" w:eastAsia="Times New Roman" w:hAnsi="Times New Roman"/>
                <w:sz w:val="8"/>
                <w:szCs w:val="8"/>
                <w:b w:val="1"/>
                <w:bCs w:val="1"/>
                <w:color w:val="auto"/>
              </w:rPr>
              <w:t>For The Year Ended September 30,</w:t>
            </w: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98"/>
        </w:trPr>
        <w:tc>
          <w:tcPr>
            <w:tcW w:w="30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2022</w:t>
            </w: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98"/>
        </w:trPr>
        <w:tc>
          <w:tcPr>
            <w:tcW w:w="30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0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jc w:val="center"/>
              <w:ind w:right="276"/>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98"/>
        </w:trPr>
        <w:tc>
          <w:tcPr>
            <w:tcW w:w="30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0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220" w:type="dxa"/>
            <w:vAlign w:val="bottom"/>
          </w:tcPr>
          <w:p>
            <w:pPr>
              <w:spacing w:after="0"/>
              <w:rPr>
                <w:sz w:val="8"/>
                <w:szCs w:val="8"/>
                <w:color w:val="auto"/>
              </w:rPr>
            </w:pPr>
          </w:p>
        </w:tc>
        <w:tc>
          <w:tcPr>
            <w:tcW w:w="980" w:type="dxa"/>
            <w:vAlign w:val="bottom"/>
          </w:tcPr>
          <w:p>
            <w:pPr>
              <w:jc w:val="right"/>
              <w:ind w:right="455"/>
              <w:spacing w:after="0"/>
              <w:rPr>
                <w:sz w:val="20"/>
                <w:szCs w:val="20"/>
                <w:color w:val="auto"/>
              </w:rPr>
            </w:pPr>
            <w:r>
              <w:rPr>
                <w:rFonts w:ascii="Times New Roman" w:cs="Times New Roman" w:eastAsia="Times New Roman" w:hAnsi="Times New Roman"/>
                <w:sz w:val="8"/>
                <w:szCs w:val="8"/>
                <w:b w:val="1"/>
                <w:bCs w:val="1"/>
                <w:color w:val="auto"/>
              </w:rPr>
              <w:t>Common</w:t>
            </w:r>
          </w:p>
        </w:tc>
        <w:tc>
          <w:tcPr>
            <w:tcW w:w="240" w:type="dxa"/>
            <w:vAlign w:val="bottom"/>
          </w:tcPr>
          <w:p>
            <w:pPr>
              <w:spacing w:after="0"/>
              <w:rPr>
                <w:sz w:val="8"/>
                <w:szCs w:val="8"/>
                <w:color w:val="auto"/>
              </w:rPr>
            </w:pPr>
          </w:p>
        </w:tc>
        <w:tc>
          <w:tcPr>
            <w:tcW w:w="108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106"/>
        </w:trPr>
        <w:tc>
          <w:tcPr>
            <w:tcW w:w="30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10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220" w:type="dxa"/>
            <w:vAlign w:val="bottom"/>
          </w:tcPr>
          <w:p>
            <w:pPr>
              <w:spacing w:after="0"/>
              <w:rPr>
                <w:sz w:val="9"/>
                <w:szCs w:val="9"/>
                <w:color w:val="auto"/>
              </w:rPr>
            </w:pPr>
          </w:p>
        </w:tc>
        <w:tc>
          <w:tcPr>
            <w:tcW w:w="980" w:type="dxa"/>
            <w:vAlign w:val="bottom"/>
          </w:tcPr>
          <w:p>
            <w:pPr>
              <w:jc w:val="right"/>
              <w:ind w:right="515"/>
              <w:spacing w:after="0"/>
              <w:rPr>
                <w:sz w:val="20"/>
                <w:szCs w:val="20"/>
                <w:color w:val="auto"/>
              </w:rPr>
            </w:pPr>
            <w:r>
              <w:rPr>
                <w:rFonts w:ascii="Times New Roman" w:cs="Times New Roman" w:eastAsia="Times New Roman" w:hAnsi="Times New Roman"/>
                <w:sz w:val="8"/>
                <w:szCs w:val="8"/>
                <w:b w:val="1"/>
                <w:bCs w:val="1"/>
                <w:color w:val="auto"/>
              </w:rPr>
              <w:t>stock</w:t>
            </w:r>
          </w:p>
        </w:tc>
        <w:tc>
          <w:tcPr>
            <w:tcW w:w="240" w:type="dxa"/>
            <w:vAlign w:val="bottom"/>
          </w:tcPr>
          <w:p>
            <w:pPr>
              <w:spacing w:after="0"/>
              <w:rPr>
                <w:sz w:val="9"/>
                <w:szCs w:val="9"/>
                <w:color w:val="auto"/>
              </w:rPr>
            </w:pPr>
          </w:p>
        </w:tc>
        <w:tc>
          <w:tcPr>
            <w:tcW w:w="1080" w:type="dxa"/>
            <w:vAlign w:val="bottom"/>
          </w:tcPr>
          <w:p>
            <w:pPr>
              <w:jc w:val="center"/>
              <w:ind w:right="27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180" w:type="dxa"/>
            <w:vAlign w:val="bottom"/>
          </w:tcPr>
          <w:p>
            <w:pPr>
              <w:spacing w:after="0"/>
              <w:rPr>
                <w:sz w:val="9"/>
                <w:szCs w:val="9"/>
                <w:color w:val="auto"/>
              </w:rPr>
            </w:pPr>
          </w:p>
        </w:tc>
        <w:tc>
          <w:tcPr>
            <w:tcW w:w="940" w:type="dxa"/>
            <w:vAlign w:val="bottom"/>
          </w:tcPr>
          <w:p>
            <w:pPr>
              <w:jc w:val="right"/>
              <w:ind w:right="273"/>
              <w:spacing w:after="0"/>
              <w:rPr>
                <w:sz w:val="20"/>
                <w:szCs w:val="20"/>
                <w:color w:val="auto"/>
              </w:rPr>
            </w:pPr>
            <w:r>
              <w:rPr>
                <w:rFonts w:ascii="Times New Roman" w:cs="Times New Roman" w:eastAsia="Times New Roman" w:hAnsi="Times New Roman"/>
                <w:sz w:val="8"/>
                <w:szCs w:val="8"/>
                <w:b w:val="1"/>
                <w:bCs w:val="1"/>
                <w:color w:val="auto"/>
              </w:rPr>
              <w:t>Common stock</w:t>
            </w:r>
          </w:p>
        </w:tc>
      </w:tr>
      <w:tr>
        <w:trPr>
          <w:trHeight w:val="113"/>
        </w:trPr>
        <w:tc>
          <w:tcPr>
            <w:tcW w:w="30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Basic and diluted net loss per share</w:t>
            </w:r>
          </w:p>
        </w:tc>
        <w:tc>
          <w:tcPr>
            <w:tcW w:w="176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r>
      <w:tr>
        <w:trPr>
          <w:trHeight w:val="113"/>
        </w:trPr>
        <w:tc>
          <w:tcPr>
            <w:tcW w:w="30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Numerator:</w:t>
            </w:r>
          </w:p>
        </w:tc>
        <w:tc>
          <w:tcPr>
            <w:tcW w:w="1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113"/>
        </w:trPr>
        <w:tc>
          <w:tcPr>
            <w:tcW w:w="30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Allocation of net loss</w:t>
            </w:r>
          </w:p>
        </w:tc>
        <w:tc>
          <w:tcPr>
            <w:tcW w:w="17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00" w:type="dxa"/>
            <w:vAlign w:val="bottom"/>
            <w:shd w:val="clear" w:color="auto" w:fill="CFF0FC"/>
          </w:tcPr>
          <w:p>
            <w:pPr>
              <w:jc w:val="right"/>
              <w:ind w:right="116"/>
              <w:spacing w:after="0" w:line="113" w:lineRule="exact"/>
              <w:rPr>
                <w:sz w:val="20"/>
                <w:szCs w:val="20"/>
                <w:color w:val="auto"/>
              </w:rPr>
            </w:pPr>
            <w:r>
              <w:rPr>
                <w:rFonts w:ascii="Times New Roman" w:cs="Times New Roman" w:eastAsia="Times New Roman" w:hAnsi="Times New Roman"/>
                <w:sz w:val="10"/>
                <w:szCs w:val="10"/>
                <w:color w:val="auto"/>
              </w:rPr>
              <w:t>(179,201 )</w:t>
            </w:r>
          </w:p>
        </w:tc>
        <w:tc>
          <w:tcPr>
            <w:tcW w:w="22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shd w:val="clear" w:color="auto" w:fill="CFF0FC"/>
          </w:tcPr>
          <w:p>
            <w:pPr>
              <w:jc w:val="right"/>
              <w:ind w:right="35"/>
              <w:spacing w:after="0" w:line="113" w:lineRule="exact"/>
              <w:rPr>
                <w:sz w:val="20"/>
                <w:szCs w:val="20"/>
                <w:color w:val="auto"/>
              </w:rPr>
            </w:pPr>
            <w:r>
              <w:rPr>
                <w:rFonts w:ascii="Times New Roman" w:cs="Times New Roman" w:eastAsia="Times New Roman" w:hAnsi="Times New Roman"/>
                <w:sz w:val="10"/>
                <w:szCs w:val="10"/>
                <w:color w:val="auto"/>
              </w:rPr>
              <w:t>(140,949 )</w:t>
            </w:r>
          </w:p>
        </w:tc>
        <w:tc>
          <w:tcPr>
            <w:tcW w:w="24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FF0FC"/>
          </w:tcPr>
          <w:p>
            <w:pPr>
              <w:jc w:val="right"/>
              <w:ind w:right="76"/>
              <w:spacing w:after="0" w:line="113" w:lineRule="exact"/>
              <w:rPr>
                <w:sz w:val="20"/>
                <w:szCs w:val="20"/>
                <w:color w:val="auto"/>
              </w:rPr>
            </w:pPr>
            <w:r>
              <w:rPr>
                <w:rFonts w:ascii="Times New Roman" w:cs="Times New Roman" w:eastAsia="Times New Roman" w:hAnsi="Times New Roman"/>
                <w:sz w:val="10"/>
                <w:szCs w:val="10"/>
                <w:color w:val="auto"/>
              </w:rPr>
              <w:t>(2,624,009 )</w:t>
            </w:r>
          </w:p>
        </w:tc>
        <w:tc>
          <w:tcPr>
            <w:tcW w:w="18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(998,785 )</w:t>
            </w:r>
          </w:p>
        </w:tc>
      </w:tr>
      <w:tr>
        <w:trPr>
          <w:trHeight w:val="113"/>
        </w:trPr>
        <w:tc>
          <w:tcPr>
            <w:tcW w:w="30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Denominator</w:t>
            </w:r>
          </w:p>
        </w:tc>
        <w:tc>
          <w:tcPr>
            <w:tcW w:w="1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113"/>
        </w:trPr>
        <w:tc>
          <w:tcPr>
            <w:tcW w:w="30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Weighted-average shares outstanding</w:t>
            </w:r>
          </w:p>
        </w:tc>
        <w:tc>
          <w:tcPr>
            <w:tcW w:w="1760" w:type="dxa"/>
            <w:vAlign w:val="bottom"/>
            <w:shd w:val="clear" w:color="auto" w:fill="CFF0FC"/>
          </w:tcPr>
          <w:p>
            <w:pPr>
              <w:spacing w:after="0"/>
              <w:rPr>
                <w:sz w:val="9"/>
                <w:szCs w:val="9"/>
                <w:color w:val="auto"/>
              </w:rPr>
            </w:pPr>
          </w:p>
        </w:tc>
        <w:tc>
          <w:tcPr>
            <w:tcW w:w="1100" w:type="dxa"/>
            <w:vAlign w:val="bottom"/>
            <w:shd w:val="clear" w:color="auto" w:fill="CFF0FC"/>
          </w:tcPr>
          <w:p>
            <w:pPr>
              <w:jc w:val="right"/>
              <w:ind w:right="156"/>
              <w:spacing w:after="0" w:line="113" w:lineRule="exact"/>
              <w:rPr>
                <w:sz w:val="20"/>
                <w:szCs w:val="20"/>
                <w:color w:val="auto"/>
              </w:rPr>
            </w:pPr>
            <w:r>
              <w:rPr>
                <w:rFonts w:ascii="Times New Roman" w:cs="Times New Roman" w:eastAsia="Times New Roman" w:hAnsi="Times New Roman"/>
                <w:sz w:val="10"/>
                <w:szCs w:val="10"/>
                <w:color w:val="auto"/>
              </w:rPr>
              <w:t>7,259,013</w:t>
            </w:r>
          </w:p>
        </w:tc>
        <w:tc>
          <w:tcPr>
            <w:tcW w:w="220" w:type="dxa"/>
            <w:vAlign w:val="bottom"/>
            <w:shd w:val="clear" w:color="auto" w:fill="CFF0FC"/>
          </w:tcPr>
          <w:p>
            <w:pPr>
              <w:spacing w:after="0"/>
              <w:rPr>
                <w:sz w:val="9"/>
                <w:szCs w:val="9"/>
                <w:color w:val="auto"/>
              </w:rPr>
            </w:pPr>
          </w:p>
        </w:tc>
        <w:tc>
          <w:tcPr>
            <w:tcW w:w="980" w:type="dxa"/>
            <w:vAlign w:val="bottom"/>
            <w:shd w:val="clear" w:color="auto" w:fill="CFF0FC"/>
          </w:tcPr>
          <w:p>
            <w:pPr>
              <w:jc w:val="right"/>
              <w:ind w:right="95"/>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240" w:type="dxa"/>
            <w:vAlign w:val="bottom"/>
            <w:shd w:val="clear" w:color="auto" w:fill="CFF0FC"/>
          </w:tcPr>
          <w:p>
            <w:pPr>
              <w:spacing w:after="0"/>
              <w:rPr>
                <w:sz w:val="9"/>
                <w:szCs w:val="9"/>
                <w:color w:val="auto"/>
              </w:rPr>
            </w:pPr>
          </w:p>
        </w:tc>
        <w:tc>
          <w:tcPr>
            <w:tcW w:w="1080" w:type="dxa"/>
            <w:vAlign w:val="bottom"/>
            <w:shd w:val="clear" w:color="auto" w:fill="CFF0FC"/>
          </w:tcPr>
          <w:p>
            <w:pPr>
              <w:jc w:val="right"/>
              <w:ind w:right="116"/>
              <w:spacing w:after="0" w:line="113" w:lineRule="exact"/>
              <w:rPr>
                <w:sz w:val="20"/>
                <w:szCs w:val="20"/>
                <w:color w:val="auto"/>
              </w:rPr>
            </w:pPr>
            <w:r>
              <w:rPr>
                <w:rFonts w:ascii="Times New Roman" w:cs="Times New Roman" w:eastAsia="Times New Roman" w:hAnsi="Times New Roman"/>
                <w:sz w:val="10"/>
                <w:szCs w:val="10"/>
                <w:color w:val="auto"/>
              </w:rPr>
              <w:t>15,000,000</w:t>
            </w:r>
          </w:p>
        </w:tc>
        <w:tc>
          <w:tcPr>
            <w:tcW w:w="180" w:type="dxa"/>
            <w:vAlign w:val="bottom"/>
            <w:shd w:val="clear" w:color="auto" w:fill="CFF0FC"/>
          </w:tcPr>
          <w:p>
            <w:pPr>
              <w:spacing w:after="0"/>
              <w:rPr>
                <w:sz w:val="9"/>
                <w:szCs w:val="9"/>
                <w:color w:val="auto"/>
              </w:rPr>
            </w:pPr>
          </w:p>
        </w:tc>
        <w:tc>
          <w:tcPr>
            <w:tcW w:w="94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5,709,500</w:t>
            </w:r>
          </w:p>
        </w:tc>
      </w:tr>
      <w:tr>
        <w:trPr>
          <w:trHeight w:val="125"/>
        </w:trPr>
        <w:tc>
          <w:tcPr>
            <w:tcW w:w="30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Basic and diluted net loss per share</w:t>
            </w:r>
          </w:p>
        </w:tc>
        <w:tc>
          <w:tcPr>
            <w:tcW w:w="17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tcPr>
          <w:p>
            <w:pPr>
              <w:jc w:val="right"/>
              <w:ind w:right="116"/>
              <w:spacing w:after="0"/>
              <w:rPr>
                <w:sz w:val="20"/>
                <w:szCs w:val="20"/>
                <w:color w:val="auto"/>
              </w:rPr>
            </w:pPr>
            <w:r>
              <w:rPr>
                <w:rFonts w:ascii="Times New Roman" w:cs="Times New Roman" w:eastAsia="Times New Roman" w:hAnsi="Times New Roman"/>
                <w:sz w:val="10"/>
                <w:szCs w:val="10"/>
                <w:color w:val="auto"/>
              </w:rPr>
              <w:t>(0.02 )</w:t>
            </w:r>
          </w:p>
        </w:tc>
        <w:tc>
          <w:tcPr>
            <w:tcW w:w="2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0"/>
                <w:szCs w:val="10"/>
                <w:color w:val="auto"/>
              </w:rPr>
              <w:t>(0.02 )</w:t>
            </w: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0"/>
                <w:szCs w:val="10"/>
                <w:color w:val="auto"/>
              </w:rPr>
              <w:t>(0.17 )</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(0.17 )</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Stock-Based Compensation</w:t>
      </w:r>
    </w:p>
    <w:p>
      <w:pPr>
        <w:spacing w:after="0" w:line="60"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 based payments on their estimated fair values measured as of the grant date. These costs are recognized as an expense in the statements of operations upon vesting, once the applicable performance conditions are met, with an offsetting increase to additional paid-in capital. Forfeitures are recognized as they occur.</w:t>
      </w:r>
    </w:p>
    <w:p>
      <w:pPr>
        <w:spacing w:after="0" w:line="105"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On June 16, 2021, the Sponsor transferred 50,000 shares to each of its Chief Executive Officer and to its President and 35,000 shares to each of its three independent directors. The aforementioned transfer is 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September 30, 2023, all shares under the June 16, 2021 grant were vested.</w:t>
      </w:r>
    </w:p>
    <w:p>
      <w:pPr>
        <w:spacing w:after="0" w:line="105" w:lineRule="exact"/>
        <w:rPr>
          <w:sz w:val="20"/>
          <w:szCs w:val="20"/>
          <w:color w:val="auto"/>
        </w:rPr>
      </w:pPr>
    </w:p>
    <w:p>
      <w:pPr>
        <w:jc w:val="both"/>
        <w:ind w:firstLine="480"/>
        <w:spacing w:after="0" w:line="241" w:lineRule="auto"/>
        <w:rPr>
          <w:sz w:val="20"/>
          <w:szCs w:val="20"/>
          <w:color w:val="auto"/>
        </w:rPr>
      </w:pPr>
      <w:r>
        <w:rPr>
          <w:rFonts w:ascii="Times New Roman" w:cs="Times New Roman" w:eastAsia="Times New Roman" w:hAnsi="Times New Roman"/>
          <w:sz w:val="10"/>
          <w:szCs w:val="10"/>
          <w:color w:val="auto"/>
        </w:rPr>
        <w:t>On June 26, 2023, the Sponsor allocated 270,000 shares to its three independent directors (90,000 each) and 100,000 shares to an executive officer. The aforementioned transfer is 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$106,400 of stock-based compensation related to this grant for the year ended September 30, 2023.</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recognized $218,254 and $111,852 of stock-based compensation for the fiscal years ended September 30, 2023, and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Income Taxes</w:t>
      </w:r>
    </w:p>
    <w:p>
      <w:pPr>
        <w:spacing w:after="0" w:line="60" w:lineRule="exact"/>
        <w:rPr>
          <w:sz w:val="20"/>
          <w:szCs w:val="20"/>
          <w:color w:val="auto"/>
        </w:rPr>
      </w:pPr>
    </w:p>
    <w:p>
      <w:pPr>
        <w:ind w:right="40" w:firstLine="480"/>
        <w:spacing w:after="0" w:line="310" w:lineRule="auto"/>
        <w:rPr>
          <w:sz w:val="20"/>
          <w:szCs w:val="20"/>
          <w:color w:val="auto"/>
        </w:rPr>
      </w:pPr>
      <w:r>
        <w:rPr>
          <w:rFonts w:ascii="Times New Roman" w:cs="Times New Roman" w:eastAsia="Times New Roman" w:hAnsi="Times New Roman"/>
          <w:sz w:val="9"/>
          <w:szCs w:val="9"/>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7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05"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accrued interest and penalties related to unrecognized tax benefits as income tax expense. There were no unrecognized tax benefits and no amounts accrued for interest and penalties as of September 30, 2023 and 2022. The Company is currently not aware of any issues under review that could result in significant payments, accruals or material deviation from its position.</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69" w:name="page270"/>
    <w:bookmarkEnd w:id="269"/>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3 — Related Party Transactions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Founder Shares</w:t>
      </w:r>
    </w:p>
    <w:p>
      <w:pPr>
        <w:spacing w:after="0" w:line="58"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10"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not to transfer, assign or sell any Founder Shares held by them until the earliest of (A) 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05" w:lineRule="exact"/>
        <w:rPr>
          <w:sz w:val="20"/>
          <w:szCs w:val="20"/>
          <w:color w:val="auto"/>
        </w:rPr>
      </w:pPr>
    </w:p>
    <w:p>
      <w:pPr>
        <w:ind w:firstLine="480"/>
        <w:spacing w:after="0" w:line="285" w:lineRule="auto"/>
        <w:rPr>
          <w:sz w:val="20"/>
          <w:szCs w:val="20"/>
          <w:color w:val="auto"/>
        </w:rPr>
      </w:pPr>
      <w:r>
        <w:rPr>
          <w:rFonts w:ascii="Times New Roman" w:cs="Times New Roman" w:eastAsia="Times New Roman" w:hAnsi="Times New Roman"/>
          <w:sz w:val="9"/>
          <w:szCs w:val="9"/>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Representative Common Stock</w:t>
      </w:r>
    </w:p>
    <w:p>
      <w:pPr>
        <w:spacing w:after="0" w:line="5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$25.00. On May 29, 2021, Northland returned 87,500 shares of common stock to the Company, for no consideration, which were subsequently cancelled.</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18"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 within 15 months (or 18 months if extended) from the closing of the IPO.</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Promissory Notes-to Related Party</w:t>
      </w:r>
    </w:p>
    <w:p>
      <w:pPr>
        <w:spacing w:after="0" w:line="60" w:lineRule="exact"/>
        <w:rPr>
          <w:sz w:val="20"/>
          <w:szCs w:val="20"/>
          <w:color w:val="auto"/>
        </w:rPr>
      </w:pPr>
    </w:p>
    <w:p>
      <w:pPr>
        <w:ind w:right="100" w:firstLine="480"/>
        <w:spacing w:after="0" w:line="285" w:lineRule="auto"/>
        <w:rPr>
          <w:sz w:val="20"/>
          <w:szCs w:val="20"/>
          <w:color w:val="auto"/>
        </w:rPr>
      </w:pPr>
      <w:r>
        <w:rPr>
          <w:rFonts w:ascii="Times New Roman" w:cs="Times New Roman" w:eastAsia="Times New Roman" w:hAnsi="Times New Roman"/>
          <w:sz w:val="9"/>
          <w:szCs w:val="9"/>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$4,300 and $44,246 on behalf of the Sponsor for tax services in fiscal years 2023 and 2022, respectively. These amounts were applied against the balance owing to the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70" w:name="page271"/>
    <w:bookmarkEnd w:id="270"/>
    <w:p>
      <w:pPr>
        <w:ind w:left="10"/>
        <w:spacing w:after="0"/>
        <w:rPr>
          <w:sz w:val="20"/>
          <w:szCs w:val="20"/>
          <w:color w:val="auto"/>
        </w:rPr>
      </w:pPr>
      <w:r>
        <w:rPr>
          <w:rFonts w:ascii="Times New Roman" w:cs="Times New Roman" w:eastAsia="Times New Roman" w:hAnsi="Times New Roman"/>
          <w:sz w:val="10"/>
          <w:szCs w:val="10"/>
          <w:color w:val="auto"/>
        </w:rPr>
        <w:t>Sponsor under the remaining promissory note. As of September 30, 2023 and 2022, the net amount outstanding under the promissory note was $247,454 and $251,754, respectively.</w:t>
      </w:r>
    </w:p>
    <w:p>
      <w:pPr>
        <w:spacing w:after="0" w:line="11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On November 10, 2022, the Sponsor loaned the Company $1,500,000 in order to cover the additional contribution to the Trust Account in connection with the Company’s exercise of the extension of the Combination Period until February 17, 2023, and</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9"/>
          <w:szCs w:val="9"/>
          <w:color w:val="auto"/>
        </w:rPr>
        <w:t>$450,000 to fund its working capital needs. The promissory notes are non-interest bearing and due on the earlier of: (i) the liquidation or release of all of the monies held in the Trust Account or (ii) the date on which the Company consummates an acquisition, merger or</w:t>
      </w:r>
    </w:p>
    <w:p>
      <w:pPr>
        <w:spacing w:after="0" w:line="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other business combination transaction involving the Company or its affiliates. The principal balance may be prepaid at any time.</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July 28, 2023, the Company issued a promissory note to the Sponsor for the aggregate amount of $125,245. The promissory note is non-interest bearing and due on the earlier of: (i) the liquidation or release of all of the monies held in the Trust Account or</w:t>
      </w:r>
    </w:p>
    <w:p>
      <w:pPr>
        <w:spacing w:after="0" w:line="19" w:lineRule="exact"/>
        <w:rPr>
          <w:sz w:val="20"/>
          <w:szCs w:val="20"/>
          <w:color w:val="auto"/>
        </w:rPr>
      </w:pPr>
    </w:p>
    <w:p>
      <w:pPr>
        <w:ind w:left="10" w:right="400" w:hanging="10"/>
        <w:spacing w:after="0" w:line="237" w:lineRule="auto"/>
        <w:tabs>
          <w:tab w:leader="none" w:pos="153" w:val="left"/>
        </w:tabs>
        <w:numPr>
          <w:ilvl w:val="0"/>
          <w:numId w:val="2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August 2, 2023, the Company entered into a promissory note to the Sponsor in the amount of up to $425,402. The Extension Note is non-interest bearing and due on the earlier of: (i) the liquidation or release of all of the monies held in the Trust Account or</w:t>
      </w:r>
    </w:p>
    <w:p>
      <w:pPr>
        <w:spacing w:after="0" w:line="19" w:lineRule="exact"/>
        <w:rPr>
          <w:sz w:val="20"/>
          <w:szCs w:val="20"/>
          <w:color w:val="auto"/>
        </w:rPr>
      </w:pPr>
    </w:p>
    <w:p>
      <w:pPr>
        <w:jc w:val="both"/>
        <w:ind w:left="10" w:hanging="10"/>
        <w:spacing w:after="0" w:line="236" w:lineRule="auto"/>
        <w:tabs>
          <w:tab w:leader="none" w:pos="153" w:val="left"/>
        </w:tabs>
        <w:numPr>
          <w:ilvl w:val="0"/>
          <w:numId w:val="2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w:t>
      </w:r>
    </w:p>
    <w:p>
      <w:pPr>
        <w:spacing w:after="0" w:line="108" w:lineRule="exact"/>
        <w:rPr>
          <w:sz w:val="20"/>
          <w:szCs w:val="20"/>
          <w:color w:val="auto"/>
        </w:rPr>
      </w:pPr>
    </w:p>
    <w:p>
      <w:pPr>
        <w:ind w:left="10" w:right="140" w:firstLine="480"/>
        <w:spacing w:after="0" w:line="255" w:lineRule="auto"/>
        <w:rPr>
          <w:sz w:val="20"/>
          <w:szCs w:val="20"/>
          <w:color w:val="auto"/>
        </w:rPr>
      </w:pPr>
      <w:r>
        <w:rPr>
          <w:rFonts w:ascii="Times New Roman" w:cs="Times New Roman" w:eastAsia="Times New Roman" w:hAnsi="Times New Roman"/>
          <w:sz w:val="10"/>
          <w:szCs w:val="10"/>
          <w:color w:val="auto"/>
        </w:rPr>
        <w:t>extending the Termination Date to September 17, 2023. On September 12, 2023, the Company borrowed an additional $70,900 under the Extension Note and deposited the funds into the Trust Account thereby extending the Termination Date to October 17, 2023. As of September 30, 2023, $141,800 was drawn and outstanding under this note. Management has determined that the conversion feature described above should not be accounted for separately from its host instrument.</w:t>
      </w:r>
    </w:p>
    <w:p>
      <w:pPr>
        <w:spacing w:after="0" w:line="101" w:lineRule="exact"/>
        <w:rPr>
          <w:sz w:val="20"/>
          <w:szCs w:val="20"/>
          <w:color w:val="auto"/>
        </w:rPr>
      </w:pPr>
    </w:p>
    <w:p>
      <w:pPr>
        <w:ind w:left="10" w:right="280" w:firstLine="480"/>
        <w:spacing w:after="0" w:line="245" w:lineRule="auto"/>
        <w:rPr>
          <w:sz w:val="20"/>
          <w:szCs w:val="20"/>
          <w:color w:val="auto"/>
        </w:rPr>
      </w:pPr>
      <w:r>
        <w:rPr>
          <w:rFonts w:ascii="Times New Roman" w:cs="Times New Roman" w:eastAsia="Times New Roman" w:hAnsi="Times New Roman"/>
          <w:sz w:val="10"/>
          <w:szCs w:val="10"/>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05" w:lineRule="exact"/>
        <w:rPr>
          <w:sz w:val="20"/>
          <w:szCs w:val="20"/>
          <w:color w:val="auto"/>
        </w:rPr>
      </w:pPr>
    </w:p>
    <w:p>
      <w:pPr>
        <w:ind w:left="10" w:right="140" w:firstLine="480"/>
        <w:spacing w:after="0" w:line="245" w:lineRule="auto"/>
        <w:rPr>
          <w:sz w:val="20"/>
          <w:szCs w:val="20"/>
          <w:color w:val="auto"/>
        </w:rPr>
      </w:pPr>
      <w:r>
        <w:rPr>
          <w:rFonts w:ascii="Times New Roman" w:cs="Times New Roman" w:eastAsia="Times New Roman" w:hAnsi="Times New Roman"/>
          <w:sz w:val="10"/>
          <w:szCs w:val="10"/>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05"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The aggregate balance outstanding under all promissory notes, including the Extension Note, was $2,564,439 and $251,754 as of September 30, 2023 and 2022, respectively.</w:t>
      </w:r>
    </w:p>
    <w:p>
      <w:pPr>
        <w:spacing w:after="0" w:line="17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i w:val="1"/>
          <w:iCs w:val="1"/>
          <w:color w:val="auto"/>
        </w:rPr>
        <w:t>Administrative Service Fee</w:t>
      </w:r>
    </w:p>
    <w:p>
      <w:pPr>
        <w:spacing w:after="0" w:line="60" w:lineRule="exact"/>
        <w:rPr>
          <w:sz w:val="20"/>
          <w:szCs w:val="20"/>
          <w:color w:val="auto"/>
        </w:rPr>
      </w:pPr>
    </w:p>
    <w:p>
      <w:pPr>
        <w:ind w:left="10" w:right="120" w:firstLine="480"/>
        <w:spacing w:after="0" w:line="255" w:lineRule="auto"/>
        <w:rPr>
          <w:sz w:val="20"/>
          <w:szCs w:val="20"/>
          <w:color w:val="auto"/>
        </w:rPr>
      </w:pPr>
      <w:r>
        <w:rPr>
          <w:rFonts w:ascii="Times New Roman" w:cs="Times New Roman" w:eastAsia="Times New Roman" w:hAnsi="Times New Roman"/>
          <w:sz w:val="10"/>
          <w:szCs w:val="10"/>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two fiscal years ended September 30, 2023 and 2022, the Company incurred and paid $120,000 in administrative service fees.</w:t>
      </w:r>
    </w:p>
    <w:p>
      <w:pPr>
        <w:spacing w:after="0" w:line="15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color w:val="auto"/>
        </w:rPr>
        <w:t>Note 4 — Commitments and Contingencies</w:t>
      </w:r>
    </w:p>
    <w:p>
      <w:pPr>
        <w:spacing w:after="0" w:line="5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i w:val="1"/>
          <w:iCs w:val="1"/>
          <w:color w:val="auto"/>
        </w:rPr>
        <w:t>Registration Rights</w:t>
      </w:r>
    </w:p>
    <w:p>
      <w:pPr>
        <w:spacing w:after="0" w:line="60" w:lineRule="exact"/>
        <w:rPr>
          <w:sz w:val="20"/>
          <w:szCs w:val="20"/>
          <w:color w:val="auto"/>
        </w:rPr>
      </w:pPr>
    </w:p>
    <w:p>
      <w:pPr>
        <w:ind w:left="10" w:right="60" w:firstLine="480"/>
        <w:spacing w:after="0" w:line="255" w:lineRule="auto"/>
        <w:rPr>
          <w:sz w:val="20"/>
          <w:szCs w:val="20"/>
          <w:color w:val="auto"/>
        </w:rPr>
      </w:pPr>
      <w:r>
        <w:rPr>
          <w:rFonts w:ascii="Times New Roman" w:cs="Times New Roman" w:eastAsia="Times New Roman" w:hAnsi="Times New Roman"/>
          <w:sz w:val="10"/>
          <w:szCs w:val="10"/>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4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0"/>
          <w:szCs w:val="10"/>
          <w:color w:val="auto"/>
        </w:rPr>
        <w:t>F-142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30"/>
          </w:cols>
          <w:pgMar w:left="630" w:top="1095" w:right="640" w:bottom="1440" w:gutter="0" w:footer="0" w:header="0"/>
        </w:sectPr>
      </w:pPr>
    </w:p>
    <w:bookmarkStart w:id="271" w:name="page272"/>
    <w:bookmarkEnd w:id="271"/>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Underwriting Agreement</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Financial Advisory Fee</w:t>
      </w:r>
    </w:p>
    <w:p>
      <w:pPr>
        <w:spacing w:after="0" w:line="60" w:lineRule="exact"/>
        <w:rPr>
          <w:sz w:val="20"/>
          <w:szCs w:val="20"/>
          <w:color w:val="auto"/>
        </w:rPr>
      </w:pPr>
    </w:p>
    <w:p>
      <w:pPr>
        <w:ind w:right="160" w:firstLine="480"/>
        <w:spacing w:after="0" w:line="241" w:lineRule="auto"/>
        <w:rPr>
          <w:sz w:val="20"/>
          <w:szCs w:val="20"/>
          <w:color w:val="auto"/>
        </w:rPr>
      </w:pPr>
      <w:r>
        <w:rPr>
          <w:rFonts w:ascii="Times New Roman" w:cs="Times New Roman" w:eastAsia="Times New Roman" w:hAnsi="Times New Roman"/>
          <w:sz w:val="10"/>
          <w:szCs w:val="10"/>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in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18"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05"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The Company has engaged Bishop IR (“Bishop”) as an investor relations advisor in connection with the initial Business Combination for the period from June 21, 2023 through June 20, 2024 with a monthly fee of $ 8,000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Business Combination Marketing Agreement</w:t>
      </w:r>
    </w:p>
    <w:p>
      <w:pPr>
        <w:spacing w:after="0" w:line="60"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 Company will also pay the representative a separate capital market advisory fee of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72" w:name="page273"/>
    <w:bookmarkEnd w:id="272"/>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Non-Redemption Agreements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January 20, 2023, the Company and its Sponsor entered into ten agreements (the “Non- 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Right of First Refusal</w:t>
      </w:r>
    </w:p>
    <w:p>
      <w:pPr>
        <w:spacing w:after="0" w:line="60" w:lineRule="exact"/>
        <w:rPr>
          <w:sz w:val="20"/>
          <w:szCs w:val="20"/>
          <w:color w:val="auto"/>
        </w:rPr>
      </w:pPr>
    </w:p>
    <w:p>
      <w:pPr>
        <w:jc w:val="both"/>
        <w:ind w:right="200" w:firstLine="480"/>
        <w:spacing w:after="0" w:line="245" w:lineRule="auto"/>
        <w:rPr>
          <w:sz w:val="20"/>
          <w:szCs w:val="20"/>
          <w:color w:val="auto"/>
        </w:rPr>
      </w:pPr>
      <w:r>
        <w:rPr>
          <w:rFonts w:ascii="Times New Roman" w:cs="Times New Roman" w:eastAsia="Times New Roman" w:hAnsi="Times New Roman"/>
          <w:sz w:val="10"/>
          <w:szCs w:val="10"/>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Purchasing Agreement</w:t>
      </w:r>
    </w:p>
    <w:p>
      <w:pPr>
        <w:spacing w:after="0" w:line="60"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On February 23, 2023, Armada, Rezolve and YA II PN, Ltd., a Cayman Islands exempted limited partnership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5 — Recurring Fair Value Measurements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Funds in the Company’s Trust Account were held in an interest bearing demand deposit account of September 30, 2023 and measured as Level 1 in the hierarchy of fair value measurements with carrying value approximating fair value.</w:t>
      </w:r>
    </w:p>
    <w:p>
      <w:pPr>
        <w:spacing w:after="0" w:line="153" w:lineRule="exact"/>
        <w:rPr>
          <w:sz w:val="20"/>
          <w:szCs w:val="20"/>
          <w:color w:val="auto"/>
        </w:rPr>
      </w:pPr>
    </w:p>
    <w:tbl>
      <w:tblPr>
        <w:tblLayout w:type="fixed"/>
        <w:tblInd w:w="540" w:type="dxa"/>
        <w:tblCellMar>
          <w:top w:w="0" w:type="dxa"/>
          <w:left w:w="0" w:type="dxa"/>
          <w:bottom w:w="0" w:type="dxa"/>
          <w:right w:w="0" w:type="dxa"/>
        </w:tblCellMar>
      </w:tblPr>
      <w:tr>
        <w:trPr>
          <w:trHeight w:val="98"/>
        </w:trPr>
        <w:tc>
          <w:tcPr>
            <w:tcW w:w="4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jc w:val="center"/>
              <w:ind w:right="137"/>
              <w:spacing w:after="0"/>
              <w:rPr>
                <w:sz w:val="20"/>
                <w:szCs w:val="20"/>
                <w:color w:val="auto"/>
              </w:rPr>
            </w:pPr>
            <w:r>
              <w:rPr>
                <w:rFonts w:ascii="Times New Roman" w:cs="Times New Roman" w:eastAsia="Times New Roman" w:hAnsi="Times New Roman"/>
                <w:sz w:val="8"/>
                <w:szCs w:val="8"/>
                <w:b w:val="1"/>
                <w:bCs w:val="1"/>
                <w:color w:val="auto"/>
              </w:rPr>
              <w:t>Carrying</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center"/>
              <w:ind w:right="117"/>
              <w:spacing w:after="0"/>
              <w:rPr>
                <w:sz w:val="20"/>
                <w:szCs w:val="20"/>
                <w:color w:val="auto"/>
              </w:rPr>
            </w:pPr>
            <w:r>
              <w:rPr>
                <w:rFonts w:ascii="Times New Roman" w:cs="Times New Roman" w:eastAsia="Times New Roman" w:hAnsi="Times New Roman"/>
                <w:sz w:val="8"/>
                <w:szCs w:val="8"/>
                <w:b w:val="1"/>
                <w:bCs w:val="1"/>
                <w:color w:val="auto"/>
                <w:w w:val="98"/>
              </w:rPr>
              <w:t>Fair Value</w:t>
            </w:r>
          </w:p>
        </w:tc>
      </w:tr>
      <w:tr>
        <w:trPr>
          <w:trHeight w:val="98"/>
        </w:trPr>
        <w:tc>
          <w:tcPr>
            <w:tcW w:w="4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jc w:val="center"/>
              <w:ind w:right="137"/>
              <w:spacing w:after="0"/>
              <w:rPr>
                <w:sz w:val="20"/>
                <w:szCs w:val="20"/>
                <w:color w:val="auto"/>
              </w:rPr>
            </w:pPr>
            <w:r>
              <w:rPr>
                <w:rFonts w:ascii="Times New Roman" w:cs="Times New Roman" w:eastAsia="Times New Roman" w:hAnsi="Times New Roman"/>
                <w:sz w:val="8"/>
                <w:szCs w:val="8"/>
                <w:b w:val="1"/>
                <w:bCs w:val="1"/>
                <w:color w:val="auto"/>
              </w:rPr>
              <w:t>Value as of</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157"/>
              <w:spacing w:after="0"/>
              <w:rPr>
                <w:sz w:val="20"/>
                <w:szCs w:val="20"/>
                <w:color w:val="auto"/>
              </w:rPr>
            </w:pPr>
            <w:r>
              <w:rPr>
                <w:rFonts w:ascii="Times New Roman" w:cs="Times New Roman" w:eastAsia="Times New Roman" w:hAnsi="Times New Roman"/>
                <w:sz w:val="8"/>
                <w:szCs w:val="8"/>
                <w:b w:val="1"/>
                <w:bCs w:val="1"/>
                <w:color w:val="auto"/>
                <w:w w:val="99"/>
              </w:rPr>
              <w:t>Gross</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jc w:val="center"/>
              <w:ind w:right="157"/>
              <w:spacing w:after="0"/>
              <w:rPr>
                <w:sz w:val="20"/>
                <w:szCs w:val="20"/>
                <w:color w:val="auto"/>
              </w:rPr>
            </w:pPr>
            <w:r>
              <w:rPr>
                <w:rFonts w:ascii="Times New Roman" w:cs="Times New Roman" w:eastAsia="Times New Roman" w:hAnsi="Times New Roman"/>
                <w:sz w:val="8"/>
                <w:szCs w:val="8"/>
                <w:b w:val="1"/>
                <w:bCs w:val="1"/>
                <w:color w:val="auto"/>
              </w:rPr>
              <w:t>Gross</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center"/>
              <w:ind w:right="137"/>
              <w:spacing w:after="0"/>
              <w:rPr>
                <w:sz w:val="20"/>
                <w:szCs w:val="20"/>
                <w:color w:val="auto"/>
              </w:rPr>
            </w:pPr>
            <w:r>
              <w:rPr>
                <w:rFonts w:ascii="Times New Roman" w:cs="Times New Roman" w:eastAsia="Times New Roman" w:hAnsi="Times New Roman"/>
                <w:sz w:val="8"/>
                <w:szCs w:val="8"/>
                <w:b w:val="1"/>
                <w:bCs w:val="1"/>
                <w:color w:val="auto"/>
              </w:rPr>
              <w:t>as of</w:t>
            </w:r>
          </w:p>
        </w:tc>
      </w:tr>
      <w:tr>
        <w:trPr>
          <w:trHeight w:val="98"/>
        </w:trPr>
        <w:tc>
          <w:tcPr>
            <w:tcW w:w="4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jc w:val="center"/>
              <w:ind w:right="137"/>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137"/>
              <w:spacing w:after="0"/>
              <w:rPr>
                <w:sz w:val="20"/>
                <w:szCs w:val="20"/>
                <w:color w:val="auto"/>
              </w:rPr>
            </w:pPr>
            <w:r>
              <w:rPr>
                <w:rFonts w:ascii="Times New Roman" w:cs="Times New Roman" w:eastAsia="Times New Roman" w:hAnsi="Times New Roman"/>
                <w:sz w:val="8"/>
                <w:szCs w:val="8"/>
                <w:b w:val="1"/>
                <w:bCs w:val="1"/>
                <w:color w:val="auto"/>
              </w:rPr>
              <w:t>Unrealized</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jc w:val="center"/>
              <w:ind w:right="157"/>
              <w:spacing w:after="0"/>
              <w:rPr>
                <w:sz w:val="20"/>
                <w:szCs w:val="20"/>
                <w:color w:val="auto"/>
              </w:rPr>
            </w:pPr>
            <w:r>
              <w:rPr>
                <w:rFonts w:ascii="Times New Roman" w:cs="Times New Roman" w:eastAsia="Times New Roman" w:hAnsi="Times New Roman"/>
                <w:sz w:val="8"/>
                <w:szCs w:val="8"/>
                <w:b w:val="1"/>
                <w:bCs w:val="1"/>
                <w:color w:val="auto"/>
              </w:rPr>
              <w:t>Unrealized</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center"/>
              <w:ind w:right="117"/>
              <w:spacing w:after="0"/>
              <w:rPr>
                <w:sz w:val="20"/>
                <w:szCs w:val="20"/>
                <w:color w:val="auto"/>
              </w:rPr>
            </w:pPr>
            <w:r>
              <w:rPr>
                <w:rFonts w:ascii="Times New Roman" w:cs="Times New Roman" w:eastAsia="Times New Roman" w:hAnsi="Times New Roman"/>
                <w:sz w:val="8"/>
                <w:szCs w:val="8"/>
                <w:b w:val="1"/>
                <w:bCs w:val="1"/>
                <w:color w:val="auto"/>
              </w:rPr>
              <w:t>September 30,</w:t>
            </w:r>
          </w:p>
        </w:tc>
      </w:tr>
      <w:tr>
        <w:trPr>
          <w:trHeight w:val="99"/>
        </w:trPr>
        <w:tc>
          <w:tcPr>
            <w:tcW w:w="4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jc w:val="center"/>
              <w:ind w:right="137"/>
              <w:spacing w:after="0"/>
              <w:rPr>
                <w:sz w:val="20"/>
                <w:szCs w:val="20"/>
                <w:color w:val="auto"/>
              </w:rPr>
            </w:pPr>
            <w:r>
              <w:rPr>
                <w:rFonts w:ascii="Times New Roman" w:cs="Times New Roman" w:eastAsia="Times New Roman" w:hAnsi="Times New Roman"/>
                <w:sz w:val="8"/>
                <w:szCs w:val="8"/>
                <w:b w:val="1"/>
                <w:bCs w:val="1"/>
                <w:color w:val="auto"/>
                <w:w w:val="99"/>
              </w:rPr>
              <w:t>2023</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157"/>
              <w:spacing w:after="0"/>
              <w:rPr>
                <w:sz w:val="20"/>
                <w:szCs w:val="20"/>
                <w:color w:val="auto"/>
              </w:rPr>
            </w:pPr>
            <w:r>
              <w:rPr>
                <w:rFonts w:ascii="Times New Roman" w:cs="Times New Roman" w:eastAsia="Times New Roman" w:hAnsi="Times New Roman"/>
                <w:sz w:val="8"/>
                <w:szCs w:val="8"/>
                <w:b w:val="1"/>
                <w:bCs w:val="1"/>
                <w:color w:val="auto"/>
                <w:w w:val="99"/>
              </w:rPr>
              <w:t>Gains</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jc w:val="center"/>
              <w:ind w:right="157"/>
              <w:spacing w:after="0"/>
              <w:rPr>
                <w:sz w:val="20"/>
                <w:szCs w:val="20"/>
                <w:color w:val="auto"/>
              </w:rPr>
            </w:pPr>
            <w:r>
              <w:rPr>
                <w:rFonts w:ascii="Times New Roman" w:cs="Times New Roman" w:eastAsia="Times New Roman" w:hAnsi="Times New Roman"/>
                <w:sz w:val="8"/>
                <w:szCs w:val="8"/>
                <w:b w:val="1"/>
                <w:bCs w:val="1"/>
                <w:color w:val="auto"/>
                <w:w w:val="98"/>
              </w:rPr>
              <w:t>Losses</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center"/>
              <w:ind w:right="117"/>
              <w:spacing w:after="0"/>
              <w:rPr>
                <w:sz w:val="20"/>
                <w:szCs w:val="20"/>
                <w:color w:val="auto"/>
              </w:rPr>
            </w:pPr>
            <w:r>
              <w:rPr>
                <w:rFonts w:ascii="Times New Roman" w:cs="Times New Roman" w:eastAsia="Times New Roman" w:hAnsi="Times New Roman"/>
                <w:sz w:val="8"/>
                <w:szCs w:val="8"/>
                <w:b w:val="1"/>
                <w:bCs w:val="1"/>
                <w:color w:val="auto"/>
                <w:w w:val="99"/>
              </w:rPr>
              <w:t>2023</w:t>
            </w:r>
          </w:p>
        </w:tc>
      </w:tr>
      <w:tr>
        <w:trPr>
          <w:trHeight w:val="122"/>
        </w:trPr>
        <w:tc>
          <w:tcPr>
            <w:tcW w:w="4520" w:type="dxa"/>
            <w:vAlign w:val="bottom"/>
          </w:tcPr>
          <w:p>
            <w:pPr>
              <w:spacing w:after="0"/>
              <w:rPr>
                <w:sz w:val="20"/>
                <w:szCs w:val="20"/>
                <w:color w:val="auto"/>
              </w:rPr>
            </w:pPr>
            <w:r>
              <w:rPr>
                <w:rFonts w:ascii="Times New Roman" w:cs="Times New Roman" w:eastAsia="Times New Roman" w:hAnsi="Times New Roman"/>
                <w:sz w:val="10"/>
                <w:szCs w:val="10"/>
                <w:color w:val="auto"/>
              </w:rPr>
              <w:t>Interest bearing demand deposit account</w:t>
            </w:r>
          </w:p>
        </w:tc>
        <w:tc>
          <w:tcPr>
            <w:tcW w:w="1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25,324,028</w:t>
            </w:r>
          </w:p>
        </w:tc>
        <w:tc>
          <w:tcPr>
            <w:tcW w:w="200" w:type="dxa"/>
            <w:vAlign w:val="bottom"/>
          </w:tcPr>
          <w:p>
            <w:pPr>
              <w:spacing w:after="0"/>
              <w:rPr>
                <w:sz w:val="10"/>
                <w:szCs w:val="10"/>
                <w:color w:val="auto"/>
              </w:rPr>
            </w:pPr>
          </w:p>
        </w:tc>
        <w:tc>
          <w:tcPr>
            <w:tcW w:w="2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0"/>
                <w:szCs w:val="10"/>
                <w:color w:val="auto"/>
                <w:w w:val="79"/>
              </w:rPr>
              <w:t>—</w:t>
            </w:r>
          </w:p>
        </w:tc>
        <w:tc>
          <w:tcPr>
            <w:tcW w:w="200" w:type="dxa"/>
            <w:vAlign w:val="bottom"/>
          </w:tcPr>
          <w:p>
            <w:pPr>
              <w:spacing w:after="0"/>
              <w:rPr>
                <w:sz w:val="10"/>
                <w:szCs w:val="10"/>
                <w:color w:val="auto"/>
              </w:rPr>
            </w:pPr>
          </w:p>
        </w:tc>
        <w:tc>
          <w:tcPr>
            <w:tcW w:w="2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10"/>
                <w:szCs w:val="10"/>
                <w:color w:val="auto"/>
              </w:rPr>
            </w:pPr>
          </w:p>
        </w:tc>
        <w:tc>
          <w:tcPr>
            <w:tcW w:w="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25,324,028</w:t>
            </w:r>
          </w:p>
        </w:tc>
      </w:tr>
    </w:tbl>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73" w:name="page274"/>
    <w:bookmarkEnd w:id="273"/>
    <w:p>
      <w:pPr>
        <w:ind w:left="480"/>
        <w:spacing w:after="0"/>
        <w:rPr>
          <w:sz w:val="20"/>
          <w:szCs w:val="20"/>
          <w:color w:val="auto"/>
        </w:rPr>
      </w:pPr>
      <w:r>
        <w:rPr>
          <w:rFonts w:ascii="Times New Roman" w:cs="Times New Roman" w:eastAsia="Times New Roman" w:hAnsi="Times New Roman"/>
          <w:sz w:val="10"/>
          <w:szCs w:val="10"/>
          <w:color w:val="auto"/>
        </w:rPr>
        <w:t>Funds in the Company’s Trust Account were invested in U.S. Treasury securities as of September 30, 2022, and classified as held-to-maturity and Level 1 in the hierarchy of fair value measurements as follows:</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Carrying</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w w:val="98"/>
              </w:rPr>
              <w:t>Fair Value</w:t>
            </w:r>
          </w:p>
        </w:tc>
      </w:tr>
      <w:tr>
        <w:trPr>
          <w:trHeight w:val="98"/>
        </w:trPr>
        <w:tc>
          <w:tcPr>
            <w:tcW w:w="4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Value as of</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155"/>
              <w:spacing w:after="0"/>
              <w:rPr>
                <w:sz w:val="20"/>
                <w:szCs w:val="20"/>
                <w:color w:val="auto"/>
              </w:rPr>
            </w:pPr>
            <w:r>
              <w:rPr>
                <w:rFonts w:ascii="Times New Roman" w:cs="Times New Roman" w:eastAsia="Times New Roman" w:hAnsi="Times New Roman"/>
                <w:sz w:val="8"/>
                <w:szCs w:val="8"/>
                <w:b w:val="1"/>
                <w:bCs w:val="1"/>
                <w:color w:val="auto"/>
                <w:w w:val="99"/>
              </w:rPr>
              <w:t>Gross</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jc w:val="center"/>
              <w:ind w:right="155"/>
              <w:spacing w:after="0"/>
              <w:rPr>
                <w:sz w:val="20"/>
                <w:szCs w:val="20"/>
                <w:color w:val="auto"/>
              </w:rPr>
            </w:pPr>
            <w:r>
              <w:rPr>
                <w:rFonts w:ascii="Times New Roman" w:cs="Times New Roman" w:eastAsia="Times New Roman" w:hAnsi="Times New Roman"/>
                <w:sz w:val="8"/>
                <w:szCs w:val="8"/>
                <w:b w:val="1"/>
                <w:bCs w:val="1"/>
                <w:color w:val="auto"/>
              </w:rPr>
              <w:t>Gross</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as of</w:t>
            </w:r>
          </w:p>
        </w:tc>
      </w:tr>
      <w:tr>
        <w:trPr>
          <w:trHeight w:val="98"/>
        </w:trPr>
        <w:tc>
          <w:tcPr>
            <w:tcW w:w="4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135"/>
              <w:spacing w:after="0"/>
              <w:rPr>
                <w:sz w:val="20"/>
                <w:szCs w:val="20"/>
                <w:color w:val="auto"/>
              </w:rPr>
            </w:pPr>
            <w:r>
              <w:rPr>
                <w:rFonts w:ascii="Times New Roman" w:cs="Times New Roman" w:eastAsia="Times New Roman" w:hAnsi="Times New Roman"/>
                <w:sz w:val="8"/>
                <w:szCs w:val="8"/>
                <w:b w:val="1"/>
                <w:bCs w:val="1"/>
                <w:color w:val="auto"/>
              </w:rPr>
              <w:t>Unrealized</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jc w:val="center"/>
              <w:ind w:right="155"/>
              <w:spacing w:after="0"/>
              <w:rPr>
                <w:sz w:val="20"/>
                <w:szCs w:val="20"/>
                <w:color w:val="auto"/>
              </w:rPr>
            </w:pPr>
            <w:r>
              <w:rPr>
                <w:rFonts w:ascii="Times New Roman" w:cs="Times New Roman" w:eastAsia="Times New Roman" w:hAnsi="Times New Roman"/>
                <w:sz w:val="8"/>
                <w:szCs w:val="8"/>
                <w:b w:val="1"/>
                <w:bCs w:val="1"/>
                <w:color w:val="auto"/>
              </w:rPr>
              <w:t>Unrealized</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September 30,</w:t>
            </w:r>
          </w:p>
        </w:tc>
      </w:tr>
      <w:tr>
        <w:trPr>
          <w:trHeight w:val="106"/>
        </w:trPr>
        <w:tc>
          <w:tcPr>
            <w:tcW w:w="4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w w:val="99"/>
              </w:rPr>
              <w:t>2022</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jc w:val="center"/>
              <w:ind w:right="155"/>
              <w:spacing w:after="0"/>
              <w:rPr>
                <w:sz w:val="20"/>
                <w:szCs w:val="20"/>
                <w:color w:val="auto"/>
              </w:rPr>
            </w:pPr>
            <w:r>
              <w:rPr>
                <w:rFonts w:ascii="Times New Roman" w:cs="Times New Roman" w:eastAsia="Times New Roman" w:hAnsi="Times New Roman"/>
                <w:sz w:val="8"/>
                <w:szCs w:val="8"/>
                <w:b w:val="1"/>
                <w:bCs w:val="1"/>
                <w:color w:val="auto"/>
                <w:w w:val="99"/>
              </w:rPr>
              <w:t>Gains</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jc w:val="center"/>
              <w:ind w:right="155"/>
              <w:spacing w:after="0"/>
              <w:rPr>
                <w:sz w:val="20"/>
                <w:szCs w:val="20"/>
                <w:color w:val="auto"/>
              </w:rPr>
            </w:pPr>
            <w:r>
              <w:rPr>
                <w:rFonts w:ascii="Times New Roman" w:cs="Times New Roman" w:eastAsia="Times New Roman" w:hAnsi="Times New Roman"/>
                <w:sz w:val="8"/>
                <w:szCs w:val="8"/>
                <w:b w:val="1"/>
                <w:bCs w:val="1"/>
                <w:color w:val="auto"/>
                <w:w w:val="98"/>
              </w:rPr>
              <w:t>Losses</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jc w:val="center"/>
              <w:ind w:right="116"/>
              <w:spacing w:after="0"/>
              <w:rPr>
                <w:sz w:val="20"/>
                <w:szCs w:val="20"/>
                <w:color w:val="auto"/>
              </w:rPr>
            </w:pPr>
            <w:r>
              <w:rPr>
                <w:rFonts w:ascii="Times New Roman" w:cs="Times New Roman" w:eastAsia="Times New Roman" w:hAnsi="Times New Roman"/>
                <w:sz w:val="8"/>
                <w:szCs w:val="8"/>
                <w:b w:val="1"/>
                <w:bCs w:val="1"/>
                <w:color w:val="auto"/>
                <w:w w:val="99"/>
              </w:rPr>
              <w:t>2022</w:t>
            </w:r>
          </w:p>
        </w:tc>
        <w:tc>
          <w:tcPr>
            <w:tcW w:w="100" w:type="dxa"/>
            <w:vAlign w:val="bottom"/>
          </w:tcPr>
          <w:p>
            <w:pPr>
              <w:spacing w:after="0"/>
              <w:rPr>
                <w:sz w:val="9"/>
                <w:szCs w:val="9"/>
                <w:color w:val="auto"/>
              </w:rPr>
            </w:pPr>
          </w:p>
        </w:tc>
      </w:tr>
      <w:tr>
        <w:trPr>
          <w:trHeight w:val="113"/>
        </w:trPr>
        <w:tc>
          <w:tcPr>
            <w:tcW w:w="45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18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320</w:t>
            </w:r>
          </w:p>
        </w:tc>
        <w:tc>
          <w:tcPr>
            <w:tcW w:w="400" w:type="dxa"/>
            <w:vAlign w:val="bottom"/>
            <w:gridSpan w:val="2"/>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2"/>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FF0FC"/>
          </w:tcPr>
          <w:p>
            <w:pPr>
              <w:ind w:left="780"/>
              <w:spacing w:after="0" w:line="113" w:lineRule="exact"/>
              <w:rPr>
                <w:sz w:val="20"/>
                <w:szCs w:val="20"/>
                <w:color w:val="auto"/>
              </w:rPr>
            </w:pPr>
            <w:r>
              <w:rPr>
                <w:rFonts w:ascii="Times New Roman" w:cs="Times New Roman" w:eastAsia="Times New Roman" w:hAnsi="Times New Roman"/>
                <w:sz w:val="10"/>
                <w:szCs w:val="10"/>
                <w:color w:val="auto"/>
                <w:w w:val="99"/>
              </w:rPr>
              <w:t>—</w:t>
            </w:r>
          </w:p>
        </w:tc>
        <w:tc>
          <w:tcPr>
            <w:tcW w:w="360" w:type="dxa"/>
            <w:vAlign w:val="bottom"/>
            <w:gridSpan w:val="2"/>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320</w:t>
            </w:r>
          </w:p>
        </w:tc>
        <w:tc>
          <w:tcPr>
            <w:tcW w:w="100" w:type="dxa"/>
            <w:vAlign w:val="bottom"/>
            <w:shd w:val="clear" w:color="auto" w:fill="CFF0FC"/>
          </w:tcPr>
          <w:p>
            <w:pPr>
              <w:spacing w:after="0"/>
              <w:rPr>
                <w:sz w:val="9"/>
                <w:szCs w:val="9"/>
                <w:color w:val="auto"/>
              </w:rPr>
            </w:pPr>
          </w:p>
        </w:tc>
      </w:tr>
      <w:tr>
        <w:trPr>
          <w:trHeight w:val="125"/>
        </w:trPr>
        <w:tc>
          <w:tcPr>
            <w:tcW w:w="4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U.S. Treasury Bills</w:t>
            </w:r>
          </w:p>
        </w:tc>
        <w:tc>
          <w:tcPr>
            <w:tcW w:w="18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150,844,605</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19,242</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ind w:left="78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150,863,847</w:t>
            </w:r>
          </w:p>
        </w:tc>
        <w:tc>
          <w:tcPr>
            <w:tcW w:w="100" w:type="dxa"/>
            <w:vAlign w:val="bottom"/>
          </w:tcPr>
          <w:p>
            <w:pPr>
              <w:spacing w:after="0"/>
              <w:rPr>
                <w:sz w:val="10"/>
                <w:szCs w:val="10"/>
                <w:color w:val="auto"/>
              </w:rPr>
            </w:pPr>
          </w:p>
        </w:tc>
      </w:tr>
      <w:tr>
        <w:trPr>
          <w:trHeight w:val="100"/>
        </w:trPr>
        <w:tc>
          <w:tcPr>
            <w:tcW w:w="4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5"/>
        </w:trPr>
        <w:tc>
          <w:tcPr>
            <w:tcW w:w="454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150,844,925</w:t>
            </w:r>
          </w:p>
        </w:tc>
        <w:tc>
          <w:tcPr>
            <w:tcW w:w="20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19,242</w:t>
            </w:r>
          </w:p>
        </w:tc>
        <w:tc>
          <w:tcPr>
            <w:tcW w:w="20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FF0FC"/>
          </w:tcPr>
          <w:p>
            <w:pPr>
              <w:ind w:left="780"/>
              <w:spacing w:after="0" w:line="113" w:lineRule="exact"/>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150,864,167</w:t>
            </w:r>
          </w:p>
        </w:tc>
        <w:tc>
          <w:tcPr>
            <w:tcW w:w="100" w:type="dxa"/>
            <w:vAlign w:val="bottom"/>
            <w:tcBorders>
              <w:bottom w:val="single" w:sz="8" w:color="CFF0FC"/>
            </w:tcBorders>
            <w:shd w:val="clear" w:color="auto" w:fill="CFF0FC"/>
          </w:tcPr>
          <w:p>
            <w:pPr>
              <w:spacing w:after="0"/>
              <w:rPr>
                <w:sz w:val="10"/>
                <w:szCs w:val="10"/>
                <w:color w:val="auto"/>
              </w:rPr>
            </w:pP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There were no transfers between Levels 1, 2 or 3 during the years ended September 30, 2023 and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6 — Stockholders’ Equity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Preferred stock</w:t>
      </w:r>
    </w:p>
    <w:p>
      <w:pPr>
        <w:spacing w:after="0" w:line="60"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The Company is authorized to issue 1,000,000 shares of preferred stock with a par value of $0.0001 and with such designations, voting and other rights and preferences as may be determined from time to time by the Company’s board of directors. As of September 30, 2023 and 2022, there were no shares of preferred stock issued or outstanding.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w:t>
      </w:r>
    </w:p>
    <w:p>
      <w:pPr>
        <w:spacing w:after="0" w:line="60" w:lineRule="exact"/>
        <w:rPr>
          <w:sz w:val="20"/>
          <w:szCs w:val="20"/>
          <w:color w:val="auto"/>
        </w:rPr>
      </w:pPr>
    </w:p>
    <w:p>
      <w:pPr>
        <w:jc w:val="both"/>
        <w:ind w:right="200" w:firstLine="480"/>
        <w:spacing w:after="0" w:line="245" w:lineRule="auto"/>
        <w:rPr>
          <w:sz w:val="20"/>
          <w:szCs w:val="20"/>
          <w:color w:val="auto"/>
        </w:rPr>
      </w:pPr>
      <w:r>
        <w:rPr>
          <w:rFonts w:ascii="Times New Roman" w:cs="Times New Roman" w:eastAsia="Times New Roman" w:hAnsi="Times New Roman"/>
          <w:sz w:val="10"/>
          <w:szCs w:val="10"/>
          <w:color w:val="auto"/>
        </w:rPr>
        <w:t>The Company is authorized to issue 100,000,000 shares of common stock with a par value of $0.0001 per share. At September 30, 2023 and 2022, there were 5,709,500 shares of common stock issued and outstanding, excluding 2,363,349 and 15,000,000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05"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08"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Warrants</w:t>
      </w:r>
    </w:p>
    <w:p>
      <w:pPr>
        <w:spacing w:after="0" w:line="60"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9"/>
          <w:szCs w:val="9"/>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35" w:right="660"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0"/>
          <w:szCs w:val="10"/>
          <w:color w:val="auto"/>
        </w:rPr>
        <w:t>day prior to the date of exercise. The warrants will expire on the fifth anniversary of the completion of an initial Business Combination, at 5:00 p.m., New York City time, or earlier upon redemption or liquidation.</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may call the warrants for redemption, in whole and not in part, at a price of $0.01 per warrant, in whole and not in part: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•at any time after the warrants become exercisable,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not less than 30 days’ prior written notice of redemption to each warrant holder</w:t>
      </w:r>
    </w:p>
    <w:p>
      <w:pPr>
        <w:spacing w:after="0" w:line="58" w:lineRule="exact"/>
        <w:rPr>
          <w:sz w:val="20"/>
          <w:szCs w:val="20"/>
          <w:color w:val="auto"/>
        </w:rPr>
      </w:pPr>
    </w:p>
    <w:p>
      <w:pPr>
        <w:ind w:left="480" w:right="60"/>
        <w:spacing w:after="0" w:line="255" w:lineRule="auto"/>
        <w:rPr>
          <w:sz w:val="20"/>
          <w:szCs w:val="20"/>
          <w:color w:val="auto"/>
        </w:rPr>
      </w:pPr>
      <w:r>
        <w:rPr>
          <w:rFonts w:ascii="Times New Roman" w:cs="Times New Roman" w:eastAsia="Times New Roman" w:hAnsi="Times New Roman"/>
          <w:sz w:val="10"/>
          <w:szCs w:val="10"/>
          <w:color w:val="auto"/>
        </w:rPr>
        <w:t>•if, and only if, the reported last sale price of the common stock equals or exceeds $18.00 per share (as adjusted for stock splits, stock dividends, reorganizations, recapitalizations) for any 20 trading days within a 30-trading day period commencing at any time after the warrants become exercisable and ending on the third business day prior to the notice of redemption to warrant holders; and</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•if, and only if, there is a current registration statement in effect with respect to the shares of common stock underlying such warrants.</w:t>
      </w:r>
    </w:p>
    <w:p>
      <w:pPr>
        <w:spacing w:after="0" w:line="11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08"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7 — Income Tax</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net deferred tax assets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5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322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86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800" w:type="dxa"/>
            <w:vAlign w:val="bottom"/>
            <w:vMerge w:val="restart"/>
          </w:tcPr>
          <w:p>
            <w:pPr>
              <w:jc w:val="right"/>
              <w:ind w:right="452"/>
              <w:spacing w:after="0"/>
              <w:rPr>
                <w:sz w:val="20"/>
                <w:szCs w:val="20"/>
                <w:color w:val="auto"/>
              </w:rPr>
            </w:pPr>
            <w:r>
              <w:rPr>
                <w:rFonts w:ascii="Times New Roman" w:cs="Times New Roman" w:eastAsia="Times New Roman" w:hAnsi="Times New Roman"/>
                <w:sz w:val="8"/>
                <w:szCs w:val="8"/>
                <w:b w:val="1"/>
                <w:bCs w:val="1"/>
                <w:color w:val="auto"/>
              </w:rPr>
              <w:t>2022</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5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2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Deferred tax asset</w:t>
            </w:r>
          </w:p>
        </w:tc>
        <w:tc>
          <w:tcPr>
            <w:tcW w:w="32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Organizational costs/Startup expenses</w:t>
            </w:r>
          </w:p>
        </w:tc>
        <w:tc>
          <w:tcPr>
            <w:tcW w:w="3220" w:type="dxa"/>
            <w:vAlign w:val="bottom"/>
          </w:tcPr>
          <w:p>
            <w:pPr>
              <w:jc w:val="right"/>
              <w:ind w:right="533"/>
              <w:spacing w:after="0" w:line="113"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504,667</w:t>
            </w:r>
          </w:p>
        </w:tc>
        <w:tc>
          <w:tcPr>
            <w:tcW w:w="360" w:type="dxa"/>
            <w:vAlign w:val="bottom"/>
          </w:tcPr>
          <w:p>
            <w:pPr>
              <w:jc w:val="right"/>
              <w:ind w:right="1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351,592</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3220" w:type="dxa"/>
            <w:vAlign w:val="bottom"/>
            <w:shd w:val="clear" w:color="auto" w:fill="CFF0FC"/>
          </w:tcPr>
          <w:p>
            <w:pPr>
              <w:spacing w:after="0"/>
              <w:rPr>
                <w:sz w:val="9"/>
                <w:szCs w:val="9"/>
                <w:color w:val="auto"/>
              </w:rPr>
            </w:pPr>
          </w:p>
        </w:tc>
        <w:tc>
          <w:tcPr>
            <w:tcW w:w="50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129,350</w:t>
            </w:r>
          </w:p>
        </w:tc>
        <w:tc>
          <w:tcPr>
            <w:tcW w:w="360" w:type="dxa"/>
            <w:vAlign w:val="bottom"/>
            <w:shd w:val="clear" w:color="auto" w:fill="CFF0FC"/>
          </w:tcPr>
          <w:p>
            <w:pPr>
              <w:spacing w:after="0"/>
              <w:rPr>
                <w:sz w:val="9"/>
                <w:szCs w:val="9"/>
                <w:color w:val="auto"/>
              </w:rPr>
            </w:pPr>
          </w:p>
        </w:tc>
        <w:tc>
          <w:tcPr>
            <w:tcW w:w="8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83,517</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Total deferred tax asset</w:t>
            </w:r>
          </w:p>
        </w:tc>
        <w:tc>
          <w:tcPr>
            <w:tcW w:w="3220" w:type="dxa"/>
            <w:vAlign w:val="bottom"/>
          </w:tcPr>
          <w:p>
            <w:pPr>
              <w:spacing w:after="0"/>
              <w:rPr>
                <w:sz w:val="9"/>
                <w:szCs w:val="9"/>
                <w:color w:val="auto"/>
              </w:rPr>
            </w:pPr>
          </w:p>
        </w:tc>
        <w:tc>
          <w:tcPr>
            <w:tcW w:w="50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634,017</w:t>
            </w:r>
          </w:p>
        </w:tc>
        <w:tc>
          <w:tcPr>
            <w:tcW w:w="360" w:type="dxa"/>
            <w:vAlign w:val="bottom"/>
          </w:tcPr>
          <w:p>
            <w:pPr>
              <w:spacing w:after="0"/>
              <w:rPr>
                <w:sz w:val="9"/>
                <w:szCs w:val="9"/>
                <w:color w:val="auto"/>
              </w:rPr>
            </w:pPr>
          </w:p>
        </w:tc>
        <w:tc>
          <w:tcPr>
            <w:tcW w:w="8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435,209</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Valuation allowance</w:t>
            </w:r>
          </w:p>
        </w:tc>
        <w:tc>
          <w:tcPr>
            <w:tcW w:w="3220" w:type="dxa"/>
            <w:vAlign w:val="bottom"/>
            <w:shd w:val="clear" w:color="auto" w:fill="CFF0FC"/>
          </w:tcPr>
          <w:p>
            <w:pPr>
              <w:spacing w:after="0"/>
              <w:rPr>
                <w:sz w:val="9"/>
                <w:szCs w:val="9"/>
                <w:color w:val="auto"/>
              </w:rPr>
            </w:pPr>
          </w:p>
        </w:tc>
        <w:tc>
          <w:tcPr>
            <w:tcW w:w="50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w w:val="95"/>
              </w:rPr>
              <w:t>(634,017 )</w:t>
            </w:r>
          </w:p>
        </w:tc>
        <w:tc>
          <w:tcPr>
            <w:tcW w:w="360" w:type="dxa"/>
            <w:vAlign w:val="bottom"/>
            <w:shd w:val="clear" w:color="auto" w:fill="CFF0FC"/>
          </w:tcPr>
          <w:p>
            <w:pPr>
              <w:spacing w:after="0"/>
              <w:rPr>
                <w:sz w:val="9"/>
                <w:szCs w:val="9"/>
                <w:color w:val="auto"/>
              </w:rPr>
            </w:pPr>
          </w:p>
        </w:tc>
        <w:tc>
          <w:tcPr>
            <w:tcW w:w="8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(435,209 )</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11"/>
                <w:szCs w:val="1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Deferred tax asset, net of allowance</w:t>
            </w:r>
          </w:p>
        </w:tc>
        <w:tc>
          <w:tcPr>
            <w:tcW w:w="3220" w:type="dxa"/>
            <w:vAlign w:val="bottom"/>
          </w:tcPr>
          <w:p>
            <w:pPr>
              <w:jc w:val="right"/>
              <w:ind w:right="533"/>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6"/>
        </w:trPr>
        <w:tc>
          <w:tcPr>
            <w:tcW w:w="414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The income tax provision consists of the following:</w:t>
            </w:r>
          </w:p>
        </w:tc>
        <w:tc>
          <w:tcPr>
            <w:tcW w:w="3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58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22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86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800" w:type="dxa"/>
            <w:vAlign w:val="bottom"/>
            <w:vMerge w:val="restart"/>
          </w:tcPr>
          <w:p>
            <w:pPr>
              <w:jc w:val="right"/>
              <w:ind w:right="452"/>
              <w:spacing w:after="0"/>
              <w:rPr>
                <w:sz w:val="20"/>
                <w:szCs w:val="20"/>
                <w:color w:val="auto"/>
              </w:rPr>
            </w:pPr>
            <w:r>
              <w:rPr>
                <w:rFonts w:ascii="Times New Roman" w:cs="Times New Roman" w:eastAsia="Times New Roman" w:hAnsi="Times New Roman"/>
                <w:sz w:val="8"/>
                <w:szCs w:val="8"/>
                <w:b w:val="1"/>
                <w:bCs w:val="1"/>
                <w:color w:val="auto"/>
              </w:rPr>
              <w:t>2022</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6"/>
        </w:trPr>
        <w:tc>
          <w:tcPr>
            <w:tcW w:w="15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2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Federal</w:t>
            </w:r>
          </w:p>
        </w:tc>
        <w:tc>
          <w:tcPr>
            <w:tcW w:w="32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Current</w:t>
            </w:r>
          </w:p>
        </w:tc>
        <w:tc>
          <w:tcPr>
            <w:tcW w:w="3220" w:type="dxa"/>
            <w:vAlign w:val="bottom"/>
          </w:tcPr>
          <w:p>
            <w:pPr>
              <w:jc w:val="right"/>
              <w:ind w:right="533"/>
              <w:spacing w:after="0" w:line="113"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615,284</w:t>
            </w:r>
          </w:p>
        </w:tc>
        <w:tc>
          <w:tcPr>
            <w:tcW w:w="360" w:type="dxa"/>
            <w:vAlign w:val="bottom"/>
          </w:tcPr>
          <w:p>
            <w:pPr>
              <w:jc w:val="right"/>
              <w:ind w:right="1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145,621</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Deferred</w:t>
            </w:r>
          </w:p>
        </w:tc>
        <w:tc>
          <w:tcPr>
            <w:tcW w:w="3220" w:type="dxa"/>
            <w:vAlign w:val="bottom"/>
            <w:shd w:val="clear" w:color="auto" w:fill="CFF0FC"/>
          </w:tcPr>
          <w:p>
            <w:pPr>
              <w:spacing w:after="0"/>
              <w:rPr>
                <w:sz w:val="9"/>
                <w:szCs w:val="9"/>
                <w:color w:val="auto"/>
              </w:rPr>
            </w:pPr>
          </w:p>
        </w:tc>
        <w:tc>
          <w:tcPr>
            <w:tcW w:w="50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w w:val="95"/>
              </w:rPr>
              <w:t>(198,808 )</w:t>
            </w:r>
          </w:p>
        </w:tc>
        <w:tc>
          <w:tcPr>
            <w:tcW w:w="360" w:type="dxa"/>
            <w:vAlign w:val="bottom"/>
            <w:shd w:val="clear" w:color="auto" w:fill="CFF0FC"/>
          </w:tcPr>
          <w:p>
            <w:pPr>
              <w:spacing w:after="0"/>
              <w:rPr>
                <w:sz w:val="9"/>
                <w:szCs w:val="9"/>
                <w:color w:val="auto"/>
              </w:rPr>
            </w:pPr>
          </w:p>
        </w:tc>
        <w:tc>
          <w:tcPr>
            <w:tcW w:w="8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(336,741 )</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State</w:t>
            </w:r>
          </w:p>
        </w:tc>
        <w:tc>
          <w:tcPr>
            <w:tcW w:w="3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Current</w:t>
            </w:r>
          </w:p>
        </w:tc>
        <w:tc>
          <w:tcPr>
            <w:tcW w:w="3220" w:type="dxa"/>
            <w:vAlign w:val="bottom"/>
            <w:shd w:val="clear" w:color="auto" w:fill="CFF0FC"/>
          </w:tcPr>
          <w:p>
            <w:pPr>
              <w:spacing w:after="0"/>
              <w:rPr>
                <w:sz w:val="9"/>
                <w:szCs w:val="9"/>
                <w:color w:val="auto"/>
              </w:rPr>
            </w:pPr>
          </w:p>
        </w:tc>
        <w:tc>
          <w:tcPr>
            <w:tcW w:w="50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FF0FC"/>
          </w:tcPr>
          <w:p>
            <w:pPr>
              <w:spacing w:after="0"/>
              <w:rPr>
                <w:sz w:val="9"/>
                <w:szCs w:val="9"/>
                <w:color w:val="auto"/>
              </w:rPr>
            </w:pPr>
          </w:p>
        </w:tc>
        <w:tc>
          <w:tcPr>
            <w:tcW w:w="8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Deferred</w:t>
            </w:r>
          </w:p>
        </w:tc>
        <w:tc>
          <w:tcPr>
            <w:tcW w:w="3220" w:type="dxa"/>
            <w:vAlign w:val="bottom"/>
          </w:tcPr>
          <w:p>
            <w:pPr>
              <w:spacing w:after="0"/>
              <w:rPr>
                <w:sz w:val="9"/>
                <w:szCs w:val="9"/>
                <w:color w:val="auto"/>
              </w:rPr>
            </w:pPr>
          </w:p>
        </w:tc>
        <w:tc>
          <w:tcPr>
            <w:tcW w:w="50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spacing w:after="0"/>
              <w:rPr>
                <w:sz w:val="9"/>
                <w:szCs w:val="9"/>
                <w:color w:val="auto"/>
              </w:rPr>
            </w:pPr>
          </w:p>
        </w:tc>
        <w:tc>
          <w:tcPr>
            <w:tcW w:w="8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Change in valuation allowance</w:t>
            </w:r>
          </w:p>
        </w:tc>
        <w:tc>
          <w:tcPr>
            <w:tcW w:w="3220" w:type="dxa"/>
            <w:vAlign w:val="bottom"/>
            <w:shd w:val="clear" w:color="auto" w:fill="CFF0FC"/>
          </w:tcPr>
          <w:p>
            <w:pPr>
              <w:spacing w:after="0"/>
              <w:rPr>
                <w:sz w:val="9"/>
                <w:szCs w:val="9"/>
                <w:color w:val="auto"/>
              </w:rPr>
            </w:pPr>
          </w:p>
        </w:tc>
        <w:tc>
          <w:tcPr>
            <w:tcW w:w="50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198,808</w:t>
            </w:r>
          </w:p>
        </w:tc>
        <w:tc>
          <w:tcPr>
            <w:tcW w:w="360" w:type="dxa"/>
            <w:vAlign w:val="bottom"/>
            <w:shd w:val="clear" w:color="auto" w:fill="CFF0FC"/>
          </w:tcPr>
          <w:p>
            <w:pPr>
              <w:spacing w:after="0"/>
              <w:rPr>
                <w:sz w:val="9"/>
                <w:szCs w:val="9"/>
                <w:color w:val="auto"/>
              </w:rPr>
            </w:pPr>
          </w:p>
        </w:tc>
        <w:tc>
          <w:tcPr>
            <w:tcW w:w="8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336,741</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11"/>
                <w:szCs w:val="1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Income tax provision</w:t>
            </w:r>
          </w:p>
        </w:tc>
        <w:tc>
          <w:tcPr>
            <w:tcW w:w="3220" w:type="dxa"/>
            <w:vAlign w:val="bottom"/>
          </w:tcPr>
          <w:p>
            <w:pPr>
              <w:jc w:val="right"/>
              <w:ind w:right="533"/>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615,284</w:t>
            </w:r>
          </w:p>
        </w:tc>
        <w:tc>
          <w:tcPr>
            <w:tcW w:w="36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145,621</w:t>
            </w: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220" w:type="dxa"/>
            <w:vAlign w:val="bottom"/>
          </w:tcPr>
          <w:p>
            <w:pPr>
              <w:jc w:val="right"/>
              <w:ind w:right="1893"/>
              <w:spacing w:after="0"/>
              <w:rPr>
                <w:sz w:val="20"/>
                <w:szCs w:val="20"/>
                <w:color w:val="auto"/>
              </w:rPr>
            </w:pPr>
            <w:r>
              <w:rPr>
                <w:rFonts w:ascii="Times New Roman" w:cs="Times New Roman" w:eastAsia="Times New Roman" w:hAnsi="Times New Roman"/>
                <w:sz w:val="10"/>
                <w:szCs w:val="10"/>
                <w:color w:val="auto"/>
              </w:rPr>
              <w:t>F-146</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560" w:type="dxa"/>
            <w:vAlign w:val="bottom"/>
            <w:tcBorders>
              <w:bottom w:val="single" w:sz="8" w:color="EEEEEE"/>
            </w:tcBorders>
          </w:tcPr>
          <w:p>
            <w:pPr>
              <w:spacing w:after="0"/>
              <w:rPr>
                <w:sz w:val="24"/>
                <w:szCs w:val="24"/>
                <w:color w:val="auto"/>
              </w:rPr>
            </w:pPr>
          </w:p>
        </w:tc>
        <w:tc>
          <w:tcPr>
            <w:tcW w:w="322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275" w:name="page276"/>
    <w:bookmarkEnd w:id="275"/>
    <w:p>
      <w:pPr>
        <w:ind w:left="480"/>
        <w:spacing w:after="0"/>
        <w:rPr>
          <w:sz w:val="20"/>
          <w:szCs w:val="20"/>
          <w:color w:val="auto"/>
        </w:rPr>
      </w:pPr>
      <w:r>
        <w:rPr>
          <w:rFonts w:ascii="Times New Roman" w:cs="Times New Roman" w:eastAsia="Times New Roman" w:hAnsi="Times New Roman"/>
          <w:sz w:val="10"/>
          <w:szCs w:val="10"/>
          <w:color w:val="auto"/>
        </w:rPr>
        <w:t>As of September 30, 2023 and 2022, the Company had $0 of U.S. federal net operating loss carryovers, which do not expire, and no state net operating loss carryovers available to offset future taxable income.</w:t>
      </w:r>
    </w:p>
    <w:p>
      <w:pPr>
        <w:spacing w:after="0" w:line="11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at September 30, 2023. For the years ended September 30, 2023 and 2022, the change in the valuation allowance was $198,808 and $336,741, respectively.</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reconciliation of the federal income tax rate to the Company’s effective tax rate at September 30, 2023 and 2022 are as follows:</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5720" w:type="dxa"/>
            <w:vAlign w:val="bottom"/>
            <w:vMerge w:val="restart"/>
          </w:tcPr>
          <w:p>
            <w:pPr>
              <w:ind w:left="5480"/>
              <w:spacing w:after="0"/>
              <w:rPr>
                <w:sz w:val="20"/>
                <w:szCs w:val="20"/>
                <w:color w:val="auto"/>
              </w:rPr>
            </w:pPr>
            <w:r>
              <w:rPr>
                <w:rFonts w:ascii="Times New Roman" w:cs="Times New Roman" w:eastAsia="Times New Roman" w:hAnsi="Times New Roman"/>
                <w:sz w:val="8"/>
                <w:szCs w:val="8"/>
                <w:b w:val="1"/>
                <w:bCs w:val="1"/>
                <w:color w:val="auto"/>
              </w:rPr>
              <w:t>2023</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880" w:type="dxa"/>
            <w:vAlign w:val="bottom"/>
            <w:vMerge w:val="restart"/>
          </w:tcPr>
          <w:p>
            <w:pPr>
              <w:jc w:val="right"/>
              <w:ind w:right="512"/>
              <w:spacing w:after="0"/>
              <w:rPr>
                <w:sz w:val="20"/>
                <w:szCs w:val="20"/>
                <w:color w:val="auto"/>
              </w:rPr>
            </w:pPr>
            <w:r>
              <w:rPr>
                <w:rFonts w:ascii="Times New Roman" w:cs="Times New Roman" w:eastAsia="Times New Roman" w:hAnsi="Times New Roman"/>
                <w:sz w:val="8"/>
                <w:szCs w:val="8"/>
                <w:b w:val="1"/>
                <w:bCs w:val="1"/>
                <w:color w:val="auto"/>
              </w:rPr>
              <w:t>2022</w:t>
            </w:r>
          </w:p>
        </w:tc>
        <w:tc>
          <w:tcPr>
            <w:tcW w:w="0" w:type="dxa"/>
            <w:vAlign w:val="bottom"/>
          </w:tcPr>
          <w:p>
            <w:pPr>
              <w:spacing w:after="0"/>
              <w:rPr>
                <w:sz w:val="1"/>
                <w:szCs w:val="1"/>
                <w:color w:val="auto"/>
              </w:rPr>
            </w:pPr>
          </w:p>
        </w:tc>
      </w:tr>
      <w:tr>
        <w:trPr>
          <w:trHeight w:val="96"/>
        </w:trPr>
        <w:tc>
          <w:tcPr>
            <w:tcW w:w="57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7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Statutory federal income tax rate</w:t>
            </w:r>
          </w:p>
        </w:tc>
        <w:tc>
          <w:tcPr>
            <w:tcW w:w="840" w:type="dxa"/>
            <w:vAlign w:val="bottom"/>
            <w:shd w:val="clear" w:color="auto" w:fill="CFF0FC"/>
          </w:tcPr>
          <w:p>
            <w:pPr>
              <w:jc w:val="right"/>
              <w:ind w:right="332"/>
              <w:spacing w:after="0" w:line="113" w:lineRule="exact"/>
              <w:rPr>
                <w:sz w:val="20"/>
                <w:szCs w:val="20"/>
                <w:color w:val="auto"/>
              </w:rPr>
            </w:pPr>
            <w:r>
              <w:rPr>
                <w:rFonts w:ascii="Times New Roman" w:cs="Times New Roman" w:eastAsia="Times New Roman" w:hAnsi="Times New Roman"/>
                <w:sz w:val="10"/>
                <w:szCs w:val="10"/>
                <w:color w:val="auto"/>
              </w:rPr>
              <w:t>21.00 %</w:t>
            </w:r>
          </w:p>
        </w:tc>
        <w:tc>
          <w:tcPr>
            <w:tcW w:w="8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21.00 %</w:t>
            </w:r>
          </w:p>
        </w:tc>
        <w:tc>
          <w:tcPr>
            <w:tcW w:w="0" w:type="dxa"/>
            <w:vAlign w:val="bottom"/>
          </w:tcPr>
          <w:p>
            <w:pPr>
              <w:spacing w:after="0"/>
              <w:rPr>
                <w:sz w:val="1"/>
                <w:szCs w:val="1"/>
                <w:color w:val="auto"/>
              </w:rPr>
            </w:pPr>
          </w:p>
        </w:tc>
      </w:tr>
      <w:tr>
        <w:trPr>
          <w:trHeight w:val="113"/>
        </w:trPr>
        <w:tc>
          <w:tcPr>
            <w:tcW w:w="57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State taxes, net of federal tax benefit</w:t>
            </w:r>
          </w:p>
        </w:tc>
        <w:tc>
          <w:tcPr>
            <w:tcW w:w="840" w:type="dxa"/>
            <w:vAlign w:val="bottom"/>
          </w:tcPr>
          <w:p>
            <w:pPr>
              <w:jc w:val="right"/>
              <w:ind w:right="332"/>
              <w:spacing w:after="0" w:line="113" w:lineRule="exact"/>
              <w:rPr>
                <w:sz w:val="20"/>
                <w:szCs w:val="20"/>
                <w:color w:val="auto"/>
              </w:rPr>
            </w:pPr>
            <w:r>
              <w:rPr>
                <w:rFonts w:ascii="Times New Roman" w:cs="Times New Roman" w:eastAsia="Times New Roman" w:hAnsi="Times New Roman"/>
                <w:sz w:val="10"/>
                <w:szCs w:val="10"/>
                <w:color w:val="auto"/>
              </w:rPr>
              <w:t>0.00 %</w:t>
            </w: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0.00 %</w:t>
            </w:r>
          </w:p>
        </w:tc>
        <w:tc>
          <w:tcPr>
            <w:tcW w:w="0" w:type="dxa"/>
            <w:vAlign w:val="bottom"/>
          </w:tcPr>
          <w:p>
            <w:pPr>
              <w:spacing w:after="0"/>
              <w:rPr>
                <w:sz w:val="1"/>
                <w:szCs w:val="1"/>
                <w:color w:val="auto"/>
              </w:rPr>
            </w:pPr>
          </w:p>
        </w:tc>
      </w:tr>
      <w:tr>
        <w:trPr>
          <w:trHeight w:val="113"/>
        </w:trPr>
        <w:tc>
          <w:tcPr>
            <w:tcW w:w="57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Prior year true up</w:t>
            </w:r>
          </w:p>
        </w:tc>
        <w:tc>
          <w:tcPr>
            <w:tcW w:w="840" w:type="dxa"/>
            <w:vAlign w:val="bottom"/>
            <w:shd w:val="clear" w:color="auto" w:fill="CFF0FC"/>
          </w:tcPr>
          <w:p>
            <w:pPr>
              <w:jc w:val="right"/>
              <w:ind w:right="332"/>
              <w:spacing w:after="0" w:line="113" w:lineRule="exact"/>
              <w:rPr>
                <w:sz w:val="20"/>
                <w:szCs w:val="20"/>
                <w:color w:val="auto"/>
              </w:rPr>
            </w:pPr>
            <w:r>
              <w:rPr>
                <w:rFonts w:ascii="Times New Roman" w:cs="Times New Roman" w:eastAsia="Times New Roman" w:hAnsi="Times New Roman"/>
                <w:sz w:val="10"/>
                <w:szCs w:val="10"/>
                <w:color w:val="auto"/>
              </w:rPr>
              <w:t>0.99 %</w:t>
            </w:r>
          </w:p>
        </w:tc>
        <w:tc>
          <w:tcPr>
            <w:tcW w:w="88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57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Business combination expenses</w:t>
            </w:r>
          </w:p>
        </w:tc>
        <w:tc>
          <w:tcPr>
            <w:tcW w:w="840" w:type="dxa"/>
            <w:vAlign w:val="bottom"/>
          </w:tcPr>
          <w:p>
            <w:pPr>
              <w:jc w:val="right"/>
              <w:ind w:right="332"/>
              <w:spacing w:after="0" w:line="113" w:lineRule="exact"/>
              <w:rPr>
                <w:sz w:val="20"/>
                <w:szCs w:val="20"/>
                <w:color w:val="auto"/>
              </w:rPr>
            </w:pPr>
            <w:r>
              <w:rPr>
                <w:rFonts w:ascii="Times New Roman" w:cs="Times New Roman" w:eastAsia="Times New Roman" w:hAnsi="Times New Roman"/>
                <w:sz w:val="10"/>
                <w:szCs w:val="10"/>
                <w:color w:val="auto"/>
              </w:rPr>
              <w:t>119.13 %</w:t>
            </w: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(15.50 )%</w:t>
            </w:r>
          </w:p>
        </w:tc>
        <w:tc>
          <w:tcPr>
            <w:tcW w:w="0" w:type="dxa"/>
            <w:vAlign w:val="bottom"/>
          </w:tcPr>
          <w:p>
            <w:pPr>
              <w:spacing w:after="0"/>
              <w:rPr>
                <w:sz w:val="1"/>
                <w:szCs w:val="1"/>
                <w:color w:val="auto"/>
              </w:rPr>
            </w:pPr>
          </w:p>
        </w:tc>
      </w:tr>
      <w:tr>
        <w:trPr>
          <w:trHeight w:val="113"/>
        </w:trPr>
        <w:tc>
          <w:tcPr>
            <w:tcW w:w="57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Change in valuation allowance</w:t>
            </w:r>
          </w:p>
        </w:tc>
        <w:tc>
          <w:tcPr>
            <w:tcW w:w="840" w:type="dxa"/>
            <w:vAlign w:val="bottom"/>
            <w:shd w:val="clear" w:color="auto" w:fill="CFF0FC"/>
          </w:tcPr>
          <w:p>
            <w:pPr>
              <w:jc w:val="right"/>
              <w:ind w:right="332"/>
              <w:spacing w:after="0" w:line="113" w:lineRule="exact"/>
              <w:rPr>
                <w:sz w:val="20"/>
                <w:szCs w:val="20"/>
                <w:color w:val="auto"/>
              </w:rPr>
            </w:pPr>
            <w:r>
              <w:rPr>
                <w:rFonts w:ascii="Times New Roman" w:cs="Times New Roman" w:eastAsia="Times New Roman" w:hAnsi="Times New Roman"/>
                <w:sz w:val="10"/>
                <w:szCs w:val="10"/>
                <w:color w:val="auto"/>
              </w:rPr>
              <w:t>67.40 %</w:t>
            </w:r>
          </w:p>
        </w:tc>
        <w:tc>
          <w:tcPr>
            <w:tcW w:w="8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(9.70 )%</w:t>
            </w:r>
          </w:p>
        </w:tc>
        <w:tc>
          <w:tcPr>
            <w:tcW w:w="0" w:type="dxa"/>
            <w:vAlign w:val="bottom"/>
          </w:tcPr>
          <w:p>
            <w:pPr>
              <w:spacing w:after="0"/>
              <w:rPr>
                <w:sz w:val="1"/>
                <w:szCs w:val="1"/>
                <w:color w:val="auto"/>
              </w:rPr>
            </w:pPr>
          </w:p>
        </w:tc>
      </w:tr>
      <w:tr>
        <w:trPr>
          <w:trHeight w:val="127"/>
        </w:trPr>
        <w:tc>
          <w:tcPr>
            <w:tcW w:w="57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Income tax provision</w:t>
            </w:r>
          </w:p>
        </w:tc>
        <w:tc>
          <w:tcPr>
            <w:tcW w:w="84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207.49 %</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(4.25 )%</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files income tax returns in the U.S. federal jurisdiction in various state and local jurisdictions and is subject to examination by the various taxing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8 — Subsequent Events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financial statements.</w:t>
      </w:r>
    </w:p>
    <w:p>
      <w:pPr>
        <w:spacing w:after="0" w:line="101"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October 11, 2023, the Company borrowed $70,900 under the Extension Note and deposited the funds into the Trust Account thereby extending the Termination Date to November 17, 2023.</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November 9, 2023, the Company borrowed $70,900 under the Extension Note and deposited the funds into the Trust Account thereby extending the Termination Date to December 17, 2023.</w:t>
      </w:r>
    </w:p>
    <w:p>
      <w:pPr>
        <w:spacing w:after="0" w:line="118"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78" w:right="660" w:bottom="1440" w:gutter="0" w:footer="0" w:header="0"/>
        </w:sectPr>
      </w:pPr>
    </w:p>
    <w:bookmarkStart w:id="276" w:name="page277"/>
    <w:bookmarkEnd w:id="276"/>
    <w:p>
      <w:pPr>
        <w:jc w:val="center"/>
        <w:spacing w:after="0"/>
        <w:rPr>
          <w:sz w:val="20"/>
          <w:szCs w:val="20"/>
          <w:color w:val="auto"/>
        </w:rPr>
      </w:pPr>
      <w:r>
        <w:rPr>
          <w:rFonts w:ascii="Times New Roman" w:cs="Times New Roman" w:eastAsia="Times New Roman" w:hAnsi="Times New Roman"/>
          <w:sz w:val="10"/>
          <w:szCs w:val="10"/>
          <w:b w:val="1"/>
          <w:bCs w:val="1"/>
          <w:color w:val="auto"/>
        </w:rPr>
        <w:t>PART II</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INFORMATION NOT REQUIRED IN PROSPECTUS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 6. Indemnification of Directors and Officers.</w:t>
      </w:r>
    </w:p>
    <w:p>
      <w:pPr>
        <w:spacing w:after="0" w:line="60" w:lineRule="exact"/>
        <w:rPr>
          <w:sz w:val="20"/>
          <w:szCs w:val="20"/>
          <w:color w:val="auto"/>
        </w:rPr>
      </w:pPr>
    </w:p>
    <w:p>
      <w:pPr>
        <w:ind w:right="80" w:firstLine="480"/>
        <w:spacing w:after="0" w:line="310" w:lineRule="auto"/>
        <w:rPr>
          <w:sz w:val="20"/>
          <w:szCs w:val="20"/>
          <w:color w:val="auto"/>
        </w:rPr>
      </w:pPr>
      <w:r>
        <w:rPr>
          <w:rFonts w:ascii="Times New Roman" w:cs="Times New Roman" w:eastAsia="Times New Roman" w:hAnsi="Times New Roman"/>
          <w:sz w:val="9"/>
          <w:szCs w:val="9"/>
          <w:color w:val="auto"/>
        </w:rPr>
        <w:t>Rezolve’s articles of association provide that, to the extent permitted by the U.K. Companies Act, Rezolve may indemnify its directors against and every other officer of the company against any liability incurred by such director or officer for any negligence, default, breach of duty or breach of trust or otherwise in relation to the affairs or activities of Rezolve or any associated company. In addition, Rezolve will from Closing maintain directors’ and officers’ insurance to insure such persons against certain liabilities.</w:t>
      </w:r>
    </w:p>
    <w:p>
      <w:pPr>
        <w:spacing w:after="0" w:line="7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Insofar as indemnification of liabilities arising under the Securities Act may be permitted to our board, executive officers or persons controlling us pursuant to the foregoing provisions, we have been advised that, in the opinion of the SEC, such indemnification is against public policy as expressed in the Securities Act and is therefore unenforceable.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 7. Recent Sales of Unregistered Securities.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Set forth below is information regarding all securities sold or granted by us within the past three years that were not registered under the Securities Act and the consideration, if any, received by us for such securities:</w:t>
      </w:r>
    </w:p>
    <w:p>
      <w:pPr>
        <w:spacing w:after="0" w:line="110"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9"/>
          <w:szCs w:val="9"/>
          <w:color w:val="auto"/>
        </w:rPr>
        <w:t>Rezolve Limited issued Convertible Notes in the aggregate principal amount of up to $49,892,080 pursuant to a Convertible Note instrument originally made by Rezolve Limited and dated December 16, 2021, as amended and restated on November 21, 2022 and May 23, 2023 and as amended on December 18, 2023, December 29 2023 and as further amended and restated on January 26, 2024, and novated from Rezolve Limited to the Company at time of the Pre-Closing Demerger by a deed of novation dated July 4, 2024. The Convertible Notes were not registered under the Securities Act and have been issued in reliance on the exemption from registration requirements thereof provided by Regulation S promulgated thereunder as a transaction solely to non-US persons (as defined in Regulation S).</w:t>
      </w:r>
    </w:p>
    <w:p>
      <w:pPr>
        <w:spacing w:after="0" w:line="8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0"/>
          <w:szCs w:val="10"/>
          <w:color w:val="auto"/>
        </w:rPr>
        <w:t>At Closing, the Company issued a total of 569,982 private warrants to holders of Promissory Notes pursuant to the Company's obligations under the subscription agreements entered into between the Company, Rezolve Limited and the holders of Promissory Notes in February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 8. Exhibits and Financial Statements</w:t>
      </w:r>
    </w:p>
    <w:p>
      <w:pPr>
        <w:spacing w:after="0" w:line="58" w:lineRule="exact"/>
        <w:rPr>
          <w:sz w:val="20"/>
          <w:szCs w:val="20"/>
          <w:color w:val="auto"/>
        </w:rPr>
      </w:pPr>
    </w:p>
    <w:tbl>
      <w:tblPr>
        <w:tblLayout w:type="fixed"/>
        <w:tblInd w:w="400" w:type="dxa"/>
        <w:tblCellMar>
          <w:top w:w="0" w:type="dxa"/>
          <w:left w:w="0" w:type="dxa"/>
          <w:bottom w:w="0" w:type="dxa"/>
          <w:right w:w="0" w:type="dxa"/>
        </w:tblCellMar>
      </w:tblPr>
      <w:tr>
        <w:trPr>
          <w:trHeight w:val="127"/>
        </w:trPr>
        <w:tc>
          <w:tcPr>
            <w:tcW w:w="1060" w:type="dxa"/>
            <w:vAlign w:val="bottom"/>
          </w:tcPr>
          <w:p>
            <w:pPr>
              <w:ind w:left="80"/>
              <w:spacing w:after="0"/>
              <w:rPr>
                <w:sz w:val="20"/>
                <w:szCs w:val="20"/>
                <w:color w:val="auto"/>
              </w:rPr>
            </w:pPr>
            <w:r>
              <w:rPr>
                <w:rFonts w:ascii="Times New Roman" w:cs="Times New Roman" w:eastAsia="Times New Roman" w:hAnsi="Times New Roman"/>
                <w:sz w:val="10"/>
                <w:szCs w:val="10"/>
                <w:i w:val="1"/>
                <w:iCs w:val="1"/>
                <w:color w:val="auto"/>
              </w:rPr>
              <w:t>(a)Exhibits</w:t>
            </w:r>
          </w:p>
        </w:tc>
        <w:tc>
          <w:tcPr>
            <w:tcW w:w="3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40"/>
        </w:trPr>
        <w:tc>
          <w:tcPr>
            <w:tcW w:w="10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Exhibit Number</w:t>
            </w:r>
          </w:p>
        </w:tc>
        <w:tc>
          <w:tcPr>
            <w:tcW w:w="8980" w:type="dxa"/>
            <w:vAlign w:val="bottom"/>
            <w:gridSpan w:val="8"/>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152"/>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2.1</w:t>
            </w:r>
          </w:p>
        </w:tc>
        <w:tc>
          <w:tcPr>
            <w:tcW w:w="8940" w:type="dxa"/>
            <w:vAlign w:val="bottom"/>
            <w:tcBorders>
              <w:bottom w:val="single" w:sz="8" w:color="0000FF"/>
            </w:tcBorders>
            <w:gridSpan w:val="7"/>
          </w:tcPr>
          <w:p>
            <w:pPr>
              <w:spacing w:after="0"/>
              <w:rPr>
                <w:rFonts w:ascii="Times New Roman" w:cs="Times New Roman" w:eastAsia="Times New Roman" w:hAnsi="Times New Roman"/>
                <w:sz w:val="10"/>
                <w:szCs w:val="10"/>
                <w:color w:val="0000FF"/>
                <w:w w:val="97"/>
              </w:rPr>
            </w:pPr>
            <w:hyperlink r:id="rId297">
              <w:r>
                <w:rPr>
                  <w:rFonts w:ascii="Times New Roman" w:cs="Times New Roman" w:eastAsia="Times New Roman" w:hAnsi="Times New Roman"/>
                  <w:sz w:val="10"/>
                  <w:szCs w:val="10"/>
                  <w:color w:val="0000FF"/>
                  <w:w w:val="97"/>
                </w:rPr>
                <w:t>Business Combination Agreement, dated December 17, 2021, as amended on November 10, 2022 and as further amended and restated on June 16, 2023, as amended on August 4, 2023 (incorporated by reference to Exhibit 2.1 of</w:t>
              </w:r>
            </w:hyperlink>
          </w:p>
        </w:tc>
        <w:tc>
          <w:tcPr>
            <w:tcW w:w="40" w:type="dxa"/>
            <w:vAlign w:val="bottom"/>
          </w:tcPr>
          <w:p>
            <w:pPr>
              <w:spacing w:after="0"/>
              <w:rPr>
                <w:sz w:val="13"/>
                <w:szCs w:val="13"/>
                <w:color w:val="auto"/>
              </w:rPr>
            </w:pPr>
          </w:p>
        </w:tc>
      </w:tr>
      <w:tr>
        <w:trPr>
          <w:trHeight w:val="93"/>
        </w:trPr>
        <w:tc>
          <w:tcPr>
            <w:tcW w:w="1060" w:type="dxa"/>
            <w:vAlign w:val="bottom"/>
          </w:tcPr>
          <w:p>
            <w:pPr>
              <w:spacing w:after="0"/>
              <w:rPr>
                <w:sz w:val="8"/>
                <w:szCs w:val="8"/>
                <w:color w:val="auto"/>
              </w:rPr>
            </w:pPr>
          </w:p>
        </w:tc>
        <w:tc>
          <w:tcPr>
            <w:tcW w:w="8980" w:type="dxa"/>
            <w:vAlign w:val="bottom"/>
            <w:gridSpan w:val="8"/>
          </w:tcPr>
          <w:p>
            <w:pPr>
              <w:spacing w:after="0" w:line="93" w:lineRule="exact"/>
              <w:rPr>
                <w:rFonts w:ascii="Times New Roman" w:cs="Times New Roman" w:eastAsia="Times New Roman" w:hAnsi="Times New Roman"/>
                <w:sz w:val="10"/>
                <w:szCs w:val="10"/>
                <w:color w:val="0000FF"/>
              </w:rPr>
            </w:pPr>
            <w:hyperlink r:id="rId297">
              <w:r>
                <w:rPr>
                  <w:rFonts w:ascii="Times New Roman" w:cs="Times New Roman" w:eastAsia="Times New Roman" w:hAnsi="Times New Roman"/>
                  <w:sz w:val="10"/>
                  <w:szCs w:val="10"/>
                  <w:color w:val="0000FF"/>
                </w:rPr>
                <w:t>Rezolve AI Limited’s Registration Statement on Form F-4, Amendment No. 2, filed with the SEC on September 25, 2023).</w:t>
              </w:r>
            </w:hyperlink>
          </w:p>
        </w:tc>
      </w:tr>
      <w:tr>
        <w:trPr>
          <w:trHeight w:val="20"/>
        </w:trPr>
        <w:tc>
          <w:tcPr>
            <w:tcW w:w="1060" w:type="dxa"/>
            <w:vAlign w:val="bottom"/>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2.2</w:t>
            </w:r>
          </w:p>
        </w:tc>
        <w:tc>
          <w:tcPr>
            <w:tcW w:w="8980" w:type="dxa"/>
            <w:vAlign w:val="bottom"/>
            <w:tcBorders>
              <w:bottom w:val="single" w:sz="8" w:color="0000FF"/>
            </w:tcBorders>
            <w:gridSpan w:val="8"/>
          </w:tcPr>
          <w:p>
            <w:pPr>
              <w:spacing w:after="0"/>
              <w:rPr>
                <w:rFonts w:ascii="Times New Roman" w:cs="Times New Roman" w:eastAsia="Times New Roman" w:hAnsi="Times New Roman"/>
                <w:sz w:val="10"/>
                <w:szCs w:val="10"/>
                <w:color w:val="0000FF"/>
                <w:w w:val="97"/>
              </w:rPr>
            </w:pPr>
            <w:hyperlink r:id="rId298">
              <w:r>
                <w:rPr>
                  <w:rFonts w:ascii="Times New Roman" w:cs="Times New Roman" w:eastAsia="Times New Roman" w:hAnsi="Times New Roman"/>
                  <w:sz w:val="10"/>
                  <w:szCs w:val="10"/>
                  <w:color w:val="0000FF"/>
                  <w:w w:val="97"/>
                </w:rPr>
                <w:t>First Amendment to the Business Combination Agreement, dated as of August 4, 2023, by and among Armada Rezolve Limited, Rezolve and Rezolve Merger Sub (incorporated by reference to Exhibit 2.2 of Rezolve AI Limited’s</w:t>
              </w:r>
            </w:hyperlink>
          </w:p>
        </w:tc>
      </w:tr>
      <w:tr>
        <w:trPr>
          <w:trHeight w:val="93"/>
        </w:trPr>
        <w:tc>
          <w:tcPr>
            <w:tcW w:w="1060" w:type="dxa"/>
            <w:vAlign w:val="bottom"/>
          </w:tcPr>
          <w:p>
            <w:pPr>
              <w:spacing w:after="0"/>
              <w:rPr>
                <w:sz w:val="8"/>
                <w:szCs w:val="8"/>
                <w:color w:val="auto"/>
              </w:rPr>
            </w:pPr>
          </w:p>
        </w:tc>
        <w:tc>
          <w:tcPr>
            <w:tcW w:w="3940" w:type="dxa"/>
            <w:vAlign w:val="bottom"/>
            <w:tcBorders>
              <w:bottom w:val="single" w:sz="8" w:color="0000FF"/>
            </w:tcBorders>
            <w:gridSpan w:val="2"/>
          </w:tcPr>
          <w:p>
            <w:pPr>
              <w:spacing w:after="0" w:line="93" w:lineRule="exact"/>
              <w:rPr>
                <w:rFonts w:ascii="Times New Roman" w:cs="Times New Roman" w:eastAsia="Times New Roman" w:hAnsi="Times New Roman"/>
                <w:sz w:val="10"/>
                <w:szCs w:val="10"/>
                <w:color w:val="0000FF"/>
                <w:w w:val="97"/>
              </w:rPr>
            </w:pPr>
            <w:hyperlink r:id="rId298">
              <w:r>
                <w:rPr>
                  <w:rFonts w:ascii="Times New Roman" w:cs="Times New Roman" w:eastAsia="Times New Roman" w:hAnsi="Times New Roman"/>
                  <w:sz w:val="10"/>
                  <w:szCs w:val="10"/>
                  <w:color w:val="0000FF"/>
                  <w:w w:val="97"/>
                </w:rPr>
                <w:t>Registration Statement on Form F-4, Amendment No. 2, filed with the SEC on September 25, 2023).</w:t>
              </w:r>
            </w:hyperlink>
          </w:p>
        </w:tc>
        <w:tc>
          <w:tcPr>
            <w:tcW w:w="5040" w:type="dxa"/>
            <w:vAlign w:val="bottom"/>
            <w:gridSpan w:val="6"/>
          </w:tcPr>
          <w:p>
            <w:pPr>
              <w:spacing w:after="0"/>
              <w:rPr>
                <w:sz w:val="8"/>
                <w:szCs w:val="8"/>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3.1</w:t>
            </w:r>
          </w:p>
        </w:tc>
        <w:tc>
          <w:tcPr>
            <w:tcW w:w="8720" w:type="dxa"/>
            <w:vAlign w:val="bottom"/>
            <w:tcBorders>
              <w:bottom w:val="single" w:sz="8" w:color="0000FF"/>
            </w:tcBorders>
            <w:gridSpan w:val="6"/>
          </w:tcPr>
          <w:p>
            <w:pPr>
              <w:spacing w:after="0"/>
              <w:rPr>
                <w:rFonts w:ascii="Times New Roman" w:cs="Times New Roman" w:eastAsia="Times New Roman" w:hAnsi="Times New Roman"/>
                <w:sz w:val="10"/>
                <w:szCs w:val="10"/>
                <w:color w:val="0000FF"/>
                <w:w w:val="97"/>
              </w:rPr>
            </w:pPr>
            <w:hyperlink r:id="rId299">
              <w:r>
                <w:rPr>
                  <w:rFonts w:ascii="Times New Roman" w:cs="Times New Roman" w:eastAsia="Times New Roman" w:hAnsi="Times New Roman"/>
                  <w:sz w:val="10"/>
                  <w:szCs w:val="10"/>
                  <w:color w:val="0000FF"/>
                  <w:w w:val="97"/>
                </w:rPr>
                <w:t>Amended and Restated Memorandum and Articles of Association of Rezolve (incorporated by reference to Exhibit 1.1 of Rezolve AI Limited’s Shell Company Report on Form 20-F, filed with the SEC on August 22, 2024).</w:t>
              </w:r>
            </w:hyperlink>
          </w:p>
        </w:tc>
        <w:tc>
          <w:tcPr>
            <w:tcW w:w="260" w:type="dxa"/>
            <w:vAlign w:val="bottom"/>
            <w:gridSpan w:val="2"/>
          </w:tcPr>
          <w:p>
            <w:pPr>
              <w:spacing w:after="0"/>
              <w:rPr>
                <w:sz w:val="13"/>
                <w:szCs w:val="13"/>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4.1</w:t>
            </w:r>
          </w:p>
        </w:tc>
        <w:tc>
          <w:tcPr>
            <w:tcW w:w="8980" w:type="dxa"/>
            <w:vAlign w:val="bottom"/>
            <w:gridSpan w:val="8"/>
          </w:tcPr>
          <w:p>
            <w:pPr>
              <w:spacing w:after="0"/>
              <w:rPr>
                <w:rFonts w:ascii="Times New Roman" w:cs="Times New Roman" w:eastAsia="Times New Roman" w:hAnsi="Times New Roman"/>
                <w:sz w:val="10"/>
                <w:szCs w:val="10"/>
                <w:color w:val="0000FF"/>
              </w:rPr>
            </w:pPr>
            <w:hyperlink r:id="rId300">
              <w:r>
                <w:rPr>
                  <w:rFonts w:ascii="Times New Roman" w:cs="Times New Roman" w:eastAsia="Times New Roman" w:hAnsi="Times New Roman"/>
                  <w:sz w:val="10"/>
                  <w:szCs w:val="10"/>
                  <w:color w:val="0000FF"/>
                </w:rPr>
                <w:t>Specimen of Ordinary Share Certificate (incorporated by reference to Exhibit 2.1 of Rezolve AI Limited’s Shell Company Report on Form 20-F, filed with the SEC on August 22, 2024).</w:t>
              </w:r>
            </w:hyperlink>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4.2</w:t>
            </w:r>
          </w:p>
        </w:tc>
        <w:tc>
          <w:tcPr>
            <w:tcW w:w="7240" w:type="dxa"/>
            <w:vAlign w:val="bottom"/>
            <w:tcBorders>
              <w:top w:val="single" w:sz="8" w:color="0000FF"/>
            </w:tcBorders>
            <w:gridSpan w:val="5"/>
          </w:tcPr>
          <w:p>
            <w:pPr>
              <w:spacing w:after="0"/>
              <w:rPr>
                <w:rFonts w:ascii="Times New Roman" w:cs="Times New Roman" w:eastAsia="Times New Roman" w:hAnsi="Times New Roman"/>
                <w:sz w:val="10"/>
                <w:szCs w:val="10"/>
                <w:color w:val="0000FF"/>
                <w:w w:val="97"/>
              </w:rPr>
            </w:pPr>
            <w:hyperlink r:id="rId301">
              <w:r>
                <w:rPr>
                  <w:rFonts w:ascii="Times New Roman" w:cs="Times New Roman" w:eastAsia="Times New Roman" w:hAnsi="Times New Roman"/>
                  <w:sz w:val="10"/>
                  <w:szCs w:val="10"/>
                  <w:color w:val="0000FF"/>
                  <w:w w:val="97"/>
                </w:rPr>
                <w:t>Specimen Rezolve Warrant Certificate (incorporated by reference to Exhibit 2.2 of Rezolve AI Limited’s Shell Company Report on Form 20-F, filed with the SEC on August 22, 2024)</w:t>
              </w:r>
            </w:hyperlink>
            <w:r>
              <w:rPr>
                <w:rFonts w:ascii="Times New Roman" w:cs="Times New Roman" w:eastAsia="Times New Roman" w:hAnsi="Times New Roman"/>
                <w:sz w:val="10"/>
                <w:szCs w:val="10"/>
                <w:color w:val="0000FF"/>
                <w:w w:val="97"/>
              </w:rPr>
              <w:t>.</w:t>
            </w:r>
          </w:p>
        </w:tc>
        <w:tc>
          <w:tcPr>
            <w:tcW w:w="1740" w:type="dxa"/>
            <w:vAlign w:val="bottom"/>
            <w:gridSpan w:val="3"/>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4.3</w:t>
            </w:r>
          </w:p>
        </w:tc>
        <w:tc>
          <w:tcPr>
            <w:tcW w:w="8940" w:type="dxa"/>
            <w:vAlign w:val="bottom"/>
            <w:tcBorders>
              <w:bottom w:val="single" w:sz="8" w:color="0000FF"/>
            </w:tcBorders>
            <w:gridSpan w:val="7"/>
          </w:tcPr>
          <w:p>
            <w:pPr>
              <w:spacing w:after="0"/>
              <w:rPr>
                <w:rFonts w:ascii="Times New Roman" w:cs="Times New Roman" w:eastAsia="Times New Roman" w:hAnsi="Times New Roman"/>
                <w:sz w:val="10"/>
                <w:szCs w:val="10"/>
                <w:color w:val="0000FF"/>
                <w:w w:val="97"/>
              </w:rPr>
            </w:pPr>
            <w:hyperlink r:id="rId297">
              <w:r>
                <w:rPr>
                  <w:rFonts w:ascii="Times New Roman" w:cs="Times New Roman" w:eastAsia="Times New Roman" w:hAnsi="Times New Roman"/>
                  <w:sz w:val="10"/>
                  <w:szCs w:val="10"/>
                  <w:color w:val="0000FF"/>
                  <w:w w:val="97"/>
                </w:rPr>
                <w:t>Business Combination Agreement, dated December 17, 2021, as amended on November 10, 2022 and as further amended and restated on June 16, 2023, as amended on August 4, 2023 (incorporated by reference to Exhibit 2.1 of</w:t>
              </w:r>
            </w:hyperlink>
          </w:p>
        </w:tc>
        <w:tc>
          <w:tcPr>
            <w:tcW w:w="40" w:type="dxa"/>
            <w:vAlign w:val="bottom"/>
          </w:tcPr>
          <w:p>
            <w:pPr>
              <w:spacing w:after="0"/>
              <w:rPr>
                <w:sz w:val="13"/>
                <w:szCs w:val="13"/>
                <w:color w:val="auto"/>
              </w:rPr>
            </w:pPr>
          </w:p>
        </w:tc>
      </w:tr>
      <w:tr>
        <w:trPr>
          <w:trHeight w:val="93"/>
        </w:trPr>
        <w:tc>
          <w:tcPr>
            <w:tcW w:w="1060" w:type="dxa"/>
            <w:vAlign w:val="bottom"/>
          </w:tcPr>
          <w:p>
            <w:pPr>
              <w:spacing w:after="0"/>
              <w:rPr>
                <w:sz w:val="8"/>
                <w:szCs w:val="8"/>
                <w:color w:val="auto"/>
              </w:rPr>
            </w:pPr>
          </w:p>
        </w:tc>
        <w:tc>
          <w:tcPr>
            <w:tcW w:w="3740" w:type="dxa"/>
            <w:vAlign w:val="bottom"/>
            <w:tcBorders>
              <w:bottom w:val="single" w:sz="8" w:color="0000FF"/>
            </w:tcBorders>
          </w:tcPr>
          <w:p>
            <w:pPr>
              <w:spacing w:after="0" w:line="93" w:lineRule="exact"/>
              <w:rPr>
                <w:rFonts w:ascii="Times New Roman" w:cs="Times New Roman" w:eastAsia="Times New Roman" w:hAnsi="Times New Roman"/>
                <w:sz w:val="10"/>
                <w:szCs w:val="10"/>
                <w:color w:val="0000FF"/>
                <w:w w:val="97"/>
              </w:rPr>
            </w:pPr>
            <w:hyperlink r:id="rId297">
              <w:r>
                <w:rPr>
                  <w:rFonts w:ascii="Times New Roman" w:cs="Times New Roman" w:eastAsia="Times New Roman" w:hAnsi="Times New Roman"/>
                  <w:sz w:val="10"/>
                  <w:szCs w:val="10"/>
                  <w:color w:val="0000FF"/>
                  <w:w w:val="97"/>
                </w:rPr>
                <w:t>Rezolve AI Limited’s Registration Statement on Form F-4, filed with the SEC on July 5, 2024).</w:t>
              </w:r>
            </w:hyperlink>
          </w:p>
        </w:tc>
        <w:tc>
          <w:tcPr>
            <w:tcW w:w="5240" w:type="dxa"/>
            <w:vAlign w:val="bottom"/>
            <w:gridSpan w:val="7"/>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6461125</wp:posOffset>
            </wp:positionH>
            <wp:positionV relativeFrom="paragraph">
              <wp:posOffset>-404495</wp:posOffset>
            </wp:positionV>
            <wp:extent cx="14605" cy="50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2">
                      <a:extLst>
                        <a:ext uri="{28A0092B-C50C-407E-A947-70E740481C1C}"/>
                      </a:extLst>
                    </a:blip>
                    <a:srcRect/>
                    <a:stretch>
                      <a:fillRect/>
                    </a:stretch>
                  </pic:blipFill>
                  <pic:spPr bwMode="auto">
                    <a:xfrm>
                      <a:off x="0" y="0"/>
                      <a:ext cx="14605" cy="5080"/>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33" w:right="660" w:bottom="1440" w:gutter="0" w:footer="0" w:header="0"/>
        </w:sectPr>
      </w:pPr>
    </w:p>
    <w:bookmarkStart w:id="277" w:name="page278"/>
    <w:bookmarkEnd w:id="277"/>
    <w:tbl>
      <w:tblPr>
        <w:tblLayout w:type="fixed"/>
        <w:tblInd w:w="0" w:type="dxa"/>
        <w:tblCellMar>
          <w:top w:w="0" w:type="dxa"/>
          <w:left w:w="0" w:type="dxa"/>
          <w:bottom w:w="0" w:type="dxa"/>
          <w:right w:w="0" w:type="dxa"/>
        </w:tblCellMar>
      </w:tblPr>
      <w:tr>
        <w:trPr>
          <w:trHeight w:val="115"/>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4.4</w:t>
            </w:r>
          </w:p>
        </w:tc>
        <w:tc>
          <w:tcPr>
            <w:tcW w:w="8980" w:type="dxa"/>
            <w:vAlign w:val="bottom"/>
            <w:tcBorders>
              <w:bottom w:val="single" w:sz="8" w:color="0000FF"/>
            </w:tcBorders>
            <w:gridSpan w:val="18"/>
          </w:tcPr>
          <w:p>
            <w:pPr>
              <w:spacing w:after="0"/>
              <w:rPr>
                <w:rFonts w:ascii="Times New Roman" w:cs="Times New Roman" w:eastAsia="Times New Roman" w:hAnsi="Times New Roman"/>
                <w:sz w:val="10"/>
                <w:szCs w:val="10"/>
                <w:color w:val="0000FF"/>
                <w:w w:val="97"/>
              </w:rPr>
            </w:pPr>
            <w:hyperlink r:id="rId298">
              <w:r>
                <w:rPr>
                  <w:rFonts w:ascii="Times New Roman" w:cs="Times New Roman" w:eastAsia="Times New Roman" w:hAnsi="Times New Roman"/>
                  <w:sz w:val="10"/>
                  <w:szCs w:val="10"/>
                  <w:color w:val="0000FF"/>
                  <w:w w:val="97"/>
                </w:rPr>
                <w:t>First Amendment to the Business Combination Agreement, dated as of August 4, 2023, by and among Armada Rezolve Limited, Rezolve and Rezolve Merger Sub (incorporated by reference to Exhibit 2.2 of Rezolve AI Limited’s</w:t>
              </w:r>
            </w:hyperlink>
          </w:p>
        </w:tc>
        <w:tc>
          <w:tcPr>
            <w:tcW w:w="180" w:type="dxa"/>
            <w:vAlign w:val="bottom"/>
            <w:gridSpan w:val="7"/>
          </w:tcPr>
          <w:p>
            <w:pPr>
              <w:spacing w:after="0"/>
              <w:rPr>
                <w:sz w:val="10"/>
                <w:szCs w:val="10"/>
                <w:color w:val="auto"/>
              </w:rPr>
            </w:pPr>
          </w:p>
        </w:tc>
      </w:tr>
      <w:tr>
        <w:trPr>
          <w:trHeight w:val="93"/>
        </w:trPr>
        <w:tc>
          <w:tcPr>
            <w:tcW w:w="1460" w:type="dxa"/>
            <w:vAlign w:val="bottom"/>
          </w:tcPr>
          <w:p>
            <w:pPr>
              <w:spacing w:after="0"/>
              <w:rPr>
                <w:sz w:val="8"/>
                <w:szCs w:val="8"/>
                <w:color w:val="auto"/>
              </w:rPr>
            </w:pPr>
          </w:p>
        </w:tc>
        <w:tc>
          <w:tcPr>
            <w:tcW w:w="2880" w:type="dxa"/>
            <w:vAlign w:val="bottom"/>
            <w:tcBorders>
              <w:bottom w:val="single" w:sz="8" w:color="0000FF"/>
            </w:tcBorders>
            <w:gridSpan w:val="9"/>
          </w:tcPr>
          <w:p>
            <w:pPr>
              <w:spacing w:after="0" w:line="93" w:lineRule="exact"/>
              <w:rPr>
                <w:rFonts w:ascii="Times New Roman" w:cs="Times New Roman" w:eastAsia="Times New Roman" w:hAnsi="Times New Roman"/>
                <w:sz w:val="10"/>
                <w:szCs w:val="10"/>
                <w:color w:val="0000FF"/>
                <w:w w:val="97"/>
              </w:rPr>
            </w:pPr>
            <w:hyperlink r:id="rId298">
              <w:r>
                <w:rPr>
                  <w:rFonts w:ascii="Times New Roman" w:cs="Times New Roman" w:eastAsia="Times New Roman" w:hAnsi="Times New Roman"/>
                  <w:sz w:val="10"/>
                  <w:szCs w:val="10"/>
                  <w:color w:val="0000FF"/>
                  <w:w w:val="97"/>
                </w:rPr>
                <w:t>Registration Statement on Form F-4, filed with the SEC on July 5, 2024).</w:t>
              </w:r>
            </w:hyperlink>
          </w:p>
        </w:tc>
        <w:tc>
          <w:tcPr>
            <w:tcW w:w="6280" w:type="dxa"/>
            <w:vAlign w:val="bottom"/>
            <w:gridSpan w:val="16"/>
          </w:tcPr>
          <w:p>
            <w:pPr>
              <w:spacing w:after="0"/>
              <w:rPr>
                <w:sz w:val="8"/>
                <w:szCs w:val="8"/>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4.5</w:t>
            </w:r>
          </w:p>
        </w:tc>
        <w:tc>
          <w:tcPr>
            <w:tcW w:w="9040" w:type="dxa"/>
            <w:vAlign w:val="bottom"/>
            <w:tcBorders>
              <w:bottom w:val="single" w:sz="8" w:color="0000FF"/>
            </w:tcBorders>
            <w:gridSpan w:val="20"/>
          </w:tcPr>
          <w:p>
            <w:pPr>
              <w:spacing w:after="0"/>
              <w:rPr>
                <w:rFonts w:ascii="Times New Roman" w:cs="Times New Roman" w:eastAsia="Times New Roman" w:hAnsi="Times New Roman"/>
                <w:sz w:val="10"/>
                <w:szCs w:val="10"/>
                <w:color w:val="0000FF"/>
                <w:w w:val="97"/>
              </w:rPr>
            </w:pPr>
            <w:hyperlink r:id="rId304">
              <w:r>
                <w:rPr>
                  <w:rFonts w:ascii="Times New Roman" w:cs="Times New Roman" w:eastAsia="Times New Roman" w:hAnsi="Times New Roman"/>
                  <w:sz w:val="10"/>
                  <w:szCs w:val="10"/>
                  <w:color w:val="0000FF"/>
                  <w:w w:val="97"/>
                </w:rPr>
                <w:t>Warrant Agreement, dated August 15, 2024, by and among Rezolve AI Limited and Computershare Inc. and its affiliate, Computershare Trust Company, N.A. (incorporated by reference to Exhibit 4.3 of Rezolve AI Limited’s Shell</w:t>
              </w:r>
            </w:hyperlink>
          </w:p>
        </w:tc>
        <w:tc>
          <w:tcPr>
            <w:tcW w:w="120" w:type="dxa"/>
            <w:vAlign w:val="bottom"/>
            <w:gridSpan w:val="5"/>
          </w:tcPr>
          <w:p>
            <w:pPr>
              <w:spacing w:after="0"/>
              <w:rPr>
                <w:sz w:val="13"/>
                <w:szCs w:val="13"/>
                <w:color w:val="auto"/>
              </w:rPr>
            </w:pPr>
          </w:p>
        </w:tc>
      </w:tr>
      <w:tr>
        <w:trPr>
          <w:trHeight w:val="93"/>
        </w:trPr>
        <w:tc>
          <w:tcPr>
            <w:tcW w:w="1460" w:type="dxa"/>
            <w:vAlign w:val="bottom"/>
          </w:tcPr>
          <w:p>
            <w:pPr>
              <w:spacing w:after="0"/>
              <w:rPr>
                <w:sz w:val="8"/>
                <w:szCs w:val="8"/>
                <w:color w:val="auto"/>
              </w:rPr>
            </w:pPr>
          </w:p>
        </w:tc>
        <w:tc>
          <w:tcPr>
            <w:tcW w:w="2860" w:type="dxa"/>
            <w:vAlign w:val="bottom"/>
            <w:tcBorders>
              <w:bottom w:val="single" w:sz="8" w:color="0000FF"/>
            </w:tcBorders>
            <w:gridSpan w:val="8"/>
          </w:tcPr>
          <w:p>
            <w:pPr>
              <w:spacing w:after="0" w:line="93" w:lineRule="exact"/>
              <w:rPr>
                <w:rFonts w:ascii="Times New Roman" w:cs="Times New Roman" w:eastAsia="Times New Roman" w:hAnsi="Times New Roman"/>
                <w:sz w:val="10"/>
                <w:szCs w:val="10"/>
                <w:color w:val="0000FF"/>
                <w:w w:val="96"/>
              </w:rPr>
            </w:pPr>
            <w:hyperlink r:id="rId304">
              <w:r>
                <w:rPr>
                  <w:rFonts w:ascii="Times New Roman" w:cs="Times New Roman" w:eastAsia="Times New Roman" w:hAnsi="Times New Roman"/>
                  <w:sz w:val="10"/>
                  <w:szCs w:val="10"/>
                  <w:color w:val="0000FF"/>
                  <w:w w:val="96"/>
                </w:rPr>
                <w:t>Company Report on Form 20-F, filed with the SEC on August 22, 2024).</w:t>
              </w:r>
            </w:hyperlink>
          </w:p>
        </w:tc>
        <w:tc>
          <w:tcPr>
            <w:tcW w:w="6300" w:type="dxa"/>
            <w:vAlign w:val="bottom"/>
            <w:gridSpan w:val="17"/>
          </w:tcPr>
          <w:p>
            <w:pPr>
              <w:spacing w:after="0"/>
              <w:rPr>
                <w:sz w:val="8"/>
                <w:szCs w:val="8"/>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4.6</w:t>
            </w:r>
          </w:p>
        </w:tc>
        <w:tc>
          <w:tcPr>
            <w:tcW w:w="9060" w:type="dxa"/>
            <w:vAlign w:val="bottom"/>
            <w:tcBorders>
              <w:bottom w:val="single" w:sz="8" w:color="0000FF"/>
            </w:tcBorders>
            <w:gridSpan w:val="21"/>
          </w:tcPr>
          <w:p>
            <w:pPr>
              <w:spacing w:after="0"/>
              <w:rPr>
                <w:rFonts w:ascii="Times New Roman" w:cs="Times New Roman" w:eastAsia="Times New Roman" w:hAnsi="Times New Roman"/>
                <w:sz w:val="10"/>
                <w:szCs w:val="10"/>
                <w:color w:val="0000FF"/>
                <w:w w:val="97"/>
              </w:rPr>
            </w:pPr>
            <w:hyperlink r:id="rId305">
              <w:r>
                <w:rPr>
                  <w:rFonts w:ascii="Times New Roman" w:cs="Times New Roman" w:eastAsia="Times New Roman" w:hAnsi="Times New Roman"/>
                  <w:sz w:val="10"/>
                  <w:szCs w:val="10"/>
                  <w:color w:val="0000FF"/>
                  <w:w w:val="97"/>
                </w:rPr>
                <w:t>Warrant Assignment, Assumption and Amendment Agreement, dated August 15, 2024, by and among Rezolve AI Limited and Computershare Inc. and its affiliate, Computershare Trust Company, N.A. (incorporated by reference to</w:t>
              </w:r>
            </w:hyperlink>
          </w:p>
        </w:tc>
        <w:tc>
          <w:tcPr>
            <w:tcW w:w="100" w:type="dxa"/>
            <w:vAlign w:val="bottom"/>
            <w:gridSpan w:val="4"/>
          </w:tcPr>
          <w:p>
            <w:pPr>
              <w:spacing w:after="0"/>
              <w:rPr>
                <w:sz w:val="13"/>
                <w:szCs w:val="13"/>
                <w:color w:val="auto"/>
              </w:rPr>
            </w:pPr>
          </w:p>
        </w:tc>
      </w:tr>
      <w:tr>
        <w:trPr>
          <w:trHeight w:val="93"/>
        </w:trPr>
        <w:tc>
          <w:tcPr>
            <w:tcW w:w="1460" w:type="dxa"/>
            <w:vAlign w:val="bottom"/>
          </w:tcPr>
          <w:p>
            <w:pPr>
              <w:spacing w:after="0"/>
              <w:rPr>
                <w:sz w:val="8"/>
                <w:szCs w:val="8"/>
                <w:color w:val="auto"/>
              </w:rPr>
            </w:pPr>
          </w:p>
        </w:tc>
        <w:tc>
          <w:tcPr>
            <w:tcW w:w="4520" w:type="dxa"/>
            <w:vAlign w:val="bottom"/>
            <w:tcBorders>
              <w:bottom w:val="single" w:sz="8" w:color="0000FF"/>
            </w:tcBorders>
            <w:gridSpan w:val="12"/>
          </w:tcPr>
          <w:p>
            <w:pPr>
              <w:spacing w:after="0" w:line="93" w:lineRule="exact"/>
              <w:rPr>
                <w:rFonts w:ascii="Times New Roman" w:cs="Times New Roman" w:eastAsia="Times New Roman" w:hAnsi="Times New Roman"/>
                <w:sz w:val="10"/>
                <w:szCs w:val="10"/>
                <w:color w:val="0000FF"/>
                <w:w w:val="97"/>
              </w:rPr>
            </w:pPr>
            <w:hyperlink r:id="rId305">
              <w:r>
                <w:rPr>
                  <w:rFonts w:ascii="Times New Roman" w:cs="Times New Roman" w:eastAsia="Times New Roman" w:hAnsi="Times New Roman"/>
                  <w:sz w:val="10"/>
                  <w:szCs w:val="10"/>
                  <w:color w:val="0000FF"/>
                  <w:w w:val="97"/>
                </w:rPr>
                <w:t>Exhibit 4.4 of Rezolve AI Limited’s Shell Company Report on Form 20-F, filed with the SEC on August 22, 2024).</w:t>
              </w:r>
            </w:hyperlink>
          </w:p>
        </w:tc>
        <w:tc>
          <w:tcPr>
            <w:tcW w:w="4640" w:type="dxa"/>
            <w:vAlign w:val="bottom"/>
            <w:gridSpan w:val="13"/>
          </w:tcPr>
          <w:p>
            <w:pPr>
              <w:spacing w:after="0"/>
              <w:rPr>
                <w:sz w:val="8"/>
                <w:szCs w:val="8"/>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4.7</w:t>
            </w:r>
          </w:p>
        </w:tc>
        <w:tc>
          <w:tcPr>
            <w:tcW w:w="9060" w:type="dxa"/>
            <w:vAlign w:val="bottom"/>
            <w:tcBorders>
              <w:bottom w:val="single" w:sz="8" w:color="0000FF"/>
            </w:tcBorders>
            <w:gridSpan w:val="21"/>
          </w:tcPr>
          <w:p>
            <w:pPr>
              <w:spacing w:after="0"/>
              <w:rPr>
                <w:rFonts w:ascii="Times New Roman" w:cs="Times New Roman" w:eastAsia="Times New Roman" w:hAnsi="Times New Roman"/>
                <w:sz w:val="10"/>
                <w:szCs w:val="10"/>
                <w:color w:val="0000FF"/>
                <w:w w:val="97"/>
              </w:rPr>
            </w:pPr>
            <w:hyperlink r:id="rId306">
              <w:r>
                <w:rPr>
                  <w:rFonts w:ascii="Times New Roman" w:cs="Times New Roman" w:eastAsia="Times New Roman" w:hAnsi="Times New Roman"/>
                  <w:sz w:val="10"/>
                  <w:szCs w:val="10"/>
                  <w:color w:val="0000FF"/>
                  <w:w w:val="97"/>
                </w:rPr>
                <w:t>Investor Rights Agreement, dated August 15, 2024, by and among Rezolve AI Limited and the holders party thereto (incorporated by reference to Exhibit 4.6 of Rezolve AI Limited’s Shell Company Report on Form 20-F, filed with</w:t>
              </w:r>
            </w:hyperlink>
          </w:p>
        </w:tc>
        <w:tc>
          <w:tcPr>
            <w:tcW w:w="100" w:type="dxa"/>
            <w:vAlign w:val="bottom"/>
            <w:gridSpan w:val="4"/>
          </w:tcPr>
          <w:p>
            <w:pPr>
              <w:spacing w:after="0"/>
              <w:rPr>
                <w:sz w:val="13"/>
                <w:szCs w:val="13"/>
                <w:color w:val="auto"/>
              </w:rPr>
            </w:pPr>
          </w:p>
        </w:tc>
      </w:tr>
      <w:tr>
        <w:trPr>
          <w:trHeight w:val="93"/>
        </w:trPr>
        <w:tc>
          <w:tcPr>
            <w:tcW w:w="1460" w:type="dxa"/>
            <w:vAlign w:val="bottom"/>
          </w:tcPr>
          <w:p>
            <w:pPr>
              <w:spacing w:after="0"/>
              <w:rPr>
                <w:sz w:val="8"/>
                <w:szCs w:val="8"/>
                <w:color w:val="auto"/>
              </w:rPr>
            </w:pPr>
          </w:p>
        </w:tc>
        <w:tc>
          <w:tcPr>
            <w:tcW w:w="1180" w:type="dxa"/>
            <w:vAlign w:val="bottom"/>
            <w:tcBorders>
              <w:bottom w:val="single" w:sz="8" w:color="0000FF"/>
            </w:tcBorders>
            <w:gridSpan w:val="2"/>
          </w:tcPr>
          <w:p>
            <w:pPr>
              <w:spacing w:after="0" w:line="93" w:lineRule="exact"/>
              <w:rPr>
                <w:rFonts w:ascii="Times New Roman" w:cs="Times New Roman" w:eastAsia="Times New Roman" w:hAnsi="Times New Roman"/>
                <w:sz w:val="10"/>
                <w:szCs w:val="10"/>
                <w:color w:val="0000FF"/>
                <w:w w:val="96"/>
              </w:rPr>
            </w:pPr>
            <w:hyperlink r:id="rId306">
              <w:r>
                <w:rPr>
                  <w:rFonts w:ascii="Times New Roman" w:cs="Times New Roman" w:eastAsia="Times New Roman" w:hAnsi="Times New Roman"/>
                  <w:sz w:val="10"/>
                  <w:szCs w:val="10"/>
                  <w:color w:val="0000FF"/>
                  <w:w w:val="96"/>
                </w:rPr>
                <w:t>the SEC on August 22, 2024).</w:t>
              </w:r>
            </w:hyperlink>
          </w:p>
        </w:tc>
        <w:tc>
          <w:tcPr>
            <w:tcW w:w="7980" w:type="dxa"/>
            <w:vAlign w:val="bottom"/>
            <w:gridSpan w:val="23"/>
          </w:tcPr>
          <w:p>
            <w:pPr>
              <w:spacing w:after="0"/>
              <w:rPr>
                <w:sz w:val="8"/>
                <w:szCs w:val="8"/>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4.8</w:t>
            </w:r>
          </w:p>
        </w:tc>
        <w:tc>
          <w:tcPr>
            <w:tcW w:w="9120" w:type="dxa"/>
            <w:vAlign w:val="bottom"/>
            <w:tcBorders>
              <w:bottom w:val="single" w:sz="8" w:color="0000FF"/>
            </w:tcBorders>
            <w:gridSpan w:val="23"/>
          </w:tcPr>
          <w:p>
            <w:pPr>
              <w:spacing w:after="0"/>
              <w:rPr>
                <w:rFonts w:ascii="Times New Roman" w:cs="Times New Roman" w:eastAsia="Times New Roman" w:hAnsi="Times New Roman"/>
                <w:sz w:val="10"/>
                <w:szCs w:val="10"/>
                <w:color w:val="0000FF"/>
                <w:w w:val="97"/>
              </w:rPr>
            </w:pPr>
            <w:hyperlink r:id="rId307">
              <w:r>
                <w:rPr>
                  <w:rFonts w:ascii="Times New Roman" w:cs="Times New Roman" w:eastAsia="Times New Roman" w:hAnsi="Times New Roman"/>
                  <w:sz w:val="10"/>
                  <w:szCs w:val="10"/>
                  <w:color w:val="0000FF"/>
                  <w:w w:val="97"/>
                </w:rPr>
                <w:t>Form of Lock-In Agreement, dated August 15, 2024, by and among Rezolve AI Limited and the holders party thereto (incorporated by reference to Exhibit 4.7 of Rezolve AI Limited’s Shell Company Report on Form 20-F, filed with</w:t>
              </w:r>
            </w:hyperlink>
          </w:p>
        </w:tc>
        <w:tc>
          <w:tcPr>
            <w:tcW w:w="40" w:type="dxa"/>
            <w:vAlign w:val="bottom"/>
            <w:gridSpan w:val="2"/>
          </w:tcPr>
          <w:p>
            <w:pPr>
              <w:spacing w:after="0"/>
              <w:rPr>
                <w:sz w:val="13"/>
                <w:szCs w:val="13"/>
                <w:color w:val="auto"/>
              </w:rPr>
            </w:pPr>
          </w:p>
        </w:tc>
      </w:tr>
      <w:tr>
        <w:trPr>
          <w:trHeight w:val="93"/>
        </w:trPr>
        <w:tc>
          <w:tcPr>
            <w:tcW w:w="1460" w:type="dxa"/>
            <w:vAlign w:val="bottom"/>
          </w:tcPr>
          <w:p>
            <w:pPr>
              <w:spacing w:after="0"/>
              <w:rPr>
                <w:sz w:val="8"/>
                <w:szCs w:val="8"/>
                <w:color w:val="auto"/>
              </w:rPr>
            </w:pPr>
          </w:p>
        </w:tc>
        <w:tc>
          <w:tcPr>
            <w:tcW w:w="1180" w:type="dxa"/>
            <w:vAlign w:val="bottom"/>
            <w:tcBorders>
              <w:bottom w:val="single" w:sz="8" w:color="0000FF"/>
            </w:tcBorders>
            <w:gridSpan w:val="2"/>
          </w:tcPr>
          <w:p>
            <w:pPr>
              <w:spacing w:after="0" w:line="93" w:lineRule="exact"/>
              <w:rPr>
                <w:rFonts w:ascii="Times New Roman" w:cs="Times New Roman" w:eastAsia="Times New Roman" w:hAnsi="Times New Roman"/>
                <w:sz w:val="10"/>
                <w:szCs w:val="10"/>
                <w:color w:val="0000FF"/>
                <w:w w:val="96"/>
              </w:rPr>
            </w:pPr>
            <w:hyperlink r:id="rId307">
              <w:r>
                <w:rPr>
                  <w:rFonts w:ascii="Times New Roman" w:cs="Times New Roman" w:eastAsia="Times New Roman" w:hAnsi="Times New Roman"/>
                  <w:sz w:val="10"/>
                  <w:szCs w:val="10"/>
                  <w:color w:val="0000FF"/>
                  <w:w w:val="96"/>
                </w:rPr>
                <w:t>the SEC on August 22, 2024).</w:t>
              </w:r>
            </w:hyperlink>
          </w:p>
        </w:tc>
        <w:tc>
          <w:tcPr>
            <w:tcW w:w="7980" w:type="dxa"/>
            <w:vAlign w:val="bottom"/>
            <w:gridSpan w:val="23"/>
          </w:tcPr>
          <w:p>
            <w:pPr>
              <w:spacing w:after="0"/>
              <w:rPr>
                <w:sz w:val="8"/>
                <w:szCs w:val="8"/>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4.9</w:t>
            </w:r>
          </w:p>
        </w:tc>
        <w:tc>
          <w:tcPr>
            <w:tcW w:w="9160" w:type="dxa"/>
            <w:vAlign w:val="bottom"/>
            <w:gridSpan w:val="25"/>
          </w:tcPr>
          <w:p>
            <w:pPr>
              <w:spacing w:after="0"/>
              <w:rPr>
                <w:rFonts w:ascii="Times New Roman" w:cs="Times New Roman" w:eastAsia="Times New Roman" w:hAnsi="Times New Roman"/>
                <w:sz w:val="10"/>
                <w:szCs w:val="10"/>
                <w:color w:val="0000FF"/>
              </w:rPr>
            </w:pPr>
            <w:hyperlink r:id="rId308">
              <w:r>
                <w:rPr>
                  <w:rFonts w:ascii="Times New Roman" w:cs="Times New Roman" w:eastAsia="Times New Roman" w:hAnsi="Times New Roman"/>
                  <w:sz w:val="10"/>
                  <w:szCs w:val="10"/>
                  <w:color w:val="0000FF"/>
                </w:rPr>
                <w:t>Form of Warrant (incorporated by reference to Rezolve's Report on Form 6-K, filed with the SEC on December 23, 2024)</w:t>
              </w:r>
            </w:hyperlink>
            <w:r>
              <w:rPr>
                <w:rFonts w:ascii="Times New Roman" w:cs="Times New Roman" w:eastAsia="Times New Roman" w:hAnsi="Times New Roman"/>
                <w:sz w:val="10"/>
                <w:szCs w:val="10"/>
                <w:color w:val="0000FF"/>
              </w:rPr>
              <w:t>.</w:t>
            </w: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5.1</w:t>
            </w:r>
          </w:p>
        </w:tc>
        <w:tc>
          <w:tcPr>
            <w:tcW w:w="130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0"/>
                <w:szCs w:val="10"/>
                <w:color w:val="0000FF"/>
                <w:w w:val="96"/>
              </w:rPr>
            </w:pPr>
            <w:hyperlink w:anchor="page1">
              <w:r>
                <w:rPr>
                  <w:rFonts w:ascii="Times New Roman" w:cs="Times New Roman" w:eastAsia="Times New Roman" w:hAnsi="Times New Roman"/>
                  <w:sz w:val="10"/>
                  <w:szCs w:val="10"/>
                  <w:color w:val="0000FF"/>
                  <w:w w:val="96"/>
                </w:rPr>
                <w:t>Opinion of Taylor Wessing LLP.</w:t>
              </w:r>
            </w:hyperlink>
          </w:p>
        </w:tc>
        <w:tc>
          <w:tcPr>
            <w:tcW w:w="3480" w:type="dxa"/>
            <w:vAlign w:val="bottom"/>
            <w:tcBorders>
              <w:top w:val="single" w:sz="8" w:color="0000FF"/>
            </w:tcBorders>
            <w:gridSpan w:val="10"/>
          </w:tcPr>
          <w:p>
            <w:pPr>
              <w:spacing w:after="0"/>
              <w:rPr>
                <w:sz w:val="13"/>
                <w:szCs w:val="13"/>
                <w:color w:val="auto"/>
              </w:rPr>
            </w:pPr>
          </w:p>
        </w:tc>
        <w:tc>
          <w:tcPr>
            <w:tcW w:w="4380" w:type="dxa"/>
            <w:vAlign w:val="bottom"/>
            <w:gridSpan w:val="12"/>
          </w:tcPr>
          <w:p>
            <w:pPr>
              <w:spacing w:after="0"/>
              <w:rPr>
                <w:sz w:val="13"/>
                <w:szCs w:val="13"/>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10.1</w:t>
            </w:r>
          </w:p>
        </w:tc>
        <w:tc>
          <w:tcPr>
            <w:tcW w:w="8680" w:type="dxa"/>
            <w:vAlign w:val="bottom"/>
            <w:tcBorders>
              <w:bottom w:val="single" w:sz="8" w:color="0000FF"/>
            </w:tcBorders>
            <w:gridSpan w:val="15"/>
          </w:tcPr>
          <w:p>
            <w:pPr>
              <w:spacing w:after="0"/>
              <w:rPr>
                <w:rFonts w:ascii="Times New Roman" w:cs="Times New Roman" w:eastAsia="Times New Roman" w:hAnsi="Times New Roman"/>
                <w:sz w:val="10"/>
                <w:szCs w:val="10"/>
                <w:color w:val="0000FF"/>
                <w:w w:val="97"/>
              </w:rPr>
            </w:pPr>
            <w:hyperlink r:id="rId309">
              <w:r>
                <w:rPr>
                  <w:rFonts w:ascii="Times New Roman" w:cs="Times New Roman" w:eastAsia="Times New Roman" w:hAnsi="Times New Roman"/>
                  <w:sz w:val="10"/>
                  <w:szCs w:val="10"/>
                  <w:color w:val="0000FF"/>
                  <w:w w:val="97"/>
                </w:rPr>
                <w:t>Loan Note Instrument dated December 16, 2021, as amended and restated on November 21, 2022, and as further amended and restated on May 23, 2023 (incorporated by reference to Exhibit 10.17 of Rezolve AI Limited’s</w:t>
              </w:r>
            </w:hyperlink>
          </w:p>
        </w:tc>
        <w:tc>
          <w:tcPr>
            <w:tcW w:w="480" w:type="dxa"/>
            <w:vAlign w:val="bottom"/>
            <w:gridSpan w:val="10"/>
          </w:tcPr>
          <w:p>
            <w:pPr>
              <w:spacing w:after="0"/>
              <w:rPr>
                <w:sz w:val="13"/>
                <w:szCs w:val="13"/>
                <w:color w:val="auto"/>
              </w:rPr>
            </w:pPr>
          </w:p>
        </w:tc>
      </w:tr>
      <w:tr>
        <w:trPr>
          <w:trHeight w:val="93"/>
        </w:trPr>
        <w:tc>
          <w:tcPr>
            <w:tcW w:w="1460" w:type="dxa"/>
            <w:vAlign w:val="bottom"/>
          </w:tcPr>
          <w:p>
            <w:pPr>
              <w:spacing w:after="0"/>
              <w:rPr>
                <w:sz w:val="8"/>
                <w:szCs w:val="8"/>
                <w:color w:val="auto"/>
              </w:rPr>
            </w:pPr>
          </w:p>
        </w:tc>
        <w:tc>
          <w:tcPr>
            <w:tcW w:w="3700" w:type="dxa"/>
            <w:vAlign w:val="bottom"/>
            <w:tcBorders>
              <w:bottom w:val="single" w:sz="8" w:color="0000FF"/>
            </w:tcBorders>
            <w:gridSpan w:val="11"/>
          </w:tcPr>
          <w:p>
            <w:pPr>
              <w:spacing w:after="0" w:line="93" w:lineRule="exact"/>
              <w:rPr>
                <w:rFonts w:ascii="Times New Roman" w:cs="Times New Roman" w:eastAsia="Times New Roman" w:hAnsi="Times New Roman"/>
                <w:sz w:val="10"/>
                <w:szCs w:val="10"/>
                <w:color w:val="0000FF"/>
                <w:w w:val="96"/>
              </w:rPr>
            </w:pPr>
            <w:hyperlink r:id="rId309">
              <w:r>
                <w:rPr>
                  <w:rFonts w:ascii="Times New Roman" w:cs="Times New Roman" w:eastAsia="Times New Roman" w:hAnsi="Times New Roman"/>
                  <w:sz w:val="10"/>
                  <w:szCs w:val="10"/>
                  <w:color w:val="0000FF"/>
                  <w:w w:val="96"/>
                </w:rPr>
                <w:t>Registration Statement on Form F-4, Amendment No. 6, filed with the SEC on June 11, 2024).</w:t>
              </w:r>
            </w:hyperlink>
          </w:p>
        </w:tc>
        <w:tc>
          <w:tcPr>
            <w:tcW w:w="5460" w:type="dxa"/>
            <w:vAlign w:val="bottom"/>
            <w:gridSpan w:val="14"/>
          </w:tcPr>
          <w:p>
            <w:pPr>
              <w:spacing w:after="0"/>
              <w:rPr>
                <w:sz w:val="8"/>
                <w:szCs w:val="8"/>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10.2</w:t>
            </w:r>
          </w:p>
        </w:tc>
        <w:tc>
          <w:tcPr>
            <w:tcW w:w="9000" w:type="dxa"/>
            <w:vAlign w:val="bottom"/>
            <w:tcBorders>
              <w:bottom w:val="single" w:sz="8" w:color="0000FF"/>
            </w:tcBorders>
            <w:gridSpan w:val="19"/>
          </w:tcPr>
          <w:p>
            <w:pPr>
              <w:spacing w:after="0"/>
              <w:rPr>
                <w:rFonts w:ascii="Times New Roman" w:cs="Times New Roman" w:eastAsia="Times New Roman" w:hAnsi="Times New Roman"/>
                <w:sz w:val="10"/>
                <w:szCs w:val="10"/>
                <w:color w:val="0000FF"/>
                <w:w w:val="97"/>
              </w:rPr>
            </w:pPr>
            <w:hyperlink r:id="rId310">
              <w:r>
                <w:rPr>
                  <w:rFonts w:ascii="Times New Roman" w:cs="Times New Roman" w:eastAsia="Times New Roman" w:hAnsi="Times New Roman"/>
                  <w:sz w:val="10"/>
                  <w:szCs w:val="10"/>
                  <w:color w:val="0000FF"/>
                  <w:w w:val="97"/>
                </w:rPr>
                <w:t>Binding Term Sheet, dated August 30, 2021, by and among Rezolve, Radio Group and the other parties thereto (incorporated by reference to Exhibit 10.18 of Rezolve AI Limited’s Registration Statement on Form F-4, Amendment</w:t>
              </w:r>
            </w:hyperlink>
          </w:p>
        </w:tc>
        <w:tc>
          <w:tcPr>
            <w:tcW w:w="160" w:type="dxa"/>
            <w:vAlign w:val="bottom"/>
            <w:gridSpan w:val="6"/>
          </w:tcPr>
          <w:p>
            <w:pPr>
              <w:spacing w:after="0"/>
              <w:rPr>
                <w:sz w:val="13"/>
                <w:szCs w:val="13"/>
                <w:color w:val="auto"/>
              </w:rPr>
            </w:pPr>
          </w:p>
        </w:tc>
      </w:tr>
      <w:tr>
        <w:trPr>
          <w:trHeight w:val="93"/>
        </w:trPr>
        <w:tc>
          <w:tcPr>
            <w:tcW w:w="1460" w:type="dxa"/>
            <w:vAlign w:val="bottom"/>
          </w:tcPr>
          <w:p>
            <w:pPr>
              <w:spacing w:after="0"/>
              <w:rPr>
                <w:sz w:val="8"/>
                <w:szCs w:val="8"/>
                <w:color w:val="auto"/>
              </w:rPr>
            </w:pPr>
          </w:p>
        </w:tc>
        <w:tc>
          <w:tcPr>
            <w:tcW w:w="1740" w:type="dxa"/>
            <w:vAlign w:val="bottom"/>
            <w:tcBorders>
              <w:bottom w:val="single" w:sz="8" w:color="0000FF"/>
            </w:tcBorders>
            <w:gridSpan w:val="4"/>
          </w:tcPr>
          <w:p>
            <w:pPr>
              <w:spacing w:after="0" w:line="93" w:lineRule="exact"/>
              <w:rPr>
                <w:rFonts w:ascii="Times New Roman" w:cs="Times New Roman" w:eastAsia="Times New Roman" w:hAnsi="Times New Roman"/>
                <w:sz w:val="10"/>
                <w:szCs w:val="10"/>
                <w:color w:val="0000FF"/>
                <w:w w:val="96"/>
              </w:rPr>
            </w:pPr>
            <w:hyperlink r:id="rId310">
              <w:r>
                <w:rPr>
                  <w:rFonts w:ascii="Times New Roman" w:cs="Times New Roman" w:eastAsia="Times New Roman" w:hAnsi="Times New Roman"/>
                  <w:sz w:val="10"/>
                  <w:szCs w:val="10"/>
                  <w:color w:val="0000FF"/>
                  <w:w w:val="96"/>
                </w:rPr>
                <w:t>No. 5, filed with the SEC on May 20, 2024).</w:t>
              </w:r>
            </w:hyperlink>
          </w:p>
        </w:tc>
        <w:tc>
          <w:tcPr>
            <w:tcW w:w="7420" w:type="dxa"/>
            <w:vAlign w:val="bottom"/>
            <w:gridSpan w:val="21"/>
          </w:tcPr>
          <w:p>
            <w:pPr>
              <w:spacing w:after="0"/>
              <w:rPr>
                <w:sz w:val="8"/>
                <w:szCs w:val="8"/>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10.3</w:t>
            </w:r>
          </w:p>
        </w:tc>
        <w:tc>
          <w:tcPr>
            <w:tcW w:w="9000" w:type="dxa"/>
            <w:vAlign w:val="bottom"/>
            <w:tcBorders>
              <w:bottom w:val="single" w:sz="8" w:color="0000FF"/>
            </w:tcBorders>
            <w:gridSpan w:val="19"/>
          </w:tcPr>
          <w:p>
            <w:pPr>
              <w:spacing w:after="0"/>
              <w:rPr>
                <w:rFonts w:ascii="Times New Roman" w:cs="Times New Roman" w:eastAsia="Times New Roman" w:hAnsi="Times New Roman"/>
                <w:sz w:val="10"/>
                <w:szCs w:val="10"/>
                <w:color w:val="0000FF"/>
                <w:w w:val="97"/>
              </w:rPr>
            </w:pPr>
            <w:hyperlink r:id="rId311">
              <w:r>
                <w:rPr>
                  <w:rFonts w:ascii="Times New Roman" w:cs="Times New Roman" w:eastAsia="Times New Roman" w:hAnsi="Times New Roman"/>
                  <w:sz w:val="10"/>
                  <w:szCs w:val="10"/>
                  <w:color w:val="0000FF"/>
                  <w:w w:val="97"/>
                </w:rPr>
                <w:t>Amendment to Binding Term Sheet, dated May 24, 2023, by and among Rezolve, Radio Group and the other parties thereto (incorporated by reference to Exhibit 10.19 of Rezolve AI Limited’s Registration Statement on Form F-4,</w:t>
              </w:r>
            </w:hyperlink>
          </w:p>
        </w:tc>
        <w:tc>
          <w:tcPr>
            <w:tcW w:w="160" w:type="dxa"/>
            <w:vAlign w:val="bottom"/>
            <w:gridSpan w:val="6"/>
          </w:tcPr>
          <w:p>
            <w:pPr>
              <w:spacing w:after="0"/>
              <w:rPr>
                <w:sz w:val="13"/>
                <w:szCs w:val="13"/>
                <w:color w:val="auto"/>
              </w:rPr>
            </w:pPr>
          </w:p>
        </w:tc>
      </w:tr>
      <w:tr>
        <w:trPr>
          <w:trHeight w:val="93"/>
        </w:trPr>
        <w:tc>
          <w:tcPr>
            <w:tcW w:w="1460" w:type="dxa"/>
            <w:vAlign w:val="bottom"/>
          </w:tcPr>
          <w:p>
            <w:pPr>
              <w:spacing w:after="0"/>
              <w:rPr>
                <w:sz w:val="8"/>
                <w:szCs w:val="8"/>
                <w:color w:val="auto"/>
              </w:rPr>
            </w:pPr>
          </w:p>
        </w:tc>
        <w:tc>
          <w:tcPr>
            <w:tcW w:w="9160" w:type="dxa"/>
            <w:vAlign w:val="bottom"/>
            <w:gridSpan w:val="25"/>
          </w:tcPr>
          <w:p>
            <w:pPr>
              <w:spacing w:after="0" w:line="93" w:lineRule="exact"/>
              <w:rPr>
                <w:rFonts w:ascii="Times New Roman" w:cs="Times New Roman" w:eastAsia="Times New Roman" w:hAnsi="Times New Roman"/>
                <w:sz w:val="10"/>
                <w:szCs w:val="10"/>
                <w:color w:val="0000FF"/>
              </w:rPr>
            </w:pPr>
            <w:hyperlink r:id="rId311">
              <w:r>
                <w:rPr>
                  <w:rFonts w:ascii="Times New Roman" w:cs="Times New Roman" w:eastAsia="Times New Roman" w:hAnsi="Times New Roman"/>
                  <w:sz w:val="10"/>
                  <w:szCs w:val="10"/>
                  <w:color w:val="0000FF"/>
                </w:rPr>
                <w:t>Amendment No. 5, filed with the SEC on May 20, 2024).</w:t>
              </w:r>
            </w:hyperlink>
          </w:p>
        </w:tc>
      </w:tr>
      <w:tr>
        <w:trPr>
          <w:trHeight w:val="20"/>
        </w:trPr>
        <w:tc>
          <w:tcPr>
            <w:tcW w:w="14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10.4</w:t>
            </w:r>
          </w:p>
        </w:tc>
        <w:tc>
          <w:tcPr>
            <w:tcW w:w="9120" w:type="dxa"/>
            <w:vAlign w:val="bottom"/>
            <w:tcBorders>
              <w:bottom w:val="single" w:sz="8" w:color="0000FF"/>
            </w:tcBorders>
            <w:gridSpan w:val="23"/>
          </w:tcPr>
          <w:p>
            <w:pPr>
              <w:spacing w:after="0"/>
              <w:rPr>
                <w:rFonts w:ascii="Times New Roman" w:cs="Times New Roman" w:eastAsia="Times New Roman" w:hAnsi="Times New Roman"/>
                <w:sz w:val="10"/>
                <w:szCs w:val="10"/>
                <w:color w:val="0000FF"/>
                <w:w w:val="97"/>
              </w:rPr>
            </w:pPr>
            <w:hyperlink r:id="rId312">
              <w:r>
                <w:rPr>
                  <w:rFonts w:ascii="Times New Roman" w:cs="Times New Roman" w:eastAsia="Times New Roman" w:hAnsi="Times New Roman"/>
                  <w:sz w:val="10"/>
                  <w:szCs w:val="10"/>
                  <w:color w:val="0000FF"/>
                  <w:w w:val="97"/>
                </w:rPr>
                <w:t>Agreement in Context of the Binding Term Sheet, dated May 24, 2023, by and among Rezolve, Radio Group and the other parties thereto (incorporated by reference to Exhibit 10.20 of Rezolve AI Limited’s Registration Statement on</w:t>
              </w:r>
            </w:hyperlink>
          </w:p>
        </w:tc>
        <w:tc>
          <w:tcPr>
            <w:tcW w:w="40" w:type="dxa"/>
            <w:vAlign w:val="bottom"/>
            <w:gridSpan w:val="2"/>
          </w:tcPr>
          <w:p>
            <w:pPr>
              <w:spacing w:after="0"/>
              <w:rPr>
                <w:sz w:val="13"/>
                <w:szCs w:val="13"/>
                <w:color w:val="auto"/>
              </w:rPr>
            </w:pPr>
          </w:p>
        </w:tc>
      </w:tr>
      <w:tr>
        <w:trPr>
          <w:trHeight w:val="93"/>
        </w:trPr>
        <w:tc>
          <w:tcPr>
            <w:tcW w:w="1460" w:type="dxa"/>
            <w:vAlign w:val="bottom"/>
          </w:tcPr>
          <w:p>
            <w:pPr>
              <w:spacing w:after="0"/>
              <w:rPr>
                <w:sz w:val="8"/>
                <w:szCs w:val="8"/>
                <w:color w:val="auto"/>
              </w:rPr>
            </w:pPr>
          </w:p>
        </w:tc>
        <w:tc>
          <w:tcPr>
            <w:tcW w:w="9160" w:type="dxa"/>
            <w:vAlign w:val="bottom"/>
            <w:gridSpan w:val="25"/>
          </w:tcPr>
          <w:p>
            <w:pPr>
              <w:spacing w:after="0" w:line="93" w:lineRule="exact"/>
              <w:rPr>
                <w:rFonts w:ascii="Times New Roman" w:cs="Times New Roman" w:eastAsia="Times New Roman" w:hAnsi="Times New Roman"/>
                <w:sz w:val="10"/>
                <w:szCs w:val="10"/>
                <w:color w:val="0000FF"/>
              </w:rPr>
            </w:pPr>
            <w:hyperlink r:id="rId312">
              <w:r>
                <w:rPr>
                  <w:rFonts w:ascii="Times New Roman" w:cs="Times New Roman" w:eastAsia="Times New Roman" w:hAnsi="Times New Roman"/>
                  <w:sz w:val="10"/>
                  <w:szCs w:val="10"/>
                  <w:color w:val="0000FF"/>
                </w:rPr>
                <w:t>Form F-4, Amendment No. 6, filed with the SEC on June 11, 2024).</w:t>
              </w:r>
            </w:hyperlink>
          </w:p>
        </w:tc>
      </w:tr>
      <w:tr>
        <w:trPr>
          <w:trHeight w:val="20"/>
        </w:trPr>
        <w:tc>
          <w:tcPr>
            <w:tcW w:w="14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10.5</w:t>
            </w:r>
          </w:p>
        </w:tc>
        <w:tc>
          <w:tcPr>
            <w:tcW w:w="9140" w:type="dxa"/>
            <w:vAlign w:val="bottom"/>
            <w:tcBorders>
              <w:bottom w:val="single" w:sz="8" w:color="0000FF"/>
            </w:tcBorders>
            <w:gridSpan w:val="24"/>
          </w:tcPr>
          <w:p>
            <w:pPr>
              <w:spacing w:after="0"/>
              <w:rPr>
                <w:rFonts w:ascii="Times New Roman" w:cs="Times New Roman" w:eastAsia="Times New Roman" w:hAnsi="Times New Roman"/>
                <w:sz w:val="10"/>
                <w:szCs w:val="10"/>
                <w:color w:val="0000FF"/>
                <w:w w:val="97"/>
              </w:rPr>
            </w:pPr>
            <w:hyperlink r:id="rId313">
              <w:r>
                <w:rPr>
                  <w:rFonts w:ascii="Times New Roman" w:cs="Times New Roman" w:eastAsia="Times New Roman" w:hAnsi="Times New Roman"/>
                  <w:sz w:val="10"/>
                  <w:szCs w:val="10"/>
                  <w:color w:val="0000FF"/>
                  <w:w w:val="97"/>
                </w:rPr>
                <w:t>Contractual Agreement, dated August 30, 2021, by and among Rezolve, Radio Group and the other parties thereto (incorporated by reference to Exhibit 10.21 of Rezolve AI Limited’s Registration Statement on Form F-4, Amendment</w:t>
              </w:r>
            </w:hyperlink>
          </w:p>
        </w:tc>
        <w:tc>
          <w:tcPr>
            <w:tcW w:w="20" w:type="dxa"/>
            <w:vAlign w:val="bottom"/>
          </w:tcPr>
          <w:p>
            <w:pPr>
              <w:spacing w:after="0"/>
              <w:rPr>
                <w:sz w:val="13"/>
                <w:szCs w:val="13"/>
                <w:color w:val="auto"/>
              </w:rPr>
            </w:pPr>
          </w:p>
        </w:tc>
      </w:tr>
      <w:tr>
        <w:trPr>
          <w:trHeight w:val="93"/>
        </w:trPr>
        <w:tc>
          <w:tcPr>
            <w:tcW w:w="1460" w:type="dxa"/>
            <w:vAlign w:val="bottom"/>
          </w:tcPr>
          <w:p>
            <w:pPr>
              <w:spacing w:after="0"/>
              <w:rPr>
                <w:sz w:val="8"/>
                <w:szCs w:val="8"/>
                <w:color w:val="auto"/>
              </w:rPr>
            </w:pPr>
          </w:p>
        </w:tc>
        <w:tc>
          <w:tcPr>
            <w:tcW w:w="1740" w:type="dxa"/>
            <w:vAlign w:val="bottom"/>
            <w:tcBorders>
              <w:bottom w:val="single" w:sz="8" w:color="0000FF"/>
            </w:tcBorders>
            <w:gridSpan w:val="4"/>
          </w:tcPr>
          <w:p>
            <w:pPr>
              <w:spacing w:after="0" w:line="93" w:lineRule="exact"/>
              <w:rPr>
                <w:rFonts w:ascii="Times New Roman" w:cs="Times New Roman" w:eastAsia="Times New Roman" w:hAnsi="Times New Roman"/>
                <w:sz w:val="10"/>
                <w:szCs w:val="10"/>
                <w:color w:val="0000FF"/>
                <w:w w:val="96"/>
              </w:rPr>
            </w:pPr>
            <w:hyperlink r:id="rId313">
              <w:r>
                <w:rPr>
                  <w:rFonts w:ascii="Times New Roman" w:cs="Times New Roman" w:eastAsia="Times New Roman" w:hAnsi="Times New Roman"/>
                  <w:sz w:val="10"/>
                  <w:szCs w:val="10"/>
                  <w:color w:val="0000FF"/>
                  <w:w w:val="96"/>
                </w:rPr>
                <w:t>No. 6, filed with the SEC on June 11, 2024).</w:t>
              </w:r>
            </w:hyperlink>
          </w:p>
        </w:tc>
        <w:tc>
          <w:tcPr>
            <w:tcW w:w="7420" w:type="dxa"/>
            <w:vAlign w:val="bottom"/>
            <w:gridSpan w:val="21"/>
          </w:tcPr>
          <w:p>
            <w:pPr>
              <w:spacing w:after="0"/>
              <w:rPr>
                <w:sz w:val="8"/>
                <w:szCs w:val="8"/>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10.6</w:t>
            </w:r>
          </w:p>
        </w:tc>
        <w:tc>
          <w:tcPr>
            <w:tcW w:w="9160" w:type="dxa"/>
            <w:vAlign w:val="bottom"/>
            <w:gridSpan w:val="25"/>
          </w:tcPr>
          <w:p>
            <w:pPr>
              <w:spacing w:after="0"/>
              <w:rPr>
                <w:rFonts w:ascii="Times New Roman" w:cs="Times New Roman" w:eastAsia="Times New Roman" w:hAnsi="Times New Roman"/>
                <w:sz w:val="10"/>
                <w:szCs w:val="10"/>
                <w:color w:val="0000FF"/>
              </w:rPr>
            </w:pPr>
            <w:hyperlink r:id="rId314">
              <w:r>
                <w:rPr>
                  <w:rFonts w:ascii="Times New Roman" w:cs="Times New Roman" w:eastAsia="Times New Roman" w:hAnsi="Times New Roman"/>
                  <w:sz w:val="10"/>
                  <w:szCs w:val="10"/>
                  <w:color w:val="0000FF"/>
                </w:rPr>
                <w:t>Contractual Relationship, dated April 30, 2023 (incorporated by reference to Exhibit 10.22 of Rezolve AI Limited’s Registration Statement on Form F-4, Amendment No. 5, filed with the SEC on May 20, 2024).</w:t>
              </w:r>
            </w:hyperlink>
          </w:p>
        </w:tc>
      </w:tr>
      <w:tr>
        <w:trPr>
          <w:trHeight w:val="20"/>
        </w:trPr>
        <w:tc>
          <w:tcPr>
            <w:tcW w:w="14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4780" w:type="dxa"/>
            <w:vAlign w:val="bottom"/>
            <w:gridSpan w:val="4"/>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10.7</w:t>
            </w:r>
          </w:p>
        </w:tc>
        <w:tc>
          <w:tcPr>
            <w:tcW w:w="9160" w:type="dxa"/>
            <w:vAlign w:val="bottom"/>
            <w:gridSpan w:val="25"/>
          </w:tcPr>
          <w:p>
            <w:pPr>
              <w:spacing w:after="0"/>
              <w:rPr>
                <w:rFonts w:ascii="Times New Roman" w:cs="Times New Roman" w:eastAsia="Times New Roman" w:hAnsi="Times New Roman"/>
                <w:sz w:val="10"/>
                <w:szCs w:val="10"/>
                <w:color w:val="0000FF"/>
                <w:w w:val="99"/>
              </w:rPr>
            </w:pPr>
            <w:hyperlink r:id="rId315">
              <w:r>
                <w:rPr>
                  <w:rFonts w:ascii="Times New Roman" w:cs="Times New Roman" w:eastAsia="Times New Roman" w:hAnsi="Times New Roman"/>
                  <w:sz w:val="10"/>
                  <w:szCs w:val="10"/>
                  <w:color w:val="0000FF"/>
                  <w:w w:val="99"/>
                </w:rPr>
                <w:t>Power of Disposal over ANY Lifestyle Marketing GmbH, dated November 17, 2023 (incorporated by reference to Exhibit 10.23 of Rezolve AI Limited’s Registration Statement on Form F-4, filed with the SEC on May 20, 2024)</w:t>
              </w:r>
            </w:hyperlink>
            <w:r>
              <w:rPr>
                <w:rFonts w:ascii="Times New Roman" w:cs="Times New Roman" w:eastAsia="Times New Roman" w:hAnsi="Times New Roman"/>
                <w:sz w:val="10"/>
                <w:szCs w:val="10"/>
                <w:color w:val="0000FF"/>
                <w:w w:val="99"/>
              </w:rPr>
              <w:t>.</w:t>
            </w:r>
          </w:p>
        </w:tc>
      </w:tr>
      <w:tr>
        <w:trPr>
          <w:trHeight w:val="20"/>
        </w:trPr>
        <w:tc>
          <w:tcPr>
            <w:tcW w:w="14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5380" w:type="dxa"/>
            <w:vAlign w:val="bottom"/>
            <w:gridSpan w:val="6"/>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10.8</w:t>
            </w:r>
          </w:p>
        </w:tc>
        <w:tc>
          <w:tcPr>
            <w:tcW w:w="9060" w:type="dxa"/>
            <w:vAlign w:val="bottom"/>
            <w:tcBorders>
              <w:bottom w:val="single" w:sz="8" w:color="0000FF"/>
            </w:tcBorders>
            <w:gridSpan w:val="21"/>
          </w:tcPr>
          <w:p>
            <w:pPr>
              <w:spacing w:after="0"/>
              <w:rPr>
                <w:rFonts w:ascii="Times New Roman" w:cs="Times New Roman" w:eastAsia="Times New Roman" w:hAnsi="Times New Roman"/>
                <w:sz w:val="10"/>
                <w:szCs w:val="10"/>
                <w:color w:val="0000FF"/>
                <w:w w:val="97"/>
              </w:rPr>
            </w:pPr>
            <w:hyperlink r:id="rId316">
              <w:r>
                <w:rPr>
                  <w:rFonts w:ascii="Times New Roman" w:cs="Times New Roman" w:eastAsia="Times New Roman" w:hAnsi="Times New Roman"/>
                  <w:sz w:val="10"/>
                  <w:szCs w:val="10"/>
                  <w:color w:val="0000FF"/>
                  <w:w w:val="97"/>
                </w:rPr>
                <w:t>Loan Agreement, dated September 28, 2023, by and among Rezolve, Radio Group and the other parties thereto (incorporated by reference to Exhibit 10.24 of Rezolve AI Limited’s Registration Statement on Form F-4, filed with the</w:t>
              </w:r>
            </w:hyperlink>
          </w:p>
        </w:tc>
        <w:tc>
          <w:tcPr>
            <w:tcW w:w="100" w:type="dxa"/>
            <w:vAlign w:val="bottom"/>
            <w:gridSpan w:val="4"/>
          </w:tcPr>
          <w:p>
            <w:pPr>
              <w:spacing w:after="0"/>
              <w:rPr>
                <w:sz w:val="13"/>
                <w:szCs w:val="13"/>
                <w:color w:val="auto"/>
              </w:rPr>
            </w:pPr>
          </w:p>
        </w:tc>
      </w:tr>
      <w:tr>
        <w:trPr>
          <w:trHeight w:val="93"/>
        </w:trPr>
        <w:tc>
          <w:tcPr>
            <w:tcW w:w="1460" w:type="dxa"/>
            <w:vAlign w:val="bottom"/>
          </w:tcPr>
          <w:p>
            <w:pPr>
              <w:spacing w:after="0"/>
              <w:rPr>
                <w:sz w:val="8"/>
                <w:szCs w:val="8"/>
                <w:color w:val="auto"/>
              </w:rPr>
            </w:pPr>
          </w:p>
        </w:tc>
        <w:tc>
          <w:tcPr>
            <w:tcW w:w="9160" w:type="dxa"/>
            <w:vAlign w:val="bottom"/>
            <w:gridSpan w:val="25"/>
          </w:tcPr>
          <w:p>
            <w:pPr>
              <w:spacing w:after="0" w:line="93" w:lineRule="exact"/>
              <w:rPr>
                <w:rFonts w:ascii="Times New Roman" w:cs="Times New Roman" w:eastAsia="Times New Roman" w:hAnsi="Times New Roman"/>
                <w:sz w:val="10"/>
                <w:szCs w:val="10"/>
                <w:color w:val="0000FF"/>
              </w:rPr>
            </w:pPr>
            <w:hyperlink r:id="rId316">
              <w:r>
                <w:rPr>
                  <w:rFonts w:ascii="Times New Roman" w:cs="Times New Roman" w:eastAsia="Times New Roman" w:hAnsi="Times New Roman"/>
                  <w:sz w:val="10"/>
                  <w:szCs w:val="10"/>
                  <w:color w:val="0000FF"/>
                </w:rPr>
                <w:t>SEC on May 20, 2024).</w:t>
              </w:r>
            </w:hyperlink>
          </w:p>
        </w:tc>
      </w:tr>
      <w:tr>
        <w:trPr>
          <w:trHeight w:val="20"/>
        </w:trPr>
        <w:tc>
          <w:tcPr>
            <w:tcW w:w="14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5380" w:type="dxa"/>
            <w:vAlign w:val="bottom"/>
            <w:gridSpan w:val="6"/>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10.9</w:t>
            </w:r>
          </w:p>
        </w:tc>
        <w:tc>
          <w:tcPr>
            <w:tcW w:w="9100" w:type="dxa"/>
            <w:vAlign w:val="bottom"/>
            <w:tcBorders>
              <w:bottom w:val="single" w:sz="8" w:color="0000FF"/>
            </w:tcBorders>
            <w:gridSpan w:val="22"/>
          </w:tcPr>
          <w:p>
            <w:pPr>
              <w:spacing w:after="0"/>
              <w:rPr>
                <w:rFonts w:ascii="Times New Roman" w:cs="Times New Roman" w:eastAsia="Times New Roman" w:hAnsi="Times New Roman"/>
                <w:sz w:val="10"/>
                <w:szCs w:val="10"/>
                <w:color w:val="0000FF"/>
                <w:w w:val="97"/>
              </w:rPr>
            </w:pPr>
            <w:hyperlink r:id="rId317">
              <w:r>
                <w:rPr>
                  <w:rFonts w:ascii="Times New Roman" w:cs="Times New Roman" w:eastAsia="Times New Roman" w:hAnsi="Times New Roman"/>
                  <w:sz w:val="10"/>
                  <w:szCs w:val="10"/>
                  <w:color w:val="0000FF"/>
                  <w:w w:val="97"/>
                </w:rPr>
                <w:t>Amended and Restated Standby Equity Purchase Agreement, dated as of February 2, 2024, by and between YA II PN, Ltd., Armada Acquisition Corp. I, Rezolve Limited and Rezolve AI Limited (incorporated by reference to Exhibit</w:t>
              </w:r>
            </w:hyperlink>
          </w:p>
        </w:tc>
        <w:tc>
          <w:tcPr>
            <w:tcW w:w="60" w:type="dxa"/>
            <w:vAlign w:val="bottom"/>
            <w:gridSpan w:val="3"/>
          </w:tcPr>
          <w:p>
            <w:pPr>
              <w:spacing w:after="0"/>
              <w:rPr>
                <w:sz w:val="13"/>
                <w:szCs w:val="13"/>
                <w:color w:val="auto"/>
              </w:rPr>
            </w:pPr>
          </w:p>
        </w:tc>
      </w:tr>
      <w:tr>
        <w:trPr>
          <w:trHeight w:val="93"/>
        </w:trPr>
        <w:tc>
          <w:tcPr>
            <w:tcW w:w="1460" w:type="dxa"/>
            <w:vAlign w:val="bottom"/>
          </w:tcPr>
          <w:p>
            <w:pPr>
              <w:spacing w:after="0"/>
              <w:rPr>
                <w:sz w:val="8"/>
                <w:szCs w:val="8"/>
                <w:color w:val="auto"/>
              </w:rPr>
            </w:pPr>
          </w:p>
        </w:tc>
        <w:tc>
          <w:tcPr>
            <w:tcW w:w="3460" w:type="dxa"/>
            <w:vAlign w:val="bottom"/>
            <w:tcBorders>
              <w:bottom w:val="single" w:sz="8" w:color="0000FF"/>
            </w:tcBorders>
            <w:gridSpan w:val="10"/>
          </w:tcPr>
          <w:p>
            <w:pPr>
              <w:spacing w:after="0" w:line="93" w:lineRule="exact"/>
              <w:rPr>
                <w:rFonts w:ascii="Times New Roman" w:cs="Times New Roman" w:eastAsia="Times New Roman" w:hAnsi="Times New Roman"/>
                <w:sz w:val="10"/>
                <w:szCs w:val="10"/>
                <w:color w:val="0000FF"/>
                <w:w w:val="97"/>
              </w:rPr>
            </w:pPr>
            <w:hyperlink r:id="rId317">
              <w:r>
                <w:rPr>
                  <w:rFonts w:ascii="Times New Roman" w:cs="Times New Roman" w:eastAsia="Times New Roman" w:hAnsi="Times New Roman"/>
                  <w:sz w:val="10"/>
                  <w:szCs w:val="10"/>
                  <w:color w:val="0000FF"/>
                  <w:w w:val="97"/>
                </w:rPr>
                <w:t>2.</w:t>
              </w:r>
              <w:r>
                <w:rPr>
                  <w:rFonts w:ascii="Times New Roman" w:cs="Times New Roman" w:eastAsia="Times New Roman" w:hAnsi="Times New Roman"/>
                  <w:sz w:val="10"/>
                  <w:szCs w:val="10"/>
                  <w:u w:val="single" w:color="auto"/>
                  <w:color w:val="0000FF"/>
                  <w:w w:val="97"/>
                </w:rPr>
                <w:t>1</w:t>
              </w:r>
              <w:r>
                <w:rPr>
                  <w:rFonts w:ascii="Times New Roman" w:cs="Times New Roman" w:eastAsia="Times New Roman" w:hAnsi="Times New Roman"/>
                  <w:sz w:val="10"/>
                  <w:szCs w:val="10"/>
                  <w:color w:val="0000FF"/>
                  <w:w w:val="97"/>
                </w:rPr>
                <w:t xml:space="preserve"> of Aramada's Current Report on Form 8-K, filed with the SEC on February 9, 2024).</w:t>
              </w:r>
            </w:hyperlink>
          </w:p>
        </w:tc>
        <w:tc>
          <w:tcPr>
            <w:tcW w:w="5700" w:type="dxa"/>
            <w:vAlign w:val="bottom"/>
            <w:gridSpan w:val="15"/>
          </w:tcPr>
          <w:p>
            <w:pPr>
              <w:spacing w:after="0"/>
              <w:rPr>
                <w:sz w:val="8"/>
                <w:szCs w:val="8"/>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10.10</w:t>
            </w:r>
          </w:p>
        </w:tc>
        <w:tc>
          <w:tcPr>
            <w:tcW w:w="9160" w:type="dxa"/>
            <w:vAlign w:val="bottom"/>
            <w:gridSpan w:val="25"/>
          </w:tcPr>
          <w:p>
            <w:pPr>
              <w:spacing w:after="0"/>
              <w:rPr>
                <w:rFonts w:ascii="Times New Roman" w:cs="Times New Roman" w:eastAsia="Times New Roman" w:hAnsi="Times New Roman"/>
                <w:sz w:val="10"/>
                <w:szCs w:val="10"/>
                <w:color w:val="0000FF"/>
                <w:w w:val="98"/>
              </w:rPr>
            </w:pPr>
            <w:hyperlink r:id="rId318">
              <w:r>
                <w:rPr>
                  <w:rFonts w:ascii="Times New Roman" w:cs="Times New Roman" w:eastAsia="Times New Roman" w:hAnsi="Times New Roman"/>
                  <w:sz w:val="10"/>
                  <w:szCs w:val="10"/>
                  <w:color w:val="0000FF"/>
                  <w:w w:val="98"/>
                </w:rPr>
                <w:t>Second Amended and Restated Standby Equity Purchase Agreement, dated as of September 6, 2024, by and between YA II PN, Ltd. and Rezolve AI Limited (incorporated by reference to Exhibit 99.1 of Rezolve's Report on Form 6-</w:t>
              </w:r>
            </w:hyperlink>
          </w:p>
        </w:tc>
      </w:tr>
      <w:tr>
        <w:trPr>
          <w:trHeight w:val="93"/>
        </w:trPr>
        <w:tc>
          <w:tcPr>
            <w:tcW w:w="1460" w:type="dxa"/>
            <w:vAlign w:val="bottom"/>
          </w:tcPr>
          <w:p>
            <w:pPr>
              <w:spacing w:after="0"/>
              <w:rPr>
                <w:sz w:val="8"/>
                <w:szCs w:val="8"/>
                <w:color w:val="auto"/>
              </w:rPr>
            </w:pPr>
          </w:p>
        </w:tc>
        <w:tc>
          <w:tcPr>
            <w:tcW w:w="1840" w:type="dxa"/>
            <w:vAlign w:val="bottom"/>
            <w:tcBorders>
              <w:top w:val="single" w:sz="8" w:color="0000FF"/>
              <w:bottom w:val="single" w:sz="8" w:color="0000FF"/>
            </w:tcBorders>
            <w:gridSpan w:val="5"/>
          </w:tcPr>
          <w:p>
            <w:pPr>
              <w:spacing w:after="0" w:line="93" w:lineRule="exact"/>
              <w:rPr>
                <w:rFonts w:ascii="Times New Roman" w:cs="Times New Roman" w:eastAsia="Times New Roman" w:hAnsi="Times New Roman"/>
                <w:sz w:val="10"/>
                <w:szCs w:val="10"/>
                <w:color w:val="0000FF"/>
                <w:w w:val="97"/>
              </w:rPr>
            </w:pPr>
            <w:hyperlink r:id="rId318">
              <w:r>
                <w:rPr>
                  <w:rFonts w:ascii="Times New Roman" w:cs="Times New Roman" w:eastAsia="Times New Roman" w:hAnsi="Times New Roman"/>
                  <w:sz w:val="10"/>
                  <w:szCs w:val="10"/>
                  <w:color w:val="0000FF"/>
                  <w:w w:val="97"/>
                </w:rPr>
                <w:t>K, filed with the SEC on September 13, 2024).</w:t>
              </w:r>
            </w:hyperlink>
          </w:p>
        </w:tc>
        <w:tc>
          <w:tcPr>
            <w:tcW w:w="7220" w:type="dxa"/>
            <w:vAlign w:val="bottom"/>
            <w:tcBorders>
              <w:top w:val="single" w:sz="8" w:color="0000FF"/>
            </w:tcBorders>
            <w:gridSpan w:val="16"/>
          </w:tcPr>
          <w:p>
            <w:pPr>
              <w:spacing w:after="0"/>
              <w:rPr>
                <w:sz w:val="8"/>
                <w:szCs w:val="8"/>
                <w:color w:val="auto"/>
              </w:rPr>
            </w:pPr>
          </w:p>
        </w:tc>
        <w:tc>
          <w:tcPr>
            <w:tcW w:w="100" w:type="dxa"/>
            <w:vAlign w:val="bottom"/>
            <w:gridSpan w:val="4"/>
          </w:tcPr>
          <w:p>
            <w:pPr>
              <w:spacing w:after="0"/>
              <w:rPr>
                <w:sz w:val="8"/>
                <w:szCs w:val="8"/>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10.11</w:t>
            </w:r>
          </w:p>
        </w:tc>
        <w:tc>
          <w:tcPr>
            <w:tcW w:w="8840" w:type="dxa"/>
            <w:vAlign w:val="bottom"/>
            <w:tcBorders>
              <w:bottom w:val="single" w:sz="8" w:color="0000FF"/>
            </w:tcBorders>
            <w:gridSpan w:val="16"/>
          </w:tcPr>
          <w:p>
            <w:pPr>
              <w:spacing w:after="0"/>
              <w:rPr>
                <w:rFonts w:ascii="Times New Roman" w:cs="Times New Roman" w:eastAsia="Times New Roman" w:hAnsi="Times New Roman"/>
                <w:sz w:val="10"/>
                <w:szCs w:val="10"/>
                <w:color w:val="0000FF"/>
                <w:w w:val="97"/>
              </w:rPr>
            </w:pPr>
            <w:hyperlink r:id="rId319">
              <w:r>
                <w:rPr>
                  <w:rFonts w:ascii="Times New Roman" w:cs="Times New Roman" w:eastAsia="Times New Roman" w:hAnsi="Times New Roman"/>
                  <w:sz w:val="10"/>
                  <w:szCs w:val="10"/>
                  <w:color w:val="0000FF"/>
                  <w:w w:val="97"/>
                </w:rPr>
                <w:t>Promissory Note, dated as of September 9, 2024, by and among YA II PN, Ltd. and Rezolve AI Limited (incorporated by reference to Exhibit 99.2 of Rezolve’s Report on Form 6-K, filed with the SEC on September 13, 2024).</w:t>
              </w:r>
            </w:hyperlink>
          </w:p>
        </w:tc>
        <w:tc>
          <w:tcPr>
            <w:tcW w:w="320" w:type="dxa"/>
            <w:vAlign w:val="bottom"/>
            <w:gridSpan w:val="9"/>
          </w:tcPr>
          <w:p>
            <w:pPr>
              <w:spacing w:after="0"/>
              <w:rPr>
                <w:sz w:val="13"/>
                <w:szCs w:val="13"/>
                <w:color w:val="auto"/>
              </w:rPr>
            </w:pPr>
          </w:p>
        </w:tc>
      </w:tr>
      <w:tr>
        <w:trPr>
          <w:trHeight w:val="233"/>
        </w:trPr>
        <w:tc>
          <w:tcPr>
            <w:tcW w:w="1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60" w:type="dxa"/>
            <w:vAlign w:val="bottom"/>
            <w:gridSpan w:val="14"/>
          </w:tcPr>
          <w:p>
            <w:pPr>
              <w:ind w:left="80"/>
              <w:spacing w:after="0"/>
              <w:rPr>
                <w:sz w:val="20"/>
                <w:szCs w:val="20"/>
                <w:color w:val="auto"/>
              </w:rPr>
            </w:pPr>
            <w:r>
              <w:rPr>
                <w:rFonts w:ascii="Times New Roman" w:cs="Times New Roman" w:eastAsia="Times New Roman" w:hAnsi="Times New Roman"/>
                <w:sz w:val="10"/>
                <w:szCs w:val="10"/>
                <w:color w:val="auto"/>
              </w:rPr>
              <w:t>II-2</w:t>
            </w:r>
          </w:p>
        </w:tc>
      </w:tr>
      <w:tr>
        <w:trPr>
          <w:trHeight w:val="422"/>
        </w:trPr>
        <w:tc>
          <w:tcPr>
            <w:tcW w:w="146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346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0">
                      <a:extLst>
                        <a:ext uri="{28A0092B-C50C-407E-A947-70E740481C1C}"/>
                      </a:extLst>
                    </a:blip>
                    <a:srcRect/>
                    <a:stretch>
                      <a:fillRect/>
                    </a:stretch>
                  </pic:blipFill>
                  <pic:spPr bwMode="auto">
                    <a:xfrm>
                      <a:off x="0" y="0"/>
                      <a:ext cx="6778625" cy="34925"/>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-723265</wp:posOffset>
            </wp:positionV>
            <wp:extent cx="14605" cy="50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1">
                      <a:extLst>
                        <a:ext uri="{28A0092B-C50C-407E-A947-70E740481C1C}"/>
                      </a:extLst>
                    </a:blip>
                    <a:srcRect/>
                    <a:stretch>
                      <a:fillRect/>
                    </a:stretch>
                  </pic:blipFill>
                  <pic:spPr bwMode="auto">
                    <a:xfrm>
                      <a:off x="0" y="0"/>
                      <a:ext cx="14605" cy="5080"/>
                    </a:xfrm>
                    <a:prstGeom prst="rect">
                      <a:avLst/>
                    </a:prstGeom>
                    <a:noFill/>
                  </pic:spPr>
                </pic:pic>
              </a:graphicData>
            </a:graphic>
          </wp:anchor>
        </w:drawing>
      </w:r>
    </w:p>
    <w:p>
      <w:pPr>
        <w:sectPr>
          <w:pgSz w:w="11900" w:h="16840" w:orient="portrait"/>
          <w:cols w:equalWidth="0" w:num="1">
            <w:col w:w="10620"/>
          </w:cols>
          <w:pgMar w:left="640" w:top="1040" w:right="640" w:bottom="1440" w:gutter="0" w:footer="0" w:header="0"/>
        </w:sectPr>
      </w:pPr>
    </w:p>
    <w:bookmarkStart w:id="278" w:name="page279"/>
    <w:bookmarkEnd w:id="278"/>
    <w:tbl>
      <w:tblPr>
        <w:tblLayout w:type="fixed"/>
        <w:tblInd w:w="400" w:type="dxa"/>
        <w:tblCellMar>
          <w:top w:w="0" w:type="dxa"/>
          <w:left w:w="0" w:type="dxa"/>
          <w:bottom w:w="0" w:type="dxa"/>
          <w:right w:w="0" w:type="dxa"/>
        </w:tblCellMar>
      </w:tblPr>
      <w:tr>
        <w:trPr>
          <w:trHeight w:val="115"/>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10.12</w:t>
            </w:r>
          </w:p>
        </w:tc>
        <w:tc>
          <w:tcPr>
            <w:tcW w:w="8140" w:type="dxa"/>
            <w:vAlign w:val="bottom"/>
            <w:tcBorders>
              <w:bottom w:val="single" w:sz="8" w:color="0000FF"/>
            </w:tcBorders>
            <w:gridSpan w:val="7"/>
          </w:tcPr>
          <w:p>
            <w:pPr>
              <w:spacing w:after="0"/>
              <w:rPr>
                <w:rFonts w:ascii="Times New Roman" w:cs="Times New Roman" w:eastAsia="Times New Roman" w:hAnsi="Times New Roman"/>
                <w:sz w:val="10"/>
                <w:szCs w:val="10"/>
                <w:color w:val="0000FF"/>
                <w:w w:val="97"/>
              </w:rPr>
            </w:pPr>
            <w:hyperlink r:id="rId322">
              <w:r>
                <w:rPr>
                  <w:rFonts w:ascii="Times New Roman" w:cs="Times New Roman" w:eastAsia="Times New Roman" w:hAnsi="Times New Roman"/>
                  <w:sz w:val="10"/>
                  <w:szCs w:val="10"/>
                  <w:color w:val="0000FF"/>
                  <w:w w:val="97"/>
                </w:rPr>
                <w:t>Promissory Note, dated as of November 29, 2024, by and among YA II PN, Ltd. and Rezolve AI Limited (incorporated by reference to Exhibit 99.1 of Rezolve's Report on Form 6-K, filed December 5, 2024).</w:t>
              </w:r>
            </w:hyperlink>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10.13</w:t>
            </w:r>
          </w:p>
        </w:tc>
        <w:tc>
          <w:tcPr>
            <w:tcW w:w="9060" w:type="dxa"/>
            <w:vAlign w:val="bottom"/>
            <w:tcBorders>
              <w:bottom w:val="single" w:sz="8" w:color="0000FF"/>
            </w:tcBorders>
            <w:gridSpan w:val="8"/>
          </w:tcPr>
          <w:p>
            <w:pPr>
              <w:spacing w:after="0"/>
              <w:rPr>
                <w:rFonts w:ascii="Times New Roman" w:cs="Times New Roman" w:eastAsia="Times New Roman" w:hAnsi="Times New Roman"/>
                <w:sz w:val="10"/>
                <w:szCs w:val="10"/>
                <w:color w:val="0000FF"/>
                <w:w w:val="97"/>
              </w:rPr>
            </w:pPr>
            <w:hyperlink r:id="rId323">
              <w:r>
                <w:rPr>
                  <w:rFonts w:ascii="Times New Roman" w:cs="Times New Roman" w:eastAsia="Times New Roman" w:hAnsi="Times New Roman"/>
                  <w:sz w:val="10"/>
                  <w:szCs w:val="10"/>
                  <w:color w:val="0000FF"/>
                  <w:w w:val="97"/>
                </w:rPr>
                <w:t>Letter Agreement, dated as of December 17, 2024, by and among the Company, Apeiron Investment Group Ltd. and Bradley Wickens (incorporated by reference to Exhibit 10.2 of Rezolve's Report on Form 6-K, filed December 18,</w:t>
              </w:r>
            </w:hyperlink>
          </w:p>
        </w:tc>
        <w:tc>
          <w:tcPr>
            <w:tcW w:w="0" w:type="dxa"/>
            <w:vAlign w:val="bottom"/>
          </w:tcPr>
          <w:p>
            <w:pPr>
              <w:spacing w:after="0"/>
              <w:rPr>
                <w:sz w:val="1"/>
                <w:szCs w:val="1"/>
                <w:color w:val="auto"/>
              </w:rPr>
            </w:pPr>
          </w:p>
        </w:tc>
      </w:tr>
      <w:tr>
        <w:trPr>
          <w:trHeight w:val="93"/>
        </w:trPr>
        <w:tc>
          <w:tcPr>
            <w:tcW w:w="106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10.14</w:t>
            </w:r>
          </w:p>
        </w:tc>
        <w:tc>
          <w:tcPr>
            <w:tcW w:w="260" w:type="dxa"/>
            <w:vAlign w:val="bottom"/>
            <w:tcBorders>
              <w:bottom w:val="single" w:sz="8" w:color="0000FF"/>
            </w:tcBorders>
          </w:tcPr>
          <w:p>
            <w:pPr>
              <w:spacing w:after="0" w:line="93" w:lineRule="exact"/>
              <w:rPr>
                <w:rFonts w:ascii="Times New Roman" w:cs="Times New Roman" w:eastAsia="Times New Roman" w:hAnsi="Times New Roman"/>
                <w:sz w:val="10"/>
                <w:szCs w:val="10"/>
                <w:color w:val="0000FF"/>
                <w:w w:val="92"/>
              </w:rPr>
            </w:pPr>
            <w:hyperlink r:id="rId323">
              <w:r>
                <w:rPr>
                  <w:rFonts w:ascii="Times New Roman" w:cs="Times New Roman" w:eastAsia="Times New Roman" w:hAnsi="Times New Roman"/>
                  <w:sz w:val="10"/>
                  <w:szCs w:val="10"/>
                  <w:color w:val="0000FF"/>
                  <w:w w:val="92"/>
                </w:rPr>
                <w:t>2024).</w:t>
              </w:r>
            </w:hyperlink>
          </w:p>
        </w:tc>
        <w:tc>
          <w:tcPr>
            <w:tcW w:w="1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060" w:type="dxa"/>
            <w:vAlign w:val="bottom"/>
            <w:vMerge w:val="continue"/>
          </w:tcPr>
          <w:p>
            <w:pPr>
              <w:spacing w:after="0"/>
              <w:rPr>
                <w:sz w:val="8"/>
                <w:szCs w:val="8"/>
                <w:color w:val="auto"/>
              </w:rPr>
            </w:pPr>
          </w:p>
        </w:tc>
        <w:tc>
          <w:tcPr>
            <w:tcW w:w="9060" w:type="dxa"/>
            <w:vAlign w:val="bottom"/>
            <w:gridSpan w:val="8"/>
          </w:tcPr>
          <w:p>
            <w:pPr>
              <w:spacing w:after="0" w:line="93" w:lineRule="exact"/>
              <w:rPr>
                <w:rFonts w:ascii="Times New Roman" w:cs="Times New Roman" w:eastAsia="Times New Roman" w:hAnsi="Times New Roman"/>
                <w:sz w:val="10"/>
                <w:szCs w:val="10"/>
                <w:color w:val="0000FF"/>
              </w:rPr>
            </w:pPr>
            <w:hyperlink r:id="rId324">
              <w:r>
                <w:rPr>
                  <w:rFonts w:ascii="Times New Roman" w:cs="Times New Roman" w:eastAsia="Times New Roman" w:hAnsi="Times New Roman"/>
                  <w:sz w:val="10"/>
                  <w:szCs w:val="10"/>
                  <w:color w:val="0000FF"/>
                </w:rPr>
                <w:t>Form of Deed of Amendment (incorporated by reference to Exhibit 10.3 of Rezolve's Report on Form 6-K, filed December 18, 2024).</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10.15</w:t>
            </w:r>
          </w:p>
        </w:tc>
        <w:tc>
          <w:tcPr>
            <w:tcW w:w="9060" w:type="dxa"/>
            <w:vAlign w:val="bottom"/>
            <w:gridSpan w:val="8"/>
          </w:tcPr>
          <w:p>
            <w:pPr>
              <w:spacing w:after="0"/>
              <w:rPr>
                <w:rFonts w:ascii="Times New Roman" w:cs="Times New Roman" w:eastAsia="Times New Roman" w:hAnsi="Times New Roman"/>
                <w:sz w:val="10"/>
                <w:szCs w:val="10"/>
                <w:color w:val="0000FF"/>
              </w:rPr>
            </w:pPr>
            <w:hyperlink r:id="rId325">
              <w:r>
                <w:rPr>
                  <w:rFonts w:ascii="Times New Roman" w:cs="Times New Roman" w:eastAsia="Times New Roman" w:hAnsi="Times New Roman"/>
                  <w:sz w:val="10"/>
                  <w:szCs w:val="10"/>
                  <w:color w:val="0000FF"/>
                </w:rPr>
                <w:t>Form of Securities Purchase Agreement (incorporated by reference to Exhibit 10.1 of Rezolve's Report on Form 6-K, filed December 23, 2024).</w:t>
              </w:r>
            </w:hyperlink>
          </w:p>
        </w:tc>
        <w:tc>
          <w:tcPr>
            <w:tcW w:w="0" w:type="dxa"/>
            <w:vAlign w:val="bottom"/>
          </w:tcPr>
          <w:p>
            <w:pPr>
              <w:spacing w:after="0"/>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23.1</w:t>
            </w:r>
          </w:p>
        </w:tc>
        <w:tc>
          <w:tcPr>
            <w:tcW w:w="144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0"/>
                <w:szCs w:val="10"/>
                <w:color w:val="0000FF"/>
                <w:w w:val="96"/>
              </w:rPr>
            </w:pPr>
            <w:hyperlink w:anchor="page1">
              <w:r>
                <w:rPr>
                  <w:rFonts w:ascii="Times New Roman" w:cs="Times New Roman" w:eastAsia="Times New Roman" w:hAnsi="Times New Roman"/>
                  <w:sz w:val="10"/>
                  <w:szCs w:val="10"/>
                  <w:color w:val="0000FF"/>
                  <w:w w:val="96"/>
                </w:rPr>
                <w:t>Consent of Grassi &amp; Co., CPAs, PC.</w:t>
              </w:r>
            </w:hyperlink>
          </w:p>
        </w:tc>
        <w:tc>
          <w:tcPr>
            <w:tcW w:w="4180" w:type="dxa"/>
            <w:vAlign w:val="bottom"/>
            <w:tcBorders>
              <w:top w:val="single" w:sz="8" w:color="0000FF"/>
            </w:tcBorders>
            <w:gridSpan w:val="4"/>
          </w:tcPr>
          <w:p>
            <w:pPr>
              <w:spacing w:after="0"/>
              <w:rPr>
                <w:sz w:val="13"/>
                <w:szCs w:val="13"/>
                <w:color w:val="auto"/>
              </w:rPr>
            </w:pPr>
          </w:p>
        </w:tc>
        <w:tc>
          <w:tcPr>
            <w:tcW w:w="34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23.2</w:t>
            </w:r>
          </w:p>
        </w:tc>
        <w:tc>
          <w:tcPr>
            <w:tcW w:w="3840" w:type="dxa"/>
            <w:vAlign w:val="bottom"/>
            <w:tcBorders>
              <w:bottom w:val="single" w:sz="8" w:color="0000FF"/>
            </w:tcBorders>
            <w:gridSpan w:val="4"/>
          </w:tcPr>
          <w:p>
            <w:pPr>
              <w:spacing w:after="0"/>
              <w:rPr>
                <w:rFonts w:ascii="Times New Roman" w:cs="Times New Roman" w:eastAsia="Times New Roman" w:hAnsi="Times New Roman"/>
                <w:sz w:val="10"/>
                <w:szCs w:val="10"/>
                <w:color w:val="0000FF"/>
                <w:w w:val="97"/>
              </w:rPr>
            </w:pPr>
            <w:hyperlink w:anchor="page1">
              <w:r>
                <w:rPr>
                  <w:rFonts w:ascii="Times New Roman" w:cs="Times New Roman" w:eastAsia="Times New Roman" w:hAnsi="Times New Roman"/>
                  <w:sz w:val="10"/>
                  <w:szCs w:val="10"/>
                  <w:color w:val="0000FF"/>
                  <w:w w:val="97"/>
                </w:rPr>
                <w:t>Consent of Marcum LLP, independent registered accounting firm for Armada Acquisition Corp. I.</w:t>
              </w:r>
            </w:hyperlink>
          </w:p>
        </w:tc>
        <w:tc>
          <w:tcPr>
            <w:tcW w:w="52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23.3</w:t>
            </w:r>
          </w:p>
        </w:tc>
        <w:tc>
          <w:tcPr>
            <w:tcW w:w="2280" w:type="dxa"/>
            <w:vAlign w:val="bottom"/>
            <w:tcBorders>
              <w:bottom w:val="single" w:sz="8" w:color="0000FF"/>
            </w:tcBorders>
            <w:gridSpan w:val="3"/>
          </w:tcPr>
          <w:p>
            <w:pPr>
              <w:spacing w:after="0"/>
              <w:rPr>
                <w:rFonts w:ascii="Times New Roman" w:cs="Times New Roman" w:eastAsia="Times New Roman" w:hAnsi="Times New Roman"/>
                <w:sz w:val="10"/>
                <w:szCs w:val="10"/>
                <w:color w:val="0000FF"/>
                <w:w w:val="96"/>
              </w:rPr>
            </w:pPr>
            <w:hyperlink w:anchor="page1">
              <w:r>
                <w:rPr>
                  <w:rFonts w:ascii="Times New Roman" w:cs="Times New Roman" w:eastAsia="Times New Roman" w:hAnsi="Times New Roman"/>
                  <w:sz w:val="10"/>
                  <w:szCs w:val="10"/>
                  <w:color w:val="0000FF"/>
                  <w:w w:val="96"/>
                </w:rPr>
                <w:t>Consent of Taylor Wessing LLP (included in Exhibit 5.1)</w:t>
              </w:r>
            </w:hyperlink>
            <w:r>
              <w:rPr>
                <w:rFonts w:ascii="Times New Roman" w:cs="Times New Roman" w:eastAsia="Times New Roman" w:hAnsi="Times New Roman"/>
                <w:sz w:val="10"/>
                <w:szCs w:val="10"/>
                <w:color w:val="0000FF"/>
                <w:w w:val="96"/>
              </w:rPr>
              <w:t>.</w:t>
            </w:r>
          </w:p>
        </w:tc>
        <w:tc>
          <w:tcPr>
            <w:tcW w:w="67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101.INS</w:t>
            </w:r>
          </w:p>
        </w:tc>
        <w:tc>
          <w:tcPr>
            <w:tcW w:w="9060" w:type="dxa"/>
            <w:vAlign w:val="bottom"/>
            <w:gridSpan w:val="8"/>
          </w:tcPr>
          <w:p>
            <w:pPr>
              <w:spacing w:after="0"/>
              <w:rPr>
                <w:sz w:val="20"/>
                <w:szCs w:val="20"/>
                <w:color w:val="auto"/>
              </w:rPr>
            </w:pPr>
            <w:r>
              <w:rPr>
                <w:rFonts w:ascii="Times New Roman" w:cs="Times New Roman" w:eastAsia="Times New Roman" w:hAnsi="Times New Roman"/>
                <w:sz w:val="10"/>
                <w:szCs w:val="10"/>
                <w:color w:val="auto"/>
              </w:rPr>
              <w:t>Inline XBRL Instance Document – 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17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101.SCH</w:t>
            </w:r>
          </w:p>
        </w:tc>
        <w:tc>
          <w:tcPr>
            <w:tcW w:w="9060" w:type="dxa"/>
            <w:vAlign w:val="bottom"/>
            <w:gridSpan w:val="8"/>
          </w:tcPr>
          <w:p>
            <w:pPr>
              <w:spacing w:after="0"/>
              <w:rPr>
                <w:sz w:val="20"/>
                <w:szCs w:val="20"/>
                <w:color w:val="auto"/>
              </w:rPr>
            </w:pPr>
            <w:r>
              <w:rPr>
                <w:rFonts w:ascii="Times New Roman" w:cs="Times New Roman" w:eastAsia="Times New Roman" w:hAnsi="Times New Roman"/>
                <w:sz w:val="10"/>
                <w:szCs w:val="10"/>
                <w:color w:val="auto"/>
              </w:rPr>
              <w:t>Inline XBRL Taxonomy Extension Schema With Embedded Linkbase Documents.</w:t>
            </w:r>
          </w:p>
        </w:tc>
        <w:tc>
          <w:tcPr>
            <w:tcW w:w="0" w:type="dxa"/>
            <w:vAlign w:val="bottom"/>
          </w:tcPr>
          <w:p>
            <w:pPr>
              <w:spacing w:after="0"/>
              <w:rPr>
                <w:sz w:val="1"/>
                <w:szCs w:val="1"/>
                <w:color w:val="auto"/>
              </w:rPr>
            </w:pPr>
          </w:p>
        </w:tc>
      </w:tr>
      <w:tr>
        <w:trPr>
          <w:trHeight w:val="17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104</w:t>
            </w:r>
          </w:p>
        </w:tc>
        <w:tc>
          <w:tcPr>
            <w:tcW w:w="9060" w:type="dxa"/>
            <w:vAlign w:val="bottom"/>
            <w:gridSpan w:val="8"/>
          </w:tcPr>
          <w:p>
            <w:pPr>
              <w:spacing w:after="0"/>
              <w:rPr>
                <w:sz w:val="20"/>
                <w:szCs w:val="20"/>
                <w:color w:val="auto"/>
              </w:rPr>
            </w:pPr>
            <w:r>
              <w:rPr>
                <w:rFonts w:ascii="Times New Roman" w:cs="Times New Roman" w:eastAsia="Times New Roman" w:hAnsi="Times New Roman"/>
                <w:sz w:val="10"/>
                <w:szCs w:val="10"/>
                <w:color w:val="auto"/>
              </w:rPr>
              <w:t>Cover Page Interactive Data File.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6089650</wp:posOffset>
            </wp:positionH>
            <wp:positionV relativeFrom="paragraph">
              <wp:posOffset>-1031875</wp:posOffset>
            </wp:positionV>
            <wp:extent cx="14605" cy="50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6">
                      <a:extLst>
                        <a:ext uri="{28A0092B-C50C-407E-A947-70E740481C1C}"/>
                      </a:extLst>
                    </a:blip>
                    <a:srcRect/>
                    <a:stretch>
                      <a:fillRect/>
                    </a:stretch>
                  </pic:blipFill>
                  <pic:spPr bwMode="auto">
                    <a:xfrm>
                      <a:off x="0" y="0"/>
                      <a:ext cx="14605" cy="5080"/>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-779145</wp:posOffset>
            </wp:positionV>
            <wp:extent cx="14605" cy="508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7">
                      <a:extLst>
                        <a:ext uri="{28A0092B-C50C-407E-A947-70E740481C1C}"/>
                      </a:extLst>
                    </a:blip>
                    <a:srcRect/>
                    <a:stretch>
                      <a:fillRect/>
                    </a:stretch>
                  </pic:blipFill>
                  <pic:spPr bwMode="auto">
                    <a:xfrm>
                      <a:off x="0" y="0"/>
                      <a:ext cx="14605" cy="5080"/>
                    </a:xfrm>
                    <a:prstGeom prst="rect">
                      <a:avLst/>
                    </a:prstGeom>
                    <a:noFill/>
                  </pic:spPr>
                </pic:pic>
              </a:graphicData>
            </a:graphic>
          </wp:anchor>
        </w:drawing>
      </w:r>
    </w:p>
    <w:p>
      <w:pPr>
        <w:spacing w:after="0" w:line="28" w:lineRule="exact"/>
        <w:rPr>
          <w:sz w:val="20"/>
          <w:szCs w:val="20"/>
          <w:color w:val="auto"/>
        </w:rPr>
      </w:pPr>
    </w:p>
    <w:p>
      <w:pPr>
        <w:ind w:left="1460" w:hanging="1065"/>
        <w:spacing w:after="0"/>
        <w:tabs>
          <w:tab w:leader="none" w:pos="1460" w:val="left"/>
        </w:tabs>
        <w:numPr>
          <w:ilvl w:val="0"/>
          <w:numId w:val="22"/>
        </w:numPr>
        <w:rPr>
          <w:rFonts w:ascii="Times New Roman" w:cs="Times New Roman" w:eastAsia="Times New Roman" w:hAnsi="Times New Roman"/>
          <w:sz w:val="10"/>
          <w:szCs w:val="10"/>
          <w:u w:val="single" w:color="auto"/>
          <w:color w:val="0000FF"/>
        </w:rPr>
      </w:pPr>
      <w:hyperlink w:anchor="page1">
        <w:r>
          <w:rPr>
            <w:rFonts w:ascii="Times New Roman" w:cs="Times New Roman" w:eastAsia="Times New Roman" w:hAnsi="Times New Roman"/>
            <w:sz w:val="10"/>
            <w:szCs w:val="10"/>
            <w:u w:val="single" w:color="auto"/>
            <w:color w:val="0000FF"/>
          </w:rPr>
          <w:t>Calculation of Fee Table.</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 9. Undertakings.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undersigned registrant, hereby undertakes: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(1)To file, during any period in which offers or sales are being made, a post-effective amendment to this registration statement:</w:t>
      </w:r>
    </w:p>
    <w:p>
      <w:pPr>
        <w:spacing w:after="0" w:line="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0"/>
          <w:szCs w:val="10"/>
          <w:color w:val="auto"/>
        </w:rPr>
        <w:t>(i)To include any prospectus required by Section 10(a)(3) of the Securities Act of 1933, as amended;</w:t>
      </w:r>
    </w:p>
    <w:p>
      <w:pPr>
        <w:spacing w:after="0" w:line="58" w:lineRule="exact"/>
        <w:rPr>
          <w:sz w:val="20"/>
          <w:szCs w:val="20"/>
          <w:color w:val="auto"/>
        </w:rPr>
      </w:pPr>
    </w:p>
    <w:p>
      <w:pPr>
        <w:ind w:left="1020" w:right="20"/>
        <w:spacing w:after="0" w:line="241" w:lineRule="auto"/>
        <w:rPr>
          <w:sz w:val="20"/>
          <w:szCs w:val="20"/>
          <w:color w:val="auto"/>
        </w:rPr>
      </w:pPr>
      <w:r>
        <w:rPr>
          <w:rFonts w:ascii="Times New Roman" w:cs="Times New Roman" w:eastAsia="Times New Roman" w:hAnsi="Times New Roman"/>
          <w:sz w:val="10"/>
          <w:szCs w:val="10"/>
          <w:color w:val="auto"/>
        </w:rPr>
        <w:t>(ii)To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4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0"/>
          <w:szCs w:val="10"/>
          <w:color w:val="auto"/>
        </w:rPr>
        <w:t>(iii)To include any material information with respect to the plan of distribution not previously disclosed in the registration statement or any material change to such information in the registration statement.</w:t>
      </w:r>
    </w:p>
    <w:p>
      <w:pPr>
        <w:spacing w:after="0" w:line="58" w:lineRule="exact"/>
        <w:rPr>
          <w:sz w:val="20"/>
          <w:szCs w:val="20"/>
          <w:color w:val="auto"/>
        </w:rPr>
      </w:pPr>
    </w:p>
    <w:p>
      <w:pPr>
        <w:ind w:left="480"/>
        <w:spacing w:after="0" w:line="255" w:lineRule="auto"/>
        <w:rPr>
          <w:sz w:val="20"/>
          <w:szCs w:val="20"/>
          <w:color w:val="auto"/>
        </w:rPr>
      </w:pPr>
      <w:r>
        <w:rPr>
          <w:rFonts w:ascii="Times New Roman" w:cs="Times New Roman" w:eastAsia="Times New Roman" w:hAnsi="Times New Roman"/>
          <w:sz w:val="10"/>
          <w:szCs w:val="10"/>
          <w:color w:val="auto"/>
        </w:rPr>
        <w:t>(2)That,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(3)To remove from registration by means of a post-effective amendment any of the securities being registered which remain unsold at the termination of the offering.</w:t>
      </w:r>
    </w:p>
    <w:p>
      <w:pPr>
        <w:spacing w:after="0" w:line="58" w:lineRule="exact"/>
        <w:rPr>
          <w:sz w:val="20"/>
          <w:szCs w:val="20"/>
          <w:color w:val="auto"/>
        </w:rPr>
      </w:pPr>
    </w:p>
    <w:p>
      <w:pPr>
        <w:ind w:left="480" w:right="60"/>
        <w:spacing w:after="0" w:line="241" w:lineRule="auto"/>
        <w:rPr>
          <w:sz w:val="20"/>
          <w:szCs w:val="20"/>
          <w:color w:val="auto"/>
        </w:rPr>
      </w:pPr>
      <w:r>
        <w:rPr>
          <w:rFonts w:ascii="Times New Roman" w:cs="Times New Roman" w:eastAsia="Times New Roman" w:hAnsi="Times New Roman"/>
          <w:sz w:val="10"/>
          <w:szCs w:val="10"/>
          <w:color w:val="auto"/>
        </w:rPr>
        <w:t>(4)That,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48" w:lineRule="exact"/>
        <w:rPr>
          <w:sz w:val="20"/>
          <w:szCs w:val="20"/>
          <w:color w:val="auto"/>
        </w:rPr>
      </w:pPr>
    </w:p>
    <w:p>
      <w:pPr>
        <w:ind w:left="480" w:right="120"/>
        <w:spacing w:after="0" w:line="255" w:lineRule="auto"/>
        <w:rPr>
          <w:sz w:val="20"/>
          <w:szCs w:val="20"/>
          <w:color w:val="auto"/>
        </w:rPr>
      </w:pPr>
      <w:r>
        <w:rPr>
          <w:rFonts w:ascii="Times New Roman" w:cs="Times New Roman" w:eastAsia="Times New Roman" w:hAnsi="Times New Roman"/>
          <w:sz w:val="10"/>
          <w:szCs w:val="10"/>
          <w:color w:val="auto"/>
        </w:rPr>
        <w:t>(5)To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40" w:right="620" w:bottom="1440" w:gutter="0" w:footer="0" w:header="0"/>
        </w:sectPr>
      </w:pPr>
    </w:p>
    <w:bookmarkStart w:id="279" w:name="page280"/>
    <w:bookmarkEnd w:id="279"/>
    <w:p>
      <w:pPr>
        <w:ind w:left="480" w:right="400"/>
        <w:spacing w:after="0" w:line="255" w:lineRule="auto"/>
        <w:rPr>
          <w:sz w:val="20"/>
          <w:szCs w:val="20"/>
          <w:color w:val="auto"/>
        </w:rPr>
      </w:pPr>
      <w:r>
        <w:rPr>
          <w:rFonts w:ascii="Times New Roman" w:cs="Times New Roman" w:eastAsia="Times New Roman" w:hAnsi="Times New Roman"/>
          <w:sz w:val="10"/>
          <w:szCs w:val="10"/>
          <w:color w:val="auto"/>
        </w:rPr>
        <w:t>prospectus, by means of a post-effective amendment, financial statements required pursuant to this paragraph (a)(4) and other information necessary to ensure that all other information in the prospectus is at least as current as the date of those financial statements.</w:t>
      </w:r>
    </w:p>
    <w:p>
      <w:pPr>
        <w:spacing w:after="0" w:line="41" w:lineRule="exact"/>
        <w:rPr>
          <w:sz w:val="20"/>
          <w:szCs w:val="20"/>
          <w:color w:val="auto"/>
        </w:rPr>
      </w:pPr>
    </w:p>
    <w:p>
      <w:pPr>
        <w:ind w:left="480" w:right="20"/>
        <w:spacing w:after="0" w:line="245" w:lineRule="auto"/>
        <w:rPr>
          <w:sz w:val="20"/>
          <w:szCs w:val="20"/>
          <w:color w:val="auto"/>
        </w:rPr>
      </w:pPr>
      <w:r>
        <w:rPr>
          <w:rFonts w:ascii="Times New Roman" w:cs="Times New Roman" w:eastAsia="Times New Roman" w:hAnsi="Times New Roman"/>
          <w:sz w:val="10"/>
          <w:szCs w:val="10"/>
          <w:color w:val="auto"/>
        </w:rPr>
        <w:t>(6)That,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4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0"/>
          <w:szCs w:val="10"/>
          <w:color w:val="auto"/>
        </w:rPr>
        <w:t>(i)Any preliminary prospectus or prospectus of the undersigned registrant relating to the offering required to be filed pursuant to Rule 424;</w:t>
      </w:r>
    </w:p>
    <w:p>
      <w:pPr>
        <w:spacing w:after="0" w:line="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0"/>
          <w:szCs w:val="10"/>
          <w:color w:val="auto"/>
        </w:rPr>
        <w:t>(ii)Any free writing prospectus relating to the offering prepared by or on behalf of the undersigned registrant or used or referred to by the undersigned registrant;</w:t>
      </w:r>
    </w:p>
    <w:p>
      <w:pPr>
        <w:spacing w:after="0" w:line="58" w:lineRule="exact"/>
        <w:rPr>
          <w:sz w:val="20"/>
          <w:szCs w:val="20"/>
          <w:color w:val="auto"/>
        </w:rPr>
      </w:pPr>
    </w:p>
    <w:p>
      <w:pPr>
        <w:ind w:left="1020" w:right="1220"/>
        <w:spacing w:after="0" w:line="380" w:lineRule="auto"/>
        <w:rPr>
          <w:sz w:val="20"/>
          <w:szCs w:val="20"/>
          <w:color w:val="auto"/>
        </w:rPr>
      </w:pPr>
      <w:r>
        <w:rPr>
          <w:rFonts w:ascii="Times New Roman" w:cs="Times New Roman" w:eastAsia="Times New Roman" w:hAnsi="Times New Roman"/>
          <w:sz w:val="10"/>
          <w:szCs w:val="10"/>
          <w:color w:val="auto"/>
        </w:rPr>
        <w:t>(iii)The portion of any other free writing prospectus relating to the offering containing material information about the undersigned registrant or its securities provided by or on behalf of the undersigned registrant; and (iv)Any other communication that is an offer in the offering made by the undersigned registrant to the purchaser.</w:t>
      </w:r>
    </w:p>
    <w:p>
      <w:pPr>
        <w:spacing w:after="0" w:line="41"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9"/>
          <w:szCs w:val="9"/>
          <w:color w:val="auto"/>
        </w:rPr>
        <w:t>Insofar as indemnification for liabilities arising under the Securities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280" w:name="page281"/>
    <w:bookmarkEnd w:id="280"/>
    <w:p>
      <w:pPr>
        <w:jc w:val="center"/>
        <w:spacing w:after="0"/>
        <w:rPr>
          <w:sz w:val="20"/>
          <w:szCs w:val="20"/>
          <w:color w:val="auto"/>
        </w:rPr>
      </w:pPr>
      <w:r>
        <w:rPr>
          <w:rFonts w:ascii="Times New Roman" w:cs="Times New Roman" w:eastAsia="Times New Roman" w:hAnsi="Times New Roman"/>
          <w:sz w:val="10"/>
          <w:szCs w:val="10"/>
          <w:b w:val="1"/>
          <w:bCs w:val="1"/>
          <w:color w:val="auto"/>
        </w:rPr>
        <w:t>SIGNATURES</w:t>
      </w:r>
    </w:p>
    <w:p>
      <w:pPr>
        <w:spacing w:after="0" w:line="97"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Pursuant to the requirements of the Securities Act of 1933, the Registrant has duly caused this Registration Statement on Form F-1 to be signed on its behalf by the undersigned, thereunto duly authorized, in the city of London, United Kingdom, on the 10th day of January, 2025.</w:t>
      </w:r>
    </w:p>
    <w:p>
      <w:pPr>
        <w:spacing w:after="0" w:line="27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120" w:lineRule="exact"/>
        <w:rPr>
          <w:sz w:val="20"/>
          <w:szCs w:val="20"/>
          <w:color w:val="auto"/>
        </w:rPr>
      </w:pPr>
    </w:p>
    <w:tbl>
      <w:tblPr>
        <w:tblLayout w:type="fixed"/>
        <w:tblInd w:w="6380" w:type="dxa"/>
        <w:tblCellMar>
          <w:top w:w="0" w:type="dxa"/>
          <w:left w:w="0" w:type="dxa"/>
          <w:bottom w:w="0" w:type="dxa"/>
          <w:right w:w="0" w:type="dxa"/>
        </w:tblCellMar>
      </w:tblPr>
      <w:tr>
        <w:trPr>
          <w:trHeight w:val="119"/>
        </w:trPr>
        <w:tc>
          <w:tcPr>
            <w:tcW w:w="400" w:type="dxa"/>
            <w:vAlign w:val="bottom"/>
          </w:tcPr>
          <w:p>
            <w:pPr>
              <w:spacing w:after="0"/>
              <w:rPr>
                <w:sz w:val="20"/>
                <w:szCs w:val="20"/>
                <w:color w:val="auto"/>
              </w:rPr>
            </w:pPr>
            <w:r>
              <w:rPr>
                <w:rFonts w:ascii="Times New Roman" w:cs="Times New Roman" w:eastAsia="Times New Roman" w:hAnsi="Times New Roman"/>
                <w:sz w:val="10"/>
                <w:szCs w:val="10"/>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color w:val="auto"/>
              </w:rPr>
              <w:t>/s/ Daniel Wagner</w:t>
            </w:r>
          </w:p>
        </w:tc>
      </w:tr>
      <w:tr>
        <w:trPr>
          <w:trHeight w:val="93"/>
        </w:trPr>
        <w:tc>
          <w:tcPr>
            <w:tcW w:w="400" w:type="dxa"/>
            <w:vAlign w:val="bottom"/>
          </w:tcPr>
          <w:p>
            <w:pPr>
              <w:spacing w:after="0"/>
              <w:rPr>
                <w:sz w:val="8"/>
                <w:szCs w:val="8"/>
                <w:color w:val="auto"/>
              </w:rPr>
            </w:pPr>
          </w:p>
        </w:tc>
        <w:tc>
          <w:tcPr>
            <w:tcW w:w="3840" w:type="dxa"/>
            <w:vAlign w:val="bottom"/>
          </w:tcPr>
          <w:p>
            <w:pPr>
              <w:spacing w:after="0" w:line="93" w:lineRule="exact"/>
              <w:rPr>
                <w:sz w:val="20"/>
                <w:szCs w:val="20"/>
                <w:color w:val="auto"/>
              </w:rPr>
            </w:pPr>
            <w:r>
              <w:rPr>
                <w:rFonts w:ascii="Times New Roman" w:cs="Times New Roman" w:eastAsia="Times New Roman" w:hAnsi="Times New Roman"/>
                <w:sz w:val="10"/>
                <w:szCs w:val="10"/>
                <w:color w:val="auto"/>
              </w:rPr>
              <w:t>Daniel Wagner</w:t>
            </w:r>
          </w:p>
        </w:tc>
      </w:tr>
      <w:tr>
        <w:trPr>
          <w:trHeight w:val="125"/>
        </w:trPr>
        <w:tc>
          <w:tcPr>
            <w:tcW w:w="400" w:type="dxa"/>
            <w:vAlign w:val="bottom"/>
          </w:tcPr>
          <w:p>
            <w:pPr>
              <w:spacing w:after="0"/>
              <w:rPr>
                <w:sz w:val="10"/>
                <w:szCs w:val="1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0"/>
                <w:szCs w:val="10"/>
                <w:color w:val="auto"/>
              </w:rPr>
              <w:t>Chief Executive Officer</w:t>
            </w:r>
          </w:p>
        </w:tc>
      </w:tr>
    </w:tbl>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Pursuant to the requirements of the Securities Act of 1933, this Registration Statement has been signed by the following persons in the capacities and on the dates indicated.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48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8"/>
                <w:szCs w:val="8"/>
                <w:b w:val="1"/>
                <w:bCs w:val="1"/>
                <w:color w:val="auto"/>
              </w:rPr>
              <w:t>Name</w:t>
            </w:r>
          </w:p>
        </w:tc>
        <w:tc>
          <w:tcPr>
            <w:tcW w:w="80" w:type="dxa"/>
            <w:vAlign w:val="bottom"/>
          </w:tcPr>
          <w:p>
            <w:pPr>
              <w:spacing w:after="0"/>
              <w:rPr>
                <w:sz w:val="9"/>
                <w:szCs w:val="9"/>
                <w:color w:val="auto"/>
              </w:rPr>
            </w:pPr>
          </w:p>
        </w:tc>
        <w:tc>
          <w:tcPr>
            <w:tcW w:w="372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8"/>
                <w:szCs w:val="8"/>
                <w:b w:val="1"/>
                <w:bCs w:val="1"/>
                <w:color w:val="auto"/>
              </w:rPr>
              <w:t>Title</w:t>
            </w:r>
          </w:p>
        </w:tc>
        <w:tc>
          <w:tcPr>
            <w:tcW w:w="220" w:type="dxa"/>
            <w:vAlign w:val="bottom"/>
          </w:tcPr>
          <w:p>
            <w:pPr>
              <w:spacing w:after="0"/>
              <w:rPr>
                <w:sz w:val="9"/>
                <w:szCs w:val="9"/>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Date</w:t>
            </w:r>
          </w:p>
        </w:tc>
        <w:tc>
          <w:tcPr>
            <w:tcW w:w="0" w:type="dxa"/>
            <w:vAlign w:val="bottom"/>
          </w:tcPr>
          <w:p>
            <w:pPr>
              <w:spacing w:after="0"/>
              <w:rPr>
                <w:sz w:val="1"/>
                <w:szCs w:val="1"/>
                <w:color w:val="auto"/>
              </w:rPr>
            </w:pPr>
          </w:p>
        </w:tc>
      </w:tr>
      <w:tr>
        <w:trPr>
          <w:trHeight w:val="223"/>
        </w:trPr>
        <w:tc>
          <w:tcPr>
            <w:tcW w:w="480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color w:val="auto"/>
                <w:w w:val="96"/>
              </w:rPr>
              <w:t>/s/ Daniel Wagner</w:t>
            </w:r>
          </w:p>
        </w:tc>
        <w:tc>
          <w:tcPr>
            <w:tcW w:w="8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Chief Executive Officer and Director</w:t>
            </w:r>
          </w:p>
        </w:tc>
        <w:tc>
          <w:tcPr>
            <w:tcW w:w="2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January 10, 2025</w:t>
            </w:r>
          </w:p>
        </w:tc>
        <w:tc>
          <w:tcPr>
            <w:tcW w:w="0" w:type="dxa"/>
            <w:vAlign w:val="bottom"/>
          </w:tcPr>
          <w:p>
            <w:pPr>
              <w:spacing w:after="0"/>
              <w:rPr>
                <w:sz w:val="1"/>
                <w:szCs w:val="1"/>
                <w:color w:val="auto"/>
              </w:rPr>
            </w:pPr>
          </w:p>
        </w:tc>
      </w:tr>
      <w:tr>
        <w:trPr>
          <w:trHeight w:val="114"/>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Daniel Wagner</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tcPr>
          <w:p>
            <w:pPr>
              <w:ind w:left="20"/>
              <w:spacing w:after="0" w:line="105" w:lineRule="exact"/>
              <w:rPr>
                <w:sz w:val="20"/>
                <w:szCs w:val="20"/>
                <w:color w:val="auto"/>
              </w:rPr>
            </w:pPr>
            <w:r>
              <w:rPr>
                <w:rFonts w:ascii="Times New Roman" w:cs="Times New Roman" w:eastAsia="Times New Roman" w:hAnsi="Times New Roman"/>
                <w:sz w:val="10"/>
                <w:szCs w:val="10"/>
                <w:color w:val="auto"/>
              </w:rPr>
              <w:t>(Principal Executive Officer)</w:t>
            </w:r>
          </w:p>
        </w:tc>
        <w:tc>
          <w:tcPr>
            <w:tcW w:w="2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480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color w:val="auto"/>
                <w:w w:val="98"/>
              </w:rPr>
              <w:t>/s/ Richard Burchill</w:t>
            </w:r>
          </w:p>
        </w:tc>
        <w:tc>
          <w:tcPr>
            <w:tcW w:w="8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Chief Financial Officer</w:t>
            </w:r>
          </w:p>
        </w:tc>
        <w:tc>
          <w:tcPr>
            <w:tcW w:w="2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January 10, 2025</w:t>
            </w:r>
          </w:p>
        </w:tc>
        <w:tc>
          <w:tcPr>
            <w:tcW w:w="0" w:type="dxa"/>
            <w:vAlign w:val="bottom"/>
          </w:tcPr>
          <w:p>
            <w:pPr>
              <w:spacing w:after="0"/>
              <w:rPr>
                <w:sz w:val="1"/>
                <w:szCs w:val="1"/>
                <w:color w:val="auto"/>
              </w:rPr>
            </w:pPr>
          </w:p>
        </w:tc>
      </w:tr>
      <w:tr>
        <w:trPr>
          <w:trHeight w:val="114"/>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Richard Burchill</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tcPr>
          <w:p>
            <w:pPr>
              <w:ind w:left="20"/>
              <w:spacing w:after="0" w:line="105" w:lineRule="exact"/>
              <w:rPr>
                <w:sz w:val="20"/>
                <w:szCs w:val="20"/>
                <w:color w:val="auto"/>
              </w:rPr>
            </w:pPr>
            <w:r>
              <w:rPr>
                <w:rFonts w:ascii="Times New Roman" w:cs="Times New Roman" w:eastAsia="Times New Roman" w:hAnsi="Times New Roman"/>
                <w:sz w:val="10"/>
                <w:szCs w:val="10"/>
                <w:color w:val="auto"/>
              </w:rPr>
              <w:t>(Principal Financial and Accounting Officer)</w:t>
            </w:r>
          </w:p>
        </w:tc>
        <w:tc>
          <w:tcPr>
            <w:tcW w:w="220" w:type="dxa"/>
            <w:vAlign w:val="bottom"/>
          </w:tcPr>
          <w:p>
            <w:pPr>
              <w:spacing w:after="0"/>
              <w:rPr>
                <w:sz w:val="9"/>
                <w:szCs w:val="9"/>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January 10, 2025</w:t>
            </w:r>
          </w:p>
        </w:tc>
        <w:tc>
          <w:tcPr>
            <w:tcW w:w="0" w:type="dxa"/>
            <w:vAlign w:val="bottom"/>
          </w:tcPr>
          <w:p>
            <w:pPr>
              <w:spacing w:after="0"/>
              <w:rPr>
                <w:sz w:val="1"/>
                <w:szCs w:val="1"/>
                <w:color w:val="auto"/>
              </w:rPr>
            </w:pPr>
          </w:p>
        </w:tc>
      </w:tr>
      <w:tr>
        <w:trPr>
          <w:trHeight w:val="111"/>
        </w:trPr>
        <w:tc>
          <w:tcPr>
            <w:tcW w:w="4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0"/>
                <w:szCs w:val="10"/>
                <w:color w:val="auto"/>
                <w:w w:val="96"/>
              </w:rPr>
              <w:t>/s/ Anthony Sharp</w:t>
            </w:r>
          </w:p>
        </w:tc>
        <w:tc>
          <w:tcPr>
            <w:tcW w:w="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Director</w:t>
            </w:r>
          </w:p>
        </w:tc>
        <w:tc>
          <w:tcPr>
            <w:tcW w:w="220" w:type="dxa"/>
            <w:vAlign w:val="bottom"/>
          </w:tcPr>
          <w:p>
            <w:pPr>
              <w:spacing w:after="0"/>
              <w:rPr>
                <w:sz w:val="9"/>
                <w:szCs w:val="9"/>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January 10, 2025</w:t>
            </w:r>
          </w:p>
        </w:tc>
        <w:tc>
          <w:tcPr>
            <w:tcW w:w="0" w:type="dxa"/>
            <w:vAlign w:val="bottom"/>
          </w:tcPr>
          <w:p>
            <w:pPr>
              <w:spacing w:after="0"/>
              <w:rPr>
                <w:sz w:val="1"/>
                <w:szCs w:val="1"/>
                <w:color w:val="auto"/>
              </w:rPr>
            </w:pPr>
          </w:p>
        </w:tc>
      </w:tr>
      <w:tr>
        <w:trPr>
          <w:trHeight w:val="114"/>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Anthony Sharp</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48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color w:val="auto"/>
                <w:w w:val="98"/>
              </w:rPr>
              <w:t>/s/ Sir David Wright</w:t>
            </w:r>
          </w:p>
        </w:tc>
        <w:tc>
          <w:tcPr>
            <w:tcW w:w="80" w:type="dxa"/>
            <w:vAlign w:val="bottom"/>
          </w:tcPr>
          <w:p>
            <w:pPr>
              <w:spacing w:after="0"/>
              <w:rPr>
                <w:sz w:val="18"/>
                <w:szCs w:val="18"/>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Director</w:t>
            </w:r>
          </w:p>
        </w:tc>
        <w:tc>
          <w:tcPr>
            <w:tcW w:w="220" w:type="dxa"/>
            <w:vAlign w:val="bottom"/>
          </w:tcPr>
          <w:p>
            <w:pPr>
              <w:spacing w:after="0"/>
              <w:rPr>
                <w:sz w:val="18"/>
                <w:szCs w:val="18"/>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January 10, 2025</w:t>
            </w:r>
          </w:p>
        </w:tc>
        <w:tc>
          <w:tcPr>
            <w:tcW w:w="0" w:type="dxa"/>
            <w:vAlign w:val="bottom"/>
          </w:tcPr>
          <w:p>
            <w:pPr>
              <w:spacing w:after="0"/>
              <w:rPr>
                <w:sz w:val="1"/>
                <w:szCs w:val="1"/>
                <w:color w:val="auto"/>
              </w:rPr>
            </w:pPr>
          </w:p>
        </w:tc>
      </w:tr>
      <w:tr>
        <w:trPr>
          <w:trHeight w:val="114"/>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Sir David Wright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480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color w:val="auto"/>
                <w:w w:val="96"/>
              </w:rPr>
              <w:t>/s/ Stephen Perry</w:t>
            </w:r>
          </w:p>
        </w:tc>
        <w:tc>
          <w:tcPr>
            <w:tcW w:w="80" w:type="dxa"/>
            <w:vAlign w:val="bottom"/>
          </w:tcPr>
          <w:p>
            <w:pPr>
              <w:spacing w:after="0"/>
              <w:rPr>
                <w:sz w:val="18"/>
                <w:szCs w:val="18"/>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Director</w:t>
            </w:r>
          </w:p>
        </w:tc>
        <w:tc>
          <w:tcPr>
            <w:tcW w:w="220" w:type="dxa"/>
            <w:vAlign w:val="bottom"/>
          </w:tcPr>
          <w:p>
            <w:pPr>
              <w:spacing w:after="0"/>
              <w:rPr>
                <w:sz w:val="18"/>
                <w:szCs w:val="18"/>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January 10, 2025</w:t>
            </w:r>
          </w:p>
        </w:tc>
        <w:tc>
          <w:tcPr>
            <w:tcW w:w="0" w:type="dxa"/>
            <w:vAlign w:val="bottom"/>
          </w:tcPr>
          <w:p>
            <w:pPr>
              <w:spacing w:after="0"/>
              <w:rPr>
                <w:sz w:val="1"/>
                <w:szCs w:val="1"/>
                <w:color w:val="auto"/>
              </w:rPr>
            </w:pPr>
          </w:p>
        </w:tc>
      </w:tr>
      <w:tr>
        <w:trPr>
          <w:trHeight w:val="114"/>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Stephen Perry</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4780" w:type="dxa"/>
            <w:vAlign w:val="bottom"/>
            <w:tcBorders>
              <w:bottom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Director</w:t>
            </w:r>
          </w:p>
        </w:tc>
        <w:tc>
          <w:tcPr>
            <w:tcW w:w="220" w:type="dxa"/>
            <w:vAlign w:val="bottom"/>
          </w:tcPr>
          <w:p>
            <w:pPr>
              <w:spacing w:after="0"/>
              <w:rPr>
                <w:sz w:val="18"/>
                <w:szCs w:val="18"/>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January 10, 2025</w:t>
            </w:r>
          </w:p>
        </w:tc>
        <w:tc>
          <w:tcPr>
            <w:tcW w:w="0" w:type="dxa"/>
            <w:vAlign w:val="bottom"/>
          </w:tcPr>
          <w:p>
            <w:pPr>
              <w:spacing w:after="0"/>
              <w:rPr>
                <w:sz w:val="1"/>
                <w:szCs w:val="1"/>
                <w:color w:val="auto"/>
              </w:rPr>
            </w:pPr>
          </w:p>
        </w:tc>
      </w:tr>
      <w:tr>
        <w:trPr>
          <w:trHeight w:val="114"/>
        </w:trPr>
        <w:tc>
          <w:tcPr>
            <w:tcW w:w="4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John Wagner</w:t>
            </w: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8"/>
              </w:rPr>
              <w:t>/s/ Derek Smith</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Director</w:t>
            </w:r>
          </w:p>
        </w:tc>
        <w:tc>
          <w:tcPr>
            <w:tcW w:w="220" w:type="dxa"/>
            <w:vAlign w:val="bottom"/>
          </w:tcPr>
          <w:p>
            <w:pPr>
              <w:spacing w:after="0"/>
              <w:rPr>
                <w:sz w:val="24"/>
                <w:szCs w:val="24"/>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January 10, 2025</w:t>
            </w:r>
          </w:p>
        </w:tc>
        <w:tc>
          <w:tcPr>
            <w:tcW w:w="0" w:type="dxa"/>
            <w:vAlign w:val="bottom"/>
          </w:tcPr>
          <w:p>
            <w:pPr>
              <w:spacing w:after="0"/>
              <w:rPr>
                <w:sz w:val="1"/>
                <w:szCs w:val="1"/>
                <w:color w:val="auto"/>
              </w:rPr>
            </w:pPr>
          </w:p>
        </w:tc>
      </w:tr>
      <w:tr>
        <w:trPr>
          <w:trHeight w:val="106"/>
        </w:trPr>
        <w:tc>
          <w:tcPr>
            <w:tcW w:w="47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Derek Smith</w:t>
            </w:r>
          </w:p>
        </w:tc>
        <w:tc>
          <w:tcPr>
            <w:tcW w:w="2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4780" w:type="dxa"/>
            <w:vAlign w:val="bottom"/>
            <w:tcBorders>
              <w:bottom w:val="single" w:sz="8" w:color="auto"/>
            </w:tcBorders>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5"/>
        </w:trPr>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 Stephen Herbert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Director</w:t>
            </w:r>
          </w:p>
        </w:tc>
        <w:tc>
          <w:tcPr>
            <w:tcW w:w="220" w:type="dxa"/>
            <w:vAlign w:val="bottom"/>
          </w:tcPr>
          <w:p>
            <w:pPr>
              <w:spacing w:after="0"/>
              <w:rPr>
                <w:sz w:val="24"/>
                <w:szCs w:val="24"/>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January 10, 2025</w:t>
            </w:r>
          </w:p>
        </w:tc>
        <w:tc>
          <w:tcPr>
            <w:tcW w:w="0" w:type="dxa"/>
            <w:vAlign w:val="bottom"/>
          </w:tcPr>
          <w:p>
            <w:pPr>
              <w:spacing w:after="0"/>
              <w:rPr>
                <w:sz w:val="1"/>
                <w:szCs w:val="1"/>
                <w:color w:val="auto"/>
              </w:rPr>
            </w:pPr>
          </w:p>
        </w:tc>
      </w:tr>
      <w:tr>
        <w:trPr>
          <w:trHeight w:val="106"/>
        </w:trPr>
        <w:tc>
          <w:tcPr>
            <w:tcW w:w="4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7"/>
              </w:rPr>
              <w:t>Stephen Herbert</w:t>
            </w:r>
          </w:p>
        </w:tc>
        <w:tc>
          <w:tcPr>
            <w:tcW w:w="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0"/>
        </w:trPr>
        <w:tc>
          <w:tcPr>
            <w:tcW w:w="47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37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8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81" w:name="page282"/>
    <w:bookmarkEnd w:id="281"/>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SIGNATURE OF AUTHORIZED U.S. REPRESENTATIVE OF THE REGISTRANT</w:t>
      </w:r>
    </w:p>
    <w:p>
      <w:pPr>
        <w:spacing w:after="0" w:line="97"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Pursuant to the requirements of the Securities Act of 1933, the Registrant has duly caused this Registration Statement on Form F-1 to be signed on its behalf by the undersigned, thereunto duly authorized, in the city of New York, New York, on the 10th day of January, 2025.</w:t>
      </w:r>
    </w:p>
    <w:p>
      <w:pPr>
        <w:spacing w:after="0" w:line="27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0"/>
          <w:szCs w:val="10"/>
          <w:b w:val="1"/>
          <w:bCs w:val="1"/>
          <w:color w:val="auto"/>
        </w:rPr>
        <w:t>Cogency Global Inc.</w:t>
      </w:r>
    </w:p>
    <w:p>
      <w:pPr>
        <w:spacing w:after="0" w:line="127" w:lineRule="exact"/>
        <w:rPr>
          <w:sz w:val="20"/>
          <w:szCs w:val="20"/>
          <w:color w:val="auto"/>
        </w:rPr>
      </w:pPr>
    </w:p>
    <w:p>
      <w:pPr>
        <w:ind w:left="6380"/>
        <w:spacing w:after="0"/>
        <w:tabs>
          <w:tab w:leader="none" w:pos="6760" w:val="left"/>
        </w:tabs>
        <w:rPr>
          <w:sz w:val="20"/>
          <w:szCs w:val="20"/>
          <w:color w:val="auto"/>
        </w:rPr>
      </w:pPr>
      <w:r>
        <w:rPr>
          <w:rFonts w:ascii="Times New Roman" w:cs="Times New Roman" w:eastAsia="Times New Roman" w:hAnsi="Times New Roman"/>
          <w:sz w:val="10"/>
          <w:szCs w:val="10"/>
          <w:color w:val="auto"/>
        </w:rPr>
        <w:t>By:</w:t>
      </w:r>
      <w:r>
        <w:rPr>
          <w:sz w:val="20"/>
          <w:szCs w:val="20"/>
          <w:color w:val="auto"/>
        </w:rPr>
        <w:tab/>
      </w:r>
      <w:r>
        <w:rPr>
          <w:rFonts w:ascii="Times New Roman" w:cs="Times New Roman" w:eastAsia="Times New Roman" w:hAnsi="Times New Roman"/>
          <w:sz w:val="10"/>
          <w:szCs w:val="10"/>
          <w:color w:val="auto"/>
        </w:rPr>
        <w:t>/s/ Colleen A DeVries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4304030</wp:posOffset>
            </wp:positionH>
            <wp:positionV relativeFrom="paragraph">
              <wp:posOffset>2540</wp:posOffset>
            </wp:positionV>
            <wp:extent cx="2443480" cy="508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1">
                      <a:extLst>
                        <a:ext uri="{28A0092B-C50C-407E-A947-70E740481C1C}"/>
                      </a:extLst>
                    </a:blip>
                    <a:srcRect/>
                    <a:stretch>
                      <a:fillRect/>
                    </a:stretch>
                  </pic:blipFill>
                  <pic:spPr bwMode="auto">
                    <a:xfrm>
                      <a:off x="0" y="0"/>
                      <a:ext cx="2443480" cy="5080"/>
                    </a:xfrm>
                    <a:prstGeom prst="rect">
                      <a:avLst/>
                    </a:prstGeom>
                    <a:noFill/>
                  </pic:spPr>
                </pic:pic>
              </a:graphicData>
            </a:graphic>
          </wp:anchor>
        </w:drawing>
      </w:r>
    </w:p>
    <w:p>
      <w:pPr>
        <w:ind w:left="6780"/>
        <w:spacing w:after="0"/>
        <w:rPr>
          <w:sz w:val="20"/>
          <w:szCs w:val="20"/>
          <w:color w:val="auto"/>
        </w:rPr>
      </w:pPr>
      <w:r>
        <w:rPr>
          <w:rFonts w:ascii="Times New Roman" w:cs="Times New Roman" w:eastAsia="Times New Roman" w:hAnsi="Times New Roman"/>
          <w:sz w:val="10"/>
          <w:szCs w:val="10"/>
          <w:color w:val="auto"/>
        </w:rPr>
        <w:t>Colleen A. DeVries</w:t>
      </w:r>
    </w:p>
    <w:p>
      <w:pPr>
        <w:ind w:left="6780"/>
        <w:spacing w:after="0"/>
        <w:rPr>
          <w:sz w:val="20"/>
          <w:szCs w:val="20"/>
          <w:color w:val="auto"/>
        </w:rPr>
      </w:pPr>
      <w:r>
        <w:rPr>
          <w:rFonts w:ascii="Times New Roman" w:cs="Times New Roman" w:eastAsia="Times New Roman" w:hAnsi="Times New Roman"/>
          <w:sz w:val="10"/>
          <w:szCs w:val="10"/>
          <w:color w:val="auto"/>
        </w:rPr>
        <w:t>Senior Vice-President on behalf of Cogency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439420</wp:posOffset>
            </wp:positionV>
            <wp:extent cx="6778625" cy="349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033" w:right="680" w:bottom="1440" w:gutter="0" w:footer="0" w:header="0"/>
        </w:sectPr>
      </w:pPr>
    </w:p>
    <w:bookmarkStart w:id="282" w:name="page283"/>
    <w:bookmarkEnd w:id="282"/>
    <w:p>
      <w:pPr>
        <w:jc w:val="right"/>
        <w:spacing w:after="0"/>
        <w:rPr>
          <w:sz w:val="20"/>
          <w:szCs w:val="20"/>
          <w:color w:val="auto"/>
        </w:rPr>
      </w:pPr>
      <w:r>
        <w:rPr>
          <w:rFonts w:ascii="Arial" w:cs="Arial" w:eastAsia="Arial" w:hAnsi="Arial"/>
          <w:sz w:val="11"/>
          <w:szCs w:val="11"/>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4431030</wp:posOffset>
            </wp:positionH>
            <wp:positionV relativeFrom="paragraph">
              <wp:posOffset>85725</wp:posOffset>
            </wp:positionV>
            <wp:extent cx="852805" cy="1289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3">
                      <a:extLst>
                        <a:ext uri="{28A0092B-C50C-407E-A947-70E740481C1C}"/>
                      </a:extLst>
                    </a:blip>
                    <a:srcRect/>
                    <a:stretch>
                      <a:fillRect/>
                    </a:stretch>
                  </pic:blipFill>
                  <pic:spPr bwMode="auto">
                    <a:xfrm>
                      <a:off x="0" y="0"/>
                      <a:ext cx="852805" cy="128905"/>
                    </a:xfrm>
                    <a:prstGeom prst="rect">
                      <a:avLst/>
                    </a:prstGeom>
                    <a:noFill/>
                  </pic:spPr>
                </pic:pic>
              </a:graphicData>
            </a:graphic>
          </wp:anchor>
        </w:drawing>
      </w:r>
    </w:p>
    <w:p>
      <w:pPr>
        <w:spacing w:after="0" w:line="310" w:lineRule="exact"/>
        <w:rPr>
          <w:sz w:val="20"/>
          <w:szCs w:val="20"/>
          <w:color w:val="auto"/>
        </w:rPr>
      </w:pPr>
    </w:p>
    <w:p>
      <w:pPr>
        <w:ind w:left="40"/>
        <w:spacing w:after="0"/>
        <w:rPr>
          <w:sz w:val="20"/>
          <w:szCs w:val="20"/>
          <w:color w:val="auto"/>
        </w:rPr>
      </w:pPr>
      <w:r>
        <w:rPr>
          <w:rFonts w:ascii="Arial" w:cs="Arial" w:eastAsia="Arial" w:hAnsi="Arial"/>
          <w:sz w:val="11"/>
          <w:szCs w:val="11"/>
          <w:color w:val="auto"/>
        </w:rPr>
        <w:t>10 January 2025</w:t>
      </w:r>
    </w:p>
    <w:p>
      <w:pPr>
        <w:spacing w:after="0" w:line="234" w:lineRule="auto"/>
        <w:rPr>
          <w:sz w:val="20"/>
          <w:szCs w:val="20"/>
          <w:color w:val="auto"/>
        </w:rPr>
      </w:pPr>
      <w:r>
        <w:rPr>
          <w:rFonts w:ascii="Arial" w:cs="Arial" w:eastAsia="Arial" w:hAnsi="Arial"/>
          <w:sz w:val="11"/>
          <w:szCs w:val="11"/>
          <w:color w:val="auto"/>
        </w:rPr>
        <w:t>Rezolve AI Limited</w:t>
      </w:r>
    </w:p>
    <w:p>
      <w:pPr>
        <w:spacing w:after="0"/>
        <w:rPr>
          <w:sz w:val="20"/>
          <w:szCs w:val="20"/>
          <w:color w:val="auto"/>
        </w:rPr>
      </w:pPr>
      <w:r>
        <w:rPr>
          <w:rFonts w:ascii="Arial" w:cs="Arial" w:eastAsia="Arial" w:hAnsi="Arial"/>
          <w:sz w:val="11"/>
          <w:szCs w:val="11"/>
          <w:color w:val="auto"/>
        </w:rPr>
        <w:t>5 New Street Square London EC4A 3TW United Kingdom</w:t>
      </w:r>
    </w:p>
    <w:p>
      <w:pPr>
        <w:spacing w:after="0" w:line="22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Re: Rezolve AI Limited – Registration Statement on Form F-1</w:t>
      </w: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Dear Addressee</w:t>
      </w: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1.Introduction</w:t>
      </w:r>
    </w:p>
    <w:p>
      <w:pPr>
        <w:spacing w:after="0" w:line="106" w:lineRule="exact"/>
        <w:rPr>
          <w:sz w:val="20"/>
          <w:szCs w:val="20"/>
          <w:color w:val="auto"/>
        </w:rPr>
      </w:pPr>
    </w:p>
    <w:p>
      <w:pPr>
        <w:ind w:right="1140"/>
        <w:spacing w:after="0" w:line="238" w:lineRule="auto"/>
        <w:rPr>
          <w:sz w:val="20"/>
          <w:szCs w:val="20"/>
          <w:color w:val="auto"/>
        </w:rPr>
      </w:pPr>
      <w:r>
        <w:rPr>
          <w:rFonts w:ascii="Arial" w:cs="Arial" w:eastAsia="Arial" w:hAnsi="Arial"/>
          <w:sz w:val="11"/>
          <w:szCs w:val="11"/>
          <w:color w:val="auto"/>
        </w:rPr>
        <w:t>1.1We have acted as English legal advisers to Rezolve AI Limited, a private limited company incorporated in England and Wales with company number 14573691 and with its registered office at 5 New Street Square, London, United Kingdom, EC4A 3TW (the “</w:t>
      </w:r>
      <w:r>
        <w:rPr>
          <w:rFonts w:ascii="Arial" w:cs="Arial" w:eastAsia="Arial" w:hAnsi="Arial"/>
          <w:sz w:val="11"/>
          <w:szCs w:val="11"/>
          <w:b w:val="1"/>
          <w:bCs w:val="1"/>
          <w:color w:val="auto"/>
        </w:rPr>
        <w:t>Company</w:t>
      </w:r>
      <w:r>
        <w:rPr>
          <w:rFonts w:ascii="Arial" w:cs="Arial" w:eastAsia="Arial" w:hAnsi="Arial"/>
          <w:sz w:val="11"/>
          <w:szCs w:val="11"/>
          <w:color w:val="auto"/>
        </w:rPr>
        <w:t xml:space="preserve"> ”), in connection with the registration statement (as amended through the date hereof, the “</w:t>
      </w:r>
      <w:r>
        <w:rPr>
          <w:rFonts w:ascii="Arial" w:cs="Arial" w:eastAsia="Arial" w:hAnsi="Arial"/>
          <w:sz w:val="11"/>
          <w:szCs w:val="11"/>
          <w:b w:val="1"/>
          <w:bCs w:val="1"/>
          <w:color w:val="auto"/>
        </w:rPr>
        <w:t>Registration Statement</w:t>
      </w:r>
      <w:r>
        <w:rPr>
          <w:rFonts w:ascii="Arial" w:cs="Arial" w:eastAsia="Arial" w:hAnsi="Arial"/>
          <w:sz w:val="11"/>
          <w:szCs w:val="11"/>
          <w:color w:val="auto"/>
        </w:rPr>
        <w:t>”) of the Company on Form F-1 filed with the Securities and Exchange Commission (the “</w:t>
      </w:r>
      <w:r>
        <w:rPr>
          <w:rFonts w:ascii="Arial" w:cs="Arial" w:eastAsia="Arial" w:hAnsi="Arial"/>
          <w:sz w:val="11"/>
          <w:szCs w:val="11"/>
          <w:b w:val="1"/>
          <w:bCs w:val="1"/>
          <w:color w:val="auto"/>
        </w:rPr>
        <w:t>Commission</w:t>
      </w:r>
      <w:r>
        <w:rPr>
          <w:rFonts w:ascii="Arial" w:cs="Arial" w:eastAsia="Arial" w:hAnsi="Arial"/>
          <w:sz w:val="11"/>
          <w:szCs w:val="11"/>
          <w:color w:val="auto"/>
        </w:rPr>
        <w:t>”) pursuant to the Securities Act of 1933, as amended (the “</w:t>
      </w:r>
      <w:r>
        <w:rPr>
          <w:rFonts w:ascii="Arial" w:cs="Arial" w:eastAsia="Arial" w:hAnsi="Arial"/>
          <w:sz w:val="11"/>
          <w:szCs w:val="11"/>
          <w:b w:val="1"/>
          <w:bCs w:val="1"/>
          <w:color w:val="auto"/>
        </w:rPr>
        <w:t>Securities Act</w:t>
      </w:r>
      <w:r>
        <w:rPr>
          <w:rFonts w:ascii="Arial" w:cs="Arial" w:eastAsia="Arial" w:hAnsi="Arial"/>
          <w:sz w:val="11"/>
          <w:szCs w:val="11"/>
          <w:color w:val="auto"/>
        </w:rPr>
        <w:t>”), and the rules and regulations thereunder (the “</w:t>
      </w:r>
      <w:r>
        <w:rPr>
          <w:rFonts w:ascii="Arial" w:cs="Arial" w:eastAsia="Arial" w:hAnsi="Arial"/>
          <w:sz w:val="11"/>
          <w:szCs w:val="11"/>
          <w:b w:val="1"/>
          <w:bCs w:val="1"/>
          <w:color w:val="auto"/>
        </w:rPr>
        <w:t>Rules</w:t>
      </w:r>
      <w:r>
        <w:rPr>
          <w:rFonts w:ascii="Arial" w:cs="Arial" w:eastAsia="Arial" w:hAnsi="Arial"/>
          <w:sz w:val="11"/>
          <w:szCs w:val="11"/>
          <w:color w:val="auto"/>
        </w:rPr>
        <w:t>”).</w:t>
      </w:r>
    </w:p>
    <w:p>
      <w:pPr>
        <w:spacing w:after="0" w:line="98" w:lineRule="exact"/>
        <w:rPr>
          <w:sz w:val="20"/>
          <w:szCs w:val="20"/>
          <w:color w:val="auto"/>
        </w:rPr>
      </w:pPr>
    </w:p>
    <w:p>
      <w:pPr>
        <w:ind w:right="1160"/>
        <w:spacing w:after="0" w:line="243" w:lineRule="auto"/>
        <w:rPr>
          <w:sz w:val="20"/>
          <w:szCs w:val="20"/>
          <w:color w:val="auto"/>
        </w:rPr>
      </w:pPr>
      <w:r>
        <w:rPr>
          <w:rFonts w:ascii="Arial" w:cs="Arial" w:eastAsia="Arial" w:hAnsi="Arial"/>
          <w:sz w:val="11"/>
          <w:szCs w:val="11"/>
          <w:color w:val="auto"/>
        </w:rPr>
        <w:t>1.2On 4 July 2024, a demerger pursuant to section 110 of the UK Insolvency Act 1986 was effected, pursuant to which substantially all the assets and liabilities of Rezolve Limited were transferred to the Company in exchange for the issue of shares of the same classes in the capital of the Company for distribution amongst the shareholders of Rezolve Limited in proportion to their holdings of shares of each class in Rezolve Limited (the "</w:t>
      </w:r>
      <w:r>
        <w:rPr>
          <w:rFonts w:ascii="Arial" w:cs="Arial" w:eastAsia="Arial" w:hAnsi="Arial"/>
          <w:sz w:val="11"/>
          <w:szCs w:val="11"/>
          <w:b w:val="1"/>
          <w:bCs w:val="1"/>
          <w:color w:val="auto"/>
        </w:rPr>
        <w:t>Demerger</w:t>
      </w:r>
      <w:r>
        <w:rPr>
          <w:rFonts w:ascii="Arial" w:cs="Arial" w:eastAsia="Arial" w:hAnsi="Arial"/>
          <w:sz w:val="11"/>
          <w:szCs w:val="11"/>
          <w:color w:val="auto"/>
        </w:rPr>
        <w:t>").</w:t>
      </w:r>
    </w:p>
    <w:p>
      <w:pPr>
        <w:spacing w:after="0" w:line="96" w:lineRule="exact"/>
        <w:rPr>
          <w:sz w:val="20"/>
          <w:szCs w:val="20"/>
          <w:color w:val="auto"/>
        </w:rPr>
      </w:pPr>
    </w:p>
    <w:p>
      <w:pPr>
        <w:ind w:right="1160"/>
        <w:spacing w:after="0" w:line="259" w:lineRule="auto"/>
        <w:rPr>
          <w:sz w:val="20"/>
          <w:szCs w:val="20"/>
          <w:color w:val="auto"/>
        </w:rPr>
      </w:pPr>
      <w:r>
        <w:rPr>
          <w:rFonts w:ascii="Arial" w:cs="Arial" w:eastAsia="Arial" w:hAnsi="Arial"/>
          <w:sz w:val="11"/>
          <w:szCs w:val="11"/>
          <w:color w:val="auto"/>
        </w:rPr>
        <w:t>1.3The Company closed on the transactions contemplated in the Business Combination Agreement (being the agreement dated as of 17 December 2021 (as subsequently amended) entered into by and among Armada Acquisition Corp. I ("</w:t>
      </w:r>
      <w:r>
        <w:rPr>
          <w:rFonts w:ascii="Arial" w:cs="Arial" w:eastAsia="Arial" w:hAnsi="Arial"/>
          <w:sz w:val="11"/>
          <w:szCs w:val="11"/>
          <w:b w:val="1"/>
          <w:bCs w:val="1"/>
          <w:color w:val="auto"/>
        </w:rPr>
        <w:t>Armada</w:t>
      </w:r>
      <w:r>
        <w:rPr>
          <w:rFonts w:ascii="Arial" w:cs="Arial" w:eastAsia="Arial" w:hAnsi="Arial"/>
          <w:sz w:val="11"/>
          <w:szCs w:val="11"/>
          <w:color w:val="auto"/>
        </w:rPr>
        <w:t>"), Rezolve Limited, the Company and certain other parties) on 15 August 2024 ("</w:t>
      </w:r>
      <w:r>
        <w:rPr>
          <w:rFonts w:ascii="Arial" w:cs="Arial" w:eastAsia="Arial" w:hAnsi="Arial"/>
          <w:sz w:val="11"/>
          <w:szCs w:val="11"/>
          <w:b w:val="1"/>
          <w:bCs w:val="1"/>
          <w:color w:val="auto"/>
        </w:rPr>
        <w:t>Closing</w:t>
      </w:r>
      <w:r>
        <w:rPr>
          <w:rFonts w:ascii="Arial" w:cs="Arial" w:eastAsia="Arial" w:hAnsi="Arial"/>
          <w:sz w:val="11"/>
          <w:szCs w:val="11"/>
          <w:color w:val="auto"/>
        </w:rPr>
        <w:t>").</w:t>
      </w:r>
    </w:p>
    <w:p>
      <w:pPr>
        <w:spacing w:after="0" w:line="87" w:lineRule="exact"/>
        <w:rPr>
          <w:sz w:val="20"/>
          <w:szCs w:val="20"/>
          <w:color w:val="auto"/>
        </w:rPr>
      </w:pPr>
    </w:p>
    <w:p>
      <w:pPr>
        <w:spacing w:after="0"/>
        <w:rPr>
          <w:sz w:val="20"/>
          <w:szCs w:val="20"/>
          <w:color w:val="auto"/>
        </w:rPr>
      </w:pPr>
      <w:r>
        <w:rPr>
          <w:rFonts w:ascii="Arial" w:cs="Arial" w:eastAsia="Arial" w:hAnsi="Arial"/>
          <w:sz w:val="11"/>
          <w:szCs w:val="11"/>
          <w:color w:val="auto"/>
        </w:rPr>
        <w:t>1.4The Company has filed the Registration Statement for the purposes of registering with the Commission under the Securities Act the potential issue, offer and sale or resale from time to time of up to</w:t>
      </w:r>
    </w:p>
    <w:p>
      <w:pPr>
        <w:spacing w:after="0" w:line="4" w:lineRule="exact"/>
        <w:rPr>
          <w:sz w:val="20"/>
          <w:szCs w:val="20"/>
          <w:color w:val="auto"/>
        </w:rPr>
      </w:pPr>
    </w:p>
    <w:p>
      <w:pPr>
        <w:spacing w:after="0"/>
        <w:rPr>
          <w:sz w:val="20"/>
          <w:szCs w:val="20"/>
          <w:color w:val="auto"/>
        </w:rPr>
      </w:pPr>
      <w:r>
        <w:rPr>
          <w:rFonts w:ascii="Arial" w:cs="Arial" w:eastAsia="Arial" w:hAnsi="Arial"/>
          <w:sz w:val="11"/>
          <w:szCs w:val="11"/>
          <w:color w:val="auto"/>
        </w:rPr>
        <w:t>58,444,822 ordinary shares of £0.0001 each in the capital of the Company (the “</w:t>
      </w:r>
      <w:r>
        <w:rPr>
          <w:rFonts w:ascii="Arial" w:cs="Arial" w:eastAsia="Arial" w:hAnsi="Arial"/>
          <w:sz w:val="11"/>
          <w:szCs w:val="11"/>
          <w:b w:val="1"/>
          <w:bCs w:val="1"/>
          <w:color w:val="auto"/>
        </w:rPr>
        <w:t>Ordinary Shares</w:t>
      </w:r>
      <w:r>
        <w:rPr>
          <w:rFonts w:ascii="Arial" w:cs="Arial" w:eastAsia="Arial" w:hAnsi="Arial"/>
          <w:sz w:val="11"/>
          <w:szCs w:val="11"/>
          <w:color w:val="auto"/>
        </w:rPr>
        <w:t>”) comprised of:</w:t>
      </w:r>
    </w:p>
    <w:p>
      <w:pPr>
        <w:spacing w:after="0" w:line="224" w:lineRule="exact"/>
        <w:rPr>
          <w:sz w:val="20"/>
          <w:szCs w:val="20"/>
          <w:color w:val="auto"/>
        </w:rPr>
      </w:pPr>
    </w:p>
    <w:p>
      <w:pPr>
        <w:ind w:left="700" w:right="1460"/>
        <w:spacing w:after="0" w:line="234" w:lineRule="auto"/>
        <w:rPr>
          <w:sz w:val="20"/>
          <w:szCs w:val="20"/>
          <w:color w:val="auto"/>
        </w:rPr>
      </w:pPr>
      <w:r>
        <w:rPr>
          <w:rFonts w:ascii="Arial" w:cs="Arial" w:eastAsia="Arial" w:hAnsi="Arial"/>
          <w:sz w:val="11"/>
          <w:szCs w:val="11"/>
          <w:color w:val="auto"/>
        </w:rPr>
        <w:t xml:space="preserve">(a)up to 8,070,845 Ordinary Shares issued upon the conversion of certain Convertible Loan Notes (as defined herein) by certain selling holders and constituted under a loan note instrument (" </w:t>
      </w:r>
      <w:r>
        <w:rPr>
          <w:rFonts w:ascii="Arial" w:cs="Arial" w:eastAsia="Arial" w:hAnsi="Arial"/>
          <w:sz w:val="11"/>
          <w:szCs w:val="11"/>
          <w:b w:val="1"/>
          <w:bCs w:val="1"/>
          <w:color w:val="auto"/>
        </w:rPr>
        <w:t>CLN Instrument</w:t>
      </w:r>
      <w:r>
        <w:rPr>
          <w:rFonts w:ascii="Arial" w:cs="Arial" w:eastAsia="Arial" w:hAnsi="Arial"/>
          <w:sz w:val="11"/>
          <w:szCs w:val="11"/>
          <w:color w:val="auto"/>
        </w:rPr>
        <w:t>") originally made by Rezolve Limited and dated 16 December 2021, as amended and restated on 21 November 2022 and 23 May 2023 and as further amended on 18 December</w:t>
      </w:r>
    </w:p>
    <w:p>
      <w:pPr>
        <w:ind w:left="1420" w:right="1060"/>
        <w:spacing w:after="0"/>
        <w:rPr>
          <w:sz w:val="20"/>
          <w:szCs w:val="20"/>
          <w:color w:val="auto"/>
        </w:rPr>
      </w:pPr>
      <w:r>
        <w:rPr>
          <w:rFonts w:ascii="Arial" w:cs="Arial" w:eastAsia="Arial" w:hAnsi="Arial"/>
          <w:sz w:val="11"/>
          <w:szCs w:val="11"/>
          <w:color w:val="auto"/>
        </w:rPr>
        <w:t>2023, 29 December 2023 and 26 January 2024, and novated from Rezolve Limited to the Company by a deed of novation dated 4 July 2024 and subsequently amended (the "</w:t>
      </w:r>
      <w:r>
        <w:rPr>
          <w:rFonts w:ascii="Arial" w:cs="Arial" w:eastAsia="Arial" w:hAnsi="Arial"/>
          <w:sz w:val="11"/>
          <w:szCs w:val="11"/>
          <w:b w:val="1"/>
          <w:bCs w:val="1"/>
          <w:color w:val="auto"/>
        </w:rPr>
        <w:t>Convertible Loan Notes</w:t>
      </w:r>
      <w:r>
        <w:rPr>
          <w:rFonts w:ascii="Arial" w:cs="Arial" w:eastAsia="Arial" w:hAnsi="Arial"/>
          <w:sz w:val="11"/>
          <w:szCs w:val="11"/>
          <w:color w:val="auto"/>
        </w:rPr>
        <w:t>", and with such Ordinary Shares issuable upon the conversion of Convertible Loan Notes being the "</w:t>
      </w:r>
      <w:r>
        <w:rPr>
          <w:rFonts w:ascii="Arial" w:cs="Arial" w:eastAsia="Arial" w:hAnsi="Arial"/>
          <w:sz w:val="11"/>
          <w:szCs w:val="11"/>
          <w:b w:val="1"/>
          <w:bCs w:val="1"/>
          <w:color w:val="auto"/>
        </w:rPr>
        <w:t>CLN Shares</w:t>
      </w: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391795</wp:posOffset>
            </wp:positionV>
            <wp:extent cx="6778625" cy="349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20"/>
          </w:cols>
          <w:pgMar w:left="740" w:top="1373" w:right="640" w:bottom="1440" w:gutter="0" w:footer="0" w:header="0"/>
        </w:sectPr>
      </w:pPr>
    </w:p>
    <w:bookmarkStart w:id="283" w:name="page284"/>
    <w:bookmarkEnd w:id="283"/>
    <w:p>
      <w:pPr>
        <w:jc w:val="both"/>
        <w:ind w:left="700"/>
        <w:spacing w:after="0" w:line="243" w:lineRule="auto"/>
        <w:rPr>
          <w:sz w:val="20"/>
          <w:szCs w:val="20"/>
          <w:color w:val="auto"/>
        </w:rPr>
      </w:pPr>
      <w:r>
        <w:rPr>
          <w:rFonts w:ascii="Arial" w:cs="Arial" w:eastAsia="Arial" w:hAnsi="Arial"/>
          <w:sz w:val="11"/>
          <w:szCs w:val="11"/>
          <w:color w:val="auto"/>
        </w:rPr>
        <w:t>(b)up to 425,171 Ordinary Shares issuable upon conversion of certain convertible promissory notes issued to certain persons that entered into subscription agreements with Rezolve Limited and the Company on or around February 2024 and constituted under multiple convertible promissory note instruments dated on around February 2024 (such instruments being the "</w:t>
      </w:r>
      <w:r>
        <w:rPr>
          <w:rFonts w:ascii="Arial" w:cs="Arial" w:eastAsia="Arial" w:hAnsi="Arial"/>
          <w:sz w:val="11"/>
          <w:szCs w:val="11"/>
          <w:b w:val="1"/>
          <w:bCs w:val="1"/>
          <w:color w:val="auto"/>
        </w:rPr>
        <w:t>CPN Instruments</w:t>
      </w:r>
      <w:r>
        <w:rPr>
          <w:rFonts w:ascii="Arial" w:cs="Arial" w:eastAsia="Arial" w:hAnsi="Arial"/>
          <w:sz w:val="11"/>
          <w:szCs w:val="11"/>
          <w:color w:val="auto"/>
        </w:rPr>
        <w:t>") with such Ordinary Shares issuable upon the conversion of the convertible promissory notes constituted under the CPN Instruments being the "</w:t>
      </w:r>
      <w:r>
        <w:rPr>
          <w:rFonts w:ascii="Arial" w:cs="Arial" w:eastAsia="Arial" w:hAnsi="Arial"/>
          <w:sz w:val="11"/>
          <w:szCs w:val="11"/>
          <w:b w:val="1"/>
          <w:bCs w:val="1"/>
          <w:color w:val="auto"/>
        </w:rPr>
        <w:t>CPN Shares</w:t>
      </w:r>
      <w:r>
        <w:rPr>
          <w:rFonts w:ascii="Arial" w:cs="Arial" w:eastAsia="Arial" w:hAnsi="Arial"/>
          <w:sz w:val="11"/>
          <w:szCs w:val="11"/>
          <w:color w:val="auto"/>
        </w:rPr>
        <w:t>";</w:t>
      </w:r>
    </w:p>
    <w:p>
      <w:pPr>
        <w:spacing w:after="0" w:line="96" w:lineRule="exact"/>
        <w:rPr>
          <w:sz w:val="20"/>
          <w:szCs w:val="20"/>
          <w:color w:val="auto"/>
        </w:rPr>
      </w:pPr>
    </w:p>
    <w:p>
      <w:pPr>
        <w:ind w:left="700" w:right="520"/>
        <w:spacing w:after="0" w:line="243" w:lineRule="auto"/>
        <w:rPr>
          <w:sz w:val="20"/>
          <w:szCs w:val="20"/>
          <w:color w:val="auto"/>
        </w:rPr>
      </w:pPr>
      <w:r>
        <w:rPr>
          <w:rFonts w:ascii="Arial" w:cs="Arial" w:eastAsia="Arial" w:hAnsi="Arial"/>
          <w:sz w:val="11"/>
          <w:szCs w:val="11"/>
          <w:color w:val="auto"/>
        </w:rPr>
        <w:t>(c)up to 1,413,946 Ordinary Shares issued upon conversion of a convertible promissory note (the "</w:t>
      </w:r>
      <w:r>
        <w:rPr>
          <w:rFonts w:ascii="Arial" w:cs="Arial" w:eastAsia="Arial" w:hAnsi="Arial"/>
          <w:sz w:val="11"/>
          <w:szCs w:val="11"/>
          <w:b w:val="1"/>
          <w:bCs w:val="1"/>
          <w:color w:val="auto"/>
        </w:rPr>
        <w:t>YA Note</w:t>
      </w:r>
      <w:r>
        <w:rPr>
          <w:rFonts w:ascii="Arial" w:cs="Arial" w:eastAsia="Arial" w:hAnsi="Arial"/>
          <w:sz w:val="11"/>
          <w:szCs w:val="11"/>
          <w:color w:val="auto"/>
        </w:rPr>
        <w:t>") with a total principal amount of $2.5 million which was originally issued to Yorkville (as hereinafter defined) in connection with the amendment and restatement of the SEPA (as hereinafter defined) on February 2, 2024 (such Ordinary Shares being the "</w:t>
      </w:r>
      <w:r>
        <w:rPr>
          <w:rFonts w:ascii="Arial" w:cs="Arial" w:eastAsia="Arial" w:hAnsi="Arial"/>
          <w:sz w:val="11"/>
          <w:szCs w:val="11"/>
          <w:b w:val="1"/>
          <w:bCs w:val="1"/>
          <w:color w:val="auto"/>
        </w:rPr>
        <w:t>YA Note</w:t>
      </w:r>
      <w:r>
        <w:rPr>
          <w:rFonts w:ascii="Arial" w:cs="Arial" w:eastAsia="Arial" w:hAnsi="Arial"/>
          <w:sz w:val="11"/>
          <w:szCs w:val="11"/>
          <w:color w:val="auto"/>
        </w:rPr>
        <w:t xml:space="preserve"> </w:t>
      </w:r>
      <w:r>
        <w:rPr>
          <w:rFonts w:ascii="Arial" w:cs="Arial" w:eastAsia="Arial" w:hAnsi="Arial"/>
          <w:sz w:val="11"/>
          <w:szCs w:val="11"/>
          <w:b w:val="1"/>
          <w:bCs w:val="1"/>
          <w:color w:val="auto"/>
        </w:rPr>
        <w:t>Shares</w:t>
      </w:r>
      <w:r>
        <w:rPr>
          <w:rFonts w:ascii="Arial" w:cs="Arial" w:eastAsia="Arial" w:hAnsi="Arial"/>
          <w:sz w:val="11"/>
          <w:szCs w:val="11"/>
          <w:color w:val="auto"/>
        </w:rPr>
        <w:t>"); and</w:t>
      </w:r>
    </w:p>
    <w:p>
      <w:pPr>
        <w:spacing w:after="0" w:line="88" w:lineRule="exact"/>
        <w:rPr>
          <w:sz w:val="20"/>
          <w:szCs w:val="20"/>
          <w:color w:val="auto"/>
        </w:rPr>
      </w:pPr>
    </w:p>
    <w:p>
      <w:pPr>
        <w:ind w:left="700" w:right="400"/>
        <w:spacing w:after="0" w:line="324" w:lineRule="auto"/>
        <w:rPr>
          <w:sz w:val="20"/>
          <w:szCs w:val="20"/>
          <w:color w:val="auto"/>
        </w:rPr>
      </w:pPr>
      <w:r>
        <w:rPr>
          <w:rFonts w:ascii="Arial" w:cs="Arial" w:eastAsia="Arial" w:hAnsi="Arial"/>
          <w:sz w:val="9"/>
          <w:szCs w:val="9"/>
          <w:color w:val="auto"/>
        </w:rPr>
        <w:t>(d)up to 48,534,860 Ordinary Shares issued or issuable in connection with the terms of the second amended and restated Standby Equity Purchase Agreement entered into between YA II PN, Ltd ("</w:t>
      </w:r>
      <w:r>
        <w:rPr>
          <w:rFonts w:ascii="Arial" w:cs="Arial" w:eastAsia="Arial" w:hAnsi="Arial"/>
          <w:sz w:val="9"/>
          <w:szCs w:val="9"/>
          <w:b w:val="1"/>
          <w:bCs w:val="1"/>
          <w:color w:val="auto"/>
        </w:rPr>
        <w:t>Yorkville</w:t>
      </w:r>
      <w:r>
        <w:rPr>
          <w:rFonts w:ascii="Arial" w:cs="Arial" w:eastAsia="Arial" w:hAnsi="Arial"/>
          <w:sz w:val="9"/>
          <w:szCs w:val="9"/>
          <w:color w:val="auto"/>
        </w:rPr>
        <w:t>"), Armada, Rezolve Limited and the Company dated 2 February 2024 as amended and restated on 6 September 2024 (the "</w:t>
      </w:r>
      <w:r>
        <w:rPr>
          <w:rFonts w:ascii="Arial" w:cs="Arial" w:eastAsia="Arial" w:hAnsi="Arial"/>
          <w:sz w:val="9"/>
          <w:szCs w:val="9"/>
          <w:b w:val="1"/>
          <w:bCs w:val="1"/>
          <w:color w:val="auto"/>
        </w:rPr>
        <w:t>SEPA</w:t>
      </w:r>
      <w:r>
        <w:rPr>
          <w:rFonts w:ascii="Arial" w:cs="Arial" w:eastAsia="Arial" w:hAnsi="Arial"/>
          <w:sz w:val="9"/>
          <w:szCs w:val="9"/>
          <w:color w:val="auto"/>
        </w:rPr>
        <w:t>") under which Yorkville may purchase up to US$250 million Ordinary Shares in accordance with the terms of the SEPA (such Ordinary Shares issuable to Yorkville under the SEPA being the "</w:t>
      </w:r>
      <w:r>
        <w:rPr>
          <w:rFonts w:ascii="Arial" w:cs="Arial" w:eastAsia="Arial" w:hAnsi="Arial"/>
          <w:sz w:val="9"/>
          <w:szCs w:val="9"/>
          <w:b w:val="1"/>
          <w:bCs w:val="1"/>
          <w:color w:val="auto"/>
        </w:rPr>
        <w:t>SEPA Shares</w:t>
      </w:r>
      <w:r>
        <w:rPr>
          <w:rFonts w:ascii="Arial" w:cs="Arial" w:eastAsia="Arial" w:hAnsi="Arial"/>
          <w:sz w:val="9"/>
          <w:szCs w:val="9"/>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1"/>
          <w:szCs w:val="11"/>
          <w:color w:val="auto"/>
        </w:rPr>
        <w:t>1.5For the purposes of this letter the CLN Shares, CPN Shares, YA Note Shares and SEPA Shares shall be collectively the "</w:t>
      </w:r>
      <w:r>
        <w:rPr>
          <w:rFonts w:ascii="Arial" w:cs="Arial" w:eastAsia="Arial" w:hAnsi="Arial"/>
          <w:sz w:val="11"/>
          <w:szCs w:val="11"/>
          <w:b w:val="1"/>
          <w:bCs w:val="1"/>
          <w:color w:val="auto"/>
        </w:rPr>
        <w:t>Relevant Shares</w:t>
      </w:r>
      <w:r>
        <w:rPr>
          <w:rFonts w:ascii="Arial" w:cs="Arial" w:eastAsia="Arial" w:hAnsi="Arial"/>
          <w:sz w:val="11"/>
          <w:szCs w:val="11"/>
          <w:color w:val="auto"/>
        </w:rPr>
        <w:t>".</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2.Purpose</w:t>
      </w:r>
    </w:p>
    <w:p>
      <w:pPr>
        <w:spacing w:after="0" w:line="106" w:lineRule="exact"/>
        <w:rPr>
          <w:sz w:val="20"/>
          <w:szCs w:val="20"/>
          <w:color w:val="auto"/>
        </w:rPr>
      </w:pPr>
    </w:p>
    <w:p>
      <w:pPr>
        <w:ind w:right="620"/>
        <w:spacing w:after="0" w:line="251" w:lineRule="auto"/>
        <w:rPr>
          <w:sz w:val="20"/>
          <w:szCs w:val="20"/>
          <w:color w:val="auto"/>
        </w:rPr>
      </w:pPr>
      <w:r>
        <w:rPr>
          <w:rFonts w:ascii="Arial" w:cs="Arial" w:eastAsia="Arial" w:hAnsi="Arial"/>
          <w:sz w:val="11"/>
          <w:szCs w:val="11"/>
          <w:color w:val="auto"/>
        </w:rPr>
        <w:t>2.1This opinion letter is being furnished in connection with the Registration Statement on Form F-1 to be filed with the Commission on the date hereof under the Securities Act and the Rules. We have taken instruction in this regard solely from the Company.</w:t>
      </w:r>
    </w:p>
    <w:p>
      <w:pPr>
        <w:spacing w:after="0" w:line="95" w:lineRule="exact"/>
        <w:rPr>
          <w:sz w:val="20"/>
          <w:szCs w:val="20"/>
          <w:color w:val="auto"/>
        </w:rPr>
      </w:pPr>
    </w:p>
    <w:p>
      <w:pPr>
        <w:ind w:right="600"/>
        <w:spacing w:after="0" w:line="251" w:lineRule="auto"/>
        <w:rPr>
          <w:sz w:val="20"/>
          <w:szCs w:val="20"/>
          <w:color w:val="auto"/>
        </w:rPr>
      </w:pPr>
      <w:r>
        <w:rPr>
          <w:rFonts w:ascii="Arial" w:cs="Arial" w:eastAsia="Arial" w:hAnsi="Arial"/>
          <w:sz w:val="11"/>
          <w:szCs w:val="11"/>
          <w:color w:val="auto"/>
        </w:rPr>
        <w:t>2.2The provision of this letter is not to be taken as implying that we owe any duty of care to anyone, including the Company, in relation to the content or the commercial and financial implications of the Registration Statement.</w:t>
      </w:r>
    </w:p>
    <w:p>
      <w:pPr>
        <w:spacing w:after="0" w:line="95" w:lineRule="exact"/>
        <w:rPr>
          <w:sz w:val="20"/>
          <w:szCs w:val="20"/>
          <w:color w:val="auto"/>
        </w:rPr>
      </w:pPr>
    </w:p>
    <w:p>
      <w:pPr>
        <w:spacing w:after="0"/>
        <w:rPr>
          <w:sz w:val="20"/>
          <w:szCs w:val="20"/>
          <w:color w:val="auto"/>
        </w:rPr>
      </w:pPr>
      <w:r>
        <w:rPr>
          <w:rFonts w:ascii="Arial" w:cs="Arial" w:eastAsia="Arial" w:hAnsi="Arial"/>
          <w:sz w:val="11"/>
          <w:szCs w:val="11"/>
          <w:color w:val="auto"/>
        </w:rPr>
        <w:t>2.3Nothing stated in this letter shall create the relationship of solicitor and client between us and anyone other than the Company.</w:t>
      </w:r>
    </w:p>
    <w:p>
      <w:pPr>
        <w:spacing w:after="0" w:line="106" w:lineRule="exact"/>
        <w:rPr>
          <w:sz w:val="20"/>
          <w:szCs w:val="20"/>
          <w:color w:val="auto"/>
        </w:rPr>
      </w:pPr>
    </w:p>
    <w:p>
      <w:pPr>
        <w:spacing w:after="0"/>
        <w:rPr>
          <w:sz w:val="20"/>
          <w:szCs w:val="20"/>
          <w:color w:val="auto"/>
        </w:rPr>
      </w:pPr>
      <w:r>
        <w:rPr>
          <w:rFonts w:ascii="Arial" w:cs="Arial" w:eastAsia="Arial" w:hAnsi="Arial"/>
          <w:sz w:val="11"/>
          <w:szCs w:val="11"/>
          <w:color w:val="auto"/>
        </w:rPr>
        <w:t>2.4For the purposes of issuing this opinion, we have received a draft copy of the Registration Statement and examined the following documents:</w:t>
      </w:r>
    </w:p>
    <w:p>
      <w:pPr>
        <w:spacing w:after="0" w:line="114" w:lineRule="exact"/>
        <w:rPr>
          <w:sz w:val="20"/>
          <w:szCs w:val="20"/>
          <w:color w:val="auto"/>
        </w:rPr>
      </w:pPr>
    </w:p>
    <w:p>
      <w:pPr>
        <w:ind w:left="700"/>
        <w:spacing w:after="0"/>
        <w:rPr>
          <w:sz w:val="20"/>
          <w:szCs w:val="20"/>
          <w:color w:val="auto"/>
        </w:rPr>
      </w:pPr>
      <w:r>
        <w:rPr>
          <w:rFonts w:ascii="Arial" w:cs="Arial" w:eastAsia="Arial" w:hAnsi="Arial"/>
          <w:sz w:val="11"/>
          <w:szCs w:val="11"/>
          <w:color w:val="auto"/>
        </w:rPr>
        <w:t>(a)a copy of the CLN Instrument;</w:t>
      </w:r>
    </w:p>
    <w:p>
      <w:pPr>
        <w:spacing w:after="0" w:line="106" w:lineRule="exact"/>
        <w:rPr>
          <w:sz w:val="20"/>
          <w:szCs w:val="20"/>
          <w:color w:val="auto"/>
        </w:rPr>
      </w:pPr>
    </w:p>
    <w:p>
      <w:pPr>
        <w:ind w:left="700"/>
        <w:spacing w:after="0"/>
        <w:rPr>
          <w:sz w:val="20"/>
          <w:szCs w:val="20"/>
          <w:color w:val="auto"/>
        </w:rPr>
      </w:pPr>
      <w:r>
        <w:rPr>
          <w:rFonts w:ascii="Arial" w:cs="Arial" w:eastAsia="Arial" w:hAnsi="Arial"/>
          <w:sz w:val="11"/>
          <w:szCs w:val="11"/>
          <w:color w:val="auto"/>
        </w:rPr>
        <w:t>(b)a copy of the YA Note;</w:t>
      </w:r>
    </w:p>
    <w:p>
      <w:pPr>
        <w:spacing w:after="0" w:line="106" w:lineRule="exact"/>
        <w:rPr>
          <w:sz w:val="20"/>
          <w:szCs w:val="20"/>
          <w:color w:val="auto"/>
        </w:rPr>
      </w:pPr>
    </w:p>
    <w:p>
      <w:pPr>
        <w:ind w:left="700"/>
        <w:spacing w:after="0"/>
        <w:rPr>
          <w:sz w:val="20"/>
          <w:szCs w:val="20"/>
          <w:color w:val="auto"/>
        </w:rPr>
      </w:pPr>
      <w:r>
        <w:rPr>
          <w:rFonts w:ascii="Arial" w:cs="Arial" w:eastAsia="Arial" w:hAnsi="Arial"/>
          <w:sz w:val="11"/>
          <w:szCs w:val="11"/>
          <w:color w:val="auto"/>
        </w:rPr>
        <w:t>(c)a copy of the SEPA;</w:t>
      </w:r>
    </w:p>
    <w:p>
      <w:pPr>
        <w:spacing w:after="0" w:line="114" w:lineRule="exact"/>
        <w:rPr>
          <w:sz w:val="20"/>
          <w:szCs w:val="20"/>
          <w:color w:val="auto"/>
        </w:rPr>
      </w:pPr>
    </w:p>
    <w:p>
      <w:pPr>
        <w:ind w:left="700"/>
        <w:spacing w:after="0"/>
        <w:rPr>
          <w:sz w:val="20"/>
          <w:szCs w:val="20"/>
          <w:color w:val="auto"/>
        </w:rPr>
      </w:pPr>
      <w:r>
        <w:rPr>
          <w:rFonts w:ascii="Arial" w:cs="Arial" w:eastAsia="Arial" w:hAnsi="Arial"/>
          <w:sz w:val="11"/>
          <w:szCs w:val="11"/>
          <w:color w:val="auto"/>
        </w:rPr>
        <w:t>(d)a copy of each of the CPN Instruments;</w:t>
      </w:r>
    </w:p>
    <w:p>
      <w:pPr>
        <w:spacing w:after="0" w:line="106" w:lineRule="exact"/>
        <w:rPr>
          <w:sz w:val="20"/>
          <w:szCs w:val="20"/>
          <w:color w:val="auto"/>
        </w:rPr>
      </w:pPr>
    </w:p>
    <w:p>
      <w:pPr>
        <w:ind w:left="700"/>
        <w:spacing w:after="0"/>
        <w:rPr>
          <w:sz w:val="20"/>
          <w:szCs w:val="20"/>
          <w:color w:val="auto"/>
        </w:rPr>
      </w:pPr>
      <w:r>
        <w:rPr>
          <w:rFonts w:ascii="Arial" w:cs="Arial" w:eastAsia="Arial" w:hAnsi="Arial"/>
          <w:sz w:val="11"/>
          <w:szCs w:val="11"/>
          <w:color w:val="auto"/>
        </w:rPr>
        <w:t>(e)a copy of the certificate of incorporation of the Company dated 5 January 2023 (incorporated as Rezolve Group Limited);</w:t>
      </w:r>
    </w:p>
    <w:p>
      <w:pPr>
        <w:spacing w:after="0" w:line="114" w:lineRule="exact"/>
        <w:rPr>
          <w:sz w:val="20"/>
          <w:szCs w:val="20"/>
          <w:color w:val="auto"/>
        </w:rPr>
      </w:pPr>
    </w:p>
    <w:p>
      <w:pPr>
        <w:ind w:left="700"/>
        <w:spacing w:after="0"/>
        <w:rPr>
          <w:sz w:val="20"/>
          <w:szCs w:val="20"/>
          <w:color w:val="auto"/>
        </w:rPr>
      </w:pPr>
      <w:r>
        <w:rPr>
          <w:rFonts w:ascii="Arial" w:cs="Arial" w:eastAsia="Arial" w:hAnsi="Arial"/>
          <w:sz w:val="11"/>
          <w:szCs w:val="11"/>
          <w:color w:val="auto"/>
        </w:rPr>
        <w:t>(f)a copy of the certificate of incorporation on change of name dated 6 June 2023 whereby the name of the Company was changed from Rezolve Group Limited to Rezolve AI Limited;</w:t>
      </w:r>
    </w:p>
    <w:p>
      <w:pPr>
        <w:spacing w:after="0" w:line="114" w:lineRule="exact"/>
        <w:rPr>
          <w:sz w:val="20"/>
          <w:szCs w:val="20"/>
          <w:color w:val="auto"/>
        </w:rPr>
      </w:pPr>
    </w:p>
    <w:p>
      <w:pPr>
        <w:ind w:left="700"/>
        <w:spacing w:after="0"/>
        <w:rPr>
          <w:sz w:val="20"/>
          <w:szCs w:val="20"/>
          <w:color w:val="auto"/>
        </w:rPr>
      </w:pPr>
      <w:r>
        <w:rPr>
          <w:rFonts w:ascii="Arial" w:cs="Arial" w:eastAsia="Arial" w:hAnsi="Arial"/>
          <w:sz w:val="11"/>
          <w:szCs w:val="11"/>
          <w:color w:val="auto"/>
        </w:rPr>
        <w:t>(g)a copy of the current articles of association of the Company that were adopted effective from 15 August 2024 (the "</w:t>
      </w:r>
      <w:r>
        <w:rPr>
          <w:rFonts w:ascii="Arial" w:cs="Arial" w:eastAsia="Arial" w:hAnsi="Arial"/>
          <w:sz w:val="11"/>
          <w:szCs w:val="11"/>
          <w:b w:val="1"/>
          <w:bCs w:val="1"/>
          <w:color w:val="auto"/>
        </w:rPr>
        <w:t>Articles</w:t>
      </w: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330835</wp:posOffset>
            </wp:positionV>
            <wp:extent cx="6778625" cy="349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840"/>
          </w:cols>
          <w:pgMar w:left="740" w:top="1289" w:right="1320" w:bottom="1440" w:gutter="0" w:footer="0" w:header="0"/>
        </w:sectPr>
      </w:pPr>
    </w:p>
    <w:bookmarkStart w:id="284" w:name="page285"/>
    <w:bookmarkEnd w:id="284"/>
    <w:p>
      <w:pPr>
        <w:spacing w:after="0"/>
        <w:rPr>
          <w:sz w:val="20"/>
          <w:szCs w:val="20"/>
          <w:color w:val="auto"/>
        </w:rPr>
      </w:pPr>
      <w:r>
        <w:rPr>
          <w:rFonts w:ascii="Arial" w:cs="Arial" w:eastAsia="Arial" w:hAnsi="Arial"/>
          <w:sz w:val="11"/>
          <w:szCs w:val="11"/>
          <w:color w:val="auto"/>
        </w:rPr>
        <w:t>(h)a copy of the minutes of the meeting of the board of directors of the Company ("</w:t>
      </w:r>
      <w:r>
        <w:rPr>
          <w:rFonts w:ascii="Arial" w:cs="Arial" w:eastAsia="Arial" w:hAnsi="Arial"/>
          <w:sz w:val="11"/>
          <w:szCs w:val="11"/>
          <w:b w:val="1"/>
          <w:bCs w:val="1"/>
          <w:color w:val="auto"/>
        </w:rPr>
        <w:t>Board</w:t>
      </w:r>
      <w:r>
        <w:rPr>
          <w:rFonts w:ascii="Arial" w:cs="Arial" w:eastAsia="Arial" w:hAnsi="Arial"/>
          <w:sz w:val="11"/>
          <w:szCs w:val="11"/>
          <w:color w:val="auto"/>
        </w:rPr>
        <w:t>") passed:</w:t>
      </w:r>
    </w:p>
    <w:p>
      <w:pPr>
        <w:spacing w:after="0" w:line="114" w:lineRule="exact"/>
        <w:rPr>
          <w:sz w:val="20"/>
          <w:szCs w:val="20"/>
          <w:color w:val="auto"/>
        </w:rPr>
      </w:pPr>
    </w:p>
    <w:p>
      <w:pPr>
        <w:ind w:left="720"/>
        <w:spacing w:after="0"/>
        <w:rPr>
          <w:sz w:val="20"/>
          <w:szCs w:val="20"/>
          <w:color w:val="auto"/>
        </w:rPr>
      </w:pPr>
      <w:r>
        <w:rPr>
          <w:rFonts w:ascii="Arial" w:cs="Arial" w:eastAsia="Arial" w:hAnsi="Arial"/>
          <w:sz w:val="11"/>
          <w:szCs w:val="11"/>
          <w:color w:val="auto"/>
        </w:rPr>
        <w:t>(i)on 3 July 2024 regarding, inter alia, the approval and/or acknowledgment (as applicable) of:</w:t>
      </w:r>
    </w:p>
    <w:p>
      <w:pPr>
        <w:spacing w:after="0" w:line="114" w:lineRule="exact"/>
        <w:rPr>
          <w:sz w:val="20"/>
          <w:szCs w:val="20"/>
          <w:color w:val="auto"/>
        </w:rPr>
      </w:pPr>
    </w:p>
    <w:p>
      <w:pPr>
        <w:ind w:left="1420"/>
        <w:spacing w:after="0"/>
        <w:rPr>
          <w:sz w:val="20"/>
          <w:szCs w:val="20"/>
          <w:color w:val="auto"/>
        </w:rPr>
      </w:pPr>
      <w:r>
        <w:rPr>
          <w:rFonts w:ascii="Arial" w:cs="Arial" w:eastAsia="Arial" w:hAnsi="Arial"/>
          <w:sz w:val="11"/>
          <w:szCs w:val="11"/>
          <w:color w:val="auto"/>
        </w:rPr>
        <w:t>(A)the novation of the Convertible Loan Notes from Rezolve Limited to the Company upon Demerger;</w:t>
      </w:r>
    </w:p>
    <w:p>
      <w:pPr>
        <w:spacing w:after="0" w:line="114" w:lineRule="exact"/>
        <w:rPr>
          <w:sz w:val="20"/>
          <w:szCs w:val="20"/>
          <w:color w:val="auto"/>
        </w:rPr>
      </w:pPr>
    </w:p>
    <w:p>
      <w:pPr>
        <w:ind w:left="1420" w:right="1540"/>
        <w:spacing w:after="0" w:line="464" w:lineRule="auto"/>
        <w:rPr>
          <w:sz w:val="20"/>
          <w:szCs w:val="20"/>
          <w:color w:val="auto"/>
        </w:rPr>
      </w:pPr>
      <w:r>
        <w:rPr>
          <w:rFonts w:ascii="Arial" w:cs="Arial" w:eastAsia="Arial" w:hAnsi="Arial"/>
          <w:sz w:val="11"/>
          <w:szCs w:val="11"/>
          <w:color w:val="auto"/>
        </w:rPr>
        <w:t>(B)the novation of the Convertible Promissory Notes (in issue at that time) from Rezolve Limited to the Company upon Demerger; and (C)the novation of the SEPA from Rezolve Limited to the Company upon Demerger;</w:t>
      </w:r>
    </w:p>
    <w:p>
      <w:pPr>
        <w:spacing w:after="0" w:line="103" w:lineRule="exact"/>
        <w:rPr>
          <w:sz w:val="20"/>
          <w:szCs w:val="20"/>
          <w:color w:val="auto"/>
        </w:rPr>
      </w:pPr>
    </w:p>
    <w:p>
      <w:pPr>
        <w:ind w:left="720"/>
        <w:spacing w:after="0"/>
        <w:rPr>
          <w:sz w:val="20"/>
          <w:szCs w:val="20"/>
          <w:color w:val="auto"/>
        </w:rPr>
      </w:pPr>
      <w:r>
        <w:rPr>
          <w:rFonts w:ascii="Arial" w:cs="Arial" w:eastAsia="Arial" w:hAnsi="Arial"/>
          <w:sz w:val="11"/>
          <w:szCs w:val="11"/>
          <w:color w:val="auto"/>
        </w:rPr>
        <w:t>(ii)on 6 September 2024 regarding, inter alia, the approval and ratification of:</w:t>
      </w:r>
    </w:p>
    <w:p>
      <w:pPr>
        <w:spacing w:after="0" w:line="106" w:lineRule="exact"/>
        <w:rPr>
          <w:sz w:val="20"/>
          <w:szCs w:val="20"/>
          <w:color w:val="auto"/>
        </w:rPr>
      </w:pPr>
    </w:p>
    <w:p>
      <w:pPr>
        <w:ind w:left="1420"/>
        <w:spacing w:after="0"/>
        <w:rPr>
          <w:sz w:val="20"/>
          <w:szCs w:val="20"/>
          <w:color w:val="auto"/>
        </w:rPr>
      </w:pPr>
      <w:r>
        <w:rPr>
          <w:rFonts w:ascii="Arial" w:cs="Arial" w:eastAsia="Arial" w:hAnsi="Arial"/>
          <w:sz w:val="11"/>
          <w:szCs w:val="11"/>
          <w:color w:val="auto"/>
        </w:rPr>
        <w:t>(A)the further amendment and restatement of the SEPA;</w:t>
      </w:r>
    </w:p>
    <w:p>
      <w:pPr>
        <w:spacing w:after="0" w:line="106" w:lineRule="exact"/>
        <w:rPr>
          <w:sz w:val="20"/>
          <w:szCs w:val="20"/>
          <w:color w:val="auto"/>
        </w:rPr>
      </w:pPr>
    </w:p>
    <w:p>
      <w:pPr>
        <w:ind w:left="1420" w:right="1020"/>
        <w:spacing w:after="0" w:line="455" w:lineRule="auto"/>
        <w:rPr>
          <w:sz w:val="20"/>
          <w:szCs w:val="20"/>
          <w:color w:val="auto"/>
        </w:rPr>
      </w:pPr>
      <w:r>
        <w:rPr>
          <w:rFonts w:ascii="Arial" w:cs="Arial" w:eastAsia="Arial" w:hAnsi="Arial"/>
          <w:sz w:val="11"/>
          <w:szCs w:val="11"/>
          <w:color w:val="auto"/>
        </w:rPr>
        <w:t>(B)the issue of up to $7.5m original face value convertible promissory notes to Yorkville as a prepaid advance arrangement under the SEPA; and (C)the issue and allotment of CPN Shares upon conversion of the Convertible Promissory Notes;</w:t>
      </w:r>
    </w:p>
    <w:p>
      <w:pPr>
        <w:ind w:left="720"/>
        <w:spacing w:after="0"/>
        <w:rPr>
          <w:sz w:val="20"/>
          <w:szCs w:val="20"/>
          <w:color w:val="auto"/>
        </w:rPr>
      </w:pPr>
      <w:r>
        <w:rPr>
          <w:rFonts w:ascii="Arial" w:cs="Arial" w:eastAsia="Arial" w:hAnsi="Arial"/>
          <w:sz w:val="11"/>
          <w:szCs w:val="11"/>
          <w:color w:val="auto"/>
        </w:rPr>
        <w:t>(iii)passed on or about (or to be passed on or about) the date of this opinion (the "</w:t>
      </w:r>
      <w:r>
        <w:rPr>
          <w:rFonts w:ascii="Arial" w:cs="Arial" w:eastAsia="Arial" w:hAnsi="Arial"/>
          <w:sz w:val="11"/>
          <w:szCs w:val="11"/>
          <w:b w:val="1"/>
          <w:bCs w:val="1"/>
          <w:color w:val="auto"/>
        </w:rPr>
        <w:t>January 2025 Board Resolution</w:t>
      </w:r>
      <w:r>
        <w:rPr>
          <w:rFonts w:ascii="Arial" w:cs="Arial" w:eastAsia="Arial" w:hAnsi="Arial"/>
          <w:sz w:val="11"/>
          <w:szCs w:val="11"/>
          <w:color w:val="auto"/>
        </w:rPr>
        <w:t>") regarding, inter alia, the approval and/or ratification of:</w:t>
      </w:r>
    </w:p>
    <w:p>
      <w:pPr>
        <w:spacing w:after="0" w:line="114" w:lineRule="exact"/>
        <w:rPr>
          <w:sz w:val="20"/>
          <w:szCs w:val="20"/>
          <w:color w:val="auto"/>
        </w:rPr>
      </w:pPr>
    </w:p>
    <w:p>
      <w:pPr>
        <w:ind w:left="1420"/>
        <w:spacing w:after="0"/>
        <w:rPr>
          <w:sz w:val="20"/>
          <w:szCs w:val="20"/>
          <w:color w:val="auto"/>
        </w:rPr>
      </w:pPr>
      <w:r>
        <w:rPr>
          <w:rFonts w:ascii="Arial" w:cs="Arial" w:eastAsia="Arial" w:hAnsi="Arial"/>
          <w:sz w:val="11"/>
          <w:szCs w:val="11"/>
          <w:color w:val="auto"/>
        </w:rPr>
        <w:t>(A)The conversion of the YA Note into the YA Note Shares;</w:t>
      </w:r>
    </w:p>
    <w:p>
      <w:pPr>
        <w:spacing w:after="0" w:line="114" w:lineRule="exact"/>
        <w:rPr>
          <w:sz w:val="20"/>
          <w:szCs w:val="20"/>
          <w:color w:val="auto"/>
        </w:rPr>
      </w:pPr>
    </w:p>
    <w:p>
      <w:pPr>
        <w:ind w:left="1420"/>
        <w:spacing w:after="0"/>
        <w:rPr>
          <w:sz w:val="20"/>
          <w:szCs w:val="20"/>
          <w:color w:val="auto"/>
        </w:rPr>
      </w:pPr>
      <w:r>
        <w:rPr>
          <w:rFonts w:ascii="Arial" w:cs="Arial" w:eastAsia="Arial" w:hAnsi="Arial"/>
          <w:sz w:val="11"/>
          <w:szCs w:val="11"/>
          <w:color w:val="auto"/>
        </w:rPr>
        <w:t>(B)The allotment and issue of CPN Shares; and</w:t>
      </w:r>
    </w:p>
    <w:p>
      <w:pPr>
        <w:spacing w:after="0" w:line="114" w:lineRule="exact"/>
        <w:rPr>
          <w:sz w:val="20"/>
          <w:szCs w:val="20"/>
          <w:color w:val="auto"/>
        </w:rPr>
      </w:pPr>
    </w:p>
    <w:p>
      <w:pPr>
        <w:ind w:left="1420" w:right="600"/>
        <w:spacing w:after="0" w:line="251" w:lineRule="auto"/>
        <w:rPr>
          <w:sz w:val="20"/>
          <w:szCs w:val="20"/>
          <w:color w:val="auto"/>
        </w:rPr>
      </w:pPr>
      <w:r>
        <w:rPr>
          <w:rFonts w:ascii="Arial" w:cs="Arial" w:eastAsia="Arial" w:hAnsi="Arial"/>
          <w:sz w:val="11"/>
          <w:szCs w:val="11"/>
          <w:color w:val="auto"/>
        </w:rPr>
        <w:t>(C)The redemption of convertible promissory notes issued to Yorkville through drawdown under the SEPA and the allotment of 3,948,189 Ordinary Shares and the allotment of 362,019 shares on account of a fee payable to Yorkville,</w:t>
      </w:r>
    </w:p>
    <w:p>
      <w:pPr>
        <w:spacing w:after="0" w:line="95" w:lineRule="exact"/>
        <w:rPr>
          <w:sz w:val="20"/>
          <w:szCs w:val="20"/>
          <w:color w:val="auto"/>
        </w:rPr>
      </w:pPr>
    </w:p>
    <w:p>
      <w:pPr>
        <w:ind w:firstLine="712"/>
        <w:spacing w:after="0" w:line="441"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Board Resolutions</w:t>
      </w:r>
      <w:r>
        <w:rPr>
          <w:rFonts w:ascii="Arial" w:cs="Arial" w:eastAsia="Arial" w:hAnsi="Arial"/>
          <w:sz w:val="11"/>
          <w:szCs w:val="11"/>
          <w:color w:val="auto"/>
        </w:rPr>
        <w:t>") and for the purpose of this opinion we assume that all the Board Resolutions including the January 2025 Board Resolution have been duly and validly passed; (i)a copy of the written resolutions of the Company dated:</w:t>
      </w:r>
    </w:p>
    <w:p>
      <w:pPr>
        <w:ind w:left="720" w:right="600"/>
        <w:spacing w:after="0" w:line="251" w:lineRule="auto"/>
        <w:rPr>
          <w:sz w:val="20"/>
          <w:szCs w:val="20"/>
          <w:color w:val="auto"/>
        </w:rPr>
      </w:pPr>
      <w:r>
        <w:rPr>
          <w:rFonts w:ascii="Arial" w:cs="Arial" w:eastAsia="Arial" w:hAnsi="Arial"/>
          <w:sz w:val="11"/>
          <w:szCs w:val="11"/>
          <w:color w:val="auto"/>
        </w:rPr>
        <w:t>(i)3 July 2024 approving, inter alia, the authorization for the directors of the Company to allot Ordinary Shares (or to grant rights to subscribe for or to convert any security into Ordinary Shares), and the disapplication of pre-emptive rights for such allotment, in relation to:</w:t>
      </w:r>
    </w:p>
    <w:p>
      <w:pPr>
        <w:spacing w:after="0" w:line="95" w:lineRule="exact"/>
        <w:rPr>
          <w:sz w:val="20"/>
          <w:szCs w:val="20"/>
          <w:color w:val="auto"/>
        </w:rPr>
      </w:pPr>
    </w:p>
    <w:p>
      <w:pPr>
        <w:ind w:left="1420"/>
        <w:spacing w:after="0"/>
        <w:rPr>
          <w:sz w:val="20"/>
          <w:szCs w:val="20"/>
          <w:color w:val="auto"/>
        </w:rPr>
      </w:pPr>
      <w:r>
        <w:rPr>
          <w:rFonts w:ascii="Arial" w:cs="Arial" w:eastAsia="Arial" w:hAnsi="Arial"/>
          <w:sz w:val="11"/>
          <w:szCs w:val="11"/>
          <w:color w:val="auto"/>
        </w:rPr>
        <w:t>(A)the new shares issued upon completion of the Demerger;</w:t>
      </w:r>
    </w:p>
    <w:p>
      <w:pPr>
        <w:spacing w:after="0" w:line="114" w:lineRule="exact"/>
        <w:rPr>
          <w:sz w:val="20"/>
          <w:szCs w:val="20"/>
          <w:color w:val="auto"/>
        </w:rPr>
      </w:pPr>
    </w:p>
    <w:p>
      <w:pPr>
        <w:ind w:left="1420"/>
        <w:spacing w:after="0"/>
        <w:rPr>
          <w:sz w:val="20"/>
          <w:szCs w:val="20"/>
          <w:color w:val="auto"/>
        </w:rPr>
      </w:pPr>
      <w:r>
        <w:rPr>
          <w:rFonts w:ascii="Arial" w:cs="Arial" w:eastAsia="Arial" w:hAnsi="Arial"/>
          <w:sz w:val="11"/>
          <w:szCs w:val="11"/>
          <w:color w:val="auto"/>
        </w:rPr>
        <w:t>(B)the CLN Shares;</w:t>
      </w:r>
    </w:p>
    <w:p>
      <w:pPr>
        <w:spacing w:after="0" w:line="114" w:lineRule="exact"/>
        <w:rPr>
          <w:sz w:val="20"/>
          <w:szCs w:val="20"/>
          <w:color w:val="auto"/>
        </w:rPr>
      </w:pPr>
    </w:p>
    <w:p>
      <w:pPr>
        <w:ind w:left="1420"/>
        <w:spacing w:after="0"/>
        <w:rPr>
          <w:sz w:val="20"/>
          <w:szCs w:val="20"/>
          <w:color w:val="auto"/>
        </w:rPr>
      </w:pPr>
      <w:r>
        <w:rPr>
          <w:rFonts w:ascii="Arial" w:cs="Arial" w:eastAsia="Arial" w:hAnsi="Arial"/>
          <w:sz w:val="11"/>
          <w:szCs w:val="11"/>
          <w:color w:val="auto"/>
        </w:rPr>
        <w:t>(C)the SEPA Shares; and</w:t>
      </w:r>
    </w:p>
    <w:p>
      <w:pPr>
        <w:spacing w:after="0" w:line="106" w:lineRule="exact"/>
        <w:rPr>
          <w:sz w:val="20"/>
          <w:szCs w:val="20"/>
          <w:color w:val="auto"/>
        </w:rPr>
      </w:pPr>
    </w:p>
    <w:p>
      <w:pPr>
        <w:ind w:left="1420"/>
        <w:spacing w:after="0"/>
        <w:rPr>
          <w:sz w:val="20"/>
          <w:szCs w:val="20"/>
          <w:color w:val="auto"/>
        </w:rPr>
      </w:pPr>
      <w:r>
        <w:rPr>
          <w:rFonts w:ascii="Arial" w:cs="Arial" w:eastAsia="Arial" w:hAnsi="Arial"/>
          <w:sz w:val="11"/>
          <w:szCs w:val="11"/>
          <w:color w:val="auto"/>
        </w:rPr>
        <w:t>(D)the CPN Shares (that may be converted pursuant to Convertible Promissory Notes in issue at such time);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330835</wp:posOffset>
            </wp:positionV>
            <wp:extent cx="6778625" cy="349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160"/>
          </w:cols>
          <w:pgMar w:left="1440" w:top="1372" w:right="1300" w:bottom="1440" w:gutter="0" w:footer="0" w:header="0"/>
        </w:sectPr>
      </w:pPr>
    </w:p>
    <w:bookmarkStart w:id="285" w:name="page286"/>
    <w:bookmarkEnd w:id="285"/>
    <w:p>
      <w:pPr>
        <w:ind w:left="1420" w:right="280"/>
        <w:spacing w:after="0" w:line="360" w:lineRule="auto"/>
        <w:rPr>
          <w:sz w:val="20"/>
          <w:szCs w:val="20"/>
          <w:color w:val="auto"/>
        </w:rPr>
      </w:pPr>
      <w:r>
        <w:rPr>
          <w:rFonts w:ascii="Arial" w:cs="Arial" w:eastAsia="Arial" w:hAnsi="Arial"/>
          <w:sz w:val="9"/>
          <w:szCs w:val="9"/>
          <w:color w:val="auto"/>
        </w:rPr>
        <w:t>(ii)28 July 2024 approving, inter alia, the (i) the adoption of the Articles with effect from Closing and (ii) authorisation for the directors of the Company to allot Ordinary Shares (or to grant rights to subscribe for or to convert any security into Ordinary Shares), and the disapplication of pre-emptive rights for such allotment, in relation inter alia to:</w:t>
      </w:r>
    </w:p>
    <w:p>
      <w:pPr>
        <w:spacing w:after="0" w:line="50" w:lineRule="exact"/>
        <w:rPr>
          <w:sz w:val="20"/>
          <w:szCs w:val="20"/>
          <w:color w:val="auto"/>
        </w:rPr>
      </w:pPr>
    </w:p>
    <w:p>
      <w:pPr>
        <w:ind w:left="2120" w:right="600"/>
        <w:spacing w:after="0" w:line="251" w:lineRule="auto"/>
        <w:rPr>
          <w:sz w:val="20"/>
          <w:szCs w:val="20"/>
          <w:color w:val="auto"/>
        </w:rPr>
      </w:pPr>
      <w:r>
        <w:rPr>
          <w:rFonts w:ascii="Arial" w:cs="Arial" w:eastAsia="Arial" w:hAnsi="Arial"/>
          <w:sz w:val="11"/>
          <w:szCs w:val="11"/>
          <w:color w:val="auto"/>
        </w:rPr>
        <w:t>(A)Ordinary Shares having an aggregate nominal amount of up to £712.72 pursuant to the terms of the plan of merger between the Company, Rezolve Merger Sub, Inc. and Armada; and</w:t>
      </w:r>
    </w:p>
    <w:p>
      <w:pPr>
        <w:spacing w:after="0" w:line="88" w:lineRule="exact"/>
        <w:rPr>
          <w:sz w:val="20"/>
          <w:szCs w:val="20"/>
          <w:color w:val="auto"/>
        </w:rPr>
      </w:pPr>
    </w:p>
    <w:p>
      <w:pPr>
        <w:ind w:left="2120"/>
        <w:spacing w:after="0"/>
        <w:rPr>
          <w:sz w:val="20"/>
          <w:szCs w:val="20"/>
          <w:color w:val="auto"/>
        </w:rPr>
      </w:pPr>
      <w:r>
        <w:rPr>
          <w:rFonts w:ascii="Arial" w:cs="Arial" w:eastAsia="Arial" w:hAnsi="Arial"/>
          <w:sz w:val="11"/>
          <w:szCs w:val="11"/>
          <w:color w:val="auto"/>
        </w:rPr>
        <w:t>(B)additional shares having an aggregate nominal amount of up to</w:t>
      </w:r>
    </w:p>
    <w:p>
      <w:pPr>
        <w:spacing w:after="0" w:line="4" w:lineRule="exact"/>
        <w:rPr>
          <w:sz w:val="20"/>
          <w:szCs w:val="20"/>
          <w:color w:val="auto"/>
        </w:rPr>
      </w:pPr>
    </w:p>
    <w:p>
      <w:pPr>
        <w:ind w:left="2840"/>
        <w:spacing w:after="0"/>
        <w:rPr>
          <w:sz w:val="20"/>
          <w:szCs w:val="20"/>
          <w:color w:val="auto"/>
        </w:rPr>
      </w:pPr>
      <w:r>
        <w:rPr>
          <w:rFonts w:ascii="Arial" w:cs="Arial" w:eastAsia="Arial" w:hAnsi="Arial"/>
          <w:sz w:val="11"/>
          <w:szCs w:val="11"/>
          <w:color w:val="auto"/>
        </w:rPr>
        <w:t>£30,000;</w:t>
      </w:r>
    </w:p>
    <w:p>
      <w:pPr>
        <w:spacing w:after="0" w:line="96" w:lineRule="exact"/>
        <w:rPr>
          <w:sz w:val="20"/>
          <w:szCs w:val="20"/>
          <w:color w:val="auto"/>
        </w:rPr>
      </w:pPr>
    </w:p>
    <w:p>
      <w:pPr>
        <w:ind w:left="21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Shareholder Resolutions</w:t>
      </w:r>
      <w:r>
        <w:rPr>
          <w:rFonts w:ascii="Arial" w:cs="Arial" w:eastAsia="Arial" w:hAnsi="Arial"/>
          <w:sz w:val="11"/>
          <w:szCs w:val="11"/>
          <w:color w:val="auto"/>
        </w:rPr>
        <w:t>");</w:t>
      </w:r>
    </w:p>
    <w:p>
      <w:pPr>
        <w:spacing w:after="0" w:line="114" w:lineRule="exact"/>
        <w:rPr>
          <w:sz w:val="20"/>
          <w:szCs w:val="20"/>
          <w:color w:val="auto"/>
        </w:rPr>
      </w:pPr>
    </w:p>
    <w:p>
      <w:pPr>
        <w:ind w:left="1420"/>
        <w:spacing w:after="0"/>
        <w:rPr>
          <w:sz w:val="20"/>
          <w:szCs w:val="20"/>
          <w:color w:val="auto"/>
        </w:rPr>
      </w:pPr>
      <w:r>
        <w:rPr>
          <w:rFonts w:ascii="Arial" w:cs="Arial" w:eastAsia="Arial" w:hAnsi="Arial"/>
          <w:sz w:val="11"/>
          <w:szCs w:val="11"/>
          <w:color w:val="auto"/>
        </w:rPr>
        <w:t>(the Shareholder Resolutions, together with the Board Resolutions, being the "</w:t>
      </w:r>
      <w:r>
        <w:rPr>
          <w:rFonts w:ascii="Arial" w:cs="Arial" w:eastAsia="Arial" w:hAnsi="Arial"/>
          <w:sz w:val="11"/>
          <w:szCs w:val="11"/>
          <w:b w:val="1"/>
          <w:bCs w:val="1"/>
          <w:color w:val="auto"/>
        </w:rPr>
        <w:t>Corporate Approvals</w:t>
      </w:r>
      <w:r>
        <w:rPr>
          <w:rFonts w:ascii="Arial" w:cs="Arial" w:eastAsia="Arial" w:hAnsi="Arial"/>
          <w:sz w:val="11"/>
          <w:szCs w:val="11"/>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2.5We have also made:</w:t>
      </w:r>
    </w:p>
    <w:p>
      <w:pPr>
        <w:spacing w:after="0" w:line="106" w:lineRule="exact"/>
        <w:rPr>
          <w:sz w:val="20"/>
          <w:szCs w:val="20"/>
          <w:color w:val="auto"/>
        </w:rPr>
      </w:pPr>
    </w:p>
    <w:p>
      <w:pPr>
        <w:ind w:left="700"/>
        <w:spacing w:after="0"/>
        <w:rPr>
          <w:sz w:val="20"/>
          <w:szCs w:val="20"/>
          <w:color w:val="auto"/>
        </w:rPr>
      </w:pPr>
      <w:r>
        <w:rPr>
          <w:rFonts w:ascii="Arial" w:cs="Arial" w:eastAsia="Arial" w:hAnsi="Arial"/>
          <w:sz w:val="11"/>
          <w:szCs w:val="11"/>
          <w:color w:val="auto"/>
        </w:rPr>
        <w:t>(a)an online search of the information available on file at Companies House in respect of the Company conducted on 9 January 2025 at 11:39 a.m. (London time); and</w:t>
      </w:r>
    </w:p>
    <w:p>
      <w:pPr>
        <w:spacing w:after="0" w:line="114" w:lineRule="exact"/>
        <w:rPr>
          <w:sz w:val="20"/>
          <w:szCs w:val="20"/>
          <w:color w:val="auto"/>
        </w:rPr>
      </w:pPr>
    </w:p>
    <w:p>
      <w:pPr>
        <w:ind w:left="700" w:right="400"/>
        <w:spacing w:after="0" w:line="251" w:lineRule="auto"/>
        <w:rPr>
          <w:sz w:val="20"/>
          <w:szCs w:val="20"/>
          <w:color w:val="auto"/>
        </w:rPr>
      </w:pPr>
      <w:r>
        <w:rPr>
          <w:rFonts w:ascii="Arial" w:cs="Arial" w:eastAsia="Arial" w:hAnsi="Arial"/>
          <w:sz w:val="11"/>
          <w:szCs w:val="11"/>
          <w:color w:val="auto"/>
        </w:rPr>
        <w:t>(b)a telephone enquiry of the Central Registry of Winding Up and Administration Petitions on 9 January 2025 at 11:38 a.m. which revealed that as at that date no petition has been lodged for the winding-up of the Company.</w:t>
      </w:r>
    </w:p>
    <w:p>
      <w:pPr>
        <w:spacing w:after="0" w:line="95" w:lineRule="exact"/>
        <w:rPr>
          <w:sz w:val="20"/>
          <w:szCs w:val="20"/>
          <w:color w:val="auto"/>
        </w:rPr>
      </w:pPr>
    </w:p>
    <w:p>
      <w:pPr>
        <w:ind w:left="720" w:right="560"/>
        <w:spacing w:after="0" w:line="251" w:lineRule="auto"/>
        <w:rPr>
          <w:sz w:val="20"/>
          <w:szCs w:val="20"/>
          <w:color w:val="auto"/>
        </w:rPr>
      </w:pPr>
      <w:r>
        <w:rPr>
          <w:rFonts w:ascii="Arial" w:cs="Arial" w:eastAsia="Arial" w:hAnsi="Arial"/>
          <w:sz w:val="11"/>
          <w:szCs w:val="11"/>
          <w:color w:val="auto"/>
        </w:rPr>
        <w:t>We assume that the information obtained in that search and enquiry was accurate, did not fail to disclose any relevant matter and that a further search or enquiry would not reveal any change or new matter which would affect this opinion.</w:t>
      </w:r>
    </w:p>
    <w:p>
      <w:pPr>
        <w:spacing w:after="0" w:line="95" w:lineRule="exact"/>
        <w:rPr>
          <w:sz w:val="20"/>
          <w:szCs w:val="20"/>
          <w:color w:val="auto"/>
        </w:rPr>
      </w:pPr>
    </w:p>
    <w:p>
      <w:pPr>
        <w:spacing w:after="0"/>
        <w:rPr>
          <w:sz w:val="20"/>
          <w:szCs w:val="20"/>
          <w:color w:val="auto"/>
        </w:rPr>
      </w:pPr>
      <w:r>
        <w:rPr>
          <w:rFonts w:ascii="Arial" w:cs="Arial" w:eastAsia="Arial" w:hAnsi="Arial"/>
          <w:sz w:val="11"/>
          <w:szCs w:val="11"/>
          <w:color w:val="auto"/>
        </w:rPr>
        <w:t>2.6In relation to insolvency proceedings, the search and enquiry referred to in paragraph</w:t>
      </w:r>
    </w:p>
    <w:p>
      <w:pPr>
        <w:spacing w:after="0" w:line="4" w:lineRule="exact"/>
        <w:rPr>
          <w:sz w:val="20"/>
          <w:szCs w:val="20"/>
          <w:color w:val="auto"/>
        </w:rPr>
      </w:pPr>
    </w:p>
    <w:p>
      <w:pPr>
        <w:ind w:left="720" w:right="360"/>
        <w:spacing w:after="0" w:line="233" w:lineRule="auto"/>
        <w:rPr>
          <w:sz w:val="20"/>
          <w:szCs w:val="20"/>
          <w:color w:val="auto"/>
        </w:rPr>
      </w:pPr>
      <w:r>
        <w:rPr>
          <w:rFonts w:ascii="Arial" w:cs="Arial" w:eastAsia="Arial" w:hAnsi="Arial"/>
          <w:sz w:val="11"/>
          <w:szCs w:val="11"/>
          <w:color w:val="auto"/>
        </w:rPr>
        <w:t>2.5 relate only to insolvency proceedings begun in England and are not conclusively capable of disclosing whether an interim or final administration order or winding up order has been made or resolution passed for the winding up of a company, whether a moratorium is in force for the company or whether a receiver, administrative receiver, administrator or liquidator has been appointed (or petition made for the winding up) of a company.</w:t>
      </w:r>
    </w:p>
    <w:p>
      <w:pPr>
        <w:spacing w:after="0" w:line="94" w:lineRule="exact"/>
        <w:rPr>
          <w:sz w:val="20"/>
          <w:szCs w:val="20"/>
          <w:color w:val="auto"/>
        </w:rPr>
      </w:pPr>
    </w:p>
    <w:p>
      <w:pPr>
        <w:ind w:right="280"/>
        <w:spacing w:after="0" w:line="319" w:lineRule="auto"/>
        <w:rPr>
          <w:sz w:val="20"/>
          <w:szCs w:val="20"/>
          <w:color w:val="auto"/>
        </w:rPr>
      </w:pPr>
      <w:r>
        <w:rPr>
          <w:rFonts w:ascii="Arial" w:cs="Arial" w:eastAsia="Arial" w:hAnsi="Arial"/>
          <w:sz w:val="9"/>
          <w:szCs w:val="9"/>
          <w:color w:val="auto"/>
        </w:rPr>
        <w:t>2.7In particular, notice of these matters may not yet have been filed with the Registrar of Companies (or if filed, may not yet be publicly available) and notice of a petition for winding up is not required to be filed with the Registrar. In addition, details of a petition for winding up may not be entered on the Central Registry of Winding Up and Administration Petitions immediately (or in the case of a petition presented to a County Court, may not have been notified for entry on the Central Registry at all) and any response to an enquiry would only relate to the last six months before the enquiry.</w:t>
      </w:r>
    </w:p>
    <w:p>
      <w:pPr>
        <w:spacing w:after="0" w:line="18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3.Basis of opinion, assumptions and qualifications</w:t>
      </w:r>
    </w:p>
    <w:p>
      <w:pPr>
        <w:spacing w:after="0" w:line="106" w:lineRule="exact"/>
        <w:rPr>
          <w:sz w:val="20"/>
          <w:szCs w:val="20"/>
          <w:color w:val="auto"/>
        </w:rPr>
      </w:pPr>
    </w:p>
    <w:p>
      <w:pPr>
        <w:spacing w:after="0"/>
        <w:rPr>
          <w:sz w:val="20"/>
          <w:szCs w:val="20"/>
          <w:color w:val="auto"/>
        </w:rPr>
      </w:pPr>
      <w:r>
        <w:rPr>
          <w:rFonts w:ascii="Arial" w:cs="Arial" w:eastAsia="Arial" w:hAnsi="Arial"/>
          <w:sz w:val="11"/>
          <w:szCs w:val="11"/>
          <w:color w:val="auto"/>
        </w:rPr>
        <w:t>3.1The opinion set out in paragraph 4 relates solely to English law at the date of this letter as it appears from published legislation and fully reported cases before that date.</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3.2We have not investigated the laws of any country other than England and we assume that no foreign law affects any of the opinions stated in this letter.</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3.3This letter does not relate to English conflict of laws rules.</w:t>
      </w:r>
    </w:p>
    <w:p>
      <w:pPr>
        <w:spacing w:after="0" w:line="106" w:lineRule="exact"/>
        <w:rPr>
          <w:sz w:val="20"/>
          <w:szCs w:val="20"/>
          <w:color w:val="auto"/>
        </w:rPr>
      </w:pPr>
    </w:p>
    <w:p>
      <w:pPr>
        <w:spacing w:after="0"/>
        <w:rPr>
          <w:sz w:val="20"/>
          <w:szCs w:val="20"/>
          <w:color w:val="auto"/>
        </w:rPr>
      </w:pPr>
      <w:r>
        <w:rPr>
          <w:rFonts w:ascii="Arial" w:cs="Arial" w:eastAsia="Arial" w:hAnsi="Arial"/>
          <w:sz w:val="11"/>
          <w:szCs w:val="11"/>
          <w:color w:val="auto"/>
        </w:rPr>
        <w:t>3.4We do not undertake or accept any obligation to update this letter and/or the opinions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330835</wp:posOffset>
            </wp:positionV>
            <wp:extent cx="6778625" cy="3492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720"/>
          </w:cols>
          <w:pgMar w:left="740" w:top="1372" w:right="1440" w:bottom="1440" w:gutter="0" w:footer="0" w:header="0"/>
        </w:sectPr>
      </w:pPr>
    </w:p>
    <w:bookmarkStart w:id="286" w:name="page287"/>
    <w:bookmarkEnd w:id="286"/>
    <w:p>
      <w:pPr>
        <w:spacing w:after="0"/>
        <w:rPr>
          <w:sz w:val="20"/>
          <w:szCs w:val="20"/>
          <w:color w:val="auto"/>
        </w:rPr>
      </w:pPr>
      <w:r>
        <w:rPr>
          <w:rFonts w:ascii="Arial" w:cs="Arial" w:eastAsia="Arial" w:hAnsi="Arial"/>
          <w:sz w:val="11"/>
          <w:szCs w:val="11"/>
          <w:color w:val="auto"/>
        </w:rPr>
        <w:t>given in it to reflect subsequent changes in English law or factual matters.</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3.5We express no opinion on the impact of any rules, regulations or requirements of the NASDAQ Stock Market LLC or the rules and regulations adopted by the SEC.</w:t>
      </w:r>
    </w:p>
    <w:p>
      <w:pPr>
        <w:spacing w:after="0" w:line="114" w:lineRule="exact"/>
        <w:rPr>
          <w:sz w:val="20"/>
          <w:szCs w:val="20"/>
          <w:color w:val="auto"/>
        </w:rPr>
      </w:pPr>
    </w:p>
    <w:p>
      <w:pPr>
        <w:ind w:right="320"/>
        <w:spacing w:after="0" w:line="251" w:lineRule="auto"/>
        <w:rPr>
          <w:sz w:val="20"/>
          <w:szCs w:val="20"/>
          <w:color w:val="auto"/>
        </w:rPr>
      </w:pPr>
      <w:r>
        <w:rPr>
          <w:rFonts w:ascii="Arial" w:cs="Arial" w:eastAsia="Arial" w:hAnsi="Arial"/>
          <w:sz w:val="11"/>
          <w:szCs w:val="11"/>
          <w:color w:val="auto"/>
        </w:rPr>
        <w:t>3.6We express no opinion in this letter on the laws of any jurisdiction other than England. It is assumed that no foreign law which may apply to the matters contemplated by the Registration Statement, the Company, any document or any other matter contemplated by any document would or might affect this letter and/or the opinions given in it.</w:t>
      </w:r>
    </w:p>
    <w:p>
      <w:pPr>
        <w:spacing w:after="0" w:line="95" w:lineRule="exact"/>
        <w:rPr>
          <w:sz w:val="20"/>
          <w:szCs w:val="20"/>
          <w:color w:val="auto"/>
        </w:rPr>
      </w:pPr>
    </w:p>
    <w:p>
      <w:pPr>
        <w:spacing w:after="0"/>
        <w:rPr>
          <w:sz w:val="20"/>
          <w:szCs w:val="20"/>
          <w:color w:val="auto"/>
        </w:rPr>
      </w:pPr>
      <w:r>
        <w:rPr>
          <w:rFonts w:ascii="Arial" w:cs="Arial" w:eastAsia="Arial" w:hAnsi="Arial"/>
          <w:sz w:val="11"/>
          <w:szCs w:val="11"/>
          <w:color w:val="auto"/>
        </w:rPr>
        <w:t>3.7For the purposes of this opinion, we have not examined:</w:t>
      </w:r>
    </w:p>
    <w:p>
      <w:pPr>
        <w:spacing w:after="0" w:line="106" w:lineRule="exact"/>
        <w:rPr>
          <w:sz w:val="20"/>
          <w:szCs w:val="20"/>
          <w:color w:val="auto"/>
        </w:rPr>
      </w:pPr>
    </w:p>
    <w:p>
      <w:pPr>
        <w:ind w:left="700"/>
        <w:spacing w:after="0"/>
        <w:rPr>
          <w:sz w:val="20"/>
          <w:szCs w:val="20"/>
          <w:color w:val="auto"/>
        </w:rPr>
      </w:pPr>
      <w:r>
        <w:rPr>
          <w:rFonts w:ascii="Arial" w:cs="Arial" w:eastAsia="Arial" w:hAnsi="Arial"/>
          <w:sz w:val="11"/>
          <w:szCs w:val="11"/>
          <w:color w:val="auto"/>
        </w:rPr>
        <w:t>(a)any contract, other than those set out in paragraph 2.4 which may affect the validity or enforceability of the contracts set out in paragraph 2.4; or</w:t>
      </w:r>
    </w:p>
    <w:p>
      <w:pPr>
        <w:spacing w:after="0" w:line="31" w:lineRule="exact"/>
        <w:rPr>
          <w:sz w:val="20"/>
          <w:szCs w:val="20"/>
          <w:color w:val="auto"/>
        </w:rPr>
      </w:pPr>
    </w:p>
    <w:p>
      <w:pPr>
        <w:ind w:left="700"/>
        <w:spacing w:after="0"/>
        <w:rPr>
          <w:sz w:val="20"/>
          <w:szCs w:val="20"/>
          <w:color w:val="auto"/>
        </w:rPr>
      </w:pPr>
      <w:r>
        <w:rPr>
          <w:rFonts w:ascii="Arial" w:cs="Arial" w:eastAsia="Arial" w:hAnsi="Arial"/>
          <w:sz w:val="11"/>
          <w:szCs w:val="11"/>
          <w:color w:val="auto"/>
        </w:rPr>
        <w:t>(b)any of the corporate or other records of the Company (apart from those set out in paragraph 2.4 or revealed by the searches mentioned in paragraph 2.5),</w:t>
      </w:r>
    </w:p>
    <w:p>
      <w:pPr>
        <w:spacing w:after="0" w:line="114" w:lineRule="exact"/>
        <w:rPr>
          <w:sz w:val="20"/>
          <w:szCs w:val="20"/>
          <w:color w:val="auto"/>
        </w:rPr>
      </w:pPr>
    </w:p>
    <w:p>
      <w:pPr>
        <w:ind w:left="720"/>
        <w:spacing w:after="0"/>
        <w:rPr>
          <w:sz w:val="20"/>
          <w:szCs w:val="20"/>
          <w:color w:val="auto"/>
        </w:rPr>
      </w:pPr>
      <w:r>
        <w:rPr>
          <w:rFonts w:ascii="Arial" w:cs="Arial" w:eastAsia="Arial" w:hAnsi="Arial"/>
          <w:sz w:val="11"/>
          <w:szCs w:val="11"/>
          <w:color w:val="auto"/>
        </w:rPr>
        <w:t>nor (apart from those mentioned in paragraph 2.5) have we made any other search or enquiry concerning the Company.</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3.8For the purposes of our opinion we have also assumed:</w:t>
      </w:r>
    </w:p>
    <w:p>
      <w:pPr>
        <w:spacing w:after="0" w:line="106" w:lineRule="exact"/>
        <w:rPr>
          <w:sz w:val="20"/>
          <w:szCs w:val="20"/>
          <w:color w:val="auto"/>
        </w:rPr>
      </w:pPr>
    </w:p>
    <w:p>
      <w:pPr>
        <w:ind w:left="700"/>
        <w:spacing w:after="0"/>
        <w:rPr>
          <w:sz w:val="20"/>
          <w:szCs w:val="20"/>
          <w:color w:val="auto"/>
        </w:rPr>
      </w:pPr>
      <w:r>
        <w:rPr>
          <w:rFonts w:ascii="Arial" w:cs="Arial" w:eastAsia="Arial" w:hAnsi="Arial"/>
          <w:sz w:val="11"/>
          <w:szCs w:val="11"/>
          <w:color w:val="auto"/>
        </w:rPr>
        <w:t>(a)the Registration Statement, as amended and supplemented, becoming effective under the Securities Act and continuing to be effective;</w:t>
      </w:r>
    </w:p>
    <w:p>
      <w:pPr>
        <w:spacing w:after="0" w:line="114" w:lineRule="exact"/>
        <w:rPr>
          <w:sz w:val="20"/>
          <w:szCs w:val="20"/>
          <w:color w:val="auto"/>
        </w:rPr>
      </w:pPr>
    </w:p>
    <w:p>
      <w:pPr>
        <w:ind w:left="700" w:right="500"/>
        <w:spacing w:after="0" w:line="251" w:lineRule="auto"/>
        <w:rPr>
          <w:sz w:val="20"/>
          <w:szCs w:val="20"/>
          <w:color w:val="auto"/>
        </w:rPr>
      </w:pPr>
      <w:r>
        <w:rPr>
          <w:rFonts w:ascii="Arial" w:cs="Arial" w:eastAsia="Arial" w:hAnsi="Arial"/>
          <w:sz w:val="11"/>
          <w:szCs w:val="11"/>
          <w:color w:val="auto"/>
        </w:rPr>
        <w:t>(b)the number of Relevant Shares allotted and issued together with those to be allotted and issued as contemplated by the Registration Statement not being greater than the aggregate nominal value specified in the Corporate Approvals;</w:t>
      </w:r>
    </w:p>
    <w:p>
      <w:pPr>
        <w:spacing w:after="0" w:line="95" w:lineRule="exact"/>
        <w:rPr>
          <w:sz w:val="20"/>
          <w:szCs w:val="20"/>
          <w:color w:val="auto"/>
        </w:rPr>
      </w:pPr>
    </w:p>
    <w:p>
      <w:pPr>
        <w:ind w:left="700" w:right="460"/>
        <w:spacing w:after="0" w:line="239" w:lineRule="auto"/>
        <w:rPr>
          <w:sz w:val="20"/>
          <w:szCs w:val="20"/>
          <w:color w:val="auto"/>
        </w:rPr>
      </w:pPr>
      <w:r>
        <w:rPr>
          <w:rFonts w:ascii="Arial" w:cs="Arial" w:eastAsia="Arial" w:hAnsi="Arial"/>
          <w:sz w:val="11"/>
          <w:szCs w:val="11"/>
          <w:color w:val="auto"/>
        </w:rPr>
        <w:t>(c)the allotment and issue of Relevant Shares to either GTU Ops Inc (or another depositary nominee of Computershare Trust Company. N.A.) or Cede &amp; Co. (or another nominee of The Depositary Trust Company) for the ultimate benefit of a party shall constitute due satisfaction of the Company's obligations to issue and allot Ordinary Shares to such party under the applicable documents set out in paragraph 2.4;</w:t>
      </w:r>
    </w:p>
    <w:p>
      <w:pPr>
        <w:spacing w:after="0" w:line="102" w:lineRule="exact"/>
        <w:rPr>
          <w:sz w:val="20"/>
          <w:szCs w:val="20"/>
          <w:color w:val="auto"/>
        </w:rPr>
      </w:pPr>
    </w:p>
    <w:p>
      <w:pPr>
        <w:ind w:left="700" w:right="480"/>
        <w:spacing w:after="0" w:line="251" w:lineRule="auto"/>
        <w:rPr>
          <w:sz w:val="20"/>
          <w:szCs w:val="20"/>
          <w:color w:val="auto"/>
        </w:rPr>
      </w:pPr>
      <w:r>
        <w:rPr>
          <w:rFonts w:ascii="Arial" w:cs="Arial" w:eastAsia="Arial" w:hAnsi="Arial"/>
          <w:sz w:val="11"/>
          <w:szCs w:val="11"/>
          <w:color w:val="auto"/>
        </w:rPr>
        <w:t>(d)the receipt in full of payment for the Relevant Shares in an amount of “cash consideration” (as defined in section 583(3) of the Companies Act) of not less than the aggregate nominal value plus the applicable premium for such Relevant Shares;</w:t>
      </w:r>
    </w:p>
    <w:p>
      <w:pPr>
        <w:spacing w:after="0" w:line="95" w:lineRule="exact"/>
        <w:rPr>
          <w:sz w:val="20"/>
          <w:szCs w:val="20"/>
          <w:color w:val="auto"/>
        </w:rPr>
      </w:pPr>
    </w:p>
    <w:p>
      <w:pPr>
        <w:ind w:left="700" w:right="280"/>
        <w:spacing w:after="0" w:line="298" w:lineRule="auto"/>
        <w:rPr>
          <w:sz w:val="20"/>
          <w:szCs w:val="20"/>
          <w:color w:val="auto"/>
        </w:rPr>
      </w:pPr>
      <w:r>
        <w:rPr>
          <w:rFonts w:ascii="Arial" w:cs="Arial" w:eastAsia="Arial" w:hAnsi="Arial"/>
          <w:sz w:val="9"/>
          <w:szCs w:val="9"/>
          <w:color w:val="auto"/>
        </w:rPr>
        <w:t>(e)that the Corporate Approvals and any additional board and shareholder resolutions required pursuant to the terms of the Companies Act 2006 (the “</w:t>
      </w:r>
      <w:r>
        <w:rPr>
          <w:rFonts w:ascii="Arial" w:cs="Arial" w:eastAsia="Arial" w:hAnsi="Arial"/>
          <w:sz w:val="9"/>
          <w:szCs w:val="9"/>
          <w:b w:val="1"/>
          <w:bCs w:val="1"/>
          <w:color w:val="auto"/>
        </w:rPr>
        <w:t>Companies Act</w:t>
      </w:r>
      <w:r>
        <w:rPr>
          <w:rFonts w:ascii="Arial" w:cs="Arial" w:eastAsia="Arial" w:hAnsi="Arial"/>
          <w:sz w:val="9"/>
          <w:szCs w:val="9"/>
          <w:color w:val="auto"/>
        </w:rPr>
        <w:t>”) and the articles (as in force from time to time) were or will be (as appropriate) each duly passed by written resolution or at a meeting which was or will be duly convened and held in accordance with all applicable laws and regulations; that in particular, but without limitation, a duly qualified quorum of directors or, as the case may be, shareholders was or will be present in each case throughout the meeting and voted or vote in favour of the resolutions; and that in relation to each meeting of the Board, each provision contained in the Companies Act or the articles (as in force from time to time) relating to the declaration of the directors’ interests or the power of the interested directors to vote and to count in the quorum was or will be duly observed;</w:t>
      </w:r>
    </w:p>
    <w:p>
      <w:pPr>
        <w:spacing w:after="0" w:line="78" w:lineRule="exact"/>
        <w:rPr>
          <w:sz w:val="20"/>
          <w:szCs w:val="20"/>
          <w:color w:val="auto"/>
        </w:rPr>
      </w:pPr>
    </w:p>
    <w:p>
      <w:pPr>
        <w:ind w:left="700"/>
        <w:spacing w:after="0"/>
        <w:rPr>
          <w:sz w:val="20"/>
          <w:szCs w:val="20"/>
          <w:color w:val="auto"/>
        </w:rPr>
      </w:pPr>
      <w:r>
        <w:rPr>
          <w:rFonts w:ascii="Arial" w:cs="Arial" w:eastAsia="Arial" w:hAnsi="Arial"/>
          <w:sz w:val="11"/>
          <w:szCs w:val="11"/>
          <w:color w:val="auto"/>
        </w:rPr>
        <w:t>(f)valid entries having been made in relation to the allotment and issue of the Relevant Shares in the books and registers of the Company;</w:t>
      </w:r>
    </w:p>
    <w:p>
      <w:pPr>
        <w:spacing w:after="0" w:line="114" w:lineRule="exact"/>
        <w:rPr>
          <w:sz w:val="20"/>
          <w:szCs w:val="20"/>
          <w:color w:val="auto"/>
        </w:rPr>
      </w:pPr>
    </w:p>
    <w:p>
      <w:pPr>
        <w:ind w:left="700"/>
        <w:spacing w:after="0"/>
        <w:rPr>
          <w:sz w:val="20"/>
          <w:szCs w:val="20"/>
          <w:color w:val="auto"/>
        </w:rPr>
      </w:pPr>
      <w:r>
        <w:rPr>
          <w:rFonts w:ascii="Arial" w:cs="Arial" w:eastAsia="Arial" w:hAnsi="Arial"/>
          <w:sz w:val="11"/>
          <w:szCs w:val="11"/>
          <w:color w:val="auto"/>
        </w:rPr>
        <w:t>(g)where a document submitted to us is not fully executed or dated, we have assumed that the Company holds a fully executed and dated version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330835</wp:posOffset>
            </wp:positionV>
            <wp:extent cx="6778625" cy="3492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720"/>
          </w:cols>
          <w:pgMar w:left="740" w:top="1364" w:right="1440" w:bottom="1440" w:gutter="0" w:footer="0" w:header="0"/>
        </w:sectPr>
      </w:pPr>
    </w:p>
    <w:bookmarkStart w:id="287" w:name="page288"/>
    <w:bookmarkEnd w:id="287"/>
    <w:p>
      <w:pPr>
        <w:spacing w:after="0"/>
        <w:rPr>
          <w:sz w:val="20"/>
          <w:szCs w:val="20"/>
          <w:color w:val="auto"/>
        </w:rPr>
      </w:pPr>
      <w:r>
        <w:rPr>
          <w:rFonts w:ascii="Arial" w:cs="Arial" w:eastAsia="Arial" w:hAnsi="Arial"/>
          <w:sz w:val="11"/>
          <w:szCs w:val="11"/>
          <w:color w:val="auto"/>
        </w:rPr>
        <w:t>document (or alternatively the Company holds all counterpart execution versions of the document);</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(h)the genuineness of all signatures on, and the authenticity and completeness of, all documents submitted to us;</w:t>
      </w:r>
    </w:p>
    <w:p>
      <w:pPr>
        <w:spacing w:after="0" w:line="114" w:lineRule="exact"/>
        <w:rPr>
          <w:sz w:val="20"/>
          <w:szCs w:val="20"/>
          <w:color w:val="auto"/>
        </w:rPr>
      </w:pPr>
    </w:p>
    <w:p>
      <w:pPr>
        <w:ind w:right="500"/>
        <w:spacing w:after="0" w:line="360" w:lineRule="auto"/>
        <w:rPr>
          <w:sz w:val="20"/>
          <w:szCs w:val="20"/>
          <w:color w:val="auto"/>
        </w:rPr>
      </w:pPr>
      <w:r>
        <w:rPr>
          <w:rFonts w:ascii="Arial" w:cs="Arial" w:eastAsia="Arial" w:hAnsi="Arial"/>
          <w:sz w:val="9"/>
          <w:szCs w:val="9"/>
          <w:color w:val="auto"/>
        </w:rPr>
        <w:t>(i)that for all documents submitted to us, to the extent only Rezolve Limited is a party (and not also the Company), that the obligations of the Company under such document have been validly novated from Rezolve Limited to the Company at time of the Demerger or otherwise prior to the issue and allotment of any Ordinary Shares pursuant to such document;</w:t>
      </w:r>
    </w:p>
    <w:p>
      <w:pPr>
        <w:spacing w:after="0" w:line="42" w:lineRule="exact"/>
        <w:rPr>
          <w:sz w:val="20"/>
          <w:szCs w:val="20"/>
          <w:color w:val="auto"/>
        </w:rPr>
      </w:pPr>
    </w:p>
    <w:p>
      <w:pPr>
        <w:ind w:right="340"/>
        <w:spacing w:after="0" w:line="259" w:lineRule="auto"/>
        <w:rPr>
          <w:sz w:val="20"/>
          <w:szCs w:val="20"/>
          <w:color w:val="auto"/>
        </w:rPr>
      </w:pPr>
      <w:r>
        <w:rPr>
          <w:rFonts w:ascii="Arial" w:cs="Arial" w:eastAsia="Arial" w:hAnsi="Arial"/>
          <w:sz w:val="11"/>
          <w:szCs w:val="11"/>
          <w:color w:val="auto"/>
        </w:rPr>
        <w:t>(j)the Articles remain in full force and effect, and no alteration has been made or will be made to such articles of association except for amendments required to convert the Company into a public company limited by shares, in each case prior to each date of allotment and issue of the Relevant Shares (each an “</w:t>
      </w:r>
      <w:r>
        <w:rPr>
          <w:rFonts w:ascii="Arial" w:cs="Arial" w:eastAsia="Arial" w:hAnsi="Arial"/>
          <w:sz w:val="11"/>
          <w:szCs w:val="11"/>
          <w:b w:val="1"/>
          <w:bCs w:val="1"/>
          <w:color w:val="auto"/>
        </w:rPr>
        <w:t>Allotment Date</w:t>
      </w:r>
      <w:r>
        <w:rPr>
          <w:rFonts w:ascii="Arial" w:cs="Arial" w:eastAsia="Arial" w:hAnsi="Arial"/>
          <w:sz w:val="11"/>
          <w:szCs w:val="11"/>
          <w:color w:val="auto"/>
        </w:rPr>
        <w:t>”);</w:t>
      </w:r>
    </w:p>
    <w:p>
      <w:pPr>
        <w:spacing w:after="0" w:line="87" w:lineRule="exact"/>
        <w:rPr>
          <w:sz w:val="20"/>
          <w:szCs w:val="20"/>
          <w:color w:val="auto"/>
        </w:rPr>
      </w:pPr>
    </w:p>
    <w:p>
      <w:pPr>
        <w:ind w:right="480"/>
        <w:spacing w:after="0" w:line="239" w:lineRule="auto"/>
        <w:rPr>
          <w:sz w:val="20"/>
          <w:szCs w:val="20"/>
          <w:color w:val="auto"/>
        </w:rPr>
      </w:pPr>
      <w:r>
        <w:rPr>
          <w:rFonts w:ascii="Arial" w:cs="Arial" w:eastAsia="Arial" w:hAnsi="Arial"/>
          <w:sz w:val="11"/>
          <w:szCs w:val="11"/>
          <w:color w:val="auto"/>
        </w:rPr>
        <w:t>(k)on each Allotment Date, the Company will comply or has complied with all applicable laws as to any offering of and as to the allotment and issue of the Relevant Shares and the Company has received (or for Ordinary Shares to be issued will receive) such amounts as are necessary to fully pay the nominal value of the Relevant Shares and any applicable share premium;</w:t>
      </w:r>
    </w:p>
    <w:p>
      <w:pPr>
        <w:spacing w:after="0" w:line="102" w:lineRule="exact"/>
        <w:rPr>
          <w:sz w:val="20"/>
          <w:szCs w:val="20"/>
          <w:color w:val="auto"/>
        </w:rPr>
      </w:pPr>
    </w:p>
    <w:p>
      <w:pPr>
        <w:ind w:right="320"/>
        <w:spacing w:after="0" w:line="239" w:lineRule="auto"/>
        <w:rPr>
          <w:sz w:val="20"/>
          <w:szCs w:val="20"/>
          <w:color w:val="auto"/>
        </w:rPr>
      </w:pPr>
      <w:r>
        <w:rPr>
          <w:rFonts w:ascii="Arial" w:cs="Arial" w:eastAsia="Arial" w:hAnsi="Arial"/>
          <w:sz w:val="11"/>
          <w:szCs w:val="11"/>
          <w:color w:val="auto"/>
        </w:rPr>
        <w:t>(l)the Board Resolutions provided to us in connection with the giving of the opinions in this letter reflect a true record of the proceedings described in them in duly convened, constituted and quorate meetings in which all constitutional, statutory and other formalities were or will be duly observed, and the resolutions set out in the minutes were or will be validly passed and have not been and will not be revoked or varied and remain in full force and effect and will remain so as at each Allotment Date;</w:t>
      </w:r>
    </w:p>
    <w:p>
      <w:pPr>
        <w:spacing w:after="0" w:line="95" w:lineRule="exact"/>
        <w:rPr>
          <w:sz w:val="20"/>
          <w:szCs w:val="20"/>
          <w:color w:val="auto"/>
        </w:rPr>
      </w:pPr>
    </w:p>
    <w:p>
      <w:pPr>
        <w:ind w:right="300"/>
        <w:spacing w:after="0" w:line="234" w:lineRule="auto"/>
        <w:rPr>
          <w:sz w:val="20"/>
          <w:szCs w:val="20"/>
          <w:color w:val="auto"/>
        </w:rPr>
      </w:pPr>
      <w:r>
        <w:rPr>
          <w:rFonts w:ascii="Arial" w:cs="Arial" w:eastAsia="Arial" w:hAnsi="Arial"/>
          <w:sz w:val="11"/>
          <w:szCs w:val="11"/>
          <w:color w:val="auto"/>
        </w:rPr>
        <w:t>(m)in respect of the Board Resolutions (i) in passing such resolutions the directors of the Company were or will be acting in good faith, (ii) the transactions and other matters referred to in the Board Resolutions were or are to be entered into and effected by the Company for the purpose of carrying on its business, (iii) at the time such transactions or matters were or (as the case may be) are to be entered into or effected the Board had or (as the case may be) will have reasonable grounds for believing that the transactions or matters would or (as the case may be) will promote the success of the Company for the benefit of its members as a whole, and (iv) the Board exercised or exercises their powers in connection with the transactions or matters in accordance with all applicable laws;</w:t>
      </w:r>
    </w:p>
    <w:p>
      <w:pPr>
        <w:spacing w:after="0" w:line="103" w:lineRule="exact"/>
        <w:rPr>
          <w:sz w:val="20"/>
          <w:szCs w:val="20"/>
          <w:color w:val="auto"/>
        </w:rPr>
      </w:pPr>
    </w:p>
    <w:p>
      <w:pPr>
        <w:ind w:right="240"/>
        <w:spacing w:after="0" w:line="239" w:lineRule="auto"/>
        <w:rPr>
          <w:sz w:val="20"/>
          <w:szCs w:val="20"/>
          <w:color w:val="auto"/>
        </w:rPr>
      </w:pPr>
      <w:r>
        <w:rPr>
          <w:rFonts w:ascii="Arial" w:cs="Arial" w:eastAsia="Arial" w:hAnsi="Arial"/>
          <w:sz w:val="11"/>
          <w:szCs w:val="11"/>
          <w:color w:val="auto"/>
        </w:rPr>
        <w:t>(n)the resolutions set out in the Corporate Approvals and/or such other board or shareholder resolutions that are otherwise obtained and/or required by the Company at a later date to, inter alia, validly authorise the issuance of all Relevant Shares were or will be validly passed and have not been and will not be revoked or varied and remain in full force and effect and will remain so as at each Allotment Date;</w:t>
      </w:r>
    </w:p>
    <w:p>
      <w:pPr>
        <w:spacing w:after="0" w:line="95" w:lineRule="exact"/>
        <w:rPr>
          <w:sz w:val="20"/>
          <w:szCs w:val="20"/>
          <w:color w:val="auto"/>
        </w:rPr>
      </w:pPr>
    </w:p>
    <w:p>
      <w:pPr>
        <w:ind w:right="340"/>
        <w:spacing w:after="0" w:line="234" w:lineRule="auto"/>
        <w:rPr>
          <w:sz w:val="20"/>
          <w:szCs w:val="20"/>
          <w:color w:val="auto"/>
        </w:rPr>
      </w:pPr>
      <w:r>
        <w:rPr>
          <w:rFonts w:ascii="Arial" w:cs="Arial" w:eastAsia="Arial" w:hAnsi="Arial"/>
          <w:sz w:val="11"/>
          <w:szCs w:val="11"/>
          <w:color w:val="auto"/>
        </w:rPr>
        <w:t>(o)as at each Allotment Date, the directors of the Company had or shall have sufficient powers conferred on them to allot the Relevant Shares and to grant rights to subscribe for Relevant Shares (as applicable) under section 551 (Power of directors to allot shares etc: authorisation by company) of the Companies Act and under section 570 (Disapplication of pre-emption rights: directors acting under general authorisation) of the Companies Act as if section 561 of the Companies Act did not apply to such allotment or grant and the Company has not issued (or purported to issue) and shall not issue (or purport to issue) Relevant Shares and has not granted (or purported to grant) and shall not grant rights (or purport to grant rights) in excess of such powers or in breach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324485</wp:posOffset>
            </wp:positionV>
            <wp:extent cx="6778625" cy="3492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020"/>
          </w:cols>
          <w:pgMar w:left="1440" w:top="1372" w:right="1440" w:bottom="1440" w:gutter="0" w:footer="0" w:header="0"/>
        </w:sectPr>
      </w:pPr>
    </w:p>
    <w:bookmarkStart w:id="288" w:name="page289"/>
    <w:bookmarkEnd w:id="288"/>
    <w:p>
      <w:pPr>
        <w:spacing w:after="0"/>
        <w:rPr>
          <w:sz w:val="20"/>
          <w:szCs w:val="20"/>
          <w:color w:val="auto"/>
        </w:rPr>
      </w:pPr>
      <w:r>
        <w:rPr>
          <w:rFonts w:ascii="Arial" w:cs="Arial" w:eastAsia="Arial" w:hAnsi="Arial"/>
          <w:sz w:val="11"/>
          <w:szCs w:val="11"/>
          <w:color w:val="auto"/>
        </w:rPr>
        <w:t>other limitation on their powers to issue shares or grant rights;</w:t>
      </w:r>
    </w:p>
    <w:p>
      <w:pPr>
        <w:spacing w:after="0" w:line="114" w:lineRule="exact"/>
        <w:rPr>
          <w:sz w:val="20"/>
          <w:szCs w:val="20"/>
          <w:color w:val="auto"/>
        </w:rPr>
      </w:pPr>
    </w:p>
    <w:p>
      <w:pPr>
        <w:jc w:val="both"/>
        <w:ind w:right="340"/>
        <w:spacing w:after="0" w:line="239" w:lineRule="auto"/>
        <w:rPr>
          <w:sz w:val="20"/>
          <w:szCs w:val="20"/>
          <w:color w:val="auto"/>
        </w:rPr>
      </w:pPr>
      <w:r>
        <w:rPr>
          <w:rFonts w:ascii="Arial" w:cs="Arial" w:eastAsia="Arial" w:hAnsi="Arial"/>
          <w:sz w:val="11"/>
          <w:szCs w:val="11"/>
          <w:color w:val="auto"/>
        </w:rPr>
        <w:t>(p)in relation to the allotment and issue of the Relevant Shares, the directors of the Company have acted and will act in the manner required by section 172 of the Companies Act (Duty to promote the success of the Company), and there has not been and will not be any bad faith, breach of trust, fraud, coercion, duress or undue influence on the part of any of the directors of the Company and such directors exercised their powers in accordance with all other statutory duties under the Companies Act and English common law;</w:t>
      </w:r>
    </w:p>
    <w:p>
      <w:pPr>
        <w:spacing w:after="0" w:line="102" w:lineRule="exact"/>
        <w:rPr>
          <w:sz w:val="20"/>
          <w:szCs w:val="20"/>
          <w:color w:val="auto"/>
        </w:rPr>
      </w:pPr>
    </w:p>
    <w:p>
      <w:pPr>
        <w:ind w:right="260"/>
        <w:spacing w:after="0" w:line="251" w:lineRule="auto"/>
        <w:rPr>
          <w:sz w:val="20"/>
          <w:szCs w:val="20"/>
          <w:color w:val="auto"/>
        </w:rPr>
      </w:pPr>
      <w:r>
        <w:rPr>
          <w:rFonts w:ascii="Arial" w:cs="Arial" w:eastAsia="Arial" w:hAnsi="Arial"/>
          <w:sz w:val="11"/>
          <w:szCs w:val="11"/>
          <w:color w:val="auto"/>
        </w:rPr>
        <w:t>(q)as at each Allotment Date, any authority granted pursuant to the articles (in force from time to time) or the Shareholder Resolutions or otherwise by the Company’s shareholders remained or will remain unutilised to the extent necessary to permit the allotment and issue of the Relevant Shares;</w:t>
      </w:r>
    </w:p>
    <w:p>
      <w:pPr>
        <w:spacing w:after="0" w:line="88" w:lineRule="exact"/>
        <w:rPr>
          <w:sz w:val="20"/>
          <w:szCs w:val="20"/>
          <w:color w:val="auto"/>
        </w:rPr>
      </w:pPr>
    </w:p>
    <w:p>
      <w:pPr>
        <w:ind w:right="420"/>
        <w:spacing w:after="0" w:line="251" w:lineRule="auto"/>
        <w:rPr>
          <w:sz w:val="20"/>
          <w:szCs w:val="20"/>
          <w:color w:val="auto"/>
        </w:rPr>
      </w:pPr>
      <w:r>
        <w:rPr>
          <w:rFonts w:ascii="Arial" w:cs="Arial" w:eastAsia="Arial" w:hAnsi="Arial"/>
          <w:sz w:val="11"/>
          <w:szCs w:val="11"/>
          <w:color w:val="auto"/>
        </w:rPr>
        <w:t>(r)each of the signed documents examined by us has been duly executed and, where applicable, delivered on behalf of the Company and each natural person executing such documents has sufficient legal capacity to enter into such documents and perform the transactions contemplated herein;</w:t>
      </w:r>
    </w:p>
    <w:p>
      <w:pPr>
        <w:spacing w:after="0" w:line="95" w:lineRule="exact"/>
        <w:rPr>
          <w:sz w:val="20"/>
          <w:szCs w:val="20"/>
          <w:color w:val="auto"/>
        </w:rPr>
      </w:pPr>
    </w:p>
    <w:p>
      <w:pPr>
        <w:ind w:right="400"/>
        <w:spacing w:after="0" w:line="251" w:lineRule="auto"/>
        <w:rPr>
          <w:sz w:val="20"/>
          <w:szCs w:val="20"/>
          <w:color w:val="auto"/>
        </w:rPr>
      </w:pPr>
      <w:r>
        <w:rPr>
          <w:rFonts w:ascii="Arial" w:cs="Arial" w:eastAsia="Arial" w:hAnsi="Arial"/>
          <w:sz w:val="11"/>
          <w:szCs w:val="11"/>
          <w:color w:val="auto"/>
        </w:rPr>
        <w:t>(s)that any person who signed a document (which we have reviewed for the purposes of the opinion given in this letter) as a witness was physically present at the time when the signatory signed such document;</w:t>
      </w:r>
    </w:p>
    <w:p>
      <w:pPr>
        <w:spacing w:after="0" w:line="95" w:lineRule="exact"/>
        <w:rPr>
          <w:sz w:val="20"/>
          <w:szCs w:val="20"/>
          <w:color w:val="auto"/>
        </w:rPr>
      </w:pPr>
    </w:p>
    <w:p>
      <w:pPr>
        <w:spacing w:after="0"/>
        <w:rPr>
          <w:sz w:val="20"/>
          <w:szCs w:val="20"/>
          <w:color w:val="auto"/>
        </w:rPr>
      </w:pPr>
      <w:r>
        <w:rPr>
          <w:rFonts w:ascii="Arial" w:cs="Arial" w:eastAsia="Arial" w:hAnsi="Arial"/>
          <w:sz w:val="11"/>
          <w:szCs w:val="11"/>
          <w:color w:val="auto"/>
        </w:rPr>
        <w:t>(t)the conformity to originals of all documents submitted to us as copies of originals and the authenticity of the originals;</w:t>
      </w:r>
    </w:p>
    <w:p>
      <w:pPr>
        <w:spacing w:after="0" w:line="106" w:lineRule="exact"/>
        <w:rPr>
          <w:sz w:val="20"/>
          <w:szCs w:val="20"/>
          <w:color w:val="auto"/>
        </w:rPr>
      </w:pPr>
    </w:p>
    <w:p>
      <w:pPr>
        <w:spacing w:after="0"/>
        <w:rPr>
          <w:sz w:val="20"/>
          <w:szCs w:val="20"/>
          <w:color w:val="auto"/>
        </w:rPr>
      </w:pPr>
      <w:r>
        <w:rPr>
          <w:rFonts w:ascii="Arial" w:cs="Arial" w:eastAsia="Arial" w:hAnsi="Arial"/>
          <w:sz w:val="11"/>
          <w:szCs w:val="11"/>
          <w:color w:val="auto"/>
        </w:rPr>
        <w:t>(u)that the documents and records referred to in paragraphs 2.4 and 2.5 are accurate and complete;</w:t>
      </w:r>
    </w:p>
    <w:p>
      <w:pPr>
        <w:spacing w:after="0" w:line="106" w:lineRule="exact"/>
        <w:rPr>
          <w:sz w:val="20"/>
          <w:szCs w:val="20"/>
          <w:color w:val="auto"/>
        </w:rPr>
      </w:pPr>
    </w:p>
    <w:p>
      <w:pPr>
        <w:spacing w:after="0"/>
        <w:rPr>
          <w:sz w:val="20"/>
          <w:szCs w:val="20"/>
          <w:color w:val="auto"/>
        </w:rPr>
      </w:pPr>
      <w:r>
        <w:rPr>
          <w:rFonts w:ascii="Arial" w:cs="Arial" w:eastAsia="Arial" w:hAnsi="Arial"/>
          <w:sz w:val="11"/>
          <w:szCs w:val="11"/>
          <w:color w:val="auto"/>
        </w:rPr>
        <w:t>(v)that except as disclosed in the documents referred to in paragraph 2.4, and the search and enquiry referred to in paragraph 2.5:</w:t>
      </w:r>
    </w:p>
    <w:p>
      <w:pPr>
        <w:spacing w:after="0" w:line="114" w:lineRule="exact"/>
        <w:rPr>
          <w:sz w:val="20"/>
          <w:szCs w:val="20"/>
          <w:color w:val="auto"/>
        </w:rPr>
      </w:pPr>
    </w:p>
    <w:p>
      <w:pPr>
        <w:ind w:left="720" w:right="360"/>
        <w:spacing w:after="0" w:line="251" w:lineRule="auto"/>
        <w:rPr>
          <w:sz w:val="20"/>
          <w:szCs w:val="20"/>
          <w:color w:val="auto"/>
        </w:rPr>
      </w:pPr>
      <w:r>
        <w:rPr>
          <w:rFonts w:ascii="Arial" w:cs="Arial" w:eastAsia="Arial" w:hAnsi="Arial"/>
          <w:sz w:val="11"/>
          <w:szCs w:val="11"/>
          <w:color w:val="auto"/>
        </w:rPr>
        <w:t>(i)no arrangement or composition with or for the benefit of the creditors of the Company (including a voluntary arrangement as defined in the Insolvency Act 1986) has been entered into or proposed;</w:t>
      </w:r>
    </w:p>
    <w:p>
      <w:pPr>
        <w:spacing w:after="0" w:line="95" w:lineRule="exact"/>
        <w:rPr>
          <w:sz w:val="20"/>
          <w:szCs w:val="20"/>
          <w:color w:val="auto"/>
        </w:rPr>
      </w:pPr>
    </w:p>
    <w:p>
      <w:pPr>
        <w:ind w:left="720"/>
        <w:spacing w:after="0"/>
        <w:rPr>
          <w:sz w:val="20"/>
          <w:szCs w:val="20"/>
          <w:color w:val="auto"/>
        </w:rPr>
      </w:pPr>
      <w:r>
        <w:rPr>
          <w:rFonts w:ascii="Arial" w:cs="Arial" w:eastAsia="Arial" w:hAnsi="Arial"/>
          <w:sz w:val="11"/>
          <w:szCs w:val="11"/>
          <w:color w:val="auto"/>
        </w:rPr>
        <w:t>(ii)no moratorium has come into force in respect of the Company under Part A1 of the Insolvency Act 1986;</w:t>
      </w:r>
    </w:p>
    <w:p>
      <w:pPr>
        <w:spacing w:after="0" w:line="106" w:lineRule="exact"/>
        <w:rPr>
          <w:sz w:val="20"/>
          <w:szCs w:val="20"/>
          <w:color w:val="auto"/>
        </w:rPr>
      </w:pPr>
    </w:p>
    <w:p>
      <w:pPr>
        <w:ind w:left="720" w:right="380"/>
        <w:spacing w:after="0" w:line="251" w:lineRule="auto"/>
        <w:rPr>
          <w:sz w:val="20"/>
          <w:szCs w:val="20"/>
          <w:color w:val="auto"/>
        </w:rPr>
      </w:pPr>
      <w:r>
        <w:rPr>
          <w:rFonts w:ascii="Arial" w:cs="Arial" w:eastAsia="Arial" w:hAnsi="Arial"/>
          <w:sz w:val="11"/>
          <w:szCs w:val="11"/>
          <w:color w:val="auto"/>
        </w:rPr>
        <w:t>(iii)no receiver or administrative receiver has taken possession of or being appointed over nor has any mortgagee, chargee or other encumbrancer taken possession of the whole or any material part of the assets of the Company;</w:t>
      </w:r>
    </w:p>
    <w:p>
      <w:pPr>
        <w:spacing w:after="0" w:line="95" w:lineRule="exact"/>
        <w:rPr>
          <w:sz w:val="20"/>
          <w:szCs w:val="20"/>
          <w:color w:val="auto"/>
        </w:rPr>
      </w:pPr>
    </w:p>
    <w:p>
      <w:pPr>
        <w:ind w:left="720" w:right="480"/>
        <w:spacing w:after="0" w:line="251" w:lineRule="auto"/>
        <w:rPr>
          <w:sz w:val="20"/>
          <w:szCs w:val="20"/>
          <w:color w:val="auto"/>
        </w:rPr>
      </w:pPr>
      <w:r>
        <w:rPr>
          <w:rFonts w:ascii="Arial" w:cs="Arial" w:eastAsia="Arial" w:hAnsi="Arial"/>
          <w:sz w:val="11"/>
          <w:szCs w:val="11"/>
          <w:color w:val="auto"/>
        </w:rPr>
        <w:t>(iv)neither the Company nor its directors nor the holder of a qualifying floating charge (as defined in Schedule B1 to the Insolvency Act 1986) has given notice of his, her, their or its intention to appoint an administrator in accordance with paragraphs 18 or 26 of Schedule B1 to the Insolvency Act 1986;</w:t>
      </w:r>
    </w:p>
    <w:p>
      <w:pPr>
        <w:spacing w:after="0" w:line="95" w:lineRule="exact"/>
        <w:rPr>
          <w:sz w:val="20"/>
          <w:szCs w:val="20"/>
          <w:color w:val="auto"/>
        </w:rPr>
      </w:pPr>
    </w:p>
    <w:p>
      <w:pPr>
        <w:ind w:left="720" w:right="460"/>
        <w:spacing w:after="0" w:line="251" w:lineRule="auto"/>
        <w:rPr>
          <w:sz w:val="20"/>
          <w:szCs w:val="20"/>
          <w:color w:val="auto"/>
        </w:rPr>
      </w:pPr>
      <w:r>
        <w:rPr>
          <w:rFonts w:ascii="Arial" w:cs="Arial" w:eastAsia="Arial" w:hAnsi="Arial"/>
          <w:sz w:val="11"/>
          <w:szCs w:val="11"/>
          <w:color w:val="auto"/>
        </w:rPr>
        <w:t>(v)neither the Company nor its directors nor any of their creditors nor the holder of a qualifying floating charge (as defined in Schedule B1 to the Insolvency Act 1986) has made an application to the court for the appointment of an administrator of the Company;</w:t>
      </w:r>
    </w:p>
    <w:p>
      <w:pPr>
        <w:spacing w:after="0" w:line="88" w:lineRule="exact"/>
        <w:rPr>
          <w:sz w:val="20"/>
          <w:szCs w:val="20"/>
          <w:color w:val="auto"/>
        </w:rPr>
      </w:pPr>
    </w:p>
    <w:p>
      <w:pPr>
        <w:ind w:left="720"/>
        <w:spacing w:after="0"/>
        <w:rPr>
          <w:sz w:val="20"/>
          <w:szCs w:val="20"/>
          <w:color w:val="auto"/>
        </w:rPr>
      </w:pPr>
      <w:r>
        <w:rPr>
          <w:rFonts w:ascii="Arial" w:cs="Arial" w:eastAsia="Arial" w:hAnsi="Arial"/>
          <w:sz w:val="11"/>
          <w:szCs w:val="11"/>
          <w:color w:val="auto"/>
        </w:rPr>
        <w:t>(vi)no administrator has been appointed of the Company under paragraphs 14 or 22 of Schedule B1 to the Insolvency Act 1986 or otherwise;</w:t>
      </w:r>
    </w:p>
    <w:p>
      <w:pPr>
        <w:spacing w:after="0" w:line="114" w:lineRule="exact"/>
        <w:rPr>
          <w:sz w:val="20"/>
          <w:szCs w:val="20"/>
          <w:color w:val="auto"/>
        </w:rPr>
      </w:pPr>
    </w:p>
    <w:p>
      <w:pPr>
        <w:ind w:left="720"/>
        <w:spacing w:after="0"/>
        <w:rPr>
          <w:sz w:val="20"/>
          <w:szCs w:val="20"/>
          <w:color w:val="auto"/>
        </w:rPr>
      </w:pPr>
      <w:r>
        <w:rPr>
          <w:rFonts w:ascii="Arial" w:cs="Arial" w:eastAsia="Arial" w:hAnsi="Arial"/>
          <w:sz w:val="11"/>
          <w:szCs w:val="11"/>
          <w:color w:val="auto"/>
        </w:rPr>
        <w:t>(vii)no petition has been presented nor a resolution been passed nor has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330835</wp:posOffset>
            </wp:positionV>
            <wp:extent cx="6778625" cy="349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020"/>
          </w:cols>
          <w:pgMar w:left="1440" w:top="1364" w:right="1440" w:bottom="1440" w:gutter="0" w:footer="0" w:header="0"/>
        </w:sectPr>
      </w:pPr>
    </w:p>
    <w:bookmarkStart w:id="289" w:name="page290"/>
    <w:bookmarkEnd w:id="289"/>
    <w:p>
      <w:pPr>
        <w:ind w:left="1420"/>
        <w:spacing w:after="0"/>
        <w:rPr>
          <w:sz w:val="20"/>
          <w:szCs w:val="20"/>
          <w:color w:val="auto"/>
        </w:rPr>
      </w:pPr>
      <w:r>
        <w:rPr>
          <w:rFonts w:ascii="Arial" w:cs="Arial" w:eastAsia="Arial" w:hAnsi="Arial"/>
          <w:sz w:val="11"/>
          <w:szCs w:val="11"/>
          <w:color w:val="auto"/>
        </w:rPr>
        <w:t>order been made for the administration or the winding-up, bankruptcy or dissolution of the Company;</w:t>
      </w:r>
    </w:p>
    <w:p>
      <w:pPr>
        <w:spacing w:after="0" w:line="31" w:lineRule="exact"/>
        <w:rPr>
          <w:sz w:val="20"/>
          <w:szCs w:val="20"/>
          <w:color w:val="auto"/>
        </w:rPr>
      </w:pPr>
    </w:p>
    <w:p>
      <w:pPr>
        <w:ind w:left="700" w:right="320"/>
        <w:spacing w:after="0" w:line="298" w:lineRule="auto"/>
        <w:rPr>
          <w:sz w:val="20"/>
          <w:szCs w:val="20"/>
          <w:color w:val="auto"/>
        </w:rPr>
      </w:pPr>
      <w:r>
        <w:rPr>
          <w:rFonts w:ascii="Arial" w:cs="Arial" w:eastAsia="Arial" w:hAnsi="Arial"/>
          <w:sz w:val="9"/>
          <w:szCs w:val="9"/>
          <w:color w:val="auto"/>
        </w:rPr>
        <w:t>(w)as at each Allotment Date, the Company has not taken nor will take any corporate or other action nor have any steps been taken or legal proceedings been started nor steps be taken or legal proceedings started against the Company for the liquidation, winding up, dissolution, reorganisation or bankruptcy of, or for the appointment of a liquidator, receiver, trustee, administrator, administrative receiver or similar officer of, the Company or all or any of its assets (or any analogous proceedings in any jurisdiction) and the Company was not or is not unable to pay its debts as they fall due within the meaning of section 123 of the Insolvency Act 1986, and was not and will not become unable to pay its debts within the meaning of that section as a result of any of the transactions contemplated herein, was not and is not insolvent and has not been and will not be dissolved or declared bankrupt;</w:t>
      </w:r>
    </w:p>
    <w:p>
      <w:pPr>
        <w:spacing w:after="0" w:line="78" w:lineRule="exact"/>
        <w:rPr>
          <w:sz w:val="20"/>
          <w:szCs w:val="20"/>
          <w:color w:val="auto"/>
        </w:rPr>
      </w:pPr>
    </w:p>
    <w:p>
      <w:pPr>
        <w:ind w:left="700" w:right="400"/>
        <w:spacing w:after="0" w:line="236" w:lineRule="auto"/>
        <w:rPr>
          <w:sz w:val="20"/>
          <w:szCs w:val="20"/>
          <w:color w:val="auto"/>
        </w:rPr>
      </w:pPr>
      <w:r>
        <w:rPr>
          <w:rFonts w:ascii="Arial" w:cs="Arial" w:eastAsia="Arial" w:hAnsi="Arial"/>
          <w:sz w:val="11"/>
          <w:szCs w:val="11"/>
          <w:color w:val="auto"/>
        </w:rPr>
        <w:t>(x)all facts which are stated in any official public record, including the search and enquiry referred to in paragraph 2.5, or other document or information supplied by a public official are correct; in particular that all documents, forms and notices which should have been delivered to the Registrar of Companies in respect of the Company have been so delivered, that information revealed by the search and enquiry referred to in paragraph 2.5 was complete and accurate in all respects and has not, since the time of the search and enquiry, been altered and that the results of the search and enquiry will remain complete and accurate as at each Allotment Date;</w:t>
      </w:r>
    </w:p>
    <w:p>
      <w:pPr>
        <w:spacing w:after="0" w:line="95" w:lineRule="exact"/>
        <w:rPr>
          <w:sz w:val="20"/>
          <w:szCs w:val="20"/>
          <w:color w:val="auto"/>
        </w:rPr>
      </w:pPr>
    </w:p>
    <w:p>
      <w:pPr>
        <w:ind w:left="1420" w:right="300" w:hanging="937"/>
        <w:spacing w:after="0" w:line="251" w:lineRule="auto"/>
        <w:tabs>
          <w:tab w:leader="none" w:pos="727" w:val="left"/>
        </w:tabs>
        <w:numPr>
          <w:ilvl w:val="0"/>
          <w:numId w:val="23"/>
        </w:numPr>
        <w:rPr>
          <w:rFonts w:ascii="Arial" w:cs="Arial" w:eastAsia="Arial" w:hAnsi="Arial"/>
          <w:sz w:val="11"/>
          <w:szCs w:val="11"/>
          <w:color w:val="auto"/>
        </w:rPr>
      </w:pPr>
      <w:r>
        <w:rPr>
          <w:rFonts w:ascii="Arial" w:cs="Arial" w:eastAsia="Arial" w:hAnsi="Arial"/>
          <w:sz w:val="11"/>
          <w:szCs w:val="11"/>
          <w:color w:val="auto"/>
        </w:rPr>
        <w:t>that no event analogous to any of the events mentioned in paragraph 3.8(x) or any other insolvency procedure has occurred in respect of the Company in a country other than England and that no steps have been taken to subject either of them to such a procedure;</w:t>
      </w:r>
    </w:p>
    <w:p>
      <w:pPr>
        <w:spacing w:after="0" w:line="95" w:lineRule="exact"/>
        <w:rPr>
          <w:rFonts w:ascii="Arial" w:cs="Arial" w:eastAsia="Arial" w:hAnsi="Arial"/>
          <w:sz w:val="11"/>
          <w:szCs w:val="11"/>
          <w:color w:val="auto"/>
        </w:rPr>
      </w:pPr>
    </w:p>
    <w:p>
      <w:pPr>
        <w:ind w:left="1420" w:right="400" w:hanging="937"/>
        <w:spacing w:after="0" w:line="239" w:lineRule="auto"/>
        <w:tabs>
          <w:tab w:leader="none" w:pos="727" w:val="left"/>
        </w:tabs>
        <w:numPr>
          <w:ilvl w:val="0"/>
          <w:numId w:val="23"/>
        </w:numPr>
        <w:rPr>
          <w:rFonts w:ascii="Arial" w:cs="Arial" w:eastAsia="Arial" w:hAnsi="Arial"/>
          <w:sz w:val="11"/>
          <w:szCs w:val="11"/>
          <w:color w:val="auto"/>
        </w:rPr>
      </w:pPr>
      <w:r>
        <w:rPr>
          <w:rFonts w:ascii="Arial" w:cs="Arial" w:eastAsia="Arial" w:hAnsi="Arial"/>
          <w:sz w:val="11"/>
          <w:szCs w:val="11"/>
          <w:color w:val="auto"/>
        </w:rPr>
        <w:t>that there are no provisions of the laws of any jurisdiction outside England which would be contravened by the execution or delivery of the documents in paragraph 2.4 and that insofar as any obligation under such documents falls to be performed or any action falls to be taken in any jurisdiction outside England, the performance of that obligation or taking of that action will not be unlawful by virtue of the laws of that jurisdiction;</w:t>
      </w:r>
    </w:p>
    <w:p>
      <w:pPr>
        <w:spacing w:after="0" w:line="94" w:lineRule="exact"/>
        <w:rPr>
          <w:rFonts w:ascii="Arial" w:cs="Arial" w:eastAsia="Arial" w:hAnsi="Arial"/>
          <w:sz w:val="11"/>
          <w:szCs w:val="11"/>
          <w:color w:val="auto"/>
        </w:rPr>
      </w:pPr>
    </w:p>
    <w:p>
      <w:pPr>
        <w:ind w:left="1420" w:right="360" w:hanging="937"/>
        <w:spacing w:after="0" w:line="239" w:lineRule="auto"/>
        <w:tabs>
          <w:tab w:leader="none" w:pos="686" w:val="left"/>
        </w:tabs>
        <w:numPr>
          <w:ilvl w:val="0"/>
          <w:numId w:val="23"/>
        </w:numPr>
        <w:rPr>
          <w:rFonts w:ascii="Arial" w:cs="Arial" w:eastAsia="Arial" w:hAnsi="Arial"/>
          <w:sz w:val="11"/>
          <w:szCs w:val="11"/>
          <w:color w:val="auto"/>
        </w:rPr>
      </w:pPr>
      <w:r>
        <w:rPr>
          <w:rFonts w:ascii="Arial" w:cs="Arial" w:eastAsia="Arial" w:hAnsi="Arial"/>
          <w:sz w:val="11"/>
          <w:szCs w:val="11"/>
          <w:color w:val="auto"/>
        </w:rPr>
        <w:t>to extent that the entry into a document in paragraph 2.4 by the Company constitutes or constituted a regulated activity for the purposes of the Financial Services and Markets Act 2000 the Company are, was at the relevant time and will be at all relevant times in compliance with all applicable requirements of that Act and any regulations or rules made under that Act;</w:t>
      </w:r>
    </w:p>
    <w:p>
      <w:pPr>
        <w:spacing w:after="0" w:line="102" w:lineRule="exact"/>
        <w:rPr>
          <w:rFonts w:ascii="Arial" w:cs="Arial" w:eastAsia="Arial" w:hAnsi="Arial"/>
          <w:sz w:val="11"/>
          <w:szCs w:val="11"/>
          <w:color w:val="auto"/>
        </w:rPr>
      </w:pPr>
    </w:p>
    <w:p>
      <w:pPr>
        <w:ind w:left="700" w:hanging="217"/>
        <w:spacing w:after="0"/>
        <w:tabs>
          <w:tab w:leader="none" w:pos="700" w:val="left"/>
        </w:tabs>
        <w:numPr>
          <w:ilvl w:val="0"/>
          <w:numId w:val="23"/>
        </w:numPr>
        <w:rPr>
          <w:rFonts w:ascii="Arial" w:cs="Arial" w:eastAsia="Arial" w:hAnsi="Arial"/>
          <w:sz w:val="11"/>
          <w:szCs w:val="11"/>
          <w:color w:val="auto"/>
        </w:rPr>
      </w:pPr>
      <w:r>
        <w:rPr>
          <w:rFonts w:ascii="Arial" w:cs="Arial" w:eastAsia="Arial" w:hAnsi="Arial"/>
          <w:sz w:val="11"/>
          <w:szCs w:val="11"/>
          <w:color w:val="auto"/>
        </w:rPr>
        <w:t>that there are or were no written or oral representations made in connection with the documents in paragraph 2.4 which have not been disclosed to us;</w:t>
      </w:r>
    </w:p>
    <w:p>
      <w:pPr>
        <w:spacing w:after="0" w:line="113" w:lineRule="exact"/>
        <w:rPr>
          <w:rFonts w:ascii="Arial" w:cs="Arial" w:eastAsia="Arial" w:hAnsi="Arial"/>
          <w:sz w:val="11"/>
          <w:szCs w:val="11"/>
          <w:color w:val="auto"/>
        </w:rPr>
      </w:pPr>
    </w:p>
    <w:p>
      <w:pPr>
        <w:ind w:left="700" w:hanging="217"/>
        <w:spacing w:after="0"/>
        <w:tabs>
          <w:tab w:leader="none" w:pos="700" w:val="left"/>
        </w:tabs>
        <w:numPr>
          <w:ilvl w:val="0"/>
          <w:numId w:val="23"/>
        </w:numPr>
        <w:rPr>
          <w:rFonts w:ascii="Arial" w:cs="Arial" w:eastAsia="Arial" w:hAnsi="Arial"/>
          <w:sz w:val="11"/>
          <w:szCs w:val="11"/>
          <w:color w:val="auto"/>
        </w:rPr>
      </w:pPr>
      <w:r>
        <w:rPr>
          <w:rFonts w:ascii="Arial" w:cs="Arial" w:eastAsia="Arial" w:hAnsi="Arial"/>
          <w:sz w:val="11"/>
          <w:szCs w:val="11"/>
          <w:color w:val="auto"/>
        </w:rPr>
        <w:t>that there are or were no written or oral agreements modifying the terms of the documents in paragraph 2.4 which have not been disclosed to us;</w:t>
      </w:r>
    </w:p>
    <w:p>
      <w:pPr>
        <w:spacing w:after="0" w:line="113" w:lineRule="exact"/>
        <w:rPr>
          <w:rFonts w:ascii="Arial" w:cs="Arial" w:eastAsia="Arial" w:hAnsi="Arial"/>
          <w:sz w:val="11"/>
          <w:szCs w:val="11"/>
          <w:color w:val="auto"/>
        </w:rPr>
      </w:pPr>
    </w:p>
    <w:p>
      <w:pPr>
        <w:ind w:left="700" w:hanging="217"/>
        <w:spacing w:after="0"/>
        <w:tabs>
          <w:tab w:leader="none" w:pos="700" w:val="left"/>
        </w:tabs>
        <w:numPr>
          <w:ilvl w:val="0"/>
          <w:numId w:val="23"/>
        </w:numPr>
        <w:rPr>
          <w:rFonts w:ascii="Arial" w:cs="Arial" w:eastAsia="Arial" w:hAnsi="Arial"/>
          <w:sz w:val="11"/>
          <w:szCs w:val="11"/>
          <w:color w:val="auto"/>
        </w:rPr>
      </w:pPr>
      <w:r>
        <w:rPr>
          <w:rFonts w:ascii="Arial" w:cs="Arial" w:eastAsia="Arial" w:hAnsi="Arial"/>
          <w:sz w:val="11"/>
          <w:szCs w:val="11"/>
          <w:color w:val="auto"/>
        </w:rPr>
        <w:t>that there is no other information known to the Company or its employees, agents or sub-contractors and not disclosed to us which would affect the opinions expressed below; and</w:t>
      </w:r>
    </w:p>
    <w:p>
      <w:pPr>
        <w:spacing w:after="0" w:line="113" w:lineRule="exact"/>
        <w:rPr>
          <w:rFonts w:ascii="Arial" w:cs="Arial" w:eastAsia="Arial" w:hAnsi="Arial"/>
          <w:sz w:val="11"/>
          <w:szCs w:val="11"/>
          <w:color w:val="auto"/>
        </w:rPr>
      </w:pPr>
    </w:p>
    <w:p>
      <w:pPr>
        <w:ind w:left="720" w:hanging="237"/>
        <w:spacing w:after="0"/>
        <w:tabs>
          <w:tab w:leader="none" w:pos="720" w:val="left"/>
        </w:tabs>
        <w:numPr>
          <w:ilvl w:val="0"/>
          <w:numId w:val="23"/>
        </w:numPr>
        <w:rPr>
          <w:rFonts w:ascii="Arial" w:cs="Arial" w:eastAsia="Arial" w:hAnsi="Arial"/>
          <w:sz w:val="11"/>
          <w:szCs w:val="11"/>
          <w:color w:val="auto"/>
        </w:rPr>
      </w:pPr>
      <w:r>
        <w:rPr>
          <w:rFonts w:ascii="Arial" w:cs="Arial" w:eastAsia="Arial" w:hAnsi="Arial"/>
          <w:sz w:val="11"/>
          <w:szCs w:val="11"/>
          <w:color w:val="auto"/>
        </w:rPr>
        <w:t>that there has been no change in the facts and matters disclosed in the search and enquiry referred to in paragraph 2.5 since we made them.</w:t>
      </w: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4.Opinion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330835</wp:posOffset>
            </wp:positionV>
            <wp:extent cx="6778625" cy="349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720"/>
          </w:cols>
          <w:pgMar w:left="740" w:top="1252" w:right="1440" w:bottom="1440" w:gutter="0" w:footer="0" w:header="0"/>
        </w:sectPr>
      </w:pPr>
    </w:p>
    <w:bookmarkStart w:id="290" w:name="page291"/>
    <w:bookmarkEnd w:id="290"/>
    <w:p>
      <w:pPr>
        <w:spacing w:after="0"/>
        <w:rPr>
          <w:sz w:val="20"/>
          <w:szCs w:val="20"/>
          <w:color w:val="auto"/>
        </w:rPr>
      </w:pPr>
      <w:r>
        <w:rPr>
          <w:rFonts w:ascii="Arial" w:cs="Arial" w:eastAsia="Arial" w:hAnsi="Arial"/>
          <w:sz w:val="11"/>
          <w:szCs w:val="11"/>
          <w:color w:val="auto"/>
        </w:rPr>
        <w:t>4.1On the basis of the above assumptions (and subject to the reservations and qualifications set out herein and to any matters not disclosed to us) we are of the opinion that as at today’s date:</w:t>
      </w:r>
    </w:p>
    <w:p>
      <w:pPr>
        <w:spacing w:after="0" w:line="106" w:lineRule="exact"/>
        <w:rPr>
          <w:sz w:val="20"/>
          <w:szCs w:val="20"/>
          <w:color w:val="auto"/>
        </w:rPr>
      </w:pPr>
    </w:p>
    <w:p>
      <w:pPr>
        <w:ind w:left="700" w:right="380"/>
        <w:spacing w:after="0" w:line="251" w:lineRule="auto"/>
        <w:rPr>
          <w:sz w:val="20"/>
          <w:szCs w:val="20"/>
          <w:color w:val="auto"/>
        </w:rPr>
      </w:pPr>
      <w:r>
        <w:rPr>
          <w:rFonts w:ascii="Arial" w:cs="Arial" w:eastAsia="Arial" w:hAnsi="Arial"/>
          <w:sz w:val="11"/>
          <w:szCs w:val="11"/>
          <w:color w:val="auto"/>
        </w:rPr>
        <w:t>(a)the CLN Shares will, when registered in the name of the recipient in the register of members of the Company and when issued pursuant to the terms of the CLN Instrument be duly and validly authorised and issued, fully paid or credited as fully paid;</w:t>
      </w:r>
    </w:p>
    <w:p>
      <w:pPr>
        <w:spacing w:after="0" w:line="95" w:lineRule="exact"/>
        <w:rPr>
          <w:sz w:val="20"/>
          <w:szCs w:val="20"/>
          <w:color w:val="auto"/>
        </w:rPr>
      </w:pPr>
    </w:p>
    <w:p>
      <w:pPr>
        <w:ind w:left="700" w:right="380"/>
        <w:spacing w:after="0" w:line="251" w:lineRule="auto"/>
        <w:rPr>
          <w:sz w:val="20"/>
          <w:szCs w:val="20"/>
          <w:color w:val="auto"/>
        </w:rPr>
      </w:pPr>
      <w:r>
        <w:rPr>
          <w:rFonts w:ascii="Arial" w:cs="Arial" w:eastAsia="Arial" w:hAnsi="Arial"/>
          <w:sz w:val="11"/>
          <w:szCs w:val="11"/>
          <w:color w:val="auto"/>
        </w:rPr>
        <w:t>(b)the CPN Shares will, when registered in the name of the recipient in the register of members of the Company and when issued pursuant to the terms of the applicable CPN Instruments be duly and validly authorised and issued, fully paid or credited as fully paid;</w:t>
      </w:r>
    </w:p>
    <w:p>
      <w:pPr>
        <w:spacing w:after="0" w:line="95" w:lineRule="exact"/>
        <w:rPr>
          <w:sz w:val="20"/>
          <w:szCs w:val="20"/>
          <w:color w:val="auto"/>
        </w:rPr>
      </w:pPr>
    </w:p>
    <w:p>
      <w:pPr>
        <w:ind w:left="700" w:right="500"/>
        <w:spacing w:after="0" w:line="251" w:lineRule="auto"/>
        <w:rPr>
          <w:sz w:val="20"/>
          <w:szCs w:val="20"/>
          <w:color w:val="auto"/>
        </w:rPr>
      </w:pPr>
      <w:r>
        <w:rPr>
          <w:rFonts w:ascii="Arial" w:cs="Arial" w:eastAsia="Arial" w:hAnsi="Arial"/>
          <w:sz w:val="11"/>
          <w:szCs w:val="11"/>
          <w:color w:val="auto"/>
        </w:rPr>
        <w:t>(c)the YA Note Shares will, when registered in the name of the recipient in the register of members of the Company and when issued pursuant to the terms of the YA Notes be duly and validly authorised and issued, fully paid or credited as fully paid.</w:t>
      </w:r>
    </w:p>
    <w:p>
      <w:pPr>
        <w:spacing w:after="0" w:line="95" w:lineRule="exact"/>
        <w:rPr>
          <w:sz w:val="20"/>
          <w:szCs w:val="20"/>
          <w:color w:val="auto"/>
        </w:rPr>
      </w:pPr>
    </w:p>
    <w:p>
      <w:pPr>
        <w:ind w:left="700" w:right="400"/>
        <w:spacing w:after="0" w:line="251" w:lineRule="auto"/>
        <w:rPr>
          <w:sz w:val="20"/>
          <w:szCs w:val="20"/>
          <w:color w:val="auto"/>
        </w:rPr>
      </w:pPr>
      <w:r>
        <w:rPr>
          <w:rFonts w:ascii="Arial" w:cs="Arial" w:eastAsia="Arial" w:hAnsi="Arial"/>
          <w:sz w:val="11"/>
          <w:szCs w:val="11"/>
          <w:color w:val="auto"/>
        </w:rPr>
        <w:t>(d)the SEPA Shares will, when registered in the name of the recipient in the register of members of the Company and when paid for and issued pursuant to the terms of the SEPA be duly and validly authorised and issued, fully paid or credited as fully paid.</w:t>
      </w:r>
    </w:p>
    <w:p>
      <w:pPr>
        <w:spacing w:after="0" w:line="21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5.Extent of opinion</w:t>
      </w:r>
    </w:p>
    <w:p>
      <w:pPr>
        <w:spacing w:after="0" w:line="106" w:lineRule="exact"/>
        <w:rPr>
          <w:sz w:val="20"/>
          <w:szCs w:val="20"/>
          <w:color w:val="auto"/>
        </w:rPr>
      </w:pPr>
    </w:p>
    <w:p>
      <w:pPr>
        <w:ind w:right="560"/>
        <w:spacing w:after="0" w:line="251" w:lineRule="auto"/>
        <w:rPr>
          <w:sz w:val="20"/>
          <w:szCs w:val="20"/>
          <w:color w:val="auto"/>
        </w:rPr>
      </w:pPr>
      <w:r>
        <w:rPr>
          <w:rFonts w:ascii="Arial" w:cs="Arial" w:eastAsia="Arial" w:hAnsi="Arial"/>
          <w:sz w:val="11"/>
          <w:szCs w:val="11"/>
          <w:color w:val="auto"/>
        </w:rPr>
        <w:t>5.1We express no opinion as to any agreement, instrument or other document other than as specified in this letter or as to any liability to tax or duty which may arise or be suffered as a result of or in connection with the transactions contemplated by the Registration Statement.</w:t>
      </w:r>
    </w:p>
    <w:p>
      <w:pPr>
        <w:spacing w:after="0" w:line="95" w:lineRule="exact"/>
        <w:rPr>
          <w:sz w:val="20"/>
          <w:szCs w:val="20"/>
          <w:color w:val="auto"/>
        </w:rPr>
      </w:pPr>
    </w:p>
    <w:p>
      <w:pPr>
        <w:ind w:right="260"/>
        <w:spacing w:after="0" w:line="239" w:lineRule="auto"/>
        <w:rPr>
          <w:sz w:val="20"/>
          <w:szCs w:val="20"/>
          <w:color w:val="auto"/>
        </w:rPr>
      </w:pPr>
      <w:r>
        <w:rPr>
          <w:rFonts w:ascii="Arial" w:cs="Arial" w:eastAsia="Arial" w:hAnsi="Arial"/>
          <w:sz w:val="11"/>
          <w:szCs w:val="11"/>
          <w:color w:val="auto"/>
        </w:rPr>
        <w:t>5.2This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 Our liability under this opinion is limited to $25m.</w:t>
      </w:r>
    </w:p>
    <w:p>
      <w:pPr>
        <w:spacing w:after="0" w:line="21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6.Disclosure and reliance</w:t>
      </w:r>
    </w:p>
    <w:p>
      <w:pPr>
        <w:spacing w:after="0" w:line="106" w:lineRule="exact"/>
        <w:rPr>
          <w:sz w:val="20"/>
          <w:szCs w:val="20"/>
          <w:color w:val="auto"/>
        </w:rPr>
      </w:pPr>
    </w:p>
    <w:p>
      <w:pPr>
        <w:ind w:right="360"/>
        <w:spacing w:after="0" w:line="239" w:lineRule="auto"/>
        <w:rPr>
          <w:sz w:val="20"/>
          <w:szCs w:val="20"/>
          <w:color w:val="auto"/>
        </w:rPr>
      </w:pPr>
      <w:r>
        <w:rPr>
          <w:rFonts w:ascii="Arial" w:cs="Arial" w:eastAsia="Arial" w:hAnsi="Arial"/>
          <w:sz w:val="11"/>
          <w:szCs w:val="11"/>
          <w:color w:val="auto"/>
        </w:rPr>
        <w:t>6.1This letter is rendered to you for your benefit in connection with the Registration Statement. We consent to the filing of this letter as an exhibit to the Registration Statement. We further consent to the incorporation by reference of this letter and consent into any registration statement filed under the Securities Act with respect to the Relevant Shares. In giving such consent, we do not thereby admit that we are in the category of persons whose consent is required under the Securities Act or the rules and regulations thereunder.</w:t>
      </w:r>
    </w:p>
    <w:p>
      <w:pPr>
        <w:spacing w:after="0" w:line="102" w:lineRule="exact"/>
        <w:rPr>
          <w:sz w:val="20"/>
          <w:szCs w:val="20"/>
          <w:color w:val="auto"/>
        </w:rPr>
      </w:pPr>
    </w:p>
    <w:p>
      <w:pPr>
        <w:ind w:right="540"/>
        <w:spacing w:after="0" w:line="251" w:lineRule="auto"/>
        <w:rPr>
          <w:sz w:val="20"/>
          <w:szCs w:val="20"/>
          <w:color w:val="auto"/>
        </w:rPr>
      </w:pPr>
      <w:r>
        <w:rPr>
          <w:rFonts w:ascii="Arial" w:cs="Arial" w:eastAsia="Arial" w:hAnsi="Arial"/>
          <w:sz w:val="11"/>
          <w:szCs w:val="11"/>
          <w:color w:val="auto"/>
        </w:rPr>
        <w:t>6.2Other than for the purpose set out in the prior paragraph, this letter may not be relied upon, or assigned, for any purpose, without our prior written consent, which may be granted or withheld in our discretion.</w:t>
      </w:r>
    </w:p>
    <w:p>
      <w:pPr>
        <w:spacing w:after="0" w:line="95" w:lineRule="exact"/>
        <w:rPr>
          <w:sz w:val="20"/>
          <w:szCs w:val="20"/>
          <w:color w:val="auto"/>
        </w:rPr>
      </w:pPr>
    </w:p>
    <w:p>
      <w:pPr>
        <w:spacing w:after="0"/>
        <w:rPr>
          <w:sz w:val="20"/>
          <w:szCs w:val="20"/>
          <w:color w:val="auto"/>
        </w:rPr>
      </w:pPr>
      <w:r>
        <w:rPr>
          <w:rFonts w:ascii="Arial" w:cs="Arial" w:eastAsia="Arial" w:hAnsi="Arial"/>
          <w:sz w:val="11"/>
          <w:szCs w:val="11"/>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650240</wp:posOffset>
            </wp:positionV>
            <wp:extent cx="6778625" cy="349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2">
                      <a:extLst>
                        <a:ext uri="{28A0092B-C50C-407E-A947-70E740481C1C}"/>
                      </a:extLst>
                    </a:blip>
                    <a:srcRect/>
                    <a:stretch>
                      <a:fillRect/>
                    </a:stretch>
                  </pic:blipFill>
                  <pic:spPr bwMode="auto">
                    <a:xfrm>
                      <a:off x="0" y="0"/>
                      <a:ext cx="6778625" cy="34925"/>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635</wp:posOffset>
            </wp:positionV>
            <wp:extent cx="1233805" cy="2476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3">
                      <a:extLst>
                        <a:ext uri="{28A0092B-C50C-407E-A947-70E740481C1C}"/>
                      </a:extLst>
                    </a:blip>
                    <a:srcRect/>
                    <a:stretch>
                      <a:fillRect/>
                    </a:stretch>
                  </pic:blipFill>
                  <pic:spPr bwMode="auto">
                    <a:xfrm>
                      <a:off x="0" y="0"/>
                      <a:ext cx="1233805" cy="247650"/>
                    </a:xfrm>
                    <a:prstGeom prst="rect">
                      <a:avLst/>
                    </a:prstGeom>
                    <a:noFill/>
                  </pic:spPr>
                </pic:pic>
              </a:graphicData>
            </a:graphic>
          </wp:anchor>
        </w:drawing>
      </w:r>
    </w:p>
    <w:p>
      <w:pPr>
        <w:sectPr>
          <w:pgSz w:w="11900" w:h="16840" w:orient="portrait"/>
          <w:cols w:equalWidth="0" w:num="1">
            <w:col w:w="9720"/>
          </w:cols>
          <w:pgMar w:left="740" w:top="1364" w:right="1440" w:bottom="1440" w:gutter="0" w:footer="0" w:header="0"/>
        </w:sectPr>
      </w:pPr>
    </w:p>
    <w:bookmarkStart w:id="291" w:name="page292"/>
    <w:bookmarkEnd w:id="291"/>
    <w:p>
      <w:pPr>
        <w:spacing w:after="0"/>
        <w:rPr>
          <w:sz w:val="20"/>
          <w:szCs w:val="20"/>
          <w:color w:val="auto"/>
        </w:rPr>
      </w:pPr>
      <w:r>
        <w:rPr>
          <w:rFonts w:ascii="Arial" w:cs="Arial" w:eastAsia="Arial" w:hAnsi="Arial"/>
          <w:sz w:val="9"/>
          <w:szCs w:val="9"/>
          <w:b w:val="1"/>
          <w:bCs w:val="1"/>
          <w:color w:val="auto"/>
        </w:rPr>
        <w:t>Taylor Wessing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345440</wp:posOffset>
            </wp:positionV>
            <wp:extent cx="6778625" cy="349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720"/>
          </w:cols>
          <w:pgMar w:left="740" w:top="1372" w:right="1440" w:bottom="1440" w:gutter="0" w:footer="0" w:header="0"/>
        </w:sectPr>
      </w:pPr>
    </w:p>
    <w:bookmarkStart w:id="292" w:name="page293"/>
    <w:bookmarkEnd w:id="292"/>
    <w:p>
      <w:pPr>
        <w:spacing w:after="0" w:line="23"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Exhibit 23.1</w:t>
      </w:r>
    </w:p>
    <w:p>
      <w:pPr>
        <w:spacing w:after="0" w:line="200" w:lineRule="exact"/>
        <w:rPr>
          <w:sz w:val="20"/>
          <w:szCs w:val="20"/>
          <w:color w:val="auto"/>
        </w:rPr>
      </w:pPr>
    </w:p>
    <w:p>
      <w:pPr>
        <w:spacing w:after="0" w:line="371" w:lineRule="exact"/>
        <w:rPr>
          <w:sz w:val="20"/>
          <w:szCs w:val="20"/>
          <w:color w:val="auto"/>
        </w:rPr>
      </w:pPr>
    </w:p>
    <w:p>
      <w:pPr>
        <w:ind w:left="1080"/>
        <w:spacing w:after="0"/>
        <w:rPr>
          <w:sz w:val="20"/>
          <w:szCs w:val="20"/>
          <w:color w:val="auto"/>
        </w:rPr>
      </w:pPr>
      <w:r>
        <w:rPr>
          <w:rFonts w:ascii="Arial" w:cs="Arial" w:eastAsia="Arial" w:hAnsi="Arial"/>
          <w:sz w:val="11"/>
          <w:szCs w:val="11"/>
          <w:u w:val="single" w:color="auto"/>
          <w:color w:val="auto"/>
        </w:rPr>
        <w:t>INDEPENDENT REGISTERED PUBLIC ACCOUNTING FIRM’S CONSENT</w:t>
      </w:r>
    </w:p>
    <w:p>
      <w:pPr>
        <w:spacing w:after="0" w:line="332" w:lineRule="exact"/>
        <w:rPr>
          <w:sz w:val="20"/>
          <w:szCs w:val="20"/>
          <w:color w:val="auto"/>
        </w:rPr>
      </w:pPr>
    </w:p>
    <w:p>
      <w:pPr>
        <w:ind w:right="60"/>
        <w:spacing w:after="0" w:line="242" w:lineRule="auto"/>
        <w:rPr>
          <w:sz w:val="20"/>
          <w:szCs w:val="20"/>
          <w:color w:val="auto"/>
        </w:rPr>
      </w:pPr>
      <w:r>
        <w:rPr>
          <w:rFonts w:ascii="Arial" w:cs="Arial" w:eastAsia="Arial" w:hAnsi="Arial"/>
          <w:sz w:val="10"/>
          <w:szCs w:val="10"/>
          <w:color w:val="auto"/>
        </w:rPr>
        <w:t>We consent to the inclusion in this registration statement of Rezolve AI Limited and Subsidiaries on Form F-1 of our report dated May 20, 2024, except for Notes 20.20, 13, and 14, as to which the date is June 11, 2023, except Note 17 as to which the date is January 10, 2025, with respect to our audits of the carve-out consolidated financial statements of Rezolve AI Limited and Subsidiaries as of December 31, 2023 and 2022 (Restated) and for the years ended December 31, 2023 and December 31 2022 (restated). Our report includes an explanatory paragraph as to the company’s ability to continue as a going concern and an emphasis-of-matter for the restatement of the 2022 Financial Statements. We also consent to the reference to our firm under the heading “Experts” in such registration statement.</w:t>
      </w:r>
    </w:p>
    <w:p>
      <w:pPr>
        <w:spacing w:after="0" w:line="200" w:lineRule="exact"/>
        <w:rPr>
          <w:sz w:val="20"/>
          <w:szCs w:val="20"/>
          <w:color w:val="auto"/>
        </w:rPr>
      </w:pPr>
    </w:p>
    <w:p>
      <w:pPr>
        <w:spacing w:after="0" w:line="243" w:lineRule="exact"/>
        <w:rPr>
          <w:sz w:val="20"/>
          <w:szCs w:val="20"/>
          <w:color w:val="auto"/>
        </w:rPr>
      </w:pPr>
    </w:p>
    <w:p>
      <w:pPr>
        <w:ind w:left="100"/>
        <w:spacing w:after="0"/>
        <w:rPr>
          <w:sz w:val="20"/>
          <w:szCs w:val="20"/>
          <w:color w:val="auto"/>
        </w:rPr>
      </w:pPr>
      <w:r>
        <w:rPr>
          <w:rFonts w:ascii="Arial" w:cs="Arial" w:eastAsia="Arial" w:hAnsi="Arial"/>
          <w:sz w:val="11"/>
          <w:szCs w:val="11"/>
          <w:color w:val="auto"/>
        </w:rPr>
        <w:t>/s/ Grassi &amp; Co., CPAs, P.C.</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1"/>
          <w:szCs w:val="11"/>
          <w:color w:val="auto"/>
        </w:rPr>
        <w:t>Grassi &amp; Co., CPAs, P.C. Jericho, New York</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1"/>
          <w:szCs w:val="11"/>
          <w:color w:val="auto"/>
        </w:rPr>
        <w:t>January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114300</wp:posOffset>
            </wp:positionV>
            <wp:extent cx="6778625" cy="349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440" w:right="640" w:bottom="1440" w:gutter="0" w:footer="0" w:header="0"/>
        </w:sectPr>
      </w:pPr>
    </w:p>
    <w:bookmarkStart w:id="293" w:name="page294"/>
    <w:bookmarkEnd w:id="293"/>
    <w:p>
      <w:pPr>
        <w:jc w:val="right"/>
        <w:spacing w:after="0"/>
        <w:rPr>
          <w:sz w:val="20"/>
          <w:szCs w:val="20"/>
          <w:color w:val="auto"/>
        </w:rPr>
      </w:pPr>
      <w:r>
        <w:rPr>
          <w:rFonts w:ascii="Times New Roman" w:cs="Times New Roman" w:eastAsia="Times New Roman" w:hAnsi="Times New Roman"/>
          <w:sz w:val="11"/>
          <w:szCs w:val="11"/>
          <w:b w:val="1"/>
          <w:bCs w:val="1"/>
          <w:color w:val="auto"/>
        </w:rPr>
        <w:t>Exhibit 23.2</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INDEPENDENT REGISTERED PUBLIC ACCOUNTING FIRM’S CONSENT</w:t>
      </w:r>
    </w:p>
    <w:p>
      <w:pPr>
        <w:spacing w:after="0" w:line="14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2"/>
          <w:szCs w:val="12"/>
          <w:color w:val="auto"/>
        </w:rPr>
        <w:t>We consent to the inclusion in this Registration Statement of Rezolve AI Limited on Form F-1 of our report dated December 4, 2023, which includes an explanatory paragraph as to Armada Acquisition Corp. I’s ability to continue as a going concern, with respect to our audits of the financial statements of Armada Acquisition Corp. I as of September 30, 2023 and 2022 and for the years ended September 30, 2023 and 2022, which report appears in the Prospectus, which is part of this Registration Statement. We were dismissed as auditors on August 21, 2024 and, accordingly, we have not performed any audit or review procedures with respect to any financial statements appearing in such Registration Statement for the periods after the date of our dismissal. We also consent to the reference to our Firm under the heading “Experts” in such Registration Statement.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Marcum llp</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Marcum llp</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Morristown, NJ</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January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643890</wp:posOffset>
            </wp:positionV>
            <wp:extent cx="6778625" cy="349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63" w:right="640" w:bottom="1440" w:gutter="0" w:footer="0" w:header="0"/>
        </w:sectPr>
      </w:pPr>
    </w:p>
    <w:bookmarkStart w:id="294" w:name="page295"/>
    <w:bookmarkEnd w:id="294"/>
    <w:p>
      <w:pPr>
        <w:jc w:val="right"/>
        <w:spacing w:after="0"/>
        <w:rPr>
          <w:sz w:val="20"/>
          <w:szCs w:val="20"/>
          <w:color w:val="auto"/>
        </w:rPr>
      </w:pPr>
      <w:r>
        <w:rPr>
          <w:rFonts w:ascii="Calibri" w:cs="Calibri" w:eastAsia="Calibri" w:hAnsi="Calibri"/>
          <w:sz w:val="11"/>
          <w:szCs w:val="11"/>
          <w:b w:val="1"/>
          <w:bCs w:val="1"/>
          <w:color w:val="auto"/>
        </w:rPr>
        <w:t>Exhibit 107</w:t>
      </w:r>
    </w:p>
    <w:p>
      <w:pPr>
        <w:spacing w:after="0" w:line="13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9"/>
          <w:szCs w:val="9"/>
          <w:color w:val="auto"/>
        </w:rPr>
        <w:t>CALCULATION OF REGISTRATION FEE Form F-1</w:t>
      </w:r>
    </w:p>
    <w:p>
      <w:pPr>
        <w:spacing w:after="0" w:line="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9"/>
          <w:szCs w:val="9"/>
          <w:color w:val="auto"/>
        </w:rPr>
        <w:t>(Form</w:t>
      </w:r>
    </w:p>
    <w:p>
      <w:pPr>
        <w:spacing w:after="0" w:line="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9"/>
          <w:szCs w:val="9"/>
          <w:color w:val="auto"/>
        </w:rPr>
        <w:t>Type)</w:t>
      </w:r>
    </w:p>
    <w:p>
      <w:pPr>
        <w:spacing w:after="0" w:line="1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9"/>
          <w:szCs w:val="9"/>
          <w:color w:val="auto"/>
        </w:rPr>
        <w:t>REZOLVE AI LIMITED</w:t>
      </w:r>
    </w:p>
    <w:p>
      <w:pPr>
        <w:spacing w:after="0" w:line="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9"/>
          <w:szCs w:val="9"/>
          <w:color w:val="auto"/>
        </w:rPr>
        <w:t>(Exact name of registrant as specified in its charter)</w:t>
      </w:r>
    </w:p>
    <w:p>
      <w:pPr>
        <w:spacing w:after="0" w:line="1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9"/>
          <w:szCs w:val="9"/>
          <w:color w:val="auto"/>
        </w:rPr>
        <w:t>CALCULATION OF REGISTRATION FEE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1640" w:type="dxa"/>
            <w:vAlign w:val="bottom"/>
            <w:tcBorders>
              <w:top w:val="single" w:sz="8" w:color="auto"/>
            </w:tcBorders>
          </w:tcPr>
          <w:p>
            <w:pPr>
              <w:spacing w:after="0"/>
              <w:rPr>
                <w:sz w:val="8"/>
                <w:szCs w:val="8"/>
                <w:color w:val="auto"/>
              </w:rPr>
            </w:pPr>
          </w:p>
        </w:tc>
        <w:tc>
          <w:tcPr>
            <w:tcW w:w="3000" w:type="dxa"/>
            <w:vAlign w:val="bottom"/>
            <w:tcBorders>
              <w:top w:val="single" w:sz="8" w:color="auto"/>
              <w:right w:val="single" w:sz="8" w:color="auto"/>
            </w:tcBorders>
          </w:tcPr>
          <w:p>
            <w:pPr>
              <w:spacing w:after="0"/>
              <w:rPr>
                <w:sz w:val="8"/>
                <w:szCs w:val="8"/>
                <w:color w:val="auto"/>
              </w:rPr>
            </w:pPr>
          </w:p>
        </w:tc>
        <w:tc>
          <w:tcPr>
            <w:tcW w:w="1400" w:type="dxa"/>
            <w:vAlign w:val="bottom"/>
            <w:tcBorders>
              <w:top w:val="single" w:sz="8" w:color="auto"/>
              <w:right w:val="single" w:sz="8" w:color="auto"/>
            </w:tcBorders>
            <w:vMerge w:val="restart"/>
          </w:tcPr>
          <w:p>
            <w:pPr>
              <w:ind w:left="360"/>
              <w:spacing w:after="0"/>
              <w:rPr>
                <w:sz w:val="20"/>
                <w:szCs w:val="20"/>
                <w:color w:val="auto"/>
              </w:rPr>
            </w:pPr>
            <w:r>
              <w:rPr>
                <w:rFonts w:ascii="Times New Roman" w:cs="Times New Roman" w:eastAsia="Times New Roman" w:hAnsi="Times New Roman"/>
                <w:sz w:val="7"/>
                <w:szCs w:val="7"/>
                <w:color w:val="auto"/>
              </w:rPr>
              <w:t>Amount to be registered</w:t>
            </w:r>
            <w:r>
              <w:rPr>
                <w:rFonts w:ascii="Times New Roman" w:cs="Times New Roman" w:eastAsia="Times New Roman" w:hAnsi="Times New Roman"/>
                <w:sz w:val="9"/>
                <w:szCs w:val="9"/>
                <w:color w:val="auto"/>
                <w:vertAlign w:val="superscript"/>
              </w:rPr>
              <w:t>(1)</w:t>
            </w: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7"/>
                <w:szCs w:val="7"/>
                <w:color w:val="auto"/>
                <w:w w:val="96"/>
              </w:rPr>
              <w:t>Proposed Maximum Offering Price per</w:t>
            </w:r>
          </w:p>
        </w:tc>
        <w:tc>
          <w:tcPr>
            <w:tcW w:w="1820" w:type="dxa"/>
            <w:vAlign w:val="bottom"/>
            <w:tcBorders>
              <w:top w:val="single" w:sz="8" w:color="auto"/>
              <w:right w:val="single" w:sz="8" w:color="auto"/>
            </w:tcBorders>
          </w:tcPr>
          <w:p>
            <w:pPr>
              <w:jc w:val="right"/>
              <w:ind w:right="238"/>
              <w:spacing w:after="0"/>
              <w:rPr>
                <w:sz w:val="20"/>
                <w:szCs w:val="20"/>
                <w:color w:val="auto"/>
              </w:rPr>
            </w:pPr>
            <w:r>
              <w:rPr>
                <w:rFonts w:ascii="Times New Roman" w:cs="Times New Roman" w:eastAsia="Times New Roman" w:hAnsi="Times New Roman"/>
                <w:sz w:val="7"/>
                <w:szCs w:val="7"/>
                <w:color w:val="auto"/>
              </w:rPr>
              <w:t>Proposed Maximum Aggregate Offering Price</w:t>
            </w:r>
          </w:p>
        </w:tc>
        <w:tc>
          <w:tcPr>
            <w:tcW w:w="12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640" w:type="dxa"/>
            <w:vAlign w:val="bottom"/>
          </w:tcPr>
          <w:p>
            <w:pPr>
              <w:spacing w:after="0"/>
              <w:rPr>
                <w:sz w:val="8"/>
                <w:szCs w:val="8"/>
                <w:color w:val="auto"/>
              </w:rPr>
            </w:pPr>
          </w:p>
        </w:tc>
        <w:tc>
          <w:tcPr>
            <w:tcW w:w="3000" w:type="dxa"/>
            <w:vAlign w:val="bottom"/>
            <w:tcBorders>
              <w:right w:val="single" w:sz="8" w:color="auto"/>
            </w:tcBorders>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7"/>
                <w:szCs w:val="7"/>
                <w:color w:val="auto"/>
                <w:w w:val="94"/>
              </w:rPr>
              <w:t>Security</w:t>
            </w:r>
          </w:p>
        </w:tc>
        <w:tc>
          <w:tcPr>
            <w:tcW w:w="1820" w:type="dxa"/>
            <w:vAlign w:val="bottom"/>
            <w:tcBorders>
              <w:right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640" w:type="dxa"/>
            <w:vAlign w:val="bottom"/>
          </w:tcPr>
          <w:p>
            <w:pPr>
              <w:spacing w:after="0"/>
              <w:rPr>
                <w:sz w:val="7"/>
                <w:szCs w:val="7"/>
                <w:color w:val="auto"/>
              </w:rPr>
            </w:pPr>
          </w:p>
        </w:tc>
        <w:tc>
          <w:tcPr>
            <w:tcW w:w="3000" w:type="dxa"/>
            <w:vAlign w:val="bottom"/>
            <w:tcBorders>
              <w:right w:val="single" w:sz="8" w:color="auto"/>
            </w:tcBorders>
          </w:tcPr>
          <w:p>
            <w:pPr>
              <w:jc w:val="center"/>
              <w:ind w:right="1606"/>
              <w:spacing w:after="0"/>
              <w:rPr>
                <w:sz w:val="20"/>
                <w:szCs w:val="20"/>
                <w:color w:val="auto"/>
              </w:rPr>
            </w:pPr>
            <w:r>
              <w:rPr>
                <w:rFonts w:ascii="Times New Roman" w:cs="Times New Roman" w:eastAsia="Times New Roman" w:hAnsi="Times New Roman"/>
                <w:sz w:val="7"/>
                <w:szCs w:val="7"/>
                <w:color w:val="auto"/>
                <w:w w:val="98"/>
              </w:rPr>
              <w:t>Title of Each Class of</w:t>
            </w:r>
          </w:p>
        </w:tc>
        <w:tc>
          <w:tcPr>
            <w:tcW w:w="140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1820" w:type="dxa"/>
            <w:vAlign w:val="bottom"/>
            <w:tcBorders>
              <w:right w:val="single" w:sz="8" w:color="auto"/>
            </w:tcBorders>
          </w:tcPr>
          <w:p>
            <w:pPr>
              <w:spacing w:after="0"/>
              <w:rPr>
                <w:sz w:val="7"/>
                <w:szCs w:val="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7"/>
                <w:szCs w:val="7"/>
                <w:color w:val="auto"/>
                <w:w w:val="91"/>
              </w:rPr>
              <w:t>Amount of</w:t>
            </w:r>
          </w:p>
        </w:tc>
        <w:tc>
          <w:tcPr>
            <w:tcW w:w="0" w:type="dxa"/>
            <w:vAlign w:val="bottom"/>
          </w:tcPr>
          <w:p>
            <w:pPr>
              <w:spacing w:after="0"/>
              <w:rPr>
                <w:sz w:val="1"/>
                <w:szCs w:val="1"/>
                <w:color w:val="auto"/>
              </w:rPr>
            </w:pPr>
          </w:p>
        </w:tc>
      </w:tr>
      <w:tr>
        <w:trPr>
          <w:trHeight w:val="95"/>
        </w:trPr>
        <w:tc>
          <w:tcPr>
            <w:tcW w:w="1640" w:type="dxa"/>
            <w:vAlign w:val="bottom"/>
            <w:tcBorders>
              <w:bottom w:val="single" w:sz="8" w:color="auto"/>
            </w:tcBorders>
          </w:tcPr>
          <w:p>
            <w:pPr>
              <w:spacing w:after="0"/>
              <w:rPr>
                <w:sz w:val="8"/>
                <w:szCs w:val="8"/>
                <w:color w:val="auto"/>
              </w:rPr>
            </w:pPr>
          </w:p>
        </w:tc>
        <w:tc>
          <w:tcPr>
            <w:tcW w:w="3000" w:type="dxa"/>
            <w:vAlign w:val="bottom"/>
            <w:tcBorders>
              <w:bottom w:val="single" w:sz="8" w:color="auto"/>
              <w:right w:val="single" w:sz="8" w:color="auto"/>
            </w:tcBorders>
          </w:tcPr>
          <w:p>
            <w:pPr>
              <w:jc w:val="center"/>
              <w:ind w:right="1606"/>
              <w:spacing w:after="0"/>
              <w:rPr>
                <w:sz w:val="20"/>
                <w:szCs w:val="20"/>
                <w:color w:val="auto"/>
              </w:rPr>
            </w:pPr>
            <w:r>
              <w:rPr>
                <w:rFonts w:ascii="Times New Roman" w:cs="Times New Roman" w:eastAsia="Times New Roman" w:hAnsi="Times New Roman"/>
                <w:sz w:val="7"/>
                <w:szCs w:val="7"/>
                <w:color w:val="auto"/>
                <w:w w:val="96"/>
              </w:rPr>
              <w:t>Securities to be Registered</w:t>
            </w:r>
          </w:p>
        </w:tc>
        <w:tc>
          <w:tcPr>
            <w:tcW w:w="1400" w:type="dxa"/>
            <w:vAlign w:val="bottom"/>
            <w:tcBorders>
              <w:bottom w:val="single" w:sz="8" w:color="auto"/>
              <w:right w:val="single" w:sz="8" w:color="auto"/>
            </w:tcBorders>
          </w:tcPr>
          <w:p>
            <w:pPr>
              <w:spacing w:after="0"/>
              <w:rPr>
                <w:sz w:val="8"/>
                <w:szCs w:val="8"/>
                <w:color w:val="auto"/>
              </w:rPr>
            </w:pPr>
          </w:p>
        </w:tc>
        <w:tc>
          <w:tcPr>
            <w:tcW w:w="1400" w:type="dxa"/>
            <w:vAlign w:val="bottom"/>
            <w:tcBorders>
              <w:bottom w:val="single" w:sz="8" w:color="auto"/>
              <w:right w:val="single" w:sz="8" w:color="auto"/>
            </w:tcBorders>
          </w:tcPr>
          <w:p>
            <w:pPr>
              <w:spacing w:after="0"/>
              <w:rPr>
                <w:sz w:val="8"/>
                <w:szCs w:val="8"/>
                <w:color w:val="auto"/>
              </w:rPr>
            </w:pPr>
          </w:p>
        </w:tc>
        <w:tc>
          <w:tcPr>
            <w:tcW w:w="1820" w:type="dxa"/>
            <w:vAlign w:val="bottom"/>
            <w:tcBorders>
              <w:bottom w:val="single" w:sz="8" w:color="auto"/>
              <w:right w:val="single" w:sz="8" w:color="auto"/>
            </w:tcBorders>
          </w:tcPr>
          <w:p>
            <w:pPr>
              <w:spacing w:after="0"/>
              <w:rPr>
                <w:sz w:val="8"/>
                <w:szCs w:val="8"/>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7"/>
                <w:szCs w:val="7"/>
                <w:color w:val="auto"/>
                <w:w w:val="95"/>
              </w:rPr>
              <w:t>Registration Fee</w:t>
            </w:r>
          </w:p>
        </w:tc>
        <w:tc>
          <w:tcPr>
            <w:tcW w:w="0" w:type="dxa"/>
            <w:vAlign w:val="bottom"/>
          </w:tcPr>
          <w:p>
            <w:pPr>
              <w:spacing w:after="0"/>
              <w:rPr>
                <w:sz w:val="1"/>
                <w:szCs w:val="1"/>
                <w:color w:val="auto"/>
              </w:rPr>
            </w:pPr>
          </w:p>
        </w:tc>
      </w:tr>
      <w:tr>
        <w:trPr>
          <w:trHeight w:val="109"/>
        </w:trPr>
        <w:tc>
          <w:tcPr>
            <w:tcW w:w="1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9"/>
                <w:szCs w:val="9"/>
                <w:color w:val="auto"/>
              </w:rPr>
              <w:t>Secondary Offering Ordinary Shares</w:t>
            </w:r>
          </w:p>
        </w:tc>
        <w:tc>
          <w:tcPr>
            <w:tcW w:w="300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jc w:val="right"/>
              <w:ind w:right="778"/>
              <w:spacing w:after="0"/>
              <w:rPr>
                <w:sz w:val="20"/>
                <w:szCs w:val="20"/>
                <w:color w:val="auto"/>
              </w:rPr>
            </w:pPr>
            <w:r>
              <w:rPr>
                <w:rFonts w:ascii="Times New Roman" w:cs="Times New Roman" w:eastAsia="Times New Roman" w:hAnsi="Times New Roman"/>
                <w:sz w:val="9"/>
                <w:szCs w:val="9"/>
                <w:color w:val="auto"/>
              </w:rPr>
              <w:t>58,444,822</w:t>
            </w:r>
          </w:p>
        </w:tc>
        <w:tc>
          <w:tcPr>
            <w:tcW w:w="1400" w:type="dxa"/>
            <w:vAlign w:val="bottom"/>
            <w:tcBorders>
              <w:bottom w:val="single" w:sz="8" w:color="auto"/>
              <w:right w:val="single" w:sz="8" w:color="auto"/>
            </w:tcBorders>
          </w:tcPr>
          <w:p>
            <w:pPr>
              <w:jc w:val="right"/>
              <w:ind w:right="760"/>
              <w:spacing w:after="0" w:line="109" w:lineRule="exact"/>
              <w:rPr>
                <w:sz w:val="20"/>
                <w:szCs w:val="20"/>
                <w:color w:val="auto"/>
              </w:rPr>
            </w:pPr>
            <w:r>
              <w:rPr>
                <w:rFonts w:ascii="Times New Roman" w:cs="Times New Roman" w:eastAsia="Times New Roman" w:hAnsi="Times New Roman"/>
                <w:sz w:val="9"/>
                <w:szCs w:val="9"/>
                <w:color w:val="auto"/>
              </w:rPr>
              <w:t>$3.075</w:t>
            </w:r>
            <w:r>
              <w:rPr>
                <w:rFonts w:ascii="Times New Roman" w:cs="Times New Roman" w:eastAsia="Times New Roman" w:hAnsi="Times New Roman"/>
                <w:sz w:val="12"/>
                <w:szCs w:val="12"/>
                <w:color w:val="auto"/>
                <w:vertAlign w:val="superscript"/>
              </w:rPr>
              <w:t>(2)</w:t>
            </w:r>
          </w:p>
        </w:tc>
        <w:tc>
          <w:tcPr>
            <w:tcW w:w="1820" w:type="dxa"/>
            <w:vAlign w:val="bottom"/>
            <w:tcBorders>
              <w:bottom w:val="single" w:sz="8" w:color="auto"/>
              <w:right w:val="single" w:sz="8" w:color="auto"/>
            </w:tcBorders>
          </w:tcPr>
          <w:p>
            <w:pPr>
              <w:jc w:val="right"/>
              <w:ind w:right="558"/>
              <w:spacing w:after="0"/>
              <w:rPr>
                <w:sz w:val="20"/>
                <w:szCs w:val="20"/>
                <w:color w:val="auto"/>
              </w:rPr>
            </w:pPr>
            <w:r>
              <w:rPr>
                <w:rFonts w:ascii="Times New Roman" w:cs="Times New Roman" w:eastAsia="Times New Roman" w:hAnsi="Times New Roman"/>
                <w:sz w:val="9"/>
                <w:szCs w:val="9"/>
                <w:color w:val="auto"/>
              </w:rPr>
              <w:t>$179,717,828</w:t>
            </w:r>
          </w:p>
        </w:tc>
        <w:tc>
          <w:tcPr>
            <w:tcW w:w="1280" w:type="dxa"/>
            <w:vAlign w:val="bottom"/>
            <w:tcBorders>
              <w:bottom w:val="single" w:sz="8" w:color="auto"/>
            </w:tcBorders>
          </w:tcPr>
          <w:p>
            <w:pPr>
              <w:jc w:val="right"/>
              <w:ind w:right="279"/>
              <w:spacing w:after="0" w:line="109" w:lineRule="exact"/>
              <w:rPr>
                <w:sz w:val="20"/>
                <w:szCs w:val="20"/>
                <w:color w:val="auto"/>
              </w:rPr>
            </w:pPr>
            <w:r>
              <w:rPr>
                <w:rFonts w:ascii="Times New Roman" w:cs="Times New Roman" w:eastAsia="Times New Roman" w:hAnsi="Times New Roman"/>
                <w:sz w:val="9"/>
                <w:szCs w:val="9"/>
                <w:color w:val="auto"/>
              </w:rPr>
              <w:t>$27,514.80</w:t>
            </w:r>
            <w:r>
              <w:rPr>
                <w:rFonts w:ascii="Times New Roman" w:cs="Times New Roman" w:eastAsia="Times New Roman" w:hAnsi="Times New Roman"/>
                <w:sz w:val="12"/>
                <w:szCs w:val="12"/>
                <w:color w:val="auto"/>
                <w:vertAlign w:val="superscript"/>
              </w:rPr>
              <w:t>(3)</w:t>
            </w:r>
          </w:p>
        </w:tc>
        <w:tc>
          <w:tcPr>
            <w:tcW w:w="0" w:type="dxa"/>
            <w:vAlign w:val="bottom"/>
          </w:tcPr>
          <w:p>
            <w:pPr>
              <w:spacing w:after="0"/>
              <w:rPr>
                <w:sz w:val="1"/>
                <w:szCs w:val="1"/>
                <w:color w:val="auto"/>
              </w:rPr>
            </w:pPr>
          </w:p>
        </w:tc>
      </w:tr>
      <w:tr>
        <w:trPr>
          <w:trHeight w:val="106"/>
        </w:trPr>
        <w:tc>
          <w:tcPr>
            <w:tcW w:w="1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9"/>
                <w:szCs w:val="9"/>
                <w:color w:val="auto"/>
              </w:rPr>
              <w:t>Total</w:t>
            </w:r>
          </w:p>
        </w:tc>
        <w:tc>
          <w:tcPr>
            <w:tcW w:w="300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9"/>
                <w:szCs w:val="9"/>
                <w:color w:val="auto"/>
              </w:rPr>
              <w:t>—</w:t>
            </w:r>
          </w:p>
        </w:tc>
        <w:tc>
          <w:tcPr>
            <w:tcW w:w="14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9"/>
                <w:szCs w:val="9"/>
                <w:color w:val="auto"/>
              </w:rPr>
              <w:t>—</w:t>
            </w:r>
          </w:p>
        </w:tc>
        <w:tc>
          <w:tcPr>
            <w:tcW w:w="1820" w:type="dxa"/>
            <w:vAlign w:val="bottom"/>
            <w:tcBorders>
              <w:bottom w:val="single" w:sz="8" w:color="auto"/>
              <w:right w:val="single" w:sz="8" w:color="auto"/>
            </w:tcBorders>
          </w:tcPr>
          <w:p>
            <w:pPr>
              <w:jc w:val="right"/>
              <w:ind w:right="538"/>
              <w:spacing w:after="0"/>
              <w:rPr>
                <w:sz w:val="20"/>
                <w:szCs w:val="20"/>
                <w:color w:val="auto"/>
              </w:rPr>
            </w:pPr>
            <w:r>
              <w:rPr>
                <w:rFonts w:ascii="Times New Roman" w:cs="Times New Roman" w:eastAsia="Times New Roman" w:hAnsi="Times New Roman"/>
                <w:sz w:val="9"/>
                <w:szCs w:val="9"/>
                <w:color w:val="auto"/>
              </w:rPr>
              <w:t>$179,717,828</w:t>
            </w:r>
          </w:p>
        </w:tc>
        <w:tc>
          <w:tcPr>
            <w:tcW w:w="1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9"/>
                <w:szCs w:val="9"/>
                <w:color w:val="auto"/>
              </w:rPr>
              <w:t>$27,514.80</w:t>
            </w:r>
          </w:p>
        </w:tc>
        <w:tc>
          <w:tcPr>
            <w:tcW w:w="0" w:type="dxa"/>
            <w:vAlign w:val="bottom"/>
          </w:tcPr>
          <w:p>
            <w:pPr>
              <w:spacing w:after="0"/>
              <w:rPr>
                <w:sz w:val="1"/>
                <w:szCs w:val="1"/>
                <w:color w:val="auto"/>
              </w:rPr>
            </w:pPr>
          </w:p>
        </w:tc>
      </w:tr>
      <w:tr>
        <w:trPr>
          <w:trHeight w:val="108"/>
        </w:trPr>
        <w:tc>
          <w:tcPr>
            <w:tcW w:w="1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9"/>
                <w:szCs w:val="9"/>
                <w:color w:val="auto"/>
              </w:rPr>
              <w:t>Total Fees Previously Paid</w:t>
            </w:r>
          </w:p>
        </w:tc>
        <w:tc>
          <w:tcPr>
            <w:tcW w:w="300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9"/>
                <w:szCs w:val="9"/>
                <w:color w:val="auto"/>
              </w:rPr>
              <w:t>—</w:t>
            </w:r>
          </w:p>
        </w:tc>
        <w:tc>
          <w:tcPr>
            <w:tcW w:w="14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9"/>
                <w:szCs w:val="9"/>
                <w:color w:val="auto"/>
              </w:rPr>
              <w:t>—</w:t>
            </w:r>
          </w:p>
        </w:tc>
        <w:tc>
          <w:tcPr>
            <w:tcW w:w="1820" w:type="dxa"/>
            <w:vAlign w:val="bottom"/>
            <w:tcBorders>
              <w:bottom w:val="single" w:sz="8" w:color="auto"/>
              <w:right w:val="single" w:sz="8" w:color="auto"/>
            </w:tcBorders>
          </w:tcPr>
          <w:p>
            <w:pPr>
              <w:jc w:val="right"/>
              <w:ind w:right="758"/>
              <w:spacing w:after="0"/>
              <w:rPr>
                <w:sz w:val="20"/>
                <w:szCs w:val="20"/>
                <w:color w:val="auto"/>
              </w:rPr>
            </w:pPr>
            <w:r>
              <w:rPr>
                <w:rFonts w:ascii="Times New Roman" w:cs="Times New Roman" w:eastAsia="Times New Roman" w:hAnsi="Times New Roman"/>
                <w:sz w:val="9"/>
                <w:szCs w:val="9"/>
                <w:color w:val="auto"/>
              </w:rPr>
              <w:t>—</w:t>
            </w:r>
          </w:p>
        </w:tc>
        <w:tc>
          <w:tcPr>
            <w:tcW w:w="1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06"/>
        </w:trPr>
        <w:tc>
          <w:tcPr>
            <w:tcW w:w="1640" w:type="dxa"/>
            <w:vAlign w:val="bottom"/>
          </w:tcPr>
          <w:p>
            <w:pPr>
              <w:ind w:left="20"/>
              <w:spacing w:after="0"/>
              <w:rPr>
                <w:sz w:val="20"/>
                <w:szCs w:val="20"/>
                <w:color w:val="auto"/>
              </w:rPr>
            </w:pPr>
            <w:r>
              <w:rPr>
                <w:rFonts w:ascii="Times New Roman" w:cs="Times New Roman" w:eastAsia="Times New Roman" w:hAnsi="Times New Roman"/>
                <w:sz w:val="9"/>
                <w:szCs w:val="9"/>
                <w:color w:val="auto"/>
              </w:rPr>
              <w:t>Registration Fee Due</w:t>
            </w:r>
          </w:p>
        </w:tc>
        <w:tc>
          <w:tcPr>
            <w:tcW w:w="300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2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$27,514.80</w:t>
            </w:r>
          </w:p>
        </w:tc>
        <w:tc>
          <w:tcPr>
            <w:tcW w:w="0" w:type="dxa"/>
            <w:vAlign w:val="bottom"/>
          </w:tcPr>
          <w:p>
            <w:pPr>
              <w:spacing w:after="0"/>
              <w:rPr>
                <w:sz w:val="1"/>
                <w:szCs w:val="1"/>
                <w:color w:val="auto"/>
              </w:rPr>
            </w:pPr>
          </w:p>
        </w:tc>
      </w:tr>
      <w:tr>
        <w:trPr>
          <w:trHeight w:val="304"/>
        </w:trPr>
        <w:tc>
          <w:tcPr>
            <w:tcW w:w="1640" w:type="dxa"/>
            <w:vAlign w:val="bottom"/>
            <w:tcBorders>
              <w:bottom w:val="single" w:sz="8" w:color="auto"/>
            </w:tcBorders>
          </w:tcPr>
          <w:p>
            <w:pPr>
              <w:spacing w:after="0"/>
              <w:rPr>
                <w:sz w:val="24"/>
                <w:szCs w:val="24"/>
                <w:color w:val="auto"/>
              </w:rPr>
            </w:pPr>
          </w:p>
        </w:tc>
        <w:tc>
          <w:tcPr>
            <w:tcW w:w="300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color w:val="auto"/>
        </w:rPr>
        <w:t>(1)Pursuant to Rule 416(a) under the Securities Act of 1933, as amended (the “Securities Act”), there are also being registered an indeterminable number of additional securities as may be issued as a result of stock splits, stock dividends or similar transactions.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color w:val="auto"/>
        </w:rPr>
        <w:t>(2)Estimated solely for the purpose of the calculation of the registration fee pursuant to Rule 457(c) under the Securities Act, based on the average of the high and the low prices as reported on the Nasdaq Stock Market LLC on January 8, 2025.</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color w:val="auto"/>
        </w:rPr>
        <w:t>(3)Calculated by multiplying the proposed maximum aggregate offering price by 0.00015310.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110490</wp:posOffset>
            </wp:positionV>
            <wp:extent cx="6778625" cy="349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40"/>
          </w:cols>
          <w:pgMar w:left="720" w:top="748" w:right="640" w:bottom="1440" w:gutter="0" w:footer="0" w:header="0"/>
        </w:sectPr>
      </w:pPr>
    </w:p>
    <w:bookmarkStart w:id="295" w:name="page296"/>
    <w:bookmarkEnd w:id="295"/>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404"/>
    </w:lvl>
  </w:abstractNum>
  <w:abstractNum w:abstractNumId="1">
    <w:nsid w:val="140E0F76"/>
    <w:multiLevelType w:val="hybridMultilevel"/>
    <w:lvl w:ilvl="0">
      <w:lvlJc w:val="left"/>
      <w:lvlText w:val="1"/>
      <w:numFmt w:val="bullet"/>
      <w:start w:val="1"/>
    </w:lvl>
  </w:abstractNum>
  <w:abstractNum w:abstractNumId="2">
    <w:nsid w:val="3352255A"/>
    <w:multiLevelType w:val="hybridMultilevel"/>
    <w:lvl w:ilvl="0">
      <w:lvlJc w:val="left"/>
      <w:lvlText w:val="(%1)"/>
      <w:numFmt w:val="lowerLetter"/>
      <w:start w:val="27"/>
    </w:lvl>
  </w:abstractNum>
  <w:abstractNum w:abstractNumId="3">
    <w:nsid w:val="109CF92E"/>
    <w:multiLevelType w:val="hybridMultilevel"/>
    <w:lvl w:ilvl="0">
      <w:lvlJc w:val="left"/>
      <w:lvlText w:val="2"/>
      <w:numFmt w:val="bullet"/>
      <w:start w:val="1"/>
    </w:lvl>
  </w:abstractNum>
  <w:abstractNum w:abstractNumId="4">
    <w:nsid w:val="DED7263"/>
    <w:multiLevelType w:val="hybridMultilevel"/>
    <w:lvl w:ilvl="0">
      <w:lvlJc w:val="left"/>
      <w:lvlText w:val="2"/>
      <w:numFmt w:val="bullet"/>
      <w:start w:val="1"/>
    </w:lvl>
  </w:abstractNum>
  <w:abstractNum w:abstractNumId="5">
    <w:nsid w:val="7FDCC233"/>
    <w:multiLevelType w:val="hybridMultilevel"/>
    <w:lvl w:ilvl="0">
      <w:lvlJc w:val="left"/>
      <w:lvlText w:val="3"/>
      <w:numFmt w:val="bullet"/>
      <w:start w:val="1"/>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2"/>
    </w:lvl>
  </w:abstractNum>
  <w:abstractNum w:abstractNumId="12">
    <w:nsid w:val="431BD7B7"/>
    <w:multiLevelType w:val="hybridMultilevel"/>
    <w:lvl w:ilvl="0">
      <w:lvlJc w:val="left"/>
      <w:lvlText w:val="(%1)"/>
      <w:numFmt w:val="lowerRoman"/>
      <w:start w:val="2"/>
    </w:lvl>
  </w:abstractNum>
  <w:abstractNum w:abstractNumId="13">
    <w:nsid w:val="3F2DBA31"/>
    <w:multiLevelType w:val="hybridMultilevel"/>
    <w:lvl w:ilvl="0">
      <w:lvlJc w:val="left"/>
      <w:lvlText w:val="(%1)"/>
      <w:numFmt w:val="lowerRoman"/>
      <w:start w:val="2"/>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lowerRoman"/>
      <w:start w:val="2"/>
    </w:lvl>
  </w:abstractNum>
  <w:abstractNum w:abstractNumId="16">
    <w:nsid w:val="62BBD95A"/>
    <w:multiLevelType w:val="hybridMultilevel"/>
    <w:lvl w:ilvl="0">
      <w:lvlJc w:val="left"/>
      <w:lvlText w:val="(%1)"/>
      <w:numFmt w:val="lowerRoman"/>
      <w:start w:val="2"/>
    </w:lvl>
  </w:abstractNum>
  <w:abstractNum w:abstractNumId="17">
    <w:nsid w:val="436C6125"/>
    <w:multiLevelType w:val="hybridMultilevel"/>
    <w:lvl w:ilvl="0">
      <w:lvlJc w:val="left"/>
      <w:lvlText w:val="(%1)"/>
      <w:numFmt w:val="lowerRoman"/>
      <w:start w:val="2"/>
    </w:lvl>
  </w:abstractNum>
  <w:abstractNum w:abstractNumId="18">
    <w:nsid w:val="628C895D"/>
    <w:multiLevelType w:val="hybridMultilevel"/>
    <w:lvl w:ilvl="0">
      <w:lvlJc w:val="left"/>
      <w:lvlText w:val="(%1)"/>
      <w:numFmt w:val="lowerRoman"/>
      <w:start w:val="2"/>
    </w:lvl>
  </w:abstractNum>
  <w:abstractNum w:abstractNumId="19">
    <w:nsid w:val="333AB105"/>
    <w:multiLevelType w:val="hybridMultilevel"/>
    <w:lvl w:ilvl="0">
      <w:lvlJc w:val="left"/>
      <w:lvlText w:val="(%1)"/>
      <w:numFmt w:val="lowerRoman"/>
      <w:start w:val="2"/>
    </w:lvl>
  </w:abstractNum>
  <w:abstractNum w:abstractNumId="20">
    <w:nsid w:val="721DA317"/>
    <w:multiLevelType w:val="hybridMultilevel"/>
    <w:lvl w:ilvl="0">
      <w:lvlJc w:val="left"/>
      <w:lvlText w:val="(%1)"/>
      <w:numFmt w:val="lowerRoman"/>
      <w:start w:val="2"/>
    </w:lvl>
  </w:abstractNum>
  <w:abstractNum w:abstractNumId="21">
    <w:nsid w:val="2443A858"/>
    <w:multiLevelType w:val="hybridMultilevel"/>
    <w:lvl w:ilvl="0">
      <w:lvlJc w:val="left"/>
      <w:lvlText w:val="%1"/>
      <w:numFmt w:val="decimal"/>
      <w:start w:val="107"/>
    </w:lvl>
  </w:abstractNum>
  <w:abstractNum w:abstractNumId="22">
    <w:nsid w:val="2D1D5AE9"/>
    <w:multiLevelType w:val="hybridMultilevel"/>
    <w:lvl w:ilvl="0">
      <w:lvlJc w:val="left"/>
      <w:lvlText w:val="(%1)"/>
      <w:numFmt w:val="lowerLetter"/>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302" Type="http://schemas.openxmlformats.org/officeDocument/2006/relationships/image" Target="media/image290.png"/><Relationship Id="rId303" Type="http://schemas.openxmlformats.org/officeDocument/2006/relationships/image" Target="media/image291.png"/><Relationship Id="rId320" Type="http://schemas.openxmlformats.org/officeDocument/2006/relationships/image" Target="media/image292.png"/><Relationship Id="rId321" Type="http://schemas.openxmlformats.org/officeDocument/2006/relationships/image" Target="media/image293.png"/><Relationship Id="rId326" Type="http://schemas.openxmlformats.org/officeDocument/2006/relationships/image" Target="media/image294.png"/><Relationship Id="rId327" Type="http://schemas.openxmlformats.org/officeDocument/2006/relationships/image" Target="media/image295.png"/><Relationship Id="rId328" Type="http://schemas.openxmlformats.org/officeDocument/2006/relationships/image" Target="media/image296.png"/><Relationship Id="rId329" Type="http://schemas.openxmlformats.org/officeDocument/2006/relationships/image" Target="media/image297.png"/><Relationship Id="rId330" Type="http://schemas.openxmlformats.org/officeDocument/2006/relationships/image" Target="media/image298.png"/><Relationship Id="rId331" Type="http://schemas.openxmlformats.org/officeDocument/2006/relationships/image" Target="media/image299.png"/><Relationship Id="rId332" Type="http://schemas.openxmlformats.org/officeDocument/2006/relationships/image" Target="media/image300.png"/><Relationship Id="rId333" Type="http://schemas.openxmlformats.org/officeDocument/2006/relationships/image" Target="media/image301.jpeg"/><Relationship Id="rId334" Type="http://schemas.openxmlformats.org/officeDocument/2006/relationships/image" Target="media/image302.png"/><Relationship Id="rId335" Type="http://schemas.openxmlformats.org/officeDocument/2006/relationships/image" Target="media/image303.png"/><Relationship Id="rId336" Type="http://schemas.openxmlformats.org/officeDocument/2006/relationships/image" Target="media/image304.png"/><Relationship Id="rId337" Type="http://schemas.openxmlformats.org/officeDocument/2006/relationships/image" Target="media/image305.png"/><Relationship Id="rId338" Type="http://schemas.openxmlformats.org/officeDocument/2006/relationships/image" Target="media/image306.png"/><Relationship Id="rId339" Type="http://schemas.openxmlformats.org/officeDocument/2006/relationships/image" Target="media/image307.png"/><Relationship Id="rId340" Type="http://schemas.openxmlformats.org/officeDocument/2006/relationships/image" Target="media/image308.png"/><Relationship Id="rId341" Type="http://schemas.openxmlformats.org/officeDocument/2006/relationships/image" Target="media/image309.png"/><Relationship Id="rId342" Type="http://schemas.openxmlformats.org/officeDocument/2006/relationships/image" Target="media/image310.png"/><Relationship Id="rId343" Type="http://schemas.openxmlformats.org/officeDocument/2006/relationships/image" Target="media/image311.jpeg"/><Relationship Id="rId344" Type="http://schemas.openxmlformats.org/officeDocument/2006/relationships/image" Target="media/image312.png"/><Relationship Id="rId345" Type="http://schemas.openxmlformats.org/officeDocument/2006/relationships/image" Target="media/image313.png"/><Relationship Id="rId346" Type="http://schemas.openxmlformats.org/officeDocument/2006/relationships/image" Target="media/image314.png"/><Relationship Id="rId347" Type="http://schemas.openxmlformats.org/officeDocument/2006/relationships/image" Target="media/image315.png"/><Relationship Id="rId297" Type="http://schemas.openxmlformats.org/officeDocument/2006/relationships/hyperlink" Target="https://www.sec.gov/Archives/edgar/data/1920294/000119312523240685/d309194df4a.htm#anxacov" TargetMode="External"/><Relationship Id="rId298" Type="http://schemas.openxmlformats.org/officeDocument/2006/relationships/hyperlink" Target="https://www.sec.gov/Archives/edgar/data/1920294/000119312523240685/d309194df4a.htm#anxaa" TargetMode="External"/><Relationship Id="rId299" Type="http://schemas.openxmlformats.org/officeDocument/2006/relationships/hyperlink" Target="https://www.sec.gov/Archives/edgar/data/1920294/000119312524204510/d885107dex11.htm" TargetMode="External"/><Relationship Id="rId300" Type="http://schemas.openxmlformats.org/officeDocument/2006/relationships/hyperlink" Target="https://www.sec.gov/Archives/edgar/data/1920294/000119312524204510/d885107dex21.htm" TargetMode="External"/><Relationship Id="rId301" Type="http://schemas.openxmlformats.org/officeDocument/2006/relationships/hyperlink" Target="https://www.sec.gov/Archives/edgar/data/1920294/000119312524204510/d885107dex22.htm" TargetMode="External"/><Relationship Id="rId304" Type="http://schemas.openxmlformats.org/officeDocument/2006/relationships/hyperlink" Target="https://www.sec.gov/Archives/edgar/data/1920294/000119312524204510/d885107dex43.htm" TargetMode="External"/><Relationship Id="rId305" Type="http://schemas.openxmlformats.org/officeDocument/2006/relationships/hyperlink" Target="https://www.sec.gov/Archives/edgar/data/1920294/000119312524204510/d885107dex44.htm" TargetMode="External"/><Relationship Id="rId306" Type="http://schemas.openxmlformats.org/officeDocument/2006/relationships/hyperlink" Target="https://www.sec.gov/Archives/edgar/data/1920294/000119312524204510/d885107dex46.htm" TargetMode="External"/><Relationship Id="rId307" Type="http://schemas.openxmlformats.org/officeDocument/2006/relationships/hyperlink" Target="https://www.sec.gov/Archives/edgar/data/1920294/000119312524204510/d885107dex47.htm" TargetMode="External"/><Relationship Id="rId308" Type="http://schemas.openxmlformats.org/officeDocument/2006/relationships/hyperlink" Target="https://www.sec.gov/Archives/edgar/data/1920294/000095017024139714/rzlv-ex4_1.htm" TargetMode="External"/><Relationship Id="rId309" Type="http://schemas.openxmlformats.org/officeDocument/2006/relationships/hyperlink" Target="https://www.sec.gov/Archives/edgar/data/1920294/000119312524159410/d309194dex1017.htm" TargetMode="External"/><Relationship Id="rId310" Type="http://schemas.openxmlformats.org/officeDocument/2006/relationships/hyperlink" Target="https://www.sec.gov/Archives/edgar/data/1920294/000119312524143103/d309194dex1018.htm" TargetMode="External"/><Relationship Id="rId311" Type="http://schemas.openxmlformats.org/officeDocument/2006/relationships/hyperlink" Target="https://www.sec.gov/Archives/edgar/data/1920294/000119312524143103/d309194dex1019.htm" TargetMode="External"/><Relationship Id="rId312" Type="http://schemas.openxmlformats.org/officeDocument/2006/relationships/hyperlink" Target="https://www.sec.gov/Archives/edgar/data/1920294/000119312524143103/d309194dex1020.htm" TargetMode="External"/><Relationship Id="rId313" Type="http://schemas.openxmlformats.org/officeDocument/2006/relationships/hyperlink" Target="https://www.sec.gov/Archives/edgar/data/1920294/000119312524143103/d309194dex1021.htm" TargetMode="External"/><Relationship Id="rId314" Type="http://schemas.openxmlformats.org/officeDocument/2006/relationships/hyperlink" Target="https://www.sec.gov/Archives/edgar/data/1920294/000119312524143103/d309194dex1022.htm" TargetMode="External"/><Relationship Id="rId315" Type="http://schemas.openxmlformats.org/officeDocument/2006/relationships/hyperlink" Target="https://www.sec.gov/Archives/edgar/data/1920294/000119312524143103/d309194dex1023.htm" TargetMode="External"/><Relationship Id="rId316" Type="http://schemas.openxmlformats.org/officeDocument/2006/relationships/hyperlink" Target="https://www.sec.gov/Archives/edgar/data/1920294/000119312524143103/d309194dex1024.htm" TargetMode="External"/><Relationship Id="rId317" Type="http://schemas.openxmlformats.org/officeDocument/2006/relationships/hyperlink" Target="https://www.sec.gov/Archives/edgar/data/1844817/000119312524028592/d701134dex21.htm" TargetMode="External"/><Relationship Id="rId318" Type="http://schemas.openxmlformats.org/officeDocument/2006/relationships/hyperlink" Target="https://www.sec.gov/Archives/edgar/data/1920294/000095017024106474/rzlv-ex99_1.htm" TargetMode="External"/><Relationship Id="rId319" Type="http://schemas.openxmlformats.org/officeDocument/2006/relationships/hyperlink" Target="https://www.sec.gov/Archives/edgar/data/1920294/000095017024106474/rzlv-ex99_2.htm" TargetMode="External"/><Relationship Id="rId322" Type="http://schemas.openxmlformats.org/officeDocument/2006/relationships/hyperlink" Target="https://www.sec.gov/Archives/edgar/data/1920294/000095017024133740/rzlv-ex99_1.htm" TargetMode="External"/><Relationship Id="rId323" Type="http://schemas.openxmlformats.org/officeDocument/2006/relationships/hyperlink" Target="https://www.sec.gov/Archives/edgar/data/1920294/000095017024137626/rzlv-ex10_2.htm" TargetMode="External"/><Relationship Id="rId324" Type="http://schemas.openxmlformats.org/officeDocument/2006/relationships/hyperlink" Target="https://www.sec.gov/Archives/edgar/data/1920294/000095017024137626/rzlv-ex10_3.htm" TargetMode="External"/><Relationship Id="rId325" Type="http://schemas.openxmlformats.org/officeDocument/2006/relationships/hyperlink" Target="https://www.sec.gov/Archives/edgar/data/1920294/000095017024139714/rzlv-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2025-01-13T06:50:31Z</dcterms:created>
  <dcterms:modified xsi:type="dcterms:W3CDTF">2025-01-13T06:50:31Z</dcterms:modified>
</cp:coreProperties>
</file>