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right="1278"/>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198755</wp:posOffset>
            </wp:positionH>
            <wp:positionV relativeFrom="page">
              <wp:posOffset>141605</wp:posOffset>
            </wp:positionV>
            <wp:extent cx="71831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450215</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7"/>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47"/>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Rezolve AI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47"/>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Ordinary Shares, par value (GBP)0.0001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147"/>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G75398100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3607"/>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272"/>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5622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22925" cy="42545"/>
                    </a:xfrm>
                    <a:prstGeom prst="rect">
                      <a:avLst/>
                    </a:prstGeom>
                    <a:noFill/>
                  </pic:spPr>
                </pic:pic>
              </a:graphicData>
            </a:graphic>
          </wp:anchor>
        </w:drawing>
      </w:r>
    </w:p>
    <w:p>
      <w:pPr>
        <w:spacing w:after="0" w:line="213" w:lineRule="exact"/>
        <w:rPr>
          <w:sz w:val="24"/>
          <w:szCs w:val="24"/>
          <w:color w:val="auto"/>
        </w:rPr>
      </w:pPr>
    </w:p>
    <w:p>
      <w:pPr>
        <w:ind w:left="1827"/>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67"/>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92710</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178435</wp:posOffset>
            </wp:positionV>
            <wp:extent cx="71831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4"/>
          <w:szCs w:val="24"/>
          <w:color w:val="auto"/>
        </w:rPr>
      </w:pPr>
    </w:p>
    <w:p>
      <w:pPr>
        <w:spacing w:after="0" w:line="361"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20"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07" w:hanging="1107"/>
        <w:spacing w:after="0"/>
        <w:tabs>
          <w:tab w:leader="none" w:pos="1107"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07" w:hanging="1107"/>
        <w:spacing w:after="0"/>
        <w:tabs>
          <w:tab w:leader="none" w:pos="110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ind w:left="1107"/>
        <w:spacing w:after="0"/>
        <w:rPr>
          <w:sz w:val="20"/>
          <w:szCs w:val="20"/>
          <w:color w:val="auto"/>
        </w:rPr>
      </w:pPr>
      <w:r>
        <w:rPr>
          <w:rFonts w:ascii="Times New Roman" w:cs="Times New Roman" w:eastAsia="Times New Roman" w:hAnsi="Times New Roman"/>
          <w:sz w:val="22"/>
          <w:szCs w:val="22"/>
          <w:color w:val="auto"/>
        </w:rPr>
        <w:t>DELAWARE</w:t>
      </w:r>
    </w:p>
    <w:p>
      <w:pPr>
        <w:sectPr>
          <w:pgSz w:w="11920" w:h="16838" w:orient="portrait"/>
          <w:cols w:equalWidth="0" w:num="1">
            <w:col w:w="10105"/>
          </w:cols>
          <w:pgMar w:left="373" w:top="861" w:right="1440" w:bottom="0" w:gutter="0" w:footer="0" w:header="0"/>
        </w:sectPr>
      </w:pPr>
    </w:p>
    <w:bookmarkStart w:id="1" w:name="page2"/>
    <w:bookmarkEnd w:id="1"/>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 OO</w:t>
      </w:r>
    </w:p>
    <w:p>
      <w:pPr>
        <w:spacing w:after="0" w:line="200" w:lineRule="exact"/>
        <w:rPr>
          <w:sz w:val="20"/>
          <w:szCs w:val="20"/>
          <w:color w:val="auto"/>
        </w:rPr>
      </w:pPr>
    </w:p>
    <w:p>
      <w:pPr>
        <w:sectPr>
          <w:pgSz w:w="11920" w:h="16838" w:orient="portrait"/>
          <w:cols w:equalWidth="0" w:num="2">
            <w:col w:w="1080" w:space="60"/>
            <w:col w:w="9940"/>
          </w:cols>
          <w:pgMar w:left="340" w:top="161" w:right="498" w:bottom="79"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323,806,274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November 28, 2025 (according to the issuer's Form F-3 as filed with the Securities and Exchange Commission on November 28,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4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40" w:hanging="1107"/>
        <w:spacing w:after="0"/>
        <w:tabs>
          <w:tab w:leader="none" w:pos="114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4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40" w:hanging="1107"/>
        <w:spacing w:after="0"/>
        <w:tabs>
          <w:tab w:leader="none" w:pos="11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020" w:type="dxa"/>
            <w:vAlign w:val="bottom"/>
          </w:tcPr>
          <w:p>
            <w:pPr>
              <w:spacing w:after="0"/>
              <w:rPr>
                <w:sz w:val="24"/>
                <w:szCs w:val="24"/>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3"/>
                <w:szCs w:val="23"/>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82"/>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Beneficially 6</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ectPr>
          <w:pgSz w:w="11920" w:h="16838" w:orient="portrait"/>
          <w:cols w:equalWidth="0" w:num="1">
            <w:col w:w="11080"/>
          </w:cols>
          <w:pgMar w:left="340" w:top="161" w:right="498" w:bottom="79" w:gutter="0" w:footer="0" w:header="0"/>
          <w:type w:val="continuous"/>
        </w:sectPr>
      </w:pPr>
    </w:p>
    <w:p>
      <w:pPr>
        <w:ind w:left="1140"/>
        <w:spacing w:after="0"/>
        <w:rPr>
          <w:sz w:val="20"/>
          <w:szCs w:val="20"/>
          <w:color w:val="auto"/>
        </w:rPr>
      </w:pPr>
      <w:r>
        <w:rPr>
          <w:rFonts w:ascii="Times New Roman" w:cs="Times New Roman" w:eastAsia="Times New Roman" w:hAnsi="Times New Roman"/>
          <w:sz w:val="21"/>
          <w:szCs w:val="21"/>
          <w:color w:val="auto"/>
        </w:rPr>
        <w:t>0.00</w:t>
      </w:r>
    </w:p>
    <w:p>
      <w:pPr>
        <w:sectPr>
          <w:pgSz w:w="11920" w:h="16838" w:orient="portrait"/>
          <w:cols w:equalWidth="0" w:num="1">
            <w:col w:w="11080"/>
          </w:cols>
          <w:pgMar w:left="340" w:top="161" w:right="498" w:bottom="79" w:gutter="0" w:footer="0" w:header="0"/>
          <w:type w:val="continuous"/>
        </w:sectPr>
      </w:pPr>
    </w:p>
    <w:bookmarkStart w:id="2" w:name="page3"/>
    <w:bookmarkEnd w:id="2"/>
    <w:p>
      <w:pPr>
        <w:jc w:val="right"/>
        <w:ind w:right="1418"/>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4445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0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0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Citadel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20" w:h="16838" w:orient="portrait"/>
          <w:cols w:equalWidth="0" w:num="1">
            <w:col w:w="10098"/>
          </w:cols>
          <w:pgMar w:left="380" w:top="121" w:right="1440" w:bottom="27"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20" w:h="16838" w:orient="portrait"/>
          <w:cols w:equalWidth="0" w:num="2">
            <w:col w:w="1040" w:space="60"/>
            <w:col w:w="8998"/>
          </w:cols>
          <w:pgMar w:left="380" w:top="121" w:right="1440" w:bottom="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jc w:val="right"/>
        <w:ind w:right="6518"/>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Citadel Securities LLC</w:t>
      </w:r>
    </w:p>
    <w:p>
      <w:pPr>
        <w:sectPr>
          <w:pgSz w:w="11920" w:h="16838" w:orient="portrait"/>
          <w:cols w:equalWidth="0" w:num="1">
            <w:col w:w="10098"/>
          </w:cols>
          <w:pgMar w:left="380" w:top="121" w:right="1440" w:bottom="27" w:gutter="0" w:footer="0" w:header="0"/>
          <w:type w:val="continuous"/>
        </w:sectPr>
      </w:pPr>
    </w:p>
    <w:bookmarkStart w:id="3" w:name="page4"/>
    <w:bookmarkEnd w:id="3"/>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20" w:h="16838" w:orient="portrait"/>
          <w:cols w:equalWidth="0" w:num="1">
            <w:col w:w="10105"/>
          </w:cols>
          <w:pgMar w:left="373" w:top="121" w:right="1440" w:bottom="0" w:gutter="0" w:footer="0" w:header="0"/>
        </w:sectPr>
      </w:pP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571,708.00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571,708.00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571,708.00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 OO</w:t>
      </w:r>
    </w:p>
    <w:p>
      <w:pPr>
        <w:spacing w:after="0" w:line="200" w:lineRule="exact"/>
        <w:rPr>
          <w:sz w:val="20"/>
          <w:szCs w:val="20"/>
          <w:color w:val="auto"/>
        </w:rPr>
      </w:pPr>
    </w:p>
    <w:p>
      <w:pPr>
        <w:sectPr>
          <w:pgSz w:w="11920" w:h="16838" w:orient="portrait"/>
          <w:cols w:equalWidth="0" w:num="2">
            <w:col w:w="1047" w:space="60"/>
            <w:col w:w="8998"/>
          </w:cols>
          <w:pgMar w:left="373" w:top="12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07" w:hanging="1107"/>
        <w:spacing w:after="0"/>
        <w:tabs>
          <w:tab w:leader="none" w:pos="1107"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07" w:hanging="1107"/>
        <w:spacing w:after="0"/>
        <w:tabs>
          <w:tab w:leader="none" w:pos="110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tbl>
      <w:tblPr>
        <w:tblLayout w:type="fixed"/>
        <w:tblInd w:w="7" w:type="dxa"/>
        <w:tblCellMar>
          <w:top w:w="0" w:type="dxa"/>
          <w:left w:w="0" w:type="dxa"/>
          <w:bottom w:w="0" w:type="dxa"/>
          <w:right w:w="0" w:type="dxa"/>
        </w:tblCellMar>
      </w:tblPr>
      <w:tr>
        <w:trPr>
          <w:trHeight w:val="282"/>
        </w:trPr>
        <w:tc>
          <w:tcPr>
            <w:tcW w:w="1020" w:type="dxa"/>
            <w:vAlign w:val="bottom"/>
          </w:tcPr>
          <w:p>
            <w:pPr>
              <w:spacing w:after="0"/>
              <w:rPr>
                <w:sz w:val="24"/>
                <w:szCs w:val="24"/>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020" w:type="dxa"/>
            <w:vAlign w:val="bottom"/>
          </w:tcPr>
          <w:p>
            <w:pPr>
              <w:spacing w:after="0"/>
              <w:rPr>
                <w:sz w:val="23"/>
                <w:szCs w:val="23"/>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82"/>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Beneficially 6</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1,523,446.00</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6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2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1,523,446.00</w:t>
            </w:r>
          </w:p>
        </w:tc>
        <w:tc>
          <w:tcPr>
            <w:tcW w:w="0" w:type="dxa"/>
            <w:vAlign w:val="bottom"/>
          </w:tcPr>
          <w:p>
            <w:pPr>
              <w:spacing w:after="0"/>
              <w:rPr>
                <w:sz w:val="1"/>
                <w:szCs w:val="1"/>
                <w:color w:val="auto"/>
              </w:rPr>
            </w:pPr>
          </w:p>
        </w:tc>
      </w:tr>
    </w:tbl>
    <w:p>
      <w:pPr>
        <w:sectPr>
          <w:pgSz w:w="11920" w:h="16838" w:orient="portrait"/>
          <w:cols w:equalWidth="0" w:num="1">
            <w:col w:w="10105"/>
          </w:cols>
          <w:pgMar w:left="373" w:top="121" w:right="1440" w:bottom="0" w:gutter="0" w:footer="0" w:header="0"/>
          <w:type w:val="continuous"/>
        </w:sectPr>
      </w:pPr>
    </w:p>
    <w:bookmarkStart w:id="4" w:name="page5"/>
    <w:bookmarkEnd w:id="4"/>
    <w:p>
      <w:pPr>
        <w:ind w:left="1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00"/>
        <w:spacing w:after="0"/>
        <w:rPr>
          <w:sz w:val="20"/>
          <w:szCs w:val="20"/>
          <w:color w:val="auto"/>
        </w:rPr>
      </w:pPr>
      <w:r>
        <w:rPr>
          <w:rFonts w:ascii="Times New Roman" w:cs="Times New Roman" w:eastAsia="Times New Roman" w:hAnsi="Times New Roman"/>
          <w:sz w:val="22"/>
          <w:szCs w:val="22"/>
          <w:color w:val="auto"/>
        </w:rPr>
        <w:t>1,523,446.00</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4445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0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00"/>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G75398100</w:t>
      </w:r>
    </w:p>
    <w:p>
      <w:pPr>
        <w:spacing w:after="0" w:line="200" w:lineRule="exact"/>
        <w:rPr>
          <w:sz w:val="20"/>
          <w:szCs w:val="20"/>
          <w:color w:val="auto"/>
        </w:rPr>
      </w:pPr>
    </w:p>
    <w:p>
      <w:pPr>
        <w:spacing w:after="0" w:line="36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0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20" w:h="16838" w:orient="portrait"/>
          <w:cols w:equalWidth="0" w:num="1">
            <w:col w:w="10098"/>
          </w:cols>
          <w:pgMar w:left="380" w:top="121" w:right="1440" w:bottom="579"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1,523,446.00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1,523,446.00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1,523,446.00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20" w:h="16838" w:orient="portrait"/>
          <w:cols w:equalWidth="0" w:num="2">
            <w:col w:w="1040" w:space="60"/>
            <w:col w:w="8998"/>
          </w:cols>
          <w:pgMar w:left="380" w:top="121" w:right="1440" w:bottom="579"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SCHEDULE 13G</w:t>
      </w:r>
    </w:p>
    <w:p>
      <w:pPr>
        <w:sectPr>
          <w:pgSz w:w="11920" w:h="16838" w:orient="portrait"/>
          <w:cols w:equalWidth="0" w:num="1">
            <w:col w:w="10098"/>
          </w:cols>
          <w:pgMar w:left="380" w:top="121" w:right="1440" w:bottom="579" w:gutter="0" w:footer="0" w:header="0"/>
          <w:type w:val="continuous"/>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CUSIP No. </w:t>
      </w:r>
      <w:r>
        <w:rPr>
          <w:rFonts w:ascii="Times New Roman" w:cs="Times New Roman" w:eastAsia="Times New Roman" w:hAnsi="Times New Roman"/>
          <w:sz w:val="18"/>
          <w:szCs w:val="18"/>
          <w:color w:val="auto"/>
        </w:rPr>
        <w:t>G75398100</w:t>
      </w:r>
    </w:p>
    <w:p>
      <w:pPr>
        <w:sectPr>
          <w:pgSz w:w="11920" w:h="16838" w:orient="portrait"/>
          <w:cols w:equalWidth="0" w:num="1">
            <w:col w:w="10098"/>
          </w:cols>
          <w:pgMar w:left="380" w:top="121" w:right="1440" w:bottom="579" w:gutter="0" w:footer="0" w:header="0"/>
          <w:type w:val="continuous"/>
        </w:sectPr>
      </w:pPr>
    </w:p>
    <w:bookmarkStart w:id="5" w:name="page6"/>
    <w:bookmarkEnd w:id="5"/>
    <w:p>
      <w:pPr>
        <w:ind w:left="1107"/>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w:t>
      </w:r>
    </w:p>
    <w:p>
      <w:pPr>
        <w:ind w:left="1107"/>
        <w:spacing w:after="0"/>
        <w:rPr>
          <w:sz w:val="20"/>
          <w:szCs w:val="20"/>
          <w:color w:val="auto"/>
        </w:rPr>
      </w:pPr>
      <w:r>
        <w:rPr>
          <w:rFonts w:ascii="Times New Roman" w:cs="Times New Roman" w:eastAsia="Times New Roman" w:hAnsi="Times New Roman"/>
          <w:sz w:val="22"/>
          <w:szCs w:val="22"/>
          <w:color w:val="auto"/>
        </w:rPr>
        <w:t>Kenneth Griffin</w:t>
      </w:r>
    </w:p>
    <w:p>
      <w:pPr>
        <w:spacing w:after="0" w:line="20" w:lineRule="exact"/>
        <w:rPr>
          <w:sz w:val="20"/>
          <w:szCs w:val="20"/>
          <w:color w:val="auto"/>
        </w:rPr>
      </w:pPr>
    </w:p>
    <w:p>
      <w:pPr>
        <w:ind w:left="1107"/>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07" w:hanging="1107"/>
        <w:spacing w:after="0"/>
        <w:tabs>
          <w:tab w:leader="none" w:pos="1107"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07"/>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20" w:h="16838" w:orient="portrait"/>
          <w:cols w:equalWidth="0" w:num="1">
            <w:col w:w="11127"/>
          </w:cols>
          <w:pgMar w:left="373" w:top="148" w:right="418" w:bottom="0" w:gutter="0" w:footer="0" w:header="0"/>
        </w:sectPr>
      </w:pPr>
    </w:p>
    <w:p>
      <w:pPr>
        <w:spacing w:after="0" w:line="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Shares</w:t>
      </w:r>
    </w:p>
    <w:p>
      <w:pPr>
        <w:ind w:left="7"/>
        <w:spacing w:after="0"/>
        <w:rPr>
          <w:sz w:val="20"/>
          <w:szCs w:val="20"/>
          <w:color w:val="auto"/>
        </w:rPr>
      </w:pPr>
      <w:r>
        <w:rPr>
          <w:rFonts w:ascii="Times New Roman" w:cs="Times New Roman" w:eastAsia="Times New Roman" w:hAnsi="Times New Roman"/>
          <w:sz w:val="21"/>
          <w:szCs w:val="21"/>
          <w:color w:val="auto"/>
        </w:rPr>
        <w:t>Beneficially</w:t>
      </w:r>
    </w:p>
    <w:p>
      <w:pPr>
        <w:ind w:left="7"/>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7"/>
        <w:spacing w:after="0" w:line="231" w:lineRule="auto"/>
        <w:rPr>
          <w:sz w:val="20"/>
          <w:szCs w:val="20"/>
          <w:color w:val="auto"/>
        </w:rPr>
      </w:pPr>
      <w:r>
        <w:rPr>
          <w:rFonts w:ascii="Times New Roman" w:cs="Times New Roman" w:eastAsia="Times New Roman" w:hAnsi="Times New Roman"/>
          <w:sz w:val="22"/>
          <w:szCs w:val="22"/>
          <w:color w:val="auto"/>
        </w:rPr>
        <w:t>Each</w:t>
      </w:r>
    </w:p>
    <w:p>
      <w:pPr>
        <w:ind w:left="7"/>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7"/>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1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60"/>
        <w:spacing w:after="0"/>
        <w:rPr>
          <w:sz w:val="20"/>
          <w:szCs w:val="20"/>
          <w:color w:val="auto"/>
        </w:rPr>
      </w:pPr>
      <w:r>
        <w:rPr>
          <w:rFonts w:ascii="Times New Roman" w:cs="Times New Roman" w:eastAsia="Times New Roman" w:hAnsi="Times New Roman"/>
          <w:sz w:val="22"/>
          <w:szCs w:val="22"/>
          <w:color w:val="auto"/>
        </w:rPr>
        <w:t>1,523,446.00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260"/>
        <w:spacing w:after="0"/>
        <w:rPr>
          <w:sz w:val="20"/>
          <w:szCs w:val="20"/>
          <w:color w:val="auto"/>
        </w:rPr>
      </w:pPr>
      <w:r>
        <w:rPr>
          <w:rFonts w:ascii="Times New Roman" w:cs="Times New Roman" w:eastAsia="Times New Roman" w:hAnsi="Times New Roman"/>
          <w:sz w:val="22"/>
          <w:szCs w:val="22"/>
          <w:color w:val="auto"/>
        </w:rPr>
        <w:t>1,523,446.00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1,523,446.00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20" w:h="16838" w:orient="portrait"/>
          <w:cols w:equalWidth="0" w:num="2">
            <w:col w:w="1047" w:space="60"/>
            <w:col w:w="10020"/>
          </w:cols>
          <w:pgMar w:left="373" w:top="148" w:right="418"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6"/>
          <w:szCs w:val="26"/>
          <w:color w:val="auto"/>
        </w:rPr>
        <w:t>SCHEDULE 13G</w:t>
      </w:r>
    </w:p>
    <w:p>
      <w:pPr>
        <w:spacing w:after="0" w:line="83"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(a)</w:t>
      </w:r>
    </w:p>
    <w:p>
      <w:pPr>
        <w:ind w:left="927"/>
        <w:spacing w:after="0"/>
        <w:rPr>
          <w:sz w:val="20"/>
          <w:szCs w:val="20"/>
          <w:color w:val="auto"/>
        </w:rPr>
      </w:pPr>
      <w:r>
        <w:rPr>
          <w:rFonts w:ascii="Times New Roman" w:cs="Times New Roman" w:eastAsia="Times New Roman" w:hAnsi="Times New Roman"/>
          <w:sz w:val="22"/>
          <w:szCs w:val="22"/>
          <w:color w:val="auto"/>
        </w:rPr>
        <w:t>Rezolve AI plc</w:t>
      </w:r>
    </w:p>
    <w:p>
      <w:pPr>
        <w:spacing w:after="0" w:line="20"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21 Sackville Street, London, United Kingdom, W1S 3DN</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7"/>
        <w:spacing w:after="0" w:line="247" w:lineRule="auto"/>
        <w:rPr>
          <w:sz w:val="20"/>
          <w:szCs w:val="20"/>
          <w:color w:val="auto"/>
        </w:rPr>
      </w:pPr>
      <w:r>
        <w:rPr>
          <w:rFonts w:ascii="Times New Roman" w:cs="Times New Roman" w:eastAsia="Times New Roman" w:hAnsi="Times New Roman"/>
          <w:sz w:val="21"/>
          <w:szCs w:val="21"/>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w:t>
      </w:r>
    </w:p>
    <w:p>
      <w:pPr>
        <w:spacing w:after="0" w:line="2" w:lineRule="exact"/>
        <w:rPr>
          <w:sz w:val="20"/>
          <w:szCs w:val="20"/>
          <w:color w:val="auto"/>
        </w:rPr>
      </w:pPr>
    </w:p>
    <w:p>
      <w:pPr>
        <w:ind w:left="927" w:right="80" w:hanging="927"/>
        <w:spacing w:after="0" w:line="232" w:lineRule="auto"/>
        <w:tabs>
          <w:tab w:leader="none" w:pos="92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 owned by Citadel Securities and CRBU Holdings LLC, a Delaware limited liability company ("CRBH"). Such owned Shares may include other instruments exercisable for or convertible into Shares. CAH is the sole member of Citadel Advisors. CGP is the general partner of CAH. CALC4 is the non-member manager of Citadel Securities and CRBH. CSGP is the general partner of CALC4. Mr. Griffin is the President and Chief Executive Officer of CGP, and owns a controlling interest in CGP and CSGP. The filing of this statement shall not be construed as an admission that any of the Reporting Persons is the beneficial owner of any securities covered by the statement other than the securities actually owned by such person (if any).</w:t>
      </w:r>
    </w:p>
    <w:p>
      <w:pPr>
        <w:spacing w:after="0" w:line="19"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(b)</w:t>
      </w:r>
    </w:p>
    <w:p>
      <w:pPr>
        <w:ind w:left="927"/>
        <w:spacing w:after="0"/>
        <w:rPr>
          <w:sz w:val="20"/>
          <w:szCs w:val="20"/>
          <w:color w:val="auto"/>
        </w:rPr>
      </w:pPr>
      <w:r>
        <w:rPr>
          <w:rFonts w:ascii="Times New Roman" w:cs="Times New Roman" w:eastAsia="Times New Roman" w:hAnsi="Times New Roman"/>
          <w:sz w:val="22"/>
          <w:szCs w:val="22"/>
          <w:color w:val="auto"/>
        </w:rPr>
        <w:t>The address of each of the Reporting Persons is 830 Brickell Plaza, Miami, Florida 33131.</w:t>
      </w:r>
    </w:p>
    <w:p>
      <w:pPr>
        <w:sectPr>
          <w:pgSz w:w="11920" w:h="16838" w:orient="portrait"/>
          <w:cols w:equalWidth="0" w:num="1">
            <w:col w:w="11127"/>
          </w:cols>
          <w:pgMar w:left="373" w:top="148" w:right="418" w:bottom="0" w:gutter="0" w:footer="0" w:header="0"/>
          <w:type w:val="continuous"/>
        </w:sectPr>
      </w:pPr>
    </w:p>
    <w:bookmarkStart w:id="6" w:name="page7"/>
    <w:bookmarkEnd w:id="6"/>
    <w:p>
      <w:pPr>
        <w:spacing w:after="0" w:line="21"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7" w:right="220" w:hanging="927"/>
        <w:spacing w:after="0" w:line="244" w:lineRule="auto"/>
        <w:tabs>
          <w:tab w:leader="none" w:pos="92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1"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(d)</w:t>
      </w:r>
    </w:p>
    <w:tbl>
      <w:tblPr>
        <w:tblLayout w:type="fixed"/>
        <w:tblInd w:w="7" w:type="dxa"/>
        <w:tblCellMar>
          <w:top w:w="0" w:type="dxa"/>
          <w:left w:w="0" w:type="dxa"/>
          <w:bottom w:w="0" w:type="dxa"/>
          <w:right w:w="0" w:type="dxa"/>
        </w:tblCellMar>
      </w:tblPr>
      <w:tr>
        <w:trPr>
          <w:trHeight w:val="273"/>
        </w:trPr>
        <w:tc>
          <w:tcPr>
            <w:tcW w:w="760" w:type="dxa"/>
            <w:vAlign w:val="bottom"/>
          </w:tcPr>
          <w:p>
            <w:pPr>
              <w:spacing w:after="0"/>
              <w:rPr>
                <w:sz w:val="23"/>
                <w:szCs w:val="23"/>
                <w:color w:val="auto"/>
              </w:rPr>
            </w:pP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Ordinary Shares, par value (GBP)0.0001 per share (the "Shares")</w:t>
            </w:r>
          </w:p>
        </w:tc>
        <w:tc>
          <w:tcPr>
            <w:tcW w:w="0" w:type="dxa"/>
            <w:vAlign w:val="bottom"/>
          </w:tcPr>
          <w:p>
            <w:pPr>
              <w:spacing w:after="0"/>
              <w:rPr>
                <w:sz w:val="1"/>
                <w:szCs w:val="1"/>
                <w:color w:val="auto"/>
              </w:rPr>
            </w:pPr>
          </w:p>
        </w:tc>
      </w:tr>
      <w:tr>
        <w:trPr>
          <w:trHeight w:val="282"/>
        </w:trPr>
        <w:tc>
          <w:tcPr>
            <w:tcW w:w="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CUSIP No.:</w:t>
            </w:r>
          </w:p>
        </w:tc>
        <w:tc>
          <w:tcPr>
            <w:tcW w:w="0" w:type="dxa"/>
            <w:vAlign w:val="bottom"/>
          </w:tcPr>
          <w:p>
            <w:pPr>
              <w:spacing w:after="0"/>
              <w:rPr>
                <w:sz w:val="1"/>
                <w:szCs w:val="1"/>
                <w:color w:val="auto"/>
              </w:rPr>
            </w:pPr>
          </w:p>
        </w:tc>
      </w:tr>
      <w:tr>
        <w:trPr>
          <w:trHeight w:val="243"/>
        </w:trPr>
        <w:tc>
          <w:tcPr>
            <w:tcW w:w="760" w:type="dxa"/>
            <w:vAlign w:val="bottom"/>
            <w:vMerge w:val="continue"/>
          </w:tcPr>
          <w:p>
            <w:pPr>
              <w:spacing w:after="0"/>
              <w:rPr>
                <w:sz w:val="21"/>
                <w:szCs w:val="21"/>
                <w:color w:val="auto"/>
              </w:rPr>
            </w:pPr>
          </w:p>
        </w:tc>
        <w:tc>
          <w:tcPr>
            <w:tcW w:w="98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G75398100</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9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Item 3.</w:t>
            </w:r>
          </w:p>
        </w:tc>
        <w:tc>
          <w:tcPr>
            <w:tcW w:w="98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If this statement is filed pursuant to §§ 240.13d-1(b) or 240.13d-2(b) or (c), check whether the person filing is a:</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(a)</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c>
          <w:tcPr>
            <w:tcW w:w="0" w:type="dxa"/>
            <w:vAlign w:val="bottom"/>
          </w:tcPr>
          <w:p>
            <w:pPr>
              <w:spacing w:after="0"/>
              <w:rPr>
                <w:sz w:val="1"/>
                <w:szCs w:val="1"/>
                <w:color w:val="auto"/>
              </w:rPr>
            </w:pP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(d)</w:t>
            </w:r>
          </w:p>
        </w:tc>
        <w:tc>
          <w:tcPr>
            <w:tcW w:w="9860" w:type="dxa"/>
            <w:vAlign w:val="bottom"/>
          </w:tcPr>
          <w:p>
            <w:pPr>
              <w:ind w:left="520"/>
              <w:spacing w:after="0"/>
              <w:rPr>
                <w:sz w:val="20"/>
                <w:szCs w:val="20"/>
                <w:color w:val="auto"/>
              </w:rPr>
            </w:pPr>
            <w:r>
              <w:rPr>
                <w:rFonts w:ascii="Times New Roman" w:cs="Times New Roman" w:eastAsia="Times New Roman" w:hAnsi="Times New Roman"/>
                <w:sz w:val="22"/>
                <w:szCs w:val="22"/>
                <w:color w:val="auto"/>
                <w:w w:val="98"/>
              </w:rPr>
              <w:t>Investment company registered under section 8 of the Investment Company Act of 1940 (15 U.S.C. 80a-8);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-761365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-563880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-367030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-169545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ind w:left="927" w:hanging="927"/>
        <w:spacing w:after="0"/>
        <w:tabs>
          <w:tab w:leader="none" w:pos="9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7" w:hanging="927"/>
        <w:spacing w:after="0"/>
        <w:tabs>
          <w:tab w:leader="none" w:pos="9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8" w:lineRule="exact"/>
        <w:rPr>
          <w:sz w:val="20"/>
          <w:szCs w:val="20"/>
          <w:color w:val="auto"/>
        </w:rPr>
      </w:pPr>
    </w:p>
    <w:tbl>
      <w:tblPr>
        <w:tblLayout w:type="fixed"/>
        <w:tblInd w:w="7" w:type="dxa"/>
        <w:tblCellMar>
          <w:top w:w="0" w:type="dxa"/>
          <w:left w:w="0" w:type="dxa"/>
          <w:bottom w:w="0" w:type="dxa"/>
          <w:right w:w="0" w:type="dxa"/>
        </w:tblCellMar>
      </w:tblPr>
      <w:tr>
        <w:trPr>
          <w:trHeight w:val="282"/>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(g)</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tc>
        <w:tc>
          <w:tcPr>
            <w:tcW w:w="0" w:type="dxa"/>
            <w:vAlign w:val="bottom"/>
          </w:tcPr>
          <w:p>
            <w:pPr>
              <w:spacing w:after="0"/>
              <w:rPr>
                <w:sz w:val="1"/>
                <w:szCs w:val="1"/>
                <w:color w:val="auto"/>
              </w:rPr>
            </w:pPr>
          </w:p>
        </w:tc>
      </w:tr>
      <w:tr>
        <w:trPr>
          <w:trHeight w:val="311"/>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(h)</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71"/>
        </w:trPr>
        <w:tc>
          <w:tcPr>
            <w:tcW w:w="5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w:t>
            </w:r>
          </w:p>
        </w:tc>
        <w:tc>
          <w:tcPr>
            <w:tcW w:w="986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A church plan that is excluded from the definition of an investment company under section 3(c)(14) of the</w:t>
            </w: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3"/>
                <w:szCs w:val="13"/>
                <w:color w:val="auto"/>
              </w:rPr>
            </w:pPr>
          </w:p>
        </w:tc>
        <w:tc>
          <w:tcPr>
            <w:tcW w:w="98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Investment Company Act of 1940 (15 U.S.C. 80a-3);</w:t>
            </w: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-718820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-521335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-324485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-151130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27" w:hanging="927"/>
        <w:spacing w:after="0"/>
        <w:tabs>
          <w:tab w:leader="none" w:pos="9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 240.13d-1(b)(1)(ii)(J),</w:t>
      </w:r>
    </w:p>
    <w:p>
      <w:pPr>
        <w:ind w:left="1307"/>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7" w:hanging="927"/>
        <w:spacing w:after="0"/>
        <w:tabs>
          <w:tab w:leader="none" w:pos="92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7"/>
        <w:spacing w:after="0"/>
        <w:tabs>
          <w:tab w:leader="none" w:pos="906"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7" w:right="120" w:hanging="927"/>
        <w:spacing w:after="0" w:line="193" w:lineRule="auto"/>
        <w:tabs>
          <w:tab w:leader="none" w:pos="927"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1. Each of Citadel Advisors LLC, Citadel Advisors Holdings LP and Citadel GP LLC may be deemed to beneficially own 0 Shares. 2. Citadel Securities LLC may be deemed to beneficially own 571,708 Shares. 3. Each of Citadel Securities Group LP and Citadel Securities GP LLC may be deemed to beneficially own 1,523,446 Shares. 4. Mr. Griffin may be deemed to beneficially own 1,523,446 Shares.</w:t>
      </w:r>
    </w:p>
    <w:p>
      <w:pPr>
        <w:spacing w:after="0" w:line="18" w:lineRule="exact"/>
        <w:rPr>
          <w:rFonts w:ascii="Times New Roman" w:cs="Times New Roman" w:eastAsia="Times New Roman" w:hAnsi="Times New Roman"/>
          <w:sz w:val="43"/>
          <w:szCs w:val="43"/>
          <w:color w:val="auto"/>
          <w:vertAlign w:val="subscript"/>
        </w:rPr>
      </w:pPr>
    </w:p>
    <w:p>
      <w:pPr>
        <w:ind w:left="927"/>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1127" w:hanging="204"/>
        <w:spacing w:after="0"/>
        <w:tabs>
          <w:tab w:leader="none" w:pos="1127"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Shares that each of Citadel Advisors LLC, Citadel Advisors Holdings LP and Citadel GP LLC may</w:t>
      </w:r>
    </w:p>
    <w:p>
      <w:pPr>
        <w:spacing w:after="0" w:line="25" w:lineRule="exact"/>
        <w:rPr>
          <w:rFonts w:ascii="Times New Roman" w:cs="Times New Roman" w:eastAsia="Times New Roman" w:hAnsi="Times New Roman"/>
          <w:sz w:val="21"/>
          <w:szCs w:val="21"/>
          <w:color w:val="auto"/>
        </w:rPr>
      </w:pPr>
    </w:p>
    <w:p>
      <w:pPr>
        <w:ind w:left="927" w:right="200" w:hanging="927"/>
        <w:spacing w:after="0" w:line="196" w:lineRule="auto"/>
        <w:tabs>
          <w:tab w:leader="none" w:pos="927"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 deemed to beneficially own constitutes 0.0% of the Shares outstanding. 2. The number of Shares that Citadel Securities LLC may be deemed to beneficially own constitutes 0.2% of the Shares outstanding. 3. The number of Shares that each of Citadel Securities Group LP and Citadel Securities GP LLC may be deemed to beneficially own constitutes 0.5% of the Shares outstanding. 4. The number of Shares that Mr. Griffin may be deemed to beneficially own constitutes 0.5% of the Shares outstanding. %</w:t>
      </w:r>
    </w:p>
    <w:p>
      <w:pPr>
        <w:spacing w:after="0" w:line="14" w:lineRule="exact"/>
        <w:rPr>
          <w:rFonts w:ascii="Times New Roman" w:cs="Times New Roman" w:eastAsia="Times New Roman" w:hAnsi="Times New Roman"/>
          <w:sz w:val="43"/>
          <w:szCs w:val="43"/>
          <w:color w:val="auto"/>
          <w:vertAlign w:val="subscript"/>
        </w:rPr>
      </w:pPr>
    </w:p>
    <w:p>
      <w:pPr>
        <w:ind w:left="927" w:hanging="927"/>
        <w:spacing w:after="0"/>
        <w:tabs>
          <w:tab w:leader="none" w:pos="9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rFonts w:ascii="Times New Roman" w:cs="Times New Roman" w:eastAsia="Times New Roman" w:hAnsi="Times New Roman"/>
          <w:sz w:val="22"/>
          <w:szCs w:val="22"/>
          <w:color w:val="auto"/>
        </w:rPr>
      </w:pPr>
    </w:p>
    <w:p>
      <w:pPr>
        <w:ind w:left="1147" w:hanging="224"/>
        <w:spacing w:after="0"/>
        <w:tabs>
          <w:tab w:leader="none" w:pos="1147"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7" w:hanging="224"/>
        <w:spacing w:after="0"/>
        <w:tabs>
          <w:tab w:leader="none" w:pos="114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7" w:right="160" w:hanging="4"/>
        <w:spacing w:after="0" w:line="282" w:lineRule="auto"/>
        <w:tabs>
          <w:tab w:leader="none" w:pos="1143"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571,708 3. Each of Citadel Securities Group LP and Citadel Securities GP LLC: 1,523,446 4. Mr. Griffin: 1,523,446</w:t>
      </w:r>
    </w:p>
    <w:p>
      <w:pPr>
        <w:spacing w:after="0" w:line="216"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1147" w:hanging="224"/>
        <w:spacing w:after="0"/>
        <w:tabs>
          <w:tab w:leader="none" w:pos="1147"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0</w:t>
      </w:r>
    </w:p>
    <w:p>
      <w:pPr>
        <w:spacing w:after="0" w:line="25" w:lineRule="exact"/>
        <w:rPr>
          <w:rFonts w:ascii="Times New Roman" w:cs="Times New Roman" w:eastAsia="Times New Roman" w:hAnsi="Times New Roman"/>
          <w:sz w:val="21"/>
          <w:szCs w:val="21"/>
          <w:color w:val="auto"/>
        </w:rPr>
      </w:pPr>
    </w:p>
    <w:p>
      <w:pPr>
        <w:ind w:left="1147" w:hanging="224"/>
        <w:spacing w:after="0"/>
        <w:tabs>
          <w:tab w:leader="none" w:pos="114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Citadel Securities Group LP and Citadel Securities GP LLC: 0 4. Mr. Griffin: 0</w:t>
      </w:r>
    </w:p>
    <w:p>
      <w:pPr>
        <w:spacing w:after="0" w:line="263" w:lineRule="exact"/>
        <w:rPr>
          <w:sz w:val="20"/>
          <w:szCs w:val="20"/>
          <w:color w:val="auto"/>
        </w:rPr>
      </w:pPr>
    </w:p>
    <w:p>
      <w:pPr>
        <w:ind w:left="927"/>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7" w:right="160" w:hanging="4"/>
        <w:spacing w:after="0" w:line="282" w:lineRule="auto"/>
        <w:tabs>
          <w:tab w:leader="none" w:pos="1143"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Citadel Advisors LLC, Citadel Advisors Holdings LP and Citadel GP LLC: 0 2. Citadel Securities LLC: 571,708 3. Each of Citadel Securities Group LP and Citadel Securities GP LLC: 1,523,446 4. Mr. Griffin: 1,523,446</w:t>
      </w:r>
    </w:p>
    <w:p>
      <w:pPr>
        <w:sectPr>
          <w:pgSz w:w="11920" w:h="16859" w:orient="portrait"/>
          <w:cols w:equalWidth="0" w:num="1">
            <w:col w:w="11127"/>
          </w:cols>
          <w:pgMar w:left="373" w:top="121" w:right="418"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20" w:h="16838" w:orient="portrait"/>
          <w:cols w:equalWidth="0" w:num="2">
            <w:col w:w="720" w:space="200"/>
            <w:col w:w="10260"/>
          </w:cols>
          <w:pgMar w:left="380" w:top="404" w:right="358" w:bottom="0" w:gutter="0" w:footer="0" w:header="0"/>
        </w:sectPr>
      </w:pPr>
    </w:p>
    <w:p>
      <w:pPr>
        <w:ind w:left="920" w:right="2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Citadel Advisors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Citadel Advisors Holdings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Citadel GP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Citadel Securities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Citadel Securities Group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Citadel Securities GP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Seth Levy, Authorized Signatory</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Kenneth Griffin</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Levy</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Name/Title: Seth Levy, attorney-in-fact*</w:t>
      </w:r>
    </w:p>
    <w:p>
      <w:pPr>
        <w:spacing w:after="0" w:line="44"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ectPr>
          <w:pgSz w:w="11920" w:h="16838" w:orient="portrait"/>
          <w:cols w:equalWidth="0" w:num="1">
            <w:col w:w="11180"/>
          </w:cols>
          <w:pgMar w:left="380" w:top="404" w:right="358" w:bottom="0" w:gutter="0" w:footer="0" w:header="0"/>
          <w:type w:val="continuous"/>
        </w:sectPr>
      </w:pPr>
    </w:p>
    <w:bookmarkStart w:id="8" w:name="page9"/>
    <w:bookmarkEnd w:id="8"/>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Seth Levy is signing on behalf of Kenneth Griffin as attorney-in-fact pursuant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 of attorney previously filed with the Securities and Exchange Commission, and hereby incorporated by reference herein. The power of attorney was filed as an attachment to a filing by Citadel Advisors LLC on Schedule 13G for Allakos Inc. on October 13, 2023.</w:t>
      </w:r>
    </w:p>
    <w:sectPr>
      <w:pgSz w:w="11920" w:h="16838" w:orient="portrait"/>
      <w:cols w:equalWidth="0" w:num="1">
        <w:col w:w="11000"/>
      </w:cols>
      <w:pgMar w:left="340" w:top="103" w:right="57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2"/>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3"/>
    </w:lvl>
  </w:abstractNum>
  <w:abstractNum w:abstractNumId="9">
    <w:nsid w:val="DED7263"/>
    <w:multiLevelType w:val="hybridMultilevel"/>
    <w:lvl w:ilvl="0">
      <w:lvlJc w:val="left"/>
      <w:lvlText w:val="(%1)"/>
      <w:numFmt w:val="lowerLetter"/>
      <w:start w:val="5"/>
    </w:lvl>
  </w:abstractNum>
  <w:abstractNum w:abstractNumId="10">
    <w:nsid w:val="7FDCC233"/>
    <w:multiLevelType w:val="hybridMultilevel"/>
    <w:lvl w:ilvl="0">
      <w:lvlJc w:val="left"/>
      <w:lvlText w:val="(%1)"/>
      <w:numFmt w:val="lowerLetter"/>
      <w:start w:val="10"/>
    </w:lvl>
  </w:abstractNum>
  <w:abstractNum w:abstractNumId="11">
    <w:nsid w:val="1BEFD79F"/>
    <w:multiLevelType w:val="hybridMultilevel"/>
    <w:lvl w:ilvl="0">
      <w:lvlJc w:val="left"/>
      <w:lvlText w:val="(%1)"/>
      <w:numFmt w:val="lowerLetter"/>
      <w:start w:val="11"/>
    </w:lvl>
  </w:abstractNum>
  <w:abstractNum w:abstractNumId="12">
    <w:nsid w:val="41A7C4C9"/>
    <w:multiLevelType w:val="hybridMultilevel"/>
    <w:lvl w:ilvl="0">
      <w:lvlJc w:val="left"/>
      <w:lvlText w:val="(%1)"/>
      <w:numFmt w:val="lowerLetter"/>
      <w:start w:val="1"/>
    </w:lvl>
    <w:lvl w:ilvl="1">
      <w:lvlJc w:val="left"/>
      <w:lvlText w:val="%2."/>
      <w:numFmt w:val="decimal"/>
      <w:start w:val="1"/>
    </w:lvl>
  </w:abstractNum>
  <w:abstractNum w:abstractNumId="13">
    <w:nsid w:val="6B68079A"/>
    <w:multiLevelType w:val="hybridMultilevel"/>
    <w:lvl w:ilvl="0">
      <w:lvlJc w:val="left"/>
      <w:lvlText w:val="%1"/>
      <w:numFmt w:val="lowerLetter"/>
      <w:start w:val="1"/>
    </w:lvl>
    <w:lvl w:ilvl="1">
      <w:lvlJc w:val="left"/>
      <w:lvlText w:val="%2."/>
      <w:numFmt w:val="decimal"/>
      <w:start w:val="3"/>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3"/>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2026-02-17T17:46:17Z</dcterms:created>
  <dcterms:modified xsi:type="dcterms:W3CDTF">2026-02-17T17:46:17Z</dcterms:modified>
</cp:coreProperties>
</file>