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309194df4.htm"/>
        <w:bookmarkStart w:id="1" w:name="ksd309194df4"/>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June 16, 2023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2"/>
        </w:rPr>
      </w:pPr>
      <w:r>
        <w:rPr>
          <w:rFonts w:ascii="Times New Roman" w:hAnsi="Times New Roman"/>
          <w:b/>
          <w:sz w:val="32"/>
        </w:rPr>
        <w:t xml:space="preserve">UNITED STATES </w:t>
      </w:r>
    </w:p>
    <w:p>
      <w:pPr>
        <w:pStyle w:val="TextBody"/>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32"/>
        </w:rPr>
      </w:pPr>
      <w:r>
        <w:rPr>
          <w:rFonts w:ascii="Times New Roman" w:hAnsi="Times New Roman"/>
          <w:b/>
          <w:sz w:val="32"/>
        </w:rPr>
        <w:t xml:space="preserve">Form F-4 </w:t>
      </w:r>
    </w:p>
    <w:p>
      <w:pPr>
        <w:pStyle w:val="TextBody"/>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spacing w:before="0" w:after="0"/>
        <w:jc w:val="center"/>
        <w:rPr>
          <w:rFonts w:ascii="Times New Roman" w:hAnsi="Times New Roman"/>
          <w:b/>
          <w:i/>
          <w:sz w:val="20"/>
        </w:rPr>
      </w:pPr>
      <w:r>
        <w:rPr>
          <w:rFonts w:ascii="Times New Roman" w:hAnsi="Times New Roman"/>
          <w:b/>
          <w:i/>
          <w:sz w:val="20"/>
        </w:rPr>
        <w:t xml:space="preserve">UNDER </w:t>
      </w:r>
    </w:p>
    <w:p>
      <w:pPr>
        <w:pStyle w:val="TextBody"/>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44"/>
        </w:rPr>
      </w:pPr>
      <w:r>
        <w:rPr>
          <w:rFonts w:ascii="Times New Roman" w:hAnsi="Times New Roman"/>
          <w:b/>
          <w:sz w:val="44"/>
        </w:rPr>
        <w:t xml:space="preserve">REZOLVE AI LIMITED[1] </w:t>
      </w:r>
    </w:p>
    <w:p>
      <w:pPr>
        <w:pStyle w:val="TextBody"/>
        <w:spacing w:before="0" w:after="0"/>
        <w:jc w:val="center"/>
        <w:rPr>
          <w:rFonts w:ascii="Times New Roman" w:hAnsi="Times New Roman"/>
          <w:b/>
          <w:sz w:val="20"/>
        </w:rPr>
      </w:pPr>
      <w:r>
        <w:rPr>
          <w:rFonts w:ascii="Times New Roman" w:hAnsi="Times New Roman"/>
          <w:b/>
          <w:sz w:val="20"/>
        </w:rPr>
        <w:t xml:space="preserve">(Company number: 14573691)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Articles of Association)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83"/>
        <w:gridCol w:w="105"/>
        <w:gridCol w:w="3373"/>
        <w:gridCol w:w="104"/>
        <w:gridCol w:w="3374"/>
      </w:tblGrid>
      <w:tr>
        <w:trPr/>
        <w:tc>
          <w:tcPr>
            <w:tcW w:w="358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37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374" w:type="dxa"/>
            <w:tcBorders/>
            <w:shd w:fill="auto" w:val="clear"/>
            <w:vAlign w:val="center"/>
          </w:tcPr>
          <w:p>
            <w:pPr>
              <w:pStyle w:val="TableContents"/>
              <w:spacing w:before="0" w:after="283"/>
              <w:rPr>
                <w:sz w:val="4"/>
                <w:szCs w:val="4"/>
              </w:rPr>
            </w:pPr>
            <w:r>
              <w:rPr>
                <w:sz w:val="4"/>
                <w:szCs w:val="4"/>
              </w:rPr>
            </w:r>
          </w:p>
        </w:tc>
      </w:tr>
      <w:tr>
        <w:trPr/>
        <w:tc>
          <w:tcPr>
            <w:tcW w:w="3583" w:type="dxa"/>
            <w:tcBorders/>
            <w:shd w:fill="auto" w:val="clear"/>
          </w:tcPr>
          <w:p>
            <w:pPr>
              <w:pStyle w:val="TableContents"/>
              <w:spacing w:before="0" w:after="283"/>
              <w:jc w:val="center"/>
              <w:rPr>
                <w:b/>
              </w:rPr>
            </w:pPr>
            <w:r>
              <w:rPr>
                <w:b/>
              </w:rPr>
              <w:t>United Kingdom</w:t>
            </w:r>
          </w:p>
        </w:tc>
        <w:tc>
          <w:tcPr>
            <w:tcW w:w="105"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jc w:val="center"/>
              <w:rPr>
                <w:b/>
              </w:rPr>
            </w:pPr>
            <w:r>
              <w:rPr>
                <w:b/>
              </w:rPr>
              <w:t>7370</w:t>
            </w:r>
          </w:p>
        </w:tc>
        <w:tc>
          <w:tcPr>
            <w:tcW w:w="104" w:type="dxa"/>
            <w:tcBorders/>
            <w:shd w:fill="auto" w:val="clear"/>
            <w:vAlign w:val="bottom"/>
          </w:tcPr>
          <w:p>
            <w:pPr>
              <w:pStyle w:val="TableContents"/>
              <w:spacing w:before="0" w:after="283"/>
              <w:rPr/>
            </w:pPr>
            <w:r>
              <w:rPr/>
              <w:t> </w:t>
            </w:r>
          </w:p>
        </w:tc>
        <w:tc>
          <w:tcPr>
            <w:tcW w:w="3374" w:type="dxa"/>
            <w:tcBorders/>
            <w:shd w:fill="auto" w:val="clear"/>
          </w:tcPr>
          <w:p>
            <w:pPr>
              <w:pStyle w:val="TableContents"/>
              <w:spacing w:before="0" w:after="283"/>
              <w:jc w:val="center"/>
              <w:rPr>
                <w:b/>
              </w:rPr>
            </w:pPr>
            <w:r>
              <w:rPr>
                <w:b/>
              </w:rPr>
              <w:t>Not Applicable</w:t>
            </w:r>
          </w:p>
        </w:tc>
      </w:tr>
      <w:tr>
        <w:trPr/>
        <w:tc>
          <w:tcPr>
            <w:tcW w:w="358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5"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(Primary Standard Industrial</w:t>
            </w:r>
          </w:p>
          <w:p>
            <w:pPr>
              <w:pStyle w:val="TableContents"/>
              <w:spacing w:before="0" w:after="20"/>
              <w:jc w:val="center"/>
              <w:rPr>
                <w:rFonts w:ascii="Times New Roman" w:hAnsi="Times New Roman"/>
                <w:b/>
                <w:sz w:val="16"/>
              </w:rPr>
            </w:pPr>
            <w:r>
              <w:rPr>
                <w:rFonts w:ascii="Times New Roman" w:hAnsi="Times New Roman"/>
                <w:b/>
                <w:sz w:val="16"/>
              </w:rPr>
              <w:t>Classification Code Number)</w:t>
            </w:r>
          </w:p>
        </w:tc>
        <w:tc>
          <w:tcPr>
            <w:tcW w:w="104" w:type="dxa"/>
            <w:tcBorders/>
            <w:shd w:fill="auto" w:val="clear"/>
            <w:vAlign w:val="bottom"/>
          </w:tcPr>
          <w:p>
            <w:pPr>
              <w:pStyle w:val="TableContents"/>
              <w:spacing w:before="0" w:after="283"/>
              <w:rPr/>
            </w:pPr>
            <w:r>
              <w:rPr/>
              <w:t> </w:t>
            </w:r>
          </w:p>
        </w:tc>
        <w:tc>
          <w:tcPr>
            <w:tcW w:w="337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20"/>
        </w:rPr>
      </w:pPr>
      <w:r>
        <w:rPr>
          <w:rFonts w:ascii="Times New Roman" w:hAnsi="Times New Roman"/>
          <w:b/>
          <w:sz w:val="20"/>
        </w:rPr>
        <w:t xml:space="preserve">3rd Floor, 80 New Bond Street </w:t>
      </w:r>
    </w:p>
    <w:p>
      <w:pPr>
        <w:pStyle w:val="TextBody"/>
        <w:spacing w:before="0" w:after="0"/>
        <w:jc w:val="center"/>
        <w:rPr>
          <w:rFonts w:ascii="Times New Roman" w:hAnsi="Times New Roman"/>
          <w:b/>
          <w:sz w:val="20"/>
        </w:rPr>
      </w:pPr>
      <w:r>
        <w:rPr>
          <w:rFonts w:ascii="Times New Roman" w:hAnsi="Times New Roman"/>
          <w:b/>
          <w:sz w:val="20"/>
        </w:rPr>
        <w:t xml:space="preserve">London, W1S 1SB </w:t>
      </w:r>
    </w:p>
    <w:p>
      <w:pPr>
        <w:pStyle w:val="TextBody"/>
        <w:spacing w:before="0" w:after="0"/>
        <w:jc w:val="center"/>
        <w:rPr>
          <w:rFonts w:ascii="Times New Roman" w:hAnsi="Times New Roman"/>
          <w:b/>
          <w:sz w:val="20"/>
        </w:rPr>
      </w:pPr>
      <w:r>
        <w:rPr>
          <w:rFonts w:ascii="Times New Roman" w:hAnsi="Times New Roman"/>
          <w:b/>
          <w:sz w:val="20"/>
        </w:rPr>
        <w:t xml:space="preserve">United Kingdom </w:t>
      </w:r>
    </w:p>
    <w:p>
      <w:pPr>
        <w:pStyle w:val="TextBody"/>
        <w:spacing w:before="0" w:after="0"/>
        <w:jc w:val="center"/>
        <w:rPr>
          <w:rFonts w:ascii="Times New Roman" w:hAnsi="Times New Roman"/>
          <w:b/>
          <w:sz w:val="20"/>
        </w:rPr>
      </w:pPr>
      <w:r>
        <w:rPr>
          <w:rFonts w:ascii="Times New Roman" w:hAnsi="Times New Roman"/>
          <w:b/>
          <w:sz w:val="20"/>
        </w:rPr>
        <w:t xml:space="preserve">(+44 77 8095 7233)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sz w:val="20"/>
        </w:rPr>
      </w:pPr>
      <w:r>
        <w:rPr>
          <w:rFonts w:ascii="Times New Roman" w:hAnsi="Times New Roman"/>
          <w:b/>
          <w:sz w:val="20"/>
        </w:rPr>
        <w:t xml:space="preserve">Cogency Global Inc. </w:t>
      </w:r>
    </w:p>
    <w:p>
      <w:pPr>
        <w:pStyle w:val="TextBody"/>
        <w:spacing w:before="0" w:after="0"/>
        <w:jc w:val="center"/>
        <w:rPr>
          <w:rFonts w:ascii="Times New Roman" w:hAnsi="Times New Roman"/>
          <w:b/>
          <w:sz w:val="20"/>
        </w:rPr>
      </w:pPr>
      <w:r>
        <w:rPr>
          <w:rFonts w:ascii="Times New Roman" w:hAnsi="Times New Roman"/>
          <w:b/>
          <w:sz w:val="20"/>
        </w:rPr>
        <w:t xml:space="preserve">122 East 42nd Street, 18th Floor </w:t>
      </w:r>
    </w:p>
    <w:p>
      <w:pPr>
        <w:pStyle w:val="TextBody"/>
        <w:spacing w:before="0" w:after="0"/>
        <w:jc w:val="center"/>
        <w:rPr>
          <w:rFonts w:ascii="Times New Roman" w:hAnsi="Times New Roman"/>
          <w:b/>
          <w:sz w:val="20"/>
        </w:rPr>
      </w:pPr>
      <w:r>
        <w:rPr>
          <w:rFonts w:ascii="Times New Roman" w:hAnsi="Times New Roman"/>
          <w:b/>
          <w:sz w:val="20"/>
        </w:rPr>
        <w:t xml:space="preserve">New York, N.Y. 10016 </w:t>
      </w:r>
    </w:p>
    <w:p>
      <w:pPr>
        <w:pStyle w:val="TextBody"/>
        <w:spacing w:before="0" w:after="0"/>
        <w:jc w:val="center"/>
        <w:rPr>
          <w:rFonts w:ascii="Times New Roman" w:hAnsi="Times New Roman"/>
          <w:b/>
          <w:sz w:val="20"/>
        </w:rPr>
      </w:pPr>
      <w:r>
        <w:rPr>
          <w:rFonts w:ascii="Times New Roman" w:hAnsi="Times New Roman"/>
          <w:b/>
          <w:sz w:val="20"/>
        </w:rPr>
        <w:t xml:space="preserve">Tel: +1 (212) 947-7200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center"/>
        <w:rPr>
          <w:rFonts w:ascii="Times New Roman" w:hAnsi="Times New Roman"/>
          <w:b/>
          <w:i/>
          <w:sz w:val="20"/>
        </w:rPr>
      </w:pPr>
      <w:r>
        <w:rPr>
          <w:rFonts w:ascii="Times New Roman" w:hAnsi="Times New Roman"/>
          <w:b/>
          <w:i/>
          <w:sz w:val="20"/>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83"/>
        <w:gridCol w:w="105"/>
        <w:gridCol w:w="3373"/>
        <w:gridCol w:w="104"/>
        <w:gridCol w:w="3374"/>
      </w:tblGrid>
      <w:tr>
        <w:trPr/>
        <w:tc>
          <w:tcPr>
            <w:tcW w:w="358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37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374" w:type="dxa"/>
            <w:tcBorders/>
            <w:shd w:fill="auto" w:val="clear"/>
            <w:vAlign w:val="center"/>
          </w:tcPr>
          <w:p>
            <w:pPr>
              <w:pStyle w:val="TableContents"/>
              <w:spacing w:before="0" w:after="283"/>
              <w:rPr>
                <w:sz w:val="4"/>
                <w:szCs w:val="4"/>
              </w:rPr>
            </w:pPr>
            <w:r>
              <w:rPr>
                <w:sz w:val="4"/>
                <w:szCs w:val="4"/>
              </w:rPr>
            </w:r>
          </w:p>
        </w:tc>
      </w:tr>
      <w:tr>
        <w:trPr/>
        <w:tc>
          <w:tcPr>
            <w:tcW w:w="3583"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Gerry Williams</w:t>
            </w:r>
          </w:p>
          <w:p>
            <w:pPr>
              <w:pStyle w:val="TableContents"/>
              <w:spacing w:before="0" w:after="0"/>
              <w:jc w:val="center"/>
              <w:rPr>
                <w:rFonts w:ascii="Times New Roman" w:hAnsi="Times New Roman"/>
                <w:b/>
                <w:sz w:val="20"/>
              </w:rPr>
            </w:pPr>
            <w:r>
              <w:rPr>
                <w:rFonts w:ascii="Times New Roman" w:hAnsi="Times New Roman"/>
                <w:b/>
                <w:sz w:val="20"/>
              </w:rPr>
              <w:t>Penny Minna</w:t>
            </w:r>
          </w:p>
          <w:p>
            <w:pPr>
              <w:pStyle w:val="TableContents"/>
              <w:spacing w:before="0" w:after="0"/>
              <w:jc w:val="center"/>
              <w:rPr>
                <w:rFonts w:ascii="Times New Roman" w:hAnsi="Times New Roman"/>
                <w:b/>
                <w:sz w:val="20"/>
              </w:rPr>
            </w:pPr>
            <w:r>
              <w:rPr>
                <w:rFonts w:ascii="Times New Roman" w:hAnsi="Times New Roman"/>
                <w:b/>
                <w:sz w:val="20"/>
              </w:rPr>
              <w:t>DLA Piper LLP</w:t>
            </w:r>
          </w:p>
          <w:p>
            <w:pPr>
              <w:pStyle w:val="TableContents"/>
              <w:spacing w:before="0" w:after="0"/>
              <w:jc w:val="center"/>
              <w:rPr>
                <w:rFonts w:ascii="Times New Roman" w:hAnsi="Times New Roman"/>
                <w:b/>
                <w:sz w:val="20"/>
              </w:rPr>
            </w:pPr>
            <w:r>
              <w:rPr>
                <w:rFonts w:ascii="Times New Roman" w:hAnsi="Times New Roman"/>
                <w:b/>
                <w:sz w:val="20"/>
              </w:rPr>
              <w:t>1201 W Peachtree St NE #2800</w:t>
            </w:r>
          </w:p>
          <w:p>
            <w:pPr>
              <w:pStyle w:val="TableContents"/>
              <w:spacing w:before="0" w:after="0"/>
              <w:jc w:val="center"/>
              <w:rPr>
                <w:rFonts w:ascii="Times New Roman" w:hAnsi="Times New Roman"/>
                <w:b/>
                <w:sz w:val="20"/>
              </w:rPr>
            </w:pPr>
            <w:r>
              <w:rPr>
                <w:rFonts w:ascii="Times New Roman" w:hAnsi="Times New Roman"/>
                <w:b/>
                <w:sz w:val="20"/>
              </w:rPr>
              <w:t>Atlanta, GA 30309</w:t>
            </w:r>
          </w:p>
          <w:p>
            <w:pPr>
              <w:pStyle w:val="TableContents"/>
              <w:spacing w:before="0" w:after="20"/>
              <w:jc w:val="center"/>
              <w:rPr>
                <w:rFonts w:ascii="Times New Roman" w:hAnsi="Times New Roman"/>
                <w:b/>
                <w:sz w:val="20"/>
              </w:rPr>
            </w:pPr>
            <w:r>
              <w:rPr>
                <w:rFonts w:ascii="Times New Roman" w:hAnsi="Times New Roman"/>
                <w:b/>
                <w:sz w:val="20"/>
              </w:rPr>
              <w:t>(404) 736-7800</w:t>
            </w:r>
          </w:p>
        </w:tc>
        <w:tc>
          <w:tcPr>
            <w:tcW w:w="105"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Robert Fenner</w:t>
            </w:r>
          </w:p>
          <w:p>
            <w:pPr>
              <w:pStyle w:val="TableContents"/>
              <w:spacing w:before="0" w:after="0"/>
              <w:jc w:val="center"/>
              <w:rPr>
                <w:rFonts w:ascii="Times New Roman" w:hAnsi="Times New Roman"/>
                <w:b/>
                <w:sz w:val="20"/>
              </w:rPr>
            </w:pPr>
            <w:r>
              <w:rPr>
                <w:rFonts w:ascii="Times New Roman" w:hAnsi="Times New Roman"/>
                <w:b/>
                <w:sz w:val="20"/>
              </w:rPr>
              <w:t>Taylor Wessing LLP</w:t>
            </w:r>
          </w:p>
          <w:p>
            <w:pPr>
              <w:pStyle w:val="TableContents"/>
              <w:spacing w:before="0" w:after="0"/>
              <w:jc w:val="center"/>
              <w:rPr>
                <w:rFonts w:ascii="Times New Roman" w:hAnsi="Times New Roman"/>
                <w:b/>
                <w:sz w:val="20"/>
              </w:rPr>
            </w:pPr>
            <w:r>
              <w:rPr>
                <w:rFonts w:ascii="Times New Roman" w:hAnsi="Times New Roman"/>
                <w:b/>
                <w:sz w:val="20"/>
              </w:rPr>
              <w:t>5 New Street Square</w:t>
            </w:r>
          </w:p>
          <w:p>
            <w:pPr>
              <w:pStyle w:val="TableContents"/>
              <w:spacing w:before="0" w:after="0"/>
              <w:jc w:val="center"/>
              <w:rPr>
                <w:rFonts w:ascii="Times New Roman" w:hAnsi="Times New Roman"/>
                <w:b/>
                <w:sz w:val="20"/>
              </w:rPr>
            </w:pPr>
            <w:r>
              <w:rPr>
                <w:rFonts w:ascii="Times New Roman" w:hAnsi="Times New Roman"/>
                <w:b/>
                <w:sz w:val="20"/>
              </w:rPr>
              <w:t>London, EC4A 3TW</w:t>
            </w:r>
          </w:p>
          <w:p>
            <w:pPr>
              <w:pStyle w:val="TableContents"/>
              <w:spacing w:before="0" w:after="20"/>
              <w:jc w:val="center"/>
              <w:rPr>
                <w:rFonts w:ascii="Times New Roman" w:hAnsi="Times New Roman"/>
                <w:b/>
                <w:sz w:val="20"/>
              </w:rPr>
            </w:pPr>
            <w:r>
              <w:rPr>
                <w:rFonts w:ascii="Times New Roman" w:hAnsi="Times New Roman"/>
                <w:b/>
                <w:sz w:val="20"/>
              </w:rPr>
              <w:t>+44 20 7300 7000</w:t>
            </w:r>
          </w:p>
        </w:tc>
        <w:tc>
          <w:tcPr>
            <w:tcW w:w="104" w:type="dxa"/>
            <w:tcBorders/>
            <w:shd w:fill="auto" w:val="clear"/>
            <w:vAlign w:val="bottom"/>
          </w:tcPr>
          <w:p>
            <w:pPr>
              <w:pStyle w:val="TableContents"/>
              <w:spacing w:before="0" w:after="283"/>
              <w:rPr/>
            </w:pPr>
            <w:r>
              <w:rPr/>
              <w:t> </w:t>
            </w:r>
          </w:p>
        </w:tc>
        <w:tc>
          <w:tcPr>
            <w:tcW w:w="337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Michael C. Labriola</w:t>
            </w:r>
          </w:p>
          <w:p>
            <w:pPr>
              <w:pStyle w:val="TableContents"/>
              <w:spacing w:before="0" w:after="0"/>
              <w:jc w:val="center"/>
              <w:rPr>
                <w:rFonts w:ascii="Times New Roman" w:hAnsi="Times New Roman"/>
                <w:b/>
                <w:sz w:val="20"/>
              </w:rPr>
            </w:pPr>
            <w:r>
              <w:rPr>
                <w:rFonts w:ascii="Times New Roman" w:hAnsi="Times New Roman"/>
                <w:b/>
                <w:sz w:val="20"/>
              </w:rPr>
              <w:t>Mark Bass</w:t>
            </w:r>
          </w:p>
          <w:p>
            <w:pPr>
              <w:pStyle w:val="TableContents"/>
              <w:spacing w:before="0" w:after="0"/>
              <w:jc w:val="center"/>
              <w:rPr>
                <w:rFonts w:ascii="Times New Roman" w:hAnsi="Times New Roman"/>
                <w:b/>
                <w:sz w:val="20"/>
              </w:rPr>
            </w:pPr>
            <w:r>
              <w:rPr>
                <w:rFonts w:ascii="Times New Roman" w:hAnsi="Times New Roman"/>
                <w:b/>
                <w:sz w:val="20"/>
              </w:rPr>
              <w:t>Elisa Sielski</w:t>
            </w:r>
          </w:p>
          <w:p>
            <w:pPr>
              <w:pStyle w:val="TableContents"/>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spacing w:before="0" w:after="0"/>
              <w:jc w:val="center"/>
              <w:rPr>
                <w:rFonts w:ascii="Times New Roman" w:hAnsi="Times New Roman"/>
                <w:b/>
                <w:sz w:val="20"/>
              </w:rPr>
            </w:pPr>
            <w:r>
              <w:rPr>
                <w:rFonts w:ascii="Times New Roman" w:hAnsi="Times New Roman"/>
                <w:b/>
                <w:sz w:val="20"/>
              </w:rPr>
              <w:t>41 Old Street</w:t>
            </w:r>
          </w:p>
          <w:p>
            <w:pPr>
              <w:pStyle w:val="TableContents"/>
              <w:spacing w:before="0" w:after="0"/>
              <w:jc w:val="center"/>
              <w:rPr>
                <w:rFonts w:ascii="Times New Roman" w:hAnsi="Times New Roman"/>
                <w:b/>
                <w:sz w:val="20"/>
              </w:rPr>
            </w:pPr>
            <w:r>
              <w:rPr>
                <w:rFonts w:ascii="Times New Roman" w:hAnsi="Times New Roman"/>
                <w:b/>
                <w:sz w:val="20"/>
              </w:rPr>
              <w:t>London, EC1V 9HX</w:t>
            </w:r>
          </w:p>
          <w:p>
            <w:pPr>
              <w:pStyle w:val="TableContents"/>
              <w:spacing w:before="0" w:after="20"/>
              <w:jc w:val="center"/>
              <w:rPr>
                <w:rFonts w:ascii="Times New Roman" w:hAnsi="Times New Roman"/>
                <w:b/>
                <w:sz w:val="20"/>
              </w:rPr>
            </w:pPr>
            <w:r>
              <w:rPr>
                <w:rFonts w:ascii="Times New Roman" w:hAnsi="Times New Roman"/>
                <w:b/>
                <w:sz w:val="20"/>
              </w:rPr>
              <w:t>+44 20 3963 4050</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sz w:val="16"/>
        </w:rPr>
      </w:pPr>
      <w:r>
        <w:rPr>
          <w:rFonts w:ascii="Times New Roman" w:hAnsi="Times New Roman"/>
          <w:sz w:val="16"/>
        </w:rPr>
        <w:t xml:space="preserve">Approximate date of commencement of proposed sale of the securities to the public: </w:t>
      </w:r>
      <w:r>
        <w:rPr>
          <w:rFonts w:ascii="Times New Roman" w:hAnsi="Times New Roman"/>
          <w:b/>
          <w:sz w:val="16"/>
        </w:rPr>
        <w:t>As soon as practicable after this Registration Statement becomes effective and all other conditions to the business combination contemplated by the Business Combination Agreement described in the included proxy statement/prospectus have been satisfied or waived.</w:t>
      </w:r>
      <w:r>
        <w:rPr>
          <w:rFonts w:ascii="Times New Roman" w:hAnsi="Times New Roman"/>
          <w:sz w:val="16"/>
        </w:rPr>
        <w:t xml:space="preserve"> </w:t>
      </w:r>
    </w:p>
    <w:p>
      <w:pPr>
        <w:pStyle w:val="TextBody"/>
        <w:spacing w:before="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40" w:after="0"/>
        <w:jc w:val="left"/>
        <w:rPr>
          <w:rFonts w:ascii="Times New Roman" w:hAnsi="Times New Roman"/>
          <w:sz w:val="16"/>
        </w:rPr>
      </w:pPr>
      <w:r>
        <w:rPr>
          <w:rFonts w:ascii="Times New Roman" w:hAnsi="Times New Roman"/>
          <w:sz w:val="16"/>
        </w:rPr>
        <w:t xml:space="preserve">If applicable, place an X in the box to designate the appropriate rule provision relied upon in conducting this transaction: </w:t>
      </w:r>
    </w:p>
    <w:p>
      <w:pPr>
        <w:pStyle w:val="TextBody"/>
        <w:spacing w:before="40" w:after="0"/>
        <w:jc w:val="left"/>
        <w:rPr>
          <w:rFonts w:ascii="Times New Roman" w:hAnsi="Times New Roman"/>
          <w:sz w:val="16"/>
        </w:rPr>
      </w:pPr>
      <w:r>
        <w:rPr>
          <w:rFonts w:ascii="Times New Roman" w:hAnsi="Times New Roman"/>
          <w:sz w:val="16"/>
        </w:rPr>
        <w:t xml:space="preserve">Exchange Act Rule 13e-4(i) (Cross-Border Issuer Tender Offer)  ☐ </w:t>
      </w:r>
    </w:p>
    <w:p>
      <w:pPr>
        <w:pStyle w:val="TextBody"/>
        <w:spacing w:before="40" w:after="0"/>
        <w:jc w:val="left"/>
        <w:rPr>
          <w:rFonts w:ascii="Times New Roman" w:hAnsi="Times New Roman"/>
          <w:sz w:val="16"/>
        </w:rPr>
      </w:pPr>
      <w:r>
        <w:rPr>
          <w:rFonts w:ascii="Times New Roman" w:hAnsi="Times New Roman"/>
          <w:sz w:val="16"/>
        </w:rPr>
        <w:t xml:space="preserve">Exchange Act Rule 14d-1(d) (Cross-Border Third-Party Tender Offer)  ☐ </w:t>
      </w:r>
    </w:p>
    <w:p>
      <w:pPr>
        <w:pStyle w:val="TextBody"/>
        <w:spacing w:before="40" w:after="0"/>
        <w:jc w:val="left"/>
        <w:rPr>
          <w:rFonts w:ascii="Times New Roman" w:hAnsi="Times New Roman"/>
          <w:sz w:val="16"/>
        </w:rPr>
      </w:pPr>
      <w:r>
        <w:rPr>
          <w:rFonts w:ascii="Times New Roman" w:hAnsi="Times New Roman"/>
          <w:sz w:val="16"/>
        </w:rPr>
        <w:t xml:space="preserve">Indicate by check mark whether the registrant is an emerging growth company as defined in Rule 405 of the Securities Act of 1933. </w:t>
      </w:r>
    </w:p>
    <w:p>
      <w:pPr>
        <w:pStyle w:val="TextBody"/>
        <w:spacing w:before="40" w:after="0"/>
        <w:jc w:val="left"/>
        <w:rPr>
          <w:rFonts w:ascii="Times New Roman" w:hAnsi="Times New Roman"/>
          <w:sz w:val="16"/>
        </w:rPr>
      </w:pPr>
      <w:r>
        <w:rPr>
          <w:rFonts w:ascii="Times New Roman" w:hAnsi="Times New Roman"/>
          <w:sz w:val="16"/>
        </w:rPr>
        <w:t xml:space="preserve">Emerging growth company  ☒ </w:t>
      </w:r>
    </w:p>
    <w:p>
      <w:pPr>
        <w:pStyle w:val="TextBody"/>
        <w:spacing w:before="40" w:after="0"/>
        <w:jc w:val="left"/>
        <w:rPr>
          <w:rFonts w:ascii="Times New Roman" w:hAnsi="Times New Roman"/>
          <w:sz w:val="16"/>
        </w:rPr>
      </w:pPr>
      <w:r>
        <w:rPr>
          <w:rFonts w:ascii="Times New Roman" w:hAnsi="Times New Roman"/>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1 </w:t>
            </w:r>
          </w:p>
        </w:tc>
        <w:tc>
          <w:tcPr>
            <w:tcW w:w="10118"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PRELIMINARY PROXY STATEMENT </w:t>
      </w:r>
    </w:p>
    <w:p>
      <w:pPr>
        <w:pStyle w:val="TextBody"/>
        <w:spacing w:before="0" w:after="0"/>
        <w:jc w:val="center"/>
        <w:rPr>
          <w:rFonts w:ascii="Times New Roman" w:hAnsi="Times New Roman"/>
          <w:b/>
          <w:sz w:val="20"/>
        </w:rPr>
      </w:pPr>
      <w:r>
        <w:rPr>
          <w:rFonts w:ascii="Times New Roman" w:hAnsi="Times New Roman"/>
          <w:b/>
          <w:sz w:val="20"/>
        </w:rPr>
        <w:t xml:space="preserve">SUBJECT TO COMPLETION, DATED                 , 2023 </w:t>
      </w:r>
    </w:p>
    <w:p>
      <w:pPr>
        <w:pStyle w:val="TextBody"/>
        <w:spacing w:before="240" w:after="0"/>
        <w:jc w:val="left"/>
        <w:rPr>
          <w:rFonts w:ascii="Times New Roman" w:hAnsi="Times New Roman"/>
          <w:sz w:val="20"/>
        </w:rPr>
      </w:pPr>
      <w:r>
        <w:rPr>
          <w:rFonts w:ascii="Times New Roman" w:hAnsi="Times New Roman"/>
          <w:sz w:val="20"/>
        </w:rPr>
        <w:t xml:space="preserve">To the Shareholders of Armada Acquisition Corp. I: </w:t>
      </w:r>
    </w:p>
    <w:p>
      <w:pPr>
        <w:pStyle w:val="TextBody"/>
        <w:spacing w:before="120" w:after="0"/>
        <w:jc w:val="left"/>
        <w:rPr>
          <w:rFonts w:ascii="Times New Roman" w:hAnsi="Times New Roman"/>
          <w:sz w:val="20"/>
        </w:rPr>
      </w:pPr>
      <w:r>
        <w:rPr>
          <w:rFonts w:ascii="Times New Roman" w:hAnsi="Times New Roman"/>
          <w:sz w:val="20"/>
        </w:rPr>
        <w:t xml:space="preserve">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 </w:t>
      </w:r>
    </w:p>
    <w:p>
      <w:pPr>
        <w:pStyle w:val="TextBody"/>
        <w:spacing w:before="240" w:after="0"/>
        <w:jc w:val="left"/>
        <w:rPr>
          <w:rFonts w:ascii="Times New Roman" w:hAnsi="Times New Roman"/>
          <w:sz w:val="20"/>
        </w:rPr>
      </w:pPr>
      <w:r>
        <w:rPr>
          <w:rFonts w:ascii="Times New Roman" w:hAnsi="Times New Roman"/>
          <w:sz w:val="20"/>
        </w:rPr>
        <w:t xml:space="preserve">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Rezolve Ordinary Share; (ii) each issued and outstanding warrant of Armada (an Armada Warrant) immediately prior to the Merger Effective Time will be exchanged for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Rezolve Ordinary Share and each Armada Warrant to be exchanged for                 Rezolve Warrant. Accordingly, this proxy statement/prospectus covers the issuance by Rezolve of an aggregate of                  Rezolve Ordinary Shares,                  Rezolve Warrants and                  Rezolve Ordinary Shares issuable upon exercise of Rezolve Warrants. </w:t>
      </w:r>
    </w:p>
    <w:p>
      <w:pPr>
        <w:pStyle w:val="TextBody"/>
        <w:spacing w:before="240" w:after="0"/>
        <w:jc w:val="left"/>
        <w:rPr>
          <w:rFonts w:ascii="Times New Roman" w:hAnsi="Times New Roman"/>
          <w:sz w:val="20"/>
        </w:rPr>
      </w:pPr>
      <w:r>
        <w:rPr>
          <w:rFonts w:ascii="Times New Roman" w:hAnsi="Times New Roman"/>
          <w:sz w:val="20"/>
        </w:rPr>
        <w:t xml:space="preserve">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 and     %, respectively, of the Rezolve Ordinary Shares to be outstanding immediately after the Business Combination. If                  shares of Armadas Common Stock (the maximum number of Armada Common Stock that can be redeemed in order to consummate the Business Combination) are converted into cash, such percentages will be approximately     % and     %, respectively, of the voting power of the Rezolve Ordinary Shares. </w:t>
      </w:r>
    </w:p>
    <w:p>
      <w:pPr>
        <w:pStyle w:val="TextBody"/>
        <w:spacing w:before="240" w:after="0"/>
        <w:jc w:val="left"/>
        <w:rPr>
          <w:rFonts w:ascii="Times New Roman" w:hAnsi="Times New Roman"/>
          <w:sz w:val="20"/>
        </w:rPr>
      </w:pPr>
      <w:r>
        <w:rPr>
          <w:rFonts w:ascii="Times New Roman" w:hAnsi="Times New Roman"/>
          <w:sz w:val="20"/>
        </w:rPr>
        <w:t xml:space="preserve">Proposals to approve the Business Combination Agreement and the other matters discussed in this proxy statement/prospectus will be presented at the Special Meeting of Armada scheduled to be held on                 , 2023 (the Armada Special Meeting).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 Combination, of the Rezolve Ordinary Shares and the Rezolve Warrants on the Nasdaq under the proposed symbols                  and                 ,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Each of Armada and Rezolve is an emerging growth company as defined in the Jumpstart Our Business Startups Act of 2012 and has elected to comply with certain reduced public company reporting requirements. </w:t>
      </w:r>
    </w:p>
    <w:p>
      <w:pPr>
        <w:pStyle w:val="TextBody"/>
        <w:spacing w:before="240" w:after="0"/>
        <w:jc w:val="left"/>
        <w:rPr>
          <w:rFonts w:ascii="Times New Roman" w:hAnsi="Times New Roman"/>
          <w:b/>
          <w:sz w:val="20"/>
        </w:rPr>
      </w:pPr>
      <w:r>
        <w:rPr>
          <w:rFonts w:ascii="Times New Roman" w:hAnsi="Times New Roman"/>
          <w:b/>
          <w:sz w:val="20"/>
        </w:rPr>
        <w:t xml:space="preserve">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 RISK FACTORS BEGINNING ON PAGE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If you have any questions or need assistance voting your shares of common stock, please contact                 , our proxy solicitor, by calling                 , or banks and brokers can call collect at                 , or by emailing                . The notice of meeting is and the proxy statement/prospectus relating to the Business Combination will be available at                 . </w:t>
      </w:r>
    </w:p>
    <w:p>
      <w:pPr>
        <w:pStyle w:val="TextBody"/>
        <w:spacing w:before="240" w:after="0"/>
        <w:jc w:val="left"/>
        <w:rPr>
          <w:rFonts w:ascii="Times New Roman" w:hAnsi="Times New Roman"/>
          <w:b/>
          <w:sz w:val="20"/>
        </w:rPr>
      </w:pPr>
      <w:r>
        <w:rPr>
          <w:rFonts w:ascii="Times New Roman" w:hAnsi="Times New Roman"/>
          <w:b/>
          <w:sz w:val="20"/>
        </w:rPr>
        <w:t xml:space="preserve">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is dated                 , 2023, and is first being mailed to shareholders of Armada on or about                 ,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283"/>
              <w:rPr/>
            </w:pPr>
            <w:r>
              <w:rPr/>
              <w:t>Very truly yours,</w:t>
            </w:r>
          </w:p>
        </w:tc>
      </w:tr>
      <w:tr>
        <w:trPr>
          <w:trHeight w:val="24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283"/>
              <w:rPr/>
            </w:pPr>
            <w:r>
              <w:rPr/>
              <w:t>Stephen P. Herbert, Chief Executive Officer of Armada</w:t>
            </w:r>
          </w:p>
        </w:tc>
      </w:tr>
    </w:tbl>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r>
        <w:rPr>
          <w:rFonts w:ascii="Times New Roman" w:hAnsi="Times New Roman"/>
          <w:b/>
          <w:sz w:val="20"/>
        </w:rPr>
        <w:t xml:space="preserve">2005 Market Street Suite 3120 </w:t>
      </w:r>
    </w:p>
    <w:p>
      <w:pPr>
        <w:pStyle w:val="TextBody"/>
        <w:spacing w:before="0" w:after="0"/>
        <w:jc w:val="center"/>
        <w:rPr>
          <w:rFonts w:ascii="Times New Roman" w:hAnsi="Times New Roman"/>
          <w:b/>
          <w:sz w:val="20"/>
        </w:rPr>
      </w:pPr>
      <w:r>
        <w:rPr>
          <w:rFonts w:ascii="Times New Roman" w:hAnsi="Times New Roman"/>
          <w:b/>
          <w:sz w:val="20"/>
        </w:rPr>
        <w:t xml:space="preserve">Philadelphia, PA 19103 </w:t>
      </w:r>
    </w:p>
    <w:p>
      <w:pPr>
        <w:pStyle w:val="TextBody"/>
        <w:spacing w:before="0" w:after="0"/>
        <w:jc w:val="center"/>
        <w:rPr>
          <w:rFonts w:ascii="Times New Roman" w:hAnsi="Times New Roman"/>
          <w:b/>
          <w:sz w:val="20"/>
        </w:rPr>
      </w:pPr>
      <w:r>
        <w:rPr>
          <w:rFonts w:ascii="Times New Roman" w:hAnsi="Times New Roman"/>
          <w:b/>
          <w:sz w:val="20"/>
        </w:rPr>
        <w:t xml:space="preserve">(215) 543-6886 </w:t>
      </w:r>
    </w:p>
    <w:p>
      <w:pPr>
        <w:pStyle w:val="TextBody"/>
        <w:spacing w:before="120" w:after="0"/>
        <w:jc w:val="center"/>
        <w:rPr>
          <w:rFonts w:ascii="Times New Roman" w:hAnsi="Times New Roman"/>
          <w:b/>
          <w:sz w:val="20"/>
        </w:rPr>
      </w:pPr>
      <w:r>
        <w:rPr>
          <w:rFonts w:ascii="Times New Roman" w:hAnsi="Times New Roman"/>
          <w:b/>
          <w:sz w:val="20"/>
        </w:rPr>
        <w:t xml:space="preserve">NOTICE OF SPECIAL MEETING </w:t>
      </w:r>
    </w:p>
    <w:p>
      <w:pPr>
        <w:pStyle w:val="TextBody"/>
        <w:spacing w:before="0" w:after="0"/>
        <w:jc w:val="center"/>
        <w:rPr>
          <w:rFonts w:ascii="Times New Roman" w:hAnsi="Times New Roman"/>
          <w:b/>
          <w:sz w:val="20"/>
        </w:rPr>
      </w:pPr>
      <w:r>
        <w:rPr>
          <w:rFonts w:ascii="Times New Roman" w:hAnsi="Times New Roman"/>
          <w:b/>
          <w:sz w:val="20"/>
        </w:rPr>
        <w:t xml:space="preserve">TO BE HELD ON                 , 2023 </w:t>
      </w:r>
    </w:p>
    <w:p>
      <w:pPr>
        <w:pStyle w:val="TextBody"/>
        <w:spacing w:before="240" w:after="0"/>
        <w:jc w:val="left"/>
        <w:rPr>
          <w:rFonts w:ascii="Times New Roman" w:hAnsi="Times New Roman"/>
          <w:sz w:val="20"/>
        </w:rPr>
      </w:pPr>
      <w:r>
        <w:rPr>
          <w:rFonts w:ascii="Times New Roman" w:hAnsi="Times New Roman"/>
          <w:sz w:val="20"/>
        </w:rPr>
        <w:t xml:space="preserve">TO THE SHAREHOLDERS OF ARMADA ACQUISITION CORP. I: </w:t>
      </w:r>
    </w:p>
    <w:p>
      <w:pPr>
        <w:pStyle w:val="TextBody"/>
        <w:spacing w:before="240" w:after="0"/>
        <w:jc w:val="left"/>
        <w:rPr>
          <w:rFonts w:ascii="Times New Roman" w:hAnsi="Times New Roman"/>
          <w:sz w:val="20"/>
        </w:rPr>
      </w:pPr>
      <w:r>
        <w:rPr>
          <w:rFonts w:ascii="Times New Roman" w:hAnsi="Times New Roman"/>
          <w:sz w:val="20"/>
        </w:rPr>
        <w:t xml:space="preserve">NOTICE IS HEREBY GIVEN that a Special Meeting of the stockholders of Armada Acquisition Corp. I, a Delaware corporation (we, us, our, Armada or the Company), will be held on                 , 2023 at                , Eastern Time, virtually at </w:t>
      </w:r>
      <w:r>
        <w:rPr>
          <w:rFonts w:ascii="Times New Roman" w:hAnsi="Times New Roman"/>
          <w:i/>
          <w:sz w:val="20"/>
        </w:rPr>
        <w:t>http://www.cstproxy.com/armadaacquisition/2023</w:t>
      </w:r>
      <w:r>
        <w:rPr>
          <w:rFonts w:ascii="Times New Roman" w:hAnsi="Times New Roman"/>
          <w:sz w:val="20"/>
        </w:rPr>
        <w:t xml:space="preserve">. Armada has determined that the Special Meeting will be a virtual meeting in order to facilitate stockholder attendance and participation. You or your proxyholder will be able to attend and vote at the Special Meeting online by visiting </w:t>
      </w:r>
      <w:r>
        <w:rPr>
          <w:rFonts w:ascii="Times New Roman" w:hAnsi="Times New Roman"/>
          <w:i/>
          <w:sz w:val="20"/>
        </w:rPr>
        <w:t>http://www.cstproxy.com/armadaacquisition/2023</w:t>
      </w:r>
      <w:r>
        <w:rPr>
          <w:rFonts w:ascii="Times New Roman" w:hAnsi="Times New Roman"/>
          <w:sz w:val="20"/>
        </w:rPr>
        <w:t xml:space="preserve"> and using a control number assigned by the transfer agent,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statement/prospectus. Please note that you will only be able to access the Special Meeting by means of remote communication. You are cordially invited to attend the Special Meeting to conduct the following items of business which you will be asked to consider and vote 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8"/>
        <w:gridCol w:w="526"/>
        <w:gridCol w:w="9595"/>
      </w:tblGrid>
      <w:tr>
        <w:trPr/>
        <w:tc>
          <w:tcPr>
            <w:tcW w:w="418"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w:t>
            </w:r>
            <w:r>
              <w:rPr>
                <w:rFonts w:ascii="Times New Roman" w:hAnsi="Times New Roman"/>
                <w:sz w:val="20"/>
              </w:rPr>
              <w:t xml:space="preserve">  To consider and vote upon a proposal to adopt and approve the business 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6"/>
        <w:gridCol w:w="420"/>
        <w:gridCol w:w="9173"/>
      </w:tblGrid>
      <w:tr>
        <w:trPr/>
        <w:tc>
          <w:tcPr>
            <w:tcW w:w="946"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(ii)</w:t>
            </w:r>
          </w:p>
        </w:tc>
        <w:tc>
          <w:tcPr>
            <w:tcW w:w="91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8"/>
        <w:gridCol w:w="526"/>
        <w:gridCol w:w="9595"/>
      </w:tblGrid>
      <w:tr>
        <w:trPr/>
        <w:tc>
          <w:tcPr>
            <w:tcW w:w="418"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2.</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Proposal</w:t>
            </w:r>
            <w:r>
              <w:rPr>
                <w:rFonts w:ascii="Times New Roman" w:hAnsi="Times New Roman"/>
                <w:sz w:val="20"/>
              </w:rPr>
              <w:t xml:space="preserve">  to consider and vote upon a proposal to adopt and approve, for the purposes of complying 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7"/>
        <w:gridCol w:w="9593"/>
      </w:tblGrid>
      <w:tr>
        <w:trPr/>
        <w:tc>
          <w:tcPr>
            <w:tcW w:w="419"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3.</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Incentive Equity Plan Proposal</w:t>
            </w:r>
            <w:r>
              <w:rPr>
                <w:rFonts w:ascii="Times New Roman" w:hAnsi="Times New Roman"/>
                <w:sz w:val="20"/>
              </w:rPr>
              <w:t xml:space="preserve">  to consider and vote upon a proposal to adopt and approve, the Rezolve Incentive Equity Plan (the Rezolve Incentive Equity Plan), which will become effective on or before the Closing Date and will be used by Rezolve following the Closing (the Incentive Equity Plan Proposal);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4.</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  Adjournment Proposal</w:t>
            </w:r>
            <w:r>
              <w:rPr>
                <w:rFonts w:ascii="Times New Roman" w:hAnsi="Times New Roman"/>
                <w:sz w:val="20"/>
              </w:rPr>
              <w:t xml:space="preserve">  To approve, if necessary, the adjournment of the Special Meeting to a later date or dates to permit further solicitation and votes of proxies in the event that there are insufficient votes for, or otherwise in connection with, the approval of the Business Combination Proposal, the Nasdaq Proposal or the Incentive Equity Plan Proposal. This proposal will only be presented at the Special Meeting if there are not sufficient votes to approve the Business Combination Proposal, the Nasdaq Proposal or the Incentive Equity Plan Proposal. </w:t>
            </w:r>
          </w:p>
        </w:tc>
      </w:tr>
    </w:tbl>
    <w:p>
      <w:pPr>
        <w:pStyle w:val="TextBody"/>
        <w:spacing w:before="240" w:after="0"/>
        <w:jc w:val="left"/>
        <w:rPr>
          <w:rFonts w:ascii="Times New Roman" w:hAnsi="Times New Roman"/>
          <w:sz w:val="20"/>
        </w:rPr>
      </w:pPr>
      <w:r>
        <w:rPr>
          <w:rFonts w:ascii="Times New Roman" w:hAnsi="Times New Roman"/>
          <w:sz w:val="20"/>
        </w:rPr>
        <w:t xml:space="preserve">The above matters are more fully described in the accompanying proxy statement/prospectus, which also includes, as Annex A copy of the Business Combination Agreement. </w:t>
      </w:r>
      <w:r>
        <w:rPr>
          <w:rFonts w:ascii="Times New Roman" w:hAnsi="Times New Roman"/>
          <w:b/>
          <w:sz w:val="20"/>
        </w:rPr>
        <w:t>We urge you to read carefully the accompanying proxy statement/prospectus in its entirety, including the Annexes and accompanying financial statements of Armada and Rezolve.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record date for the Special Meeting is                 , 2023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 </w:t>
      </w:r>
    </w:p>
    <w:p>
      <w:pPr>
        <w:pStyle w:val="TextBody"/>
        <w:spacing w:before="0" w:after="0"/>
        <w:jc w:val="left"/>
        <w:rPr>
          <w:rFonts w:ascii="Times New Roman" w:hAnsi="Times New Roman"/>
          <w:sz w:val="20"/>
        </w:rPr>
      </w:pPr>
      <w:r>
        <w:rPr>
          <w:rFonts w:ascii="Times New Roman" w:hAnsi="Times New Roman"/>
          <w:i/>
          <w:sz w:val="20"/>
        </w:rPr>
        <w:t>http://www.cstproxy.com/armadaacquisition/2023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and the Incentive Equity Plan Proposal require the affirmative vote of a majority of the votes cast at the Special Meeting. </w:t>
      </w:r>
      <w:r>
        <w:rPr>
          <w:rFonts w:ascii="Times New Roman" w:hAnsi="Times New Roman"/>
          <w:b/>
          <w:sz w:val="20"/>
        </w:rPr>
        <w:t>The Board unanimously recommends that you vote FOR each of these proposals.</w:t>
      </w:r>
      <w:r>
        <w:rPr>
          <w:rFonts w:ascii="Times New Roman" w:hAnsi="Times New Roman"/>
          <w:sz w:val="20"/>
        </w:rPr>
        <w:t xml:space="preserv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By Order of the Board of Directors</w:t>
            </w:r>
          </w:p>
        </w:tc>
      </w:tr>
      <w:tr>
        <w:trPr>
          <w:trHeight w:val="24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 Stephen P. Herbert</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Stephen P. Herbert,</w:t>
            </w:r>
          </w:p>
        </w:tc>
      </w:tr>
      <w:tr>
        <w:trPr/>
        <w:tc>
          <w:tcPr>
            <w:tcW w:w="4215"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proxy statement/prospectus is not complete and may be changed. We may not issue these securities until the registration statement filed with the Securities and Exchange Commissions, of which this proxy statement/prospectus is a part, is declared effective. This proxy statement/prospectus does not constitute an offer to sell these securities and it is not soliciting an offer to buy these securities in any state, country or territory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JUNE 16, 2023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FOR SPECIAL MEETING OF </w:t>
      </w:r>
    </w:p>
    <w:p>
      <w:pPr>
        <w:pStyle w:val="TextBody"/>
        <w:spacing w:before="40" w:after="0"/>
        <w:jc w:val="center"/>
        <w:rPr>
          <w:rFonts w:ascii="Times New Roman" w:hAnsi="Times New Roman"/>
          <w:b/>
          <w:sz w:val="40"/>
        </w:rPr>
      </w:pPr>
      <w:r>
        <w:rPr>
          <w:rFonts w:ascii="Times New Roman" w:hAnsi="Times New Roman"/>
          <w:b/>
          <w:sz w:val="40"/>
        </w:rPr>
        <w:t xml:space="preserve">ARMADA ACQUISITION CORP. I </w:t>
      </w:r>
    </w:p>
    <w:p>
      <w:pPr>
        <w:pStyle w:val="TextBody"/>
        <w:spacing w:before="40" w:after="0"/>
        <w:jc w:val="center"/>
        <w:rPr>
          <w:rFonts w:ascii="Times New Roman" w:hAnsi="Times New Roman"/>
          <w:b/>
          <w:sz w:val="24"/>
        </w:rPr>
      </w:pPr>
      <w:r>
        <w:rPr>
          <w:rFonts w:ascii="Times New Roman" w:hAnsi="Times New Roman"/>
          <w:b/>
          <w:sz w:val="24"/>
        </w:rPr>
        <w:t xml:space="preserve">PROSPECTUS FOR UP TO              ORDINARY SHARES </w:t>
      </w:r>
    </w:p>
    <w:p>
      <w:pPr>
        <w:pStyle w:val="TextBody"/>
        <w:spacing w:before="0" w:after="0"/>
        <w:jc w:val="center"/>
        <w:rPr>
          <w:rFonts w:ascii="Times New Roman" w:hAnsi="Times New Roman"/>
          <w:b/>
          <w:sz w:val="24"/>
        </w:rPr>
      </w:pPr>
      <w:r>
        <w:rPr>
          <w:rFonts w:ascii="Times New Roman" w:hAnsi="Times New Roman"/>
          <w:b/>
          <w:sz w:val="24"/>
        </w:rPr>
        <w:t xml:space="preserve">AND              WARRANTS OF </w:t>
      </w:r>
    </w:p>
    <w:p>
      <w:pPr>
        <w:pStyle w:val="TextBody"/>
        <w:spacing w:before="40" w:after="0"/>
        <w:jc w:val="center"/>
        <w:rPr>
          <w:rFonts w:ascii="Times New Roman" w:hAnsi="Times New Roman"/>
          <w:b/>
          <w:sz w:val="40"/>
        </w:rPr>
      </w:pPr>
      <w:r>
        <w:rPr>
          <w:rFonts w:ascii="Times New Roman" w:hAnsi="Times New Roman"/>
          <w:b/>
          <w:sz w:val="40"/>
        </w:rPr>
        <w:t xml:space="preserve">REZOLVE AI LIMITED[2]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sz w:val="17"/>
        </w:rPr>
      </w:pPr>
      <w:r>
        <w:rPr>
          <w:rFonts w:ascii="Times New Roman" w:hAnsi="Times New Roman"/>
          <w:sz w:val="17"/>
        </w:rPr>
        <w:t xml:space="preserve">The board of directors of Armada Acquisition Corp. I, a Delaware corporation (Armada), has unanimously approved the Business Combination Agreement dated as of December 17, 2021, as amended on November 10, 2022 and as further amended and restated on June 16, 2023 (and as further amended from time to time, the Business Combination Agreement), by and among Armada, Rezolve Limited, Rezolve AI Limited, a private limited company incorporated under the laws of England and Wales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 </w:t>
      </w:r>
    </w:p>
    <w:p>
      <w:pPr>
        <w:pStyle w:val="TextBody"/>
        <w:spacing w:before="40" w:after="0"/>
        <w:jc w:val="left"/>
        <w:rPr>
          <w:rFonts w:ascii="Times New Roman" w:hAnsi="Times New Roman"/>
          <w:sz w:val="17"/>
        </w:rPr>
      </w:pPr>
      <w:r>
        <w:rPr>
          <w:rFonts w:ascii="Times New Roman" w:hAnsi="Times New Roman"/>
          <w:sz w:val="17"/>
        </w:rPr>
        <w:t xml:space="preserve">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Rezolve ordinary share (an Ordinary Share); (ii) each issued and outstanding warrant of Armada (an Armada Warrant) immediately prior to the Merger Effective Time will be exchanged for                 warrant of Rezolve (a Rezolve Warrant); (iii) each issued and outstanding unit of Armada (an Armada Unit) immediately prior to the Merger Effective Time will be separated into one share of Armada common stock and one-half of one Armada Warrant, with each share of Armada Common Stock to be exchanged for                  Rezolve Ordinary Share and each Armada Warrant to be exchanged for                  Rezolve Warrant. Accordingly, this proxy statement/prospectus addresses the issuance by Rezolve of an aggregate of                  Rezolve Ordinary Shares,                  Rezolve Warrants and                  Rezolve Ordinary Shares issuable upon exercise of Rezolve Warrants. </w:t>
      </w:r>
    </w:p>
    <w:p>
      <w:pPr>
        <w:pStyle w:val="TextBody"/>
        <w:spacing w:before="40" w:after="0"/>
        <w:jc w:val="left"/>
        <w:rPr>
          <w:rFonts w:ascii="Times New Roman" w:hAnsi="Times New Roman"/>
          <w:sz w:val="17"/>
        </w:rPr>
      </w:pPr>
      <w:r>
        <w:rPr>
          <w:rFonts w:ascii="Times New Roman" w:hAnsi="Times New Roman"/>
          <w:sz w:val="17"/>
        </w:rPr>
        <w:t xml:space="preserve">As a result of the Business Combination, Rezolve will become a new listed company and Armada will become a wholly-owned subsidiary of Rezolve. </w:t>
      </w:r>
    </w:p>
    <w:p>
      <w:pPr>
        <w:pStyle w:val="TextBody"/>
        <w:spacing w:before="40" w:after="0"/>
        <w:jc w:val="left"/>
        <w:rPr>
          <w:rFonts w:ascii="Times New Roman" w:hAnsi="Times New Roman"/>
          <w:sz w:val="17"/>
        </w:rPr>
      </w:pPr>
      <w:r>
        <w:rPr>
          <w:rFonts w:ascii="Times New Roman" w:hAnsi="Times New Roman"/>
          <w:sz w:val="17"/>
        </w:rPr>
        <w:t xml:space="preserve">It is anticipated that, upon completion of the Business Combination: (i) Armadas public stockholders will own approximately     % of the Rezolve Shares; (ii) the Sponsor and current Armada directors will own approximately     % of the Rezolve Shares; and (iii) the existing Rezolve shareholders will own approximately     % of the Rezolve Shares with 75% of the voting power of Rezolve being held by Daniel Wagner as the Rezolve Founder.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 </w:t>
      </w:r>
    </w:p>
    <w:p>
      <w:pPr>
        <w:pStyle w:val="TextBody"/>
        <w:spacing w:before="40" w:after="0"/>
        <w:jc w:val="left"/>
        <w:rPr>
          <w:rFonts w:ascii="Times New Roman" w:hAnsi="Times New Roman"/>
          <w:sz w:val="17"/>
        </w:rPr>
      </w:pPr>
      <w:r>
        <w:rPr>
          <w:rFonts w:ascii="Times New Roman" w:hAnsi="Times New Roman"/>
          <w:sz w:val="17"/>
        </w:rPr>
        <w:t xml:space="preserve">Proposals to approve the Business Combination Agreement and the other matters discussed in this proxy statement/prospectus will be presented at the special meeting of Armada Stockholders scheduled to be held on                 , 2023 in virtual format. </w:t>
      </w:r>
    </w:p>
    <w:p>
      <w:pPr>
        <w:pStyle w:val="TextBody"/>
        <w:spacing w:before="40" w:after="0"/>
        <w:jc w:val="left"/>
        <w:rPr>
          <w:rFonts w:ascii="Times New Roman" w:hAnsi="Times New Roman"/>
          <w:sz w:val="17"/>
        </w:rPr>
      </w:pPr>
      <w:r>
        <w:rPr>
          <w:rFonts w:ascii="Times New Roman" w:hAnsi="Times New Roman"/>
          <w:sz w:val="17"/>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                 and                 ,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Times New Roman" w:hAnsi="Times New Roman"/>
          <w:i/>
          <w:sz w:val="17"/>
        </w:rPr>
        <w:t>Risk Factors</w:t>
      </w:r>
      <w:r>
        <w:rPr>
          <w:rFonts w:ascii="Times New Roman" w:hAnsi="Times New Roman"/>
          <w:sz w:val="17"/>
        </w:rPr>
        <w:t xml:space="preserve"> beginning on page      for more information.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pPr>
      <w:r>
        <w:rPr>
          <w:rFonts w:ascii="Times New Roman" w:hAnsi="Times New Roman"/>
          <w:sz w:val="17"/>
        </w:rPr>
        <w:t xml:space="preserve">This proxy statement/prospectus provides you with detailed information about the Business Combination and other matters to be considered at the Armada Special Meeting. We encourage you to carefully read this entire document. </w:t>
      </w:r>
      <w:r>
        <w:rPr>
          <w:rFonts w:ascii="Times New Roman" w:hAnsi="Times New Roman"/>
          <w:b/>
          <w:sz w:val="17"/>
        </w:rPr>
        <w:t>YOU SHOULD ALSO CAREFULLY CONSIDER THE RISK FACTORS DESCRIBED IN </w:t>
      </w:r>
      <w:hyperlink w:anchor="tx309194_10">
        <w:r>
          <w:rPr>
            <w:rStyle w:val="InternetLink"/>
            <w:rFonts w:ascii="Times New Roman" w:hAnsi="Times New Roman"/>
            <w:b/>
            <w:sz w:val="17"/>
          </w:rPr>
          <w:t>RISK FACTORS</w:t>
        </w:r>
      </w:hyperlink>
      <w:r>
        <w:rPr>
          <w:rFonts w:ascii="Times New Roman" w:hAnsi="Times New Roman"/>
          <w:b/>
          <w:sz w:val="17"/>
        </w:rPr>
        <w:t> BEGINNING ON PAGE</w:t>
      </w:r>
      <w:r>
        <w:rPr>
          <w:rFonts w:ascii="Times New Roman" w:hAnsi="Times New Roman"/>
          <w:sz w:val="17"/>
        </w:rPr>
        <w:t xml:space="preserve"> </w:t>
      </w:r>
      <w:r>
        <w:rPr>
          <w:rFonts w:ascii="Times New Roman" w:hAnsi="Times New Roman"/>
          <w:b/>
          <w:sz w:val="17"/>
        </w:rPr>
        <w:t xml:space="preserve">44 OF THIS PROXY STATEMENT/PROSPECTUS FOR A DISCUSSION OF INFORMATION THAT SHOULD BE CONSIDERED BEFORE VOTING ON THE PROPOSED BUSINESS COMBINATION AND EACH OF THE OTHER MATTERS TO BE PRESENTED AT THE ARMADA SPECIAL MEETING. </w:t>
      </w:r>
    </w:p>
    <w:p>
      <w:pPr>
        <w:pStyle w:val="TextBody"/>
        <w:spacing w:before="40" w:after="0"/>
        <w:jc w:val="left"/>
        <w:rPr>
          <w:rFonts w:ascii="Times New Roman" w:hAnsi="Times New Roman"/>
          <w:b/>
          <w:sz w:val="17"/>
        </w:rPr>
      </w:pPr>
      <w:r>
        <w:rPr>
          <w:rFonts w:ascii="Times New Roman" w:hAnsi="Times New Roman"/>
          <w:b/>
          <w:sz w:val="17"/>
        </w:rPr>
        <w:t xml:space="preserve">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0" w:after="0"/>
        <w:jc w:val="left"/>
        <w:rPr>
          <w:rFonts w:ascii="Times New Roman" w:hAnsi="Times New Roman"/>
          <w:sz w:val="17"/>
        </w:rPr>
      </w:pPr>
      <w:r>
        <w:rPr>
          <w:rFonts w:ascii="Times New Roman" w:hAnsi="Times New Roman"/>
          <w:sz w:val="17"/>
        </w:rPr>
        <w:t xml:space="preserve">This proxy statement/prospectus is dated                 , 2023, and is first being mailed to Armada security holders on or about                 , 2023. </w:t>
      </w:r>
    </w:p>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10"/>
        <w:gridCol w:w="10329"/>
      </w:tblGrid>
      <w:tr>
        <w:trPr/>
        <w:tc>
          <w:tcPr>
            <w:tcW w:w="210" w:type="dxa"/>
            <w:tcBorders/>
            <w:shd w:fill="auto" w:val="clear"/>
          </w:tcPr>
          <w:p>
            <w:pPr>
              <w:pStyle w:val="TableContents"/>
              <w:spacing w:before="0" w:after="283"/>
              <w:jc w:val="left"/>
              <w:rPr/>
            </w:pPr>
            <w:r>
              <w:rPr/>
              <w:t>2 </w:t>
            </w:r>
          </w:p>
        </w:tc>
        <w:tc>
          <w:tcPr>
            <w:tcW w:w="1032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92"/>
        <w:gridCol w:w="258"/>
        <w:gridCol w:w="70"/>
        <w:gridCol w:w="456"/>
        <w:gridCol w:w="63"/>
      </w:tblGrid>
      <w:tr>
        <w:trPr/>
        <w:tc>
          <w:tcPr>
            <w:tcW w:w="969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5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692" w:type="dxa"/>
            <w:tcBorders/>
            <w:shd w:fill="auto" w:val="clear"/>
          </w:tcPr>
          <w:p>
            <w:pPr>
              <w:pStyle w:val="TableContents"/>
              <w:spacing w:before="0" w:after="0"/>
              <w:rPr/>
            </w:pPr>
            <w:hyperlink w:anchor="tx309194_1">
              <w:r>
                <w:rPr>
                  <w:rStyle w:val="InternetLink"/>
                  <w:rFonts w:ascii="Times New Roman" w:hAnsi="Times New Roman"/>
                  <w:sz w:val="20"/>
                </w:rPr>
                <w:t>About this Proxy Statement/Prospectus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
              <w:r>
                <w:rPr>
                  <w:rStyle w:val="InternetLink"/>
                  <w:rFonts w:ascii="Times New Roman" w:hAnsi="Times New Roman"/>
                  <w:sz w:val="20"/>
                </w:rPr>
                <w:t>Industry and Market Data</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3">
              <w:r>
                <w:rPr>
                  <w:rStyle w:val="InternetLink"/>
                  <w:rFonts w:ascii="Times New Roman" w:hAnsi="Times New Roman"/>
                  <w:sz w:val="20"/>
                </w:rPr>
                <w:t>Frequently Used Terms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4">
              <w:r>
                <w:rPr>
                  <w:rStyle w:val="InternetLink"/>
                  <w:rFonts w:ascii="Times New Roman" w:hAnsi="Times New Roman"/>
                  <w:sz w:val="20"/>
                </w:rPr>
                <w:t>Summary of the Material Terms of the Business Combination</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5">
              <w:r>
                <w:rPr>
                  <w:rStyle w:val="InternetLink"/>
                  <w:rFonts w:ascii="Times New Roman" w:hAnsi="Times New Roman"/>
                  <w:sz w:val="20"/>
                </w:rPr>
                <w:t>Cautionary Note Regarding Forward-Looking Statements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6">
              <w:r>
                <w:rPr>
                  <w:rStyle w:val="InternetLink"/>
                  <w:rFonts w:ascii="Times New Roman" w:hAnsi="Times New Roman"/>
                  <w:sz w:val="20"/>
                </w:rPr>
                <w:t>Summary of Risk Factors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7">
              <w:r>
                <w:rPr>
                  <w:rStyle w:val="InternetLink"/>
                  <w:rFonts w:ascii="Times New Roman" w:hAnsi="Times New Roman"/>
                  <w:sz w:val="20"/>
                </w:rPr>
                <w:t>Questions and Answers about the Proposals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8">
              <w:r>
                <w:rPr>
                  <w:rStyle w:val="InternetLink"/>
                  <w:rFonts w:ascii="Times New Roman" w:hAnsi="Times New Roman"/>
                  <w:sz w:val="20"/>
                </w:rPr>
                <w:t>Summary of the Proxy Statement/Prospectus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32</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9">
              <w:r>
                <w:rPr>
                  <w:rStyle w:val="InternetLink"/>
                  <w:rFonts w:ascii="Times New Roman" w:hAnsi="Times New Roman"/>
                  <w:sz w:val="20"/>
                </w:rPr>
                <w:t>Summary Historical Financial Information</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40</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0">
              <w:r>
                <w:rPr>
                  <w:rStyle w:val="InternetLink"/>
                  <w:rFonts w:ascii="Times New Roman" w:hAnsi="Times New Roman"/>
                  <w:sz w:val="20"/>
                </w:rPr>
                <w:t>Risk Factors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44</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1">
              <w:r>
                <w:rPr>
                  <w:rStyle w:val="InternetLink"/>
                  <w:rFonts w:ascii="Times New Roman" w:hAnsi="Times New Roman"/>
                  <w:sz w:val="20"/>
                </w:rPr>
                <w:t>Selected Financial Information of Armada</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92</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2">
              <w:r>
                <w:rPr>
                  <w:rStyle w:val="InternetLink"/>
                  <w:rFonts w:ascii="Times New Roman" w:hAnsi="Times New Roman"/>
                  <w:sz w:val="20"/>
                </w:rPr>
                <w:t>Selected Financial Information of Rezolve</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94</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3">
              <w:r>
                <w:rPr>
                  <w:rStyle w:val="InternetLink"/>
                  <w:rFonts w:ascii="Times New Roman" w:hAnsi="Times New Roman"/>
                  <w:sz w:val="20"/>
                </w:rPr>
                <w:t>Unaudited Pro Forma Condensed Combined Financial Information</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96</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4">
              <w:r>
                <w:rPr>
                  <w:rStyle w:val="InternetLink"/>
                  <w:rFonts w:ascii="Times New Roman" w:hAnsi="Times New Roman"/>
                  <w:sz w:val="20"/>
                </w:rPr>
                <w:t>Special Meeting of Armada Stockholders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107</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5">
              <w:r>
                <w:rPr>
                  <w:rStyle w:val="InternetLink"/>
                  <w:rFonts w:ascii="Times New Roman" w:hAnsi="Times New Roman"/>
                  <w:sz w:val="20"/>
                </w:rPr>
                <w:t>The Business Combination Proposal</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116</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6">
              <w:r>
                <w:rPr>
                  <w:rStyle w:val="InternetLink"/>
                  <w:rFonts w:ascii="Times New Roman" w:hAnsi="Times New Roman"/>
                  <w:sz w:val="20"/>
                </w:rPr>
                <w:t>Material Tax Considerations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155</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7">
              <w:r>
                <w:rPr>
                  <w:rStyle w:val="InternetLink"/>
                  <w:rFonts w:ascii="Times New Roman" w:hAnsi="Times New Roman"/>
                  <w:sz w:val="20"/>
                </w:rPr>
                <w:t>The Nasdaq Proposal</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169</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8">
              <w:r>
                <w:rPr>
                  <w:rStyle w:val="InternetLink"/>
                  <w:rFonts w:ascii="Times New Roman" w:hAnsi="Times New Roman"/>
                  <w:sz w:val="20"/>
                </w:rPr>
                <w:t>The Incentive Equity Plan Proposal</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171</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19">
              <w:r>
                <w:rPr>
                  <w:rStyle w:val="InternetLink"/>
                  <w:rFonts w:ascii="Times New Roman" w:hAnsi="Times New Roman"/>
                  <w:sz w:val="20"/>
                </w:rPr>
                <w:t>The Adjournment Proposal</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177</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0">
              <w:r>
                <w:rPr>
                  <w:rStyle w:val="InternetLink"/>
                  <w:rFonts w:ascii="Times New Roman" w:hAnsi="Times New Roman"/>
                  <w:sz w:val="20"/>
                </w:rPr>
                <w:t>Other Information Related to Armada</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178</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1">
              <w:r>
                <w:rPr>
                  <w:rStyle w:val="InternetLink"/>
                  <w:rFonts w:ascii="Times New Roman" w:hAnsi="Times New Roman"/>
                  <w:sz w:val="20"/>
                </w:rPr>
                <w:t>Armadas Managements Discussion and Analysis of Financial Condition and Results of Operations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192</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2">
              <w:r>
                <w:rPr>
                  <w:rStyle w:val="InternetLink"/>
                  <w:rFonts w:ascii="Times New Roman" w:hAnsi="Times New Roman"/>
                  <w:sz w:val="20"/>
                </w:rPr>
                <w:t>Business of Rezolve</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201</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3">
              <w:r>
                <w:rPr>
                  <w:rStyle w:val="InternetLink"/>
                  <w:rFonts w:ascii="Times New Roman" w:hAnsi="Times New Roman"/>
                  <w:sz w:val="20"/>
                </w:rPr>
                <w:t>Rezolves Managements Discussion and Analysis of Financial Condition and Results of Operations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214</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4">
              <w:r>
                <w:rPr>
                  <w:rStyle w:val="InternetLink"/>
                  <w:rFonts w:ascii="Times New Roman" w:hAnsi="Times New Roman"/>
                  <w:sz w:val="20"/>
                </w:rPr>
                <w:t>Management and Compensation of Rezolve</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229</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5">
              <w:r>
                <w:rPr>
                  <w:rStyle w:val="InternetLink"/>
                  <w:rFonts w:ascii="Times New Roman" w:hAnsi="Times New Roman"/>
                  <w:sz w:val="20"/>
                </w:rPr>
                <w:t>Beneficial Ownership of Securities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240</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6">
              <w:r>
                <w:rPr>
                  <w:rStyle w:val="InternetLink"/>
                  <w:rFonts w:ascii="Times New Roman" w:hAnsi="Times New Roman"/>
                  <w:sz w:val="20"/>
                </w:rPr>
                <w:t>Shares Eligible for Future Sale</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243</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7">
              <w:r>
                <w:rPr>
                  <w:rStyle w:val="InternetLink"/>
                  <w:rFonts w:ascii="Times New Roman" w:hAnsi="Times New Roman"/>
                  <w:sz w:val="20"/>
                </w:rPr>
                <w:t>Certain Relationships and Related Person Transactions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244</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8">
              <w:r>
                <w:rPr>
                  <w:rStyle w:val="InternetLink"/>
                  <w:rFonts w:ascii="Times New Roman" w:hAnsi="Times New Roman"/>
                  <w:sz w:val="20"/>
                </w:rPr>
                <w:t>Description of Rezolve Ordinary Shares, Articles of Association and Certain Legal Considerations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248</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29">
              <w:r>
                <w:rPr>
                  <w:rStyle w:val="InternetLink"/>
                  <w:rFonts w:ascii="Times New Roman" w:hAnsi="Times New Roman"/>
                  <w:sz w:val="20"/>
                </w:rPr>
                <w:t>Comparison of Rights of Armada Stockholders and Rezolve Shareholders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262</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30">
              <w:r>
                <w:rPr>
                  <w:rStyle w:val="InternetLink"/>
                  <w:rFonts w:ascii="Times New Roman" w:hAnsi="Times New Roman"/>
                  <w:sz w:val="20"/>
                </w:rPr>
                <w:t>Experts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271</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31">
              <w:r>
                <w:rPr>
                  <w:rStyle w:val="InternetLink"/>
                  <w:rFonts w:ascii="Times New Roman" w:hAnsi="Times New Roman"/>
                  <w:sz w:val="20"/>
                </w:rPr>
                <w:t>Legal Matters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271</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32">
              <w:r>
                <w:rPr>
                  <w:rStyle w:val="InternetLink"/>
                  <w:rFonts w:ascii="Times New Roman" w:hAnsi="Times New Roman"/>
                  <w:sz w:val="20"/>
                </w:rPr>
                <w:t>Enforcement of Civil Liabilities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271</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33">
              <w:r>
                <w:rPr>
                  <w:rStyle w:val="InternetLink"/>
                  <w:rFonts w:ascii="Times New Roman" w:hAnsi="Times New Roman"/>
                  <w:sz w:val="20"/>
                </w:rPr>
                <w:t>Where You Can Find More Information</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272</w:t>
            </w:r>
          </w:p>
        </w:tc>
        <w:tc>
          <w:tcPr>
            <w:tcW w:w="63" w:type="dxa"/>
            <w:tcBorders/>
            <w:shd w:fill="auto" w:val="clear"/>
            <w:vAlign w:val="bottom"/>
          </w:tcPr>
          <w:p>
            <w:pPr>
              <w:pStyle w:val="TableContents"/>
              <w:spacing w:before="0" w:after="283"/>
              <w:rPr/>
            </w:pPr>
            <w:r>
              <w:rPr/>
              <w:t> </w:t>
            </w:r>
          </w:p>
        </w:tc>
      </w:tr>
      <w:tr>
        <w:trPr>
          <w:trHeight w:val="90" w:hRule="atLeast"/>
        </w:trPr>
        <w:tc>
          <w:tcPr>
            <w:tcW w:w="9692" w:type="dxa"/>
            <w:tcBorders/>
            <w:shd w:fill="auto" w:val="clear"/>
            <w:vAlign w:val="center"/>
          </w:tcPr>
          <w:p>
            <w:pPr>
              <w:pStyle w:val="TableContents"/>
              <w:spacing w:before="0" w:after="283"/>
              <w:rPr>
                <w:sz w:val="4"/>
                <w:szCs w:val="4"/>
              </w:rPr>
            </w:pPr>
            <w:r>
              <w:rPr>
                <w:sz w:val="4"/>
                <w:szCs w:val="4"/>
              </w:rPr>
            </w:r>
          </w:p>
        </w:tc>
        <w:tc>
          <w:tcPr>
            <w:tcW w:w="847" w:type="dxa"/>
            <w:gridSpan w:val="4"/>
            <w:tcBorders/>
            <w:shd w:fill="auto" w:val="clear"/>
            <w:vAlign w:val="center"/>
          </w:tcPr>
          <w:p>
            <w:pPr>
              <w:pStyle w:val="TableContents"/>
              <w:spacing w:before="0" w:after="283"/>
              <w:rPr>
                <w:sz w:val="4"/>
                <w:szCs w:val="4"/>
              </w:rPr>
            </w:pPr>
            <w:r>
              <w:rPr>
                <w:sz w:val="4"/>
                <w:szCs w:val="4"/>
              </w:rPr>
            </w:r>
          </w:p>
        </w:tc>
      </w:tr>
      <w:tr>
        <w:trPr/>
        <w:tc>
          <w:tcPr>
            <w:tcW w:w="9692" w:type="dxa"/>
            <w:tcBorders/>
            <w:shd w:fill="auto" w:val="clear"/>
          </w:tcPr>
          <w:p>
            <w:pPr>
              <w:pStyle w:val="TableContents"/>
              <w:spacing w:before="0" w:after="0"/>
              <w:rPr/>
            </w:pPr>
            <w:hyperlink w:anchor="tx309194_34">
              <w:r>
                <w:rPr>
                  <w:rStyle w:val="InternetLink"/>
                  <w:rFonts w:ascii="Times New Roman" w:hAnsi="Times New Roman"/>
                  <w:sz w:val="20"/>
                </w:rPr>
                <w:t>Index to Financial Statements</w:t>
              </w:r>
            </w:hyperlink>
          </w:p>
        </w:tc>
        <w:tc>
          <w:tcPr>
            <w:tcW w:w="258"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jc w:val="right"/>
              <w:rPr/>
            </w:pPr>
            <w:r>
              <w:rPr/>
              <w:t>F-1</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309194_1"/>
      <w:bookmarkEnd w:id="3"/>
      <w:r>
        <w:rPr>
          <w:rFonts w:ascii="Times New Roman" w:hAnsi="Times New Roman"/>
          <w:b/>
          <w:sz w:val="20"/>
        </w:rPr>
        <w:t xml:space="preserve">ABOUT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 </w:t>
      </w:r>
    </w:p>
    <w:p>
      <w:pPr>
        <w:pStyle w:val="TextBody"/>
        <w:spacing w:before="240" w:after="0"/>
        <w:jc w:val="left"/>
        <w:rPr>
          <w:rFonts w:ascii="Times New Roman" w:hAnsi="Times New Roman"/>
          <w:sz w:val="20"/>
        </w:rPr>
      </w:pPr>
      <w:r>
        <w:rPr>
          <w:rFonts w:ascii="Times New Roman" w:hAnsi="Times New Roman"/>
          <w:sz w:val="20"/>
        </w:rPr>
        <w:t xml:space="preserve">Any reference to the website of Rezolve in this proxy statement/prospectus does not include or incorporate by reference the information on the website into this proxy statement/prospectus.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309194_2"/>
      <w:bookmarkEnd w:id="4"/>
      <w:r>
        <w:rPr>
          <w:rFonts w:ascii="Times New Roman" w:hAnsi="Times New Roman"/>
          <w:b/>
          <w:sz w:val="20"/>
        </w:rPr>
        <w:t xml:space="preserve">INDUSTRY AND MARKET DATA </w:t>
      </w:r>
    </w:p>
    <w:p>
      <w:pPr>
        <w:pStyle w:val="TextBody"/>
        <w:spacing w:before="240" w:after="0"/>
        <w:jc w:val="left"/>
        <w:rPr>
          <w:rFonts w:ascii="Times New Roman" w:hAnsi="Times New Roman"/>
          <w:sz w:val="20"/>
        </w:rPr>
      </w:pPr>
      <w:r>
        <w:rPr>
          <w:rFonts w:ascii="Times New Roman" w:hAnsi="Times New Roman"/>
          <w:sz w:val="20"/>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Times New Roman" w:hAnsi="Times New Roman"/>
          <w:i/>
          <w:sz w:val="20"/>
        </w:rPr>
        <w:t>Rezolves Managements Discussion and Analysis of Financial Condition and Results of Operations</w:t>
      </w:r>
      <w:r>
        <w:rPr>
          <w:rFonts w:ascii="Times New Roman" w:hAnsi="Times New Roman"/>
          <w:sz w:val="20"/>
        </w:rPr>
        <w:t>, </w:t>
      </w:r>
      <w:r>
        <w:rPr>
          <w:rFonts w:ascii="Times New Roman" w:hAnsi="Times New Roman"/>
          <w:i/>
          <w:sz w:val="20"/>
        </w:rPr>
        <w:t>Business of Rezolve</w:t>
      </w:r>
      <w:r>
        <w:rPr>
          <w:rFonts w:ascii="Times New Roman" w:hAnsi="Times New Roman"/>
          <w:sz w:val="20"/>
        </w:rPr>
        <w:t xml:space="preserve"> and other sections of this proxy statement/prospectus. Rezolve has taken such care as we consider reasonable in the extraction and reproduction of information from such data from third party sources. </w:t>
      </w:r>
    </w:p>
    <w:p>
      <w:pPr>
        <w:pStyle w:val="TextBody"/>
        <w:spacing w:before="240" w:after="0"/>
        <w:jc w:val="left"/>
        <w:rPr>
          <w:rFonts w:ascii="Times New Roman" w:hAnsi="Times New Roman"/>
          <w:sz w:val="20"/>
        </w:rPr>
      </w:pPr>
      <w:r>
        <w:rPr>
          <w:rFonts w:ascii="Times New Roman" w:hAnsi="Times New Roman"/>
          <w:sz w:val="20"/>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Times New Roman" w:hAnsi="Times New Roman"/>
          <w:i/>
          <w:sz w:val="20"/>
        </w:rPr>
        <w:t>Risk Factors</w:t>
      </w:r>
      <w:r>
        <w:rPr>
          <w:rFonts w:ascii="Times New Roman" w:hAnsi="Times New Roman"/>
          <w:sz w:val="20"/>
        </w:rPr>
        <w:t xml:space="preserve">. These and other factors could cause results to differ materially from those expressed in the forecasts or estimates from independent third parties and us. </w:t>
      </w:r>
    </w:p>
    <w:p>
      <w:pPr>
        <w:pStyle w:val="TextBody"/>
        <w:spacing w:before="240" w:after="0"/>
        <w:jc w:val="left"/>
        <w:rPr>
          <w:rFonts w:ascii="Times New Roman" w:hAnsi="Times New Roman"/>
          <w:sz w:val="20"/>
        </w:rPr>
      </w:pPr>
      <w:r>
        <w:rPr>
          <w:rFonts w:ascii="Times New Roman" w:hAnsi="Times New Roman"/>
          <w:sz w:val="20"/>
        </w:rPr>
        <w:t xml:space="preserve">This prospectus makes various references to the following industry publications, research, studies and forecasts: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BCG-Google, The Next Level of Personalization in Retail, dated June 4, 2019.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DataReportal (2022), Digital 2021 Global Digital Overview, dated January 26,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BCG-Google, The Next Frontier in Personalization, dated October 16,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Dynamic Yield, The State of Personalization in Mobile Commerce, dated July 3,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eMarketer, Amazon dominates US ecommerce, though its market share varies by category, dated April 27,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eMarketer, Infographic  Mobile e-Commerce Is up and Poised for Future Growth, Statista Infographics, dated March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eMarketer, Smartphone Users Worldwide Will Total 1.75 Billion in 2014, dated January 16, 2014.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PwC Global, February 2023 Global Consumer Insights Pulse Survey, dated February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Shopify, Consumer Trends 2023, dated January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2021 Promotion Industry Trends Analysis and 2023 Spring Commerce Report, INMAR Intelligence, dated October 6, 2021 and March 2023,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Global Retail Study, Google/Ipsos, dated February 2019.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State of Personalization 2022, Twilio Segment,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RetailMeNot Data Shows Mobile Devices Play a Critical Role for Consumers While Shopping in Physical Retail Stores, RetailMeNot, dated April 30, 2019.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309194_3"/>
      <w:bookmarkEnd w:id="5"/>
      <w:r>
        <w:rPr>
          <w:rFonts w:ascii="Times New Roman" w:hAnsi="Times New Roman"/>
          <w:b/>
          <w:sz w:val="20"/>
        </w:rPr>
        <w:t xml:space="preserve">FREQUENTLY USED TERMS </w:t>
      </w:r>
    </w:p>
    <w:p>
      <w:pPr>
        <w:pStyle w:val="TextBody"/>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the terms the Company and Rezolve refer to Rezolve AI Limited (or Rezolve AI PLC, after its re-registration as a public limited company), a company incorporated under the laws of England and Wales, and its consolidated subsidiaries, and the term Armada refers to Armada Acquisition Corp. I, a Delaware corporation. </w:t>
      </w:r>
    </w:p>
    <w:p>
      <w:pPr>
        <w:pStyle w:val="TextBody"/>
        <w:spacing w:before="240" w:after="0"/>
        <w:jc w:val="left"/>
        <w:rPr>
          <w:rFonts w:ascii="Times New Roman" w:hAnsi="Times New Roman"/>
          <w:sz w:val="20"/>
        </w:rPr>
      </w:pPr>
      <w:r>
        <w:rPr>
          <w:rFonts w:ascii="Times New Roman" w:hAnsi="Times New Roman"/>
          <w:sz w:val="20"/>
        </w:rPr>
        <w:t xml:space="preserve">Terms defined in the body of this document shall have the meanings attributed to them therein and in addition the following terms shall have the following meanings: </w:t>
      </w:r>
    </w:p>
    <w:p>
      <w:pPr>
        <w:pStyle w:val="TextBody"/>
        <w:spacing w:before="120" w:after="0"/>
        <w:jc w:val="left"/>
        <w:rPr>
          <w:rFonts w:ascii="Times New Roman" w:hAnsi="Times New Roman"/>
          <w:sz w:val="20"/>
        </w:rPr>
      </w:pPr>
      <w:r>
        <w:rPr>
          <w:rFonts w:ascii="Times New Roman" w:hAnsi="Times New Roman"/>
          <w:sz w:val="20"/>
        </w:rPr>
        <w:t xml:space="preserve">Armadas Public Shares means the Armada Common Stock held by public stockholders; </w:t>
      </w:r>
    </w:p>
    <w:p>
      <w:pPr>
        <w:pStyle w:val="TextBody"/>
        <w:spacing w:before="120" w:after="0"/>
        <w:jc w:val="left"/>
        <w:rPr>
          <w:rFonts w:ascii="Times New Roman" w:hAnsi="Times New Roman"/>
          <w:sz w:val="20"/>
        </w:rPr>
      </w:pPr>
      <w:r>
        <w:rPr>
          <w:rFonts w:ascii="Times New Roman" w:hAnsi="Times New Roman"/>
          <w:sz w:val="20"/>
        </w:rPr>
        <w:t>Adjournment Proposal has the meaning given to it in the section entitled </w:t>
      </w:r>
      <w:r>
        <w:rPr>
          <w:rFonts w:ascii="Times New Roman" w:hAnsi="Times New Roman"/>
          <w:i/>
          <w:sz w:val="20"/>
        </w:rPr>
        <w:t>The Adjournment Proposal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Aggregate Transaction Proceeds has the meaning given to it in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Armada Charter means the certificate of incorporation of Armada, as amended from time to time; </w:t>
      </w:r>
    </w:p>
    <w:p>
      <w:pPr>
        <w:pStyle w:val="TextBody"/>
        <w:spacing w:before="120" w:after="0"/>
        <w:jc w:val="left"/>
        <w:rPr>
          <w:rFonts w:ascii="Times New Roman" w:hAnsi="Times New Roman"/>
          <w:sz w:val="20"/>
        </w:rPr>
      </w:pPr>
      <w:r>
        <w:rPr>
          <w:rFonts w:ascii="Times New Roman" w:hAnsi="Times New Roman"/>
          <w:sz w:val="20"/>
        </w:rPr>
        <w:t xml:space="preserve">Armada Common Stock means an issued and outstanding share of common stock of Armada; </w:t>
      </w:r>
    </w:p>
    <w:p>
      <w:pPr>
        <w:pStyle w:val="TextBody"/>
        <w:spacing w:before="120" w:after="0"/>
        <w:jc w:val="left"/>
        <w:rPr>
          <w:rFonts w:ascii="Times New Roman" w:hAnsi="Times New Roman"/>
          <w:sz w:val="20"/>
        </w:rPr>
      </w:pPr>
      <w:r>
        <w:rPr>
          <w:rFonts w:ascii="Times New Roman" w:hAnsi="Times New Roman"/>
          <w:sz w:val="20"/>
        </w:rPr>
        <w:t xml:space="preserve">Armada Initial Shareholders means the holders of Armada Common Stock and Founder Shares on the Record Date; </w:t>
      </w:r>
    </w:p>
    <w:p>
      <w:pPr>
        <w:pStyle w:val="TextBody"/>
        <w:spacing w:before="120" w:after="0"/>
        <w:jc w:val="left"/>
        <w:rPr>
          <w:rFonts w:ascii="Times New Roman" w:hAnsi="Times New Roman"/>
          <w:sz w:val="20"/>
        </w:rPr>
      </w:pPr>
      <w:r>
        <w:rPr>
          <w:rFonts w:ascii="Times New Roman" w:hAnsi="Times New Roman"/>
          <w:sz w:val="20"/>
        </w:rPr>
        <w:t xml:space="preserve">Armada Letter Agreement means that certain Letter Agreement, dated as of August 12, 2021, by and among Armada, its officers, its directors and the Sponsor. </w:t>
      </w:r>
    </w:p>
    <w:p>
      <w:pPr>
        <w:pStyle w:val="TextBody"/>
        <w:spacing w:before="120" w:after="0"/>
        <w:jc w:val="left"/>
        <w:rPr>
          <w:rFonts w:ascii="Times New Roman" w:hAnsi="Times New Roman"/>
          <w:sz w:val="20"/>
        </w:rPr>
      </w:pPr>
      <w:r>
        <w:rPr>
          <w:rFonts w:ascii="Times New Roman" w:hAnsi="Times New Roman"/>
          <w:sz w:val="20"/>
        </w:rPr>
        <w:t xml:space="preserve">Armada Share Redemptions means redemptions by Armada public stockholder (who are not Armada Initial Shareholders or an officer or director of Armada) holding            ; </w:t>
      </w:r>
    </w:p>
    <w:p>
      <w:pPr>
        <w:pStyle w:val="TextBody"/>
        <w:spacing w:before="120" w:after="0"/>
        <w:jc w:val="left"/>
        <w:rPr>
          <w:rFonts w:ascii="Times New Roman" w:hAnsi="Times New Roman"/>
          <w:sz w:val="20"/>
        </w:rPr>
      </w:pPr>
      <w:r>
        <w:rPr>
          <w:rFonts w:ascii="Times New Roman" w:hAnsi="Times New Roman"/>
          <w:sz w:val="20"/>
        </w:rPr>
        <w:t xml:space="preserve">Armada Stockholders means holders of shares of stock in the capital of Armada; </w:t>
      </w:r>
    </w:p>
    <w:p>
      <w:pPr>
        <w:pStyle w:val="TextBody"/>
        <w:spacing w:before="120" w:after="0"/>
        <w:jc w:val="left"/>
        <w:rPr>
          <w:rFonts w:ascii="Times New Roman" w:hAnsi="Times New Roman"/>
          <w:sz w:val="20"/>
        </w:rPr>
      </w:pPr>
      <w:r>
        <w:rPr>
          <w:rFonts w:ascii="Times New Roman" w:hAnsi="Times New Roman"/>
          <w:sz w:val="20"/>
        </w:rPr>
        <w:t xml:space="preserve">Armada Unit means an issued and outstanding unit of Armada; </w:t>
      </w:r>
    </w:p>
    <w:p>
      <w:pPr>
        <w:pStyle w:val="TextBody"/>
        <w:spacing w:before="120" w:after="0"/>
        <w:jc w:val="left"/>
        <w:rPr>
          <w:rFonts w:ascii="Times New Roman" w:hAnsi="Times New Roman"/>
          <w:sz w:val="20"/>
        </w:rPr>
      </w:pPr>
      <w:r>
        <w:rPr>
          <w:rFonts w:ascii="Times New Roman" w:hAnsi="Times New Roman"/>
          <w:sz w:val="20"/>
        </w:rPr>
        <w:t xml:space="preserve">Armada Warrant means an issued and outstanding warrant of Armada; </w:t>
      </w:r>
    </w:p>
    <w:p>
      <w:pPr>
        <w:pStyle w:val="TextBody"/>
        <w:spacing w:before="120" w:after="0"/>
        <w:jc w:val="left"/>
        <w:rPr>
          <w:rFonts w:ascii="Times New Roman" w:hAnsi="Times New Roman"/>
          <w:sz w:val="20"/>
        </w:rPr>
      </w:pPr>
      <w:r>
        <w:rPr>
          <w:rFonts w:ascii="Times New Roman" w:hAnsi="Times New Roman"/>
          <w:sz w:val="20"/>
        </w:rPr>
        <w:t xml:space="preserve">Articles means Rezolves articles of association as will be in force with effect from Closing; </w:t>
      </w:r>
    </w:p>
    <w:p>
      <w:pPr>
        <w:pStyle w:val="TextBody"/>
        <w:spacing w:before="120" w:after="0"/>
        <w:jc w:val="left"/>
        <w:rPr>
          <w:rFonts w:ascii="Times New Roman" w:hAnsi="Times New Roman"/>
          <w:sz w:val="20"/>
        </w:rPr>
      </w:pPr>
      <w:r>
        <w:rPr>
          <w:rFonts w:ascii="Times New Roman" w:hAnsi="Times New Roman"/>
          <w:sz w:val="20"/>
        </w:rPr>
        <w:t xml:space="preserve">Board means the board of directors of Armada; </w:t>
      </w:r>
    </w:p>
    <w:p>
      <w:pPr>
        <w:pStyle w:val="TextBody"/>
        <w:spacing w:before="120" w:after="0"/>
        <w:jc w:val="left"/>
        <w:rPr>
          <w:rFonts w:ascii="Times New Roman" w:hAnsi="Times New Roman"/>
          <w:sz w:val="20"/>
        </w:rPr>
      </w:pPr>
      <w:r>
        <w:rPr>
          <w:rFonts w:ascii="Times New Roman" w:hAnsi="Times New Roman"/>
          <w:sz w:val="20"/>
        </w:rPr>
        <w:t xml:space="preserve">Business Combination means the business combination between Armada, Rezolve, Rezolve Merger Sub and the Company as envisaged under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Business Combination Agreement means the business combination agreement dated as of December 17, 2021, as amended on November 10, 2022 and as further amended and restated on June 16, 2023, and as may be amended from time to time, by and among Armada, Rezolve Limited, Rezolve and Rezolve Merger Sub; </w:t>
      </w:r>
    </w:p>
    <w:p>
      <w:pPr>
        <w:pStyle w:val="TextBody"/>
        <w:spacing w:before="120" w:after="0"/>
        <w:jc w:val="left"/>
        <w:rPr>
          <w:rFonts w:ascii="Times New Roman" w:hAnsi="Times New Roman"/>
          <w:sz w:val="20"/>
        </w:rPr>
      </w:pPr>
      <w:r>
        <w:rPr>
          <w:rFonts w:ascii="Times New Roman" w:hAnsi="Times New Roman"/>
          <w:sz w:val="20"/>
        </w:rPr>
        <w:t xml:space="preserve">Business Combination Proposal means the proposal to adopt and approve the Business Combination; </w:t>
      </w:r>
    </w:p>
    <w:p>
      <w:pPr>
        <w:pStyle w:val="TextBody"/>
        <w:spacing w:before="120" w:after="0"/>
        <w:jc w:val="left"/>
        <w:rPr>
          <w:rFonts w:ascii="Times New Roman" w:hAnsi="Times New Roman"/>
          <w:sz w:val="20"/>
        </w:rPr>
      </w:pPr>
      <w:r>
        <w:rPr>
          <w:rFonts w:ascii="Times New Roman" w:hAnsi="Times New Roman"/>
          <w:sz w:val="20"/>
        </w:rPr>
        <w:t xml:space="preserve">Channels means the Companys distribution partners who distribute the Companys offerings and services; </w:t>
      </w:r>
    </w:p>
    <w:p>
      <w:pPr>
        <w:pStyle w:val="TextBody"/>
        <w:spacing w:before="120" w:after="0"/>
        <w:jc w:val="left"/>
        <w:rPr>
          <w:rFonts w:ascii="Times New Roman" w:hAnsi="Times New Roman"/>
          <w:sz w:val="20"/>
        </w:rPr>
      </w:pPr>
      <w:r>
        <w:rPr>
          <w:rFonts w:ascii="Times New Roman" w:hAnsi="Times New Roman"/>
          <w:sz w:val="20"/>
        </w:rPr>
        <w:t xml:space="preserve">Closing has the meaning given to it in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Closing Date has the meaning given to it in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Combined Company means Rezolve following the Closing; </w:t>
      </w:r>
    </w:p>
    <w:p>
      <w:pPr>
        <w:pStyle w:val="TextBody"/>
        <w:spacing w:before="120" w:after="0"/>
        <w:jc w:val="left"/>
        <w:rPr>
          <w:rFonts w:ascii="Times New Roman" w:hAnsi="Times New Roman"/>
          <w:sz w:val="20"/>
        </w:rPr>
      </w:pPr>
      <w:r>
        <w:rPr>
          <w:rFonts w:ascii="Times New Roman" w:hAnsi="Times New Roman"/>
          <w:sz w:val="20"/>
        </w:rPr>
        <w:t xml:space="preserve">Company means Rezolve AI Limited and, following its re-registration as a public limited Company, Rezolve AI PLC; </w:t>
      </w:r>
    </w:p>
    <w:p>
      <w:pPr>
        <w:pStyle w:val="TextBody"/>
        <w:spacing w:before="120" w:after="0"/>
        <w:jc w:val="left"/>
        <w:rPr>
          <w:rFonts w:ascii="Times New Roman" w:hAnsi="Times New Roman"/>
          <w:sz w:val="20"/>
        </w:rPr>
      </w:pPr>
      <w:r>
        <w:rPr>
          <w:rFonts w:ascii="Times New Roman" w:hAnsi="Times New Roman"/>
          <w:sz w:val="20"/>
        </w:rPr>
        <w:t>Company Reorganization has the meaning given to it in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  The Business Combination Proposal</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Company Series A Shares means the series A preferred shares in the capital of Rezolve; </w:t>
      </w:r>
    </w:p>
    <w:p>
      <w:pPr>
        <w:pStyle w:val="TextBody"/>
        <w:spacing w:before="120" w:after="0"/>
        <w:jc w:val="left"/>
        <w:rPr>
          <w:rFonts w:ascii="Times New Roman" w:hAnsi="Times New Roman"/>
          <w:sz w:val="20"/>
        </w:rPr>
      </w:pPr>
      <w:r>
        <w:rPr>
          <w:rFonts w:ascii="Times New Roman" w:hAnsi="Times New Roman"/>
          <w:sz w:val="20"/>
        </w:rPr>
        <w:t xml:space="preserve">Company Shareholder means a shareholder in Rezolve on the date of effecting the Company Reorganization; </w:t>
      </w:r>
    </w:p>
    <w:p>
      <w:pPr>
        <w:pStyle w:val="TextBody"/>
        <w:spacing w:before="120" w:after="0"/>
        <w:jc w:val="left"/>
        <w:rPr>
          <w:rFonts w:ascii="Times New Roman" w:hAnsi="Times New Roman"/>
          <w:sz w:val="20"/>
        </w:rPr>
      </w:pPr>
      <w:r>
        <w:rPr>
          <w:rFonts w:ascii="Times New Roman" w:hAnsi="Times New Roman"/>
          <w:sz w:val="20"/>
        </w:rPr>
        <w:t xml:space="preserve">Convertible Notes means the convertible loan notes issued on the terms of the Loan Note Instrument; </w:t>
      </w:r>
    </w:p>
    <w:p>
      <w:pPr>
        <w:pStyle w:val="TextBody"/>
        <w:spacing w:before="120" w:after="0"/>
        <w:jc w:val="left"/>
        <w:rPr>
          <w:rFonts w:ascii="Times New Roman" w:hAnsi="Times New Roman"/>
          <w:sz w:val="20"/>
        </w:rPr>
      </w:pPr>
      <w:r>
        <w:rPr>
          <w:rFonts w:ascii="Times New Roman" w:hAnsi="Times New Roman"/>
          <w:sz w:val="20"/>
        </w:rPr>
        <w:t xml:space="preserve">Founder Shares means, collectively, the shares of Armada Common Stock held by the Sponsor, the chief executive officer of Armada, the president of Armada and independent directors of Armada; </w:t>
      </w:r>
    </w:p>
    <w:p>
      <w:pPr>
        <w:pStyle w:val="TextBody"/>
        <w:spacing w:before="120" w:after="0"/>
        <w:jc w:val="left"/>
        <w:rPr>
          <w:rFonts w:ascii="Times New Roman" w:hAnsi="Times New Roman"/>
          <w:sz w:val="20"/>
        </w:rPr>
      </w:pPr>
      <w:r>
        <w:rPr>
          <w:rFonts w:ascii="Times New Roman" w:hAnsi="Times New Roman"/>
          <w:sz w:val="20"/>
        </w:rPr>
        <w:t xml:space="preserve">GeoZone means a location-based marketing tool which is a feature of Rezolves platform; </w:t>
      </w:r>
    </w:p>
    <w:p>
      <w:pPr>
        <w:pStyle w:val="TextBody"/>
        <w:spacing w:before="120" w:after="0"/>
        <w:jc w:val="left"/>
        <w:rPr>
          <w:rFonts w:ascii="Times New Roman" w:hAnsi="Times New Roman"/>
          <w:sz w:val="20"/>
        </w:rPr>
      </w:pPr>
      <w:r>
        <w:rPr>
          <w:rFonts w:ascii="Times New Roman" w:hAnsi="Times New Roman"/>
          <w:sz w:val="20"/>
        </w:rPr>
        <w:t>Incentive Equity Plan Proposal has the meaning given to it in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3  The Incentive Equity Plan Proposal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Investor Rights Agreement means the amended form investor rights agreements to be entered into by Rezolve, Armada, the Sponsor and certain stockholders of Rezolve; </w:t>
      </w:r>
    </w:p>
    <w:p>
      <w:pPr>
        <w:pStyle w:val="TextBody"/>
        <w:spacing w:before="120" w:after="0"/>
        <w:jc w:val="left"/>
        <w:rPr>
          <w:rFonts w:ascii="Times New Roman" w:hAnsi="Times New Roman"/>
          <w:sz w:val="20"/>
        </w:rPr>
      </w:pPr>
      <w:r>
        <w:rPr>
          <w:rFonts w:ascii="Times New Roman" w:hAnsi="Times New Roman"/>
          <w:sz w:val="20"/>
        </w:rPr>
        <w:t xml:space="preserve">Key Company Shareholders has the meaning given to it in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Loan Note Instrument means the secured convertible loan note instrument dated December 16, 2021, as amended and restated on November 21, 2022, and as further amended and restated on May 23, 2023, to which Rezolve Limited (or after the Pre-Closing Demerger, Rezolve) is party; </w:t>
      </w:r>
    </w:p>
    <w:p>
      <w:pPr>
        <w:pStyle w:val="TextBody"/>
        <w:spacing w:before="120" w:after="0"/>
        <w:jc w:val="left"/>
        <w:rPr>
          <w:rFonts w:ascii="Times New Roman" w:hAnsi="Times New Roman"/>
          <w:sz w:val="20"/>
        </w:rPr>
      </w:pPr>
      <w:r>
        <w:rPr>
          <w:rFonts w:ascii="Times New Roman" w:hAnsi="Times New Roman"/>
          <w:sz w:val="20"/>
        </w:rPr>
        <w:t xml:space="preserve">Memorandum and Articles of Association means the memorandum and articles of association of Rezolve to be adopted with effect from Closing; </w:t>
      </w:r>
    </w:p>
    <w:p>
      <w:pPr>
        <w:pStyle w:val="TextBody"/>
        <w:spacing w:before="120" w:after="0"/>
        <w:jc w:val="left"/>
        <w:rPr>
          <w:rFonts w:ascii="Times New Roman" w:hAnsi="Times New Roman"/>
          <w:sz w:val="20"/>
        </w:rPr>
      </w:pPr>
      <w:r>
        <w:rPr>
          <w:rFonts w:ascii="Times New Roman" w:hAnsi="Times New Roman"/>
          <w:sz w:val="20"/>
        </w:rPr>
        <w:t xml:space="preserve">Merger means the merger of Armada with and into Rezolve Merger Sub, with Armada continuing as the surviving entity; </w:t>
      </w:r>
    </w:p>
    <w:p>
      <w:pPr>
        <w:pStyle w:val="TextBody"/>
        <w:spacing w:before="120" w:after="0"/>
        <w:jc w:val="left"/>
        <w:rPr>
          <w:rFonts w:ascii="Times New Roman" w:hAnsi="Times New Roman"/>
          <w:sz w:val="20"/>
        </w:rPr>
      </w:pPr>
      <w:r>
        <w:rPr>
          <w:rFonts w:ascii="Times New Roman" w:hAnsi="Times New Roman"/>
          <w:sz w:val="20"/>
        </w:rPr>
        <w:t xml:space="preserve">Merger Closing means the closing of the Merger pursuant to 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Merger Effective Time means the effective time of the Merger; </w:t>
      </w:r>
    </w:p>
    <w:p>
      <w:pPr>
        <w:pStyle w:val="TextBody"/>
        <w:spacing w:before="120" w:after="0"/>
        <w:jc w:val="left"/>
        <w:rPr>
          <w:rFonts w:ascii="Times New Roman" w:hAnsi="Times New Roman"/>
          <w:sz w:val="20"/>
        </w:rPr>
      </w:pPr>
      <w:r>
        <w:rPr>
          <w:rFonts w:ascii="Times New Roman" w:hAnsi="Times New Roman"/>
          <w:sz w:val="20"/>
        </w:rPr>
        <w:t>Nasdaq Proposal has the meaning given to it in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Nasdaq Proposal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Ordinary Shares means the ordinary shares in the capital of Rezolve; </w:t>
      </w:r>
    </w:p>
    <w:p>
      <w:pPr>
        <w:pStyle w:val="TextBody"/>
        <w:spacing w:before="120" w:after="0"/>
        <w:jc w:val="left"/>
        <w:rPr>
          <w:rFonts w:ascii="Times New Roman" w:hAnsi="Times New Roman"/>
          <w:sz w:val="20"/>
        </w:rPr>
      </w:pPr>
      <w:r>
        <w:rPr>
          <w:rFonts w:ascii="Times New Roman" w:hAnsi="Times New Roman"/>
          <w:sz w:val="20"/>
        </w:rPr>
        <w:t xml:space="preserve">Platform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the Companys platform; </w:t>
      </w:r>
    </w:p>
    <w:p>
      <w:pPr>
        <w:pStyle w:val="TextBody"/>
        <w:spacing w:before="120" w:after="0"/>
        <w:jc w:val="left"/>
        <w:rPr>
          <w:rFonts w:ascii="Times New Roman" w:hAnsi="Times New Roman"/>
          <w:sz w:val="20"/>
        </w:rPr>
      </w:pPr>
      <w:r>
        <w:rPr>
          <w:rFonts w:ascii="Times New Roman" w:hAnsi="Times New Roman"/>
          <w:sz w:val="20"/>
        </w:rPr>
        <w:t xml:space="preserve">Prior Rezolve Group means Rezolve Limited and its consolidated subsidiaries; </w:t>
      </w:r>
    </w:p>
    <w:p>
      <w:pPr>
        <w:pStyle w:val="TextBody"/>
        <w:spacing w:before="120" w:after="0"/>
        <w:jc w:val="left"/>
        <w:rPr>
          <w:rFonts w:ascii="Times New Roman" w:hAnsi="Times New Roman"/>
          <w:sz w:val="20"/>
        </w:rPr>
      </w:pPr>
      <w:r>
        <w:rPr>
          <w:rFonts w:ascii="Times New Roman" w:hAnsi="Times New Roman"/>
          <w:sz w:val="20"/>
        </w:rPr>
        <w:t xml:space="preserve">Private Placement Shares means the 459,500 shares of Armada purchased simultaneously with the consummation of the Public Offering that are held by the Sponsor; </w:t>
      </w:r>
    </w:p>
    <w:p>
      <w:pPr>
        <w:pStyle w:val="TextBody"/>
        <w:spacing w:before="120" w:after="0"/>
        <w:jc w:val="left"/>
        <w:rPr>
          <w:rFonts w:ascii="Times New Roman" w:hAnsi="Times New Roman"/>
          <w:sz w:val="20"/>
        </w:rPr>
      </w:pPr>
      <w:r>
        <w:rPr>
          <w:rFonts w:ascii="Times New Roman" w:hAnsi="Times New Roman"/>
          <w:sz w:val="20"/>
        </w:rPr>
        <w:t xml:space="preserve">Proposals means, collectively, the Business Combination Proposal, the Nasdaq Proposal, the Incentive Equity Plan Proposal and the Adjournment Proposal; </w:t>
      </w:r>
    </w:p>
    <w:p>
      <w:pPr>
        <w:pStyle w:val="TextBody"/>
        <w:spacing w:before="120" w:after="0"/>
        <w:jc w:val="left"/>
        <w:rPr>
          <w:rFonts w:ascii="Times New Roman" w:hAnsi="Times New Roman"/>
          <w:sz w:val="20"/>
        </w:rPr>
      </w:pPr>
      <w:r>
        <w:rPr>
          <w:rFonts w:ascii="Times New Roman" w:hAnsi="Times New Roman"/>
          <w:sz w:val="20"/>
        </w:rPr>
        <w:t xml:space="preserve">Proposed Transactions means the Business Combination (including the Merger); </w:t>
      </w:r>
    </w:p>
    <w:p>
      <w:pPr>
        <w:pStyle w:val="TextBody"/>
        <w:spacing w:before="120" w:after="0"/>
        <w:jc w:val="left"/>
        <w:rPr>
          <w:rFonts w:ascii="Times New Roman" w:hAnsi="Times New Roman"/>
          <w:sz w:val="20"/>
        </w:rPr>
      </w:pPr>
      <w:r>
        <w:rPr>
          <w:rFonts w:ascii="Times New Roman" w:hAnsi="Times New Roman"/>
          <w:sz w:val="20"/>
        </w:rPr>
        <w:t xml:space="preserve">Public Offering means Armadas initial public offering; </w:t>
      </w:r>
    </w:p>
    <w:p>
      <w:pPr>
        <w:pStyle w:val="TextBody"/>
        <w:spacing w:before="120" w:after="0"/>
        <w:jc w:val="left"/>
        <w:rPr>
          <w:rFonts w:ascii="Times New Roman" w:hAnsi="Times New Roman"/>
          <w:sz w:val="20"/>
        </w:rPr>
      </w:pPr>
      <w:r>
        <w:rPr>
          <w:rFonts w:ascii="Times New Roman" w:hAnsi="Times New Roman"/>
          <w:sz w:val="20"/>
        </w:rPr>
        <w:t>Redemption Rights means the right of an Armada stockholder to redeem its rights as described in the section entitled </w:t>
      </w:r>
      <w:r>
        <w:rPr>
          <w:rFonts w:ascii="Times New Roman" w:hAnsi="Times New Roman"/>
          <w:i/>
          <w:sz w:val="20"/>
        </w:rPr>
        <w:t>Summary of the Proxy Statement/Prospectus  Redemption Rights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 Founder means Daniel Wagner; </w:t>
      </w:r>
    </w:p>
    <w:p>
      <w:pPr>
        <w:pStyle w:val="TextBody"/>
        <w:spacing w:before="120" w:after="0"/>
        <w:jc w:val="left"/>
        <w:rPr>
          <w:rFonts w:ascii="Times New Roman" w:hAnsi="Times New Roman"/>
          <w:sz w:val="20"/>
        </w:rPr>
      </w:pPr>
      <w:r>
        <w:rPr>
          <w:rFonts w:ascii="Times New Roman" w:hAnsi="Times New Roman"/>
          <w:sz w:val="20"/>
        </w:rPr>
        <w:t xml:space="preserve">Rezolve Incentive Equity Plan means the incentive equity plan to be adopted under the Incentive Equity Plan Proposal; </w:t>
      </w:r>
    </w:p>
    <w:p>
      <w:pPr>
        <w:pStyle w:val="TextBody"/>
        <w:spacing w:before="120" w:after="0"/>
        <w:jc w:val="left"/>
        <w:rPr>
          <w:rFonts w:ascii="Times New Roman" w:hAnsi="Times New Roman"/>
          <w:sz w:val="20"/>
        </w:rPr>
      </w:pPr>
      <w:r>
        <w:rPr>
          <w:rFonts w:ascii="Times New Roman" w:hAnsi="Times New Roman"/>
          <w:sz w:val="20"/>
        </w:rPr>
        <w:t xml:space="preserve">Rezolve Merger Sub means Rezolve Merger Sub, Inc.; </w:t>
      </w:r>
    </w:p>
    <w:p>
      <w:pPr>
        <w:pStyle w:val="TextBody"/>
        <w:spacing w:before="120" w:after="0"/>
        <w:jc w:val="left"/>
        <w:rPr>
          <w:rFonts w:ascii="Times New Roman" w:hAnsi="Times New Roman"/>
          <w:sz w:val="20"/>
        </w:rPr>
      </w:pPr>
      <w:r>
        <w:rPr>
          <w:rFonts w:ascii="Times New Roman" w:hAnsi="Times New Roman"/>
          <w:sz w:val="20"/>
        </w:rPr>
        <w:t xml:space="preserve">Rezolve Ordinary Shares or Rezolve Shares means the ordinary shares in Rezolve from time to time; </w:t>
      </w:r>
    </w:p>
    <w:p>
      <w:pPr>
        <w:pStyle w:val="TextBody"/>
        <w:spacing w:before="120" w:after="0"/>
        <w:jc w:val="left"/>
        <w:rPr>
          <w:rFonts w:ascii="Times New Roman" w:hAnsi="Times New Roman"/>
          <w:sz w:val="20"/>
        </w:rPr>
      </w:pPr>
      <w:r>
        <w:rPr>
          <w:rFonts w:ascii="Times New Roman" w:hAnsi="Times New Roman"/>
          <w:sz w:val="20"/>
        </w:rPr>
        <w:t xml:space="preserve">Rezolve Options means options to subscribe for Rezolve Ordinary Shares; </w:t>
      </w:r>
    </w:p>
    <w:p>
      <w:pPr>
        <w:pStyle w:val="TextBody"/>
        <w:spacing w:before="120" w:after="0"/>
        <w:jc w:val="left"/>
        <w:rPr>
          <w:rFonts w:ascii="Times New Roman" w:hAnsi="Times New Roman"/>
          <w:sz w:val="20"/>
        </w:rPr>
      </w:pPr>
      <w:r>
        <w:rPr>
          <w:rFonts w:ascii="Times New Roman" w:hAnsi="Times New Roman"/>
          <w:sz w:val="20"/>
        </w:rPr>
        <w:t xml:space="preserve">Rezolve Shareholder means a holder of shares of stock in the capital of Rezolve; </w:t>
      </w:r>
    </w:p>
    <w:p>
      <w:pPr>
        <w:pStyle w:val="TextBody"/>
        <w:spacing w:before="120" w:after="0"/>
        <w:jc w:val="left"/>
        <w:rPr>
          <w:rFonts w:ascii="Times New Roman" w:hAnsi="Times New Roman"/>
          <w:sz w:val="20"/>
        </w:rPr>
      </w:pPr>
      <w:r>
        <w:rPr>
          <w:rFonts w:ascii="Times New Roman" w:hAnsi="Times New Roman"/>
          <w:sz w:val="20"/>
        </w:rPr>
        <w:t xml:space="preserve">Rezolve Warrant means a warrant to purchase one Rezolve Ordinary Share; </w:t>
      </w:r>
    </w:p>
    <w:p>
      <w:pPr>
        <w:pStyle w:val="TextBody"/>
        <w:spacing w:before="120" w:after="0"/>
        <w:jc w:val="left"/>
        <w:rPr>
          <w:rFonts w:ascii="Times New Roman" w:hAnsi="Times New Roman"/>
          <w:sz w:val="20"/>
        </w:rPr>
      </w:pPr>
      <w:r>
        <w:rPr>
          <w:rFonts w:ascii="Times New Roman" w:hAnsi="Times New Roman"/>
          <w:sz w:val="20"/>
        </w:rPr>
        <w:t xml:space="preserve">SMBs means small and medium-sized businesses; </w:t>
      </w:r>
    </w:p>
    <w:p>
      <w:pPr>
        <w:pStyle w:val="TextBody"/>
        <w:spacing w:before="120" w:after="0"/>
        <w:jc w:val="left"/>
        <w:rPr>
          <w:rFonts w:ascii="Times New Roman" w:hAnsi="Times New Roman"/>
          <w:sz w:val="20"/>
        </w:rPr>
      </w:pPr>
      <w:r>
        <w:rPr>
          <w:rFonts w:ascii="Times New Roman" w:hAnsi="Times New Roman"/>
          <w:sz w:val="20"/>
        </w:rPr>
        <w:t xml:space="preserve">Special Meeting means the Armada Special Meeting; </w:t>
      </w:r>
    </w:p>
    <w:p>
      <w:pPr>
        <w:pStyle w:val="TextBody"/>
        <w:spacing w:before="120" w:after="0"/>
        <w:jc w:val="left"/>
        <w:rPr>
          <w:rFonts w:ascii="Times New Roman" w:hAnsi="Times New Roman"/>
          <w:sz w:val="20"/>
        </w:rPr>
      </w:pPr>
      <w:r>
        <w:rPr>
          <w:rFonts w:ascii="Times New Roman" w:hAnsi="Times New Roman"/>
          <w:sz w:val="20"/>
        </w:rPr>
        <w:t xml:space="preserve">Sponsor means Armada Sponsor LLC; </w:t>
      </w:r>
    </w:p>
    <w:p>
      <w:pPr>
        <w:pStyle w:val="TextBody"/>
        <w:spacing w:before="120" w:after="0"/>
        <w:jc w:val="left"/>
        <w:rPr>
          <w:rFonts w:ascii="Times New Roman" w:hAnsi="Times New Roman"/>
          <w:sz w:val="20"/>
        </w:rPr>
      </w:pPr>
      <w:r>
        <w:rPr>
          <w:rFonts w:ascii="Times New Roman" w:hAnsi="Times New Roman"/>
          <w:sz w:val="20"/>
        </w:rPr>
        <w:t xml:space="preserve">Termination Date means August 2, 2023; </w:t>
      </w:r>
    </w:p>
    <w:p>
      <w:pPr>
        <w:pStyle w:val="TextBody"/>
        <w:spacing w:before="120" w:after="0"/>
        <w:jc w:val="left"/>
        <w:rPr>
          <w:rFonts w:ascii="Times New Roman" w:hAnsi="Times New Roman"/>
          <w:sz w:val="20"/>
        </w:rPr>
      </w:pPr>
      <w:r>
        <w:rPr>
          <w:rFonts w:ascii="Times New Roman" w:hAnsi="Times New Roman"/>
          <w:sz w:val="20"/>
        </w:rPr>
        <w:t xml:space="preserve">Transaction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 </w:t>
      </w:r>
    </w:p>
    <w:p>
      <w:pPr>
        <w:pStyle w:val="TextBody"/>
        <w:spacing w:before="120" w:after="0"/>
        <w:jc w:val="left"/>
        <w:rPr>
          <w:rFonts w:ascii="Times New Roman" w:hAnsi="Times New Roman"/>
          <w:sz w:val="20"/>
        </w:rPr>
      </w:pPr>
      <w:r>
        <w:rPr>
          <w:rFonts w:ascii="Times New Roman" w:hAnsi="Times New Roman"/>
          <w:sz w:val="20"/>
        </w:rPr>
        <w:t xml:space="preserve">Transfer Agent means Continental Stock Transfer &amp; Trust Company; </w:t>
      </w:r>
    </w:p>
    <w:p>
      <w:pPr>
        <w:pStyle w:val="TextBody"/>
        <w:spacing w:before="120" w:after="0"/>
        <w:jc w:val="left"/>
        <w:rPr>
          <w:rFonts w:ascii="Times New Roman" w:hAnsi="Times New Roman"/>
          <w:sz w:val="20"/>
        </w:rPr>
      </w:pPr>
      <w:r>
        <w:rPr>
          <w:rFonts w:ascii="Times New Roman" w:hAnsi="Times New Roman"/>
          <w:sz w:val="20"/>
        </w:rPr>
        <w:t xml:space="preserve">Trust Account means the trust account established by Armada containing the proceeds of its initial public offering; </w:t>
      </w:r>
    </w:p>
    <w:p>
      <w:pPr>
        <w:pStyle w:val="TextBody"/>
        <w:spacing w:before="120" w:after="0"/>
        <w:jc w:val="left"/>
        <w:rPr>
          <w:rFonts w:ascii="Times New Roman" w:hAnsi="Times New Roman"/>
          <w:sz w:val="20"/>
        </w:rPr>
      </w:pPr>
      <w:r>
        <w:rPr>
          <w:rFonts w:ascii="Times New Roman" w:hAnsi="Times New Roman"/>
          <w:sz w:val="20"/>
        </w:rPr>
        <w:t xml:space="preserve">UK means the United Kingdom; </w:t>
      </w:r>
    </w:p>
    <w:p>
      <w:pPr>
        <w:pStyle w:val="TextBody"/>
        <w:spacing w:before="120" w:after="0"/>
        <w:jc w:val="left"/>
        <w:rPr>
          <w:rFonts w:ascii="Times New Roman" w:hAnsi="Times New Roman"/>
          <w:sz w:val="20"/>
        </w:rPr>
      </w:pPr>
      <w:r>
        <w:rPr>
          <w:rFonts w:ascii="Times New Roman" w:hAnsi="Times New Roman"/>
          <w:sz w:val="20"/>
        </w:rPr>
        <w:t xml:space="preserve">UK Companies Act means the UK Companies Act 2006 (as amended from time to time); </w:t>
      </w:r>
    </w:p>
    <w:p>
      <w:pPr>
        <w:pStyle w:val="TextBody"/>
        <w:spacing w:before="120" w:after="0"/>
        <w:jc w:val="left"/>
        <w:rPr>
          <w:rFonts w:ascii="Times New Roman" w:hAnsi="Times New Roman"/>
          <w:sz w:val="20"/>
        </w:rPr>
      </w:pPr>
      <w:r>
        <w:rPr>
          <w:rFonts w:ascii="Times New Roman" w:hAnsi="Times New Roman"/>
          <w:sz w:val="20"/>
        </w:rPr>
        <w:t xml:space="preserve">U.S. refers to the United States of America; and </w:t>
      </w:r>
    </w:p>
    <w:p>
      <w:pPr>
        <w:pStyle w:val="TextBody"/>
        <w:spacing w:before="120" w:after="0"/>
        <w:jc w:val="left"/>
        <w:rPr>
          <w:rFonts w:ascii="Times New Roman" w:hAnsi="Times New Roman"/>
          <w:sz w:val="20"/>
        </w:rPr>
      </w:pPr>
      <w:r>
        <w:rPr>
          <w:rFonts w:ascii="Times New Roman" w:hAnsi="Times New Roman"/>
          <w:sz w:val="20"/>
        </w:rPr>
        <w:t xml:space="preserve">USD refers to the U.S. Dollar.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x309194_4"/>
      <w:bookmarkEnd w:id="6"/>
      <w:r>
        <w:rPr>
          <w:rFonts w:ascii="Times New Roman" w:hAnsi="Times New Roman"/>
          <w:b/>
          <w:sz w:val="20"/>
        </w:rPr>
        <w:t xml:space="preserve">SUMMARY OF THE MATERIAL TERMS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parties to the Business Combination Agreement are Armada, Rezolve Limited, Rezolve, and Rezolve Merger Sub. </w:t>
      </w:r>
    </w:p>
    <w:p>
      <w:pPr>
        <w:pStyle w:val="TextBody"/>
        <w:spacing w:before="120" w:after="0"/>
        <w:jc w:val="left"/>
        <w:rPr>
          <w:rFonts w:ascii="Times New Roman" w:hAnsi="Times New Roman"/>
          <w:sz w:val="20"/>
        </w:rPr>
      </w:pPr>
      <w:r>
        <w:rPr>
          <w:rFonts w:ascii="Times New Roman" w:hAnsi="Times New Roman"/>
          <w:sz w:val="20"/>
        </w:rPr>
        <w:t xml:space="preserve">Under the Business Combination Agreement it is provided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6"/>
        <w:gridCol w:w="420"/>
        <w:gridCol w:w="9173"/>
      </w:tblGrid>
      <w:tr>
        <w:trPr/>
        <w:tc>
          <w:tcPr>
            <w:tcW w:w="946"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(ii)</w:t>
            </w:r>
          </w:p>
        </w:tc>
        <w:tc>
          <w:tcPr>
            <w:tcW w:w="91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240" w:after="0"/>
        <w:jc w:val="left"/>
        <w:rPr>
          <w:rFonts w:ascii="Times New Roman" w:hAnsi="Times New Roman"/>
          <w:sz w:val="20"/>
        </w:rPr>
      </w:pPr>
      <w:r>
        <w:rPr>
          <w:rFonts w:ascii="Times New Roman" w:hAnsi="Times New Roman"/>
          <w:sz w:val="20"/>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 in this summary entitled </w:t>
      </w:r>
      <w:r>
        <w:rPr>
          <w:rFonts w:ascii="Times New Roman" w:hAnsi="Times New Roman"/>
          <w:i/>
          <w:sz w:val="20"/>
        </w:rPr>
        <w:t>The Business Combination Proposal</w:t>
      </w:r>
      <w:r>
        <w:rPr>
          <w:rFonts w:ascii="Times New Roman" w:hAnsi="Times New Roman"/>
          <w:sz w:val="20"/>
        </w:rPr>
        <w:t xml:space="preserve"> for more information. </w:t>
      </w:r>
    </w:p>
    <w:p>
      <w:pPr>
        <w:pStyle w:val="TextBody"/>
        <w:spacing w:before="240" w:after="0"/>
        <w:jc w:val="left"/>
        <w:rPr>
          <w:rFonts w:ascii="Times New Roman" w:hAnsi="Times New Roman"/>
          <w:sz w:val="20"/>
        </w:rPr>
      </w:pPr>
      <w:r>
        <w:rPr>
          <w:rFonts w:ascii="Times New Roman" w:hAnsi="Times New Roman"/>
          <w:sz w:val="20"/>
        </w:rPr>
        <w:t xml:space="preserve">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 that will entitle the holder to purchase one Rezolve Ordinary Share in lieu of one share of Armada Common Stock and otherwise on substantially the same terms and conditions as the Armada Warrants. </w:t>
      </w:r>
    </w:p>
    <w:p>
      <w:pPr>
        <w:pStyle w:val="TextBody"/>
        <w:spacing w:before="240" w:after="0"/>
        <w:jc w:val="left"/>
        <w:rPr>
          <w:rFonts w:ascii="Times New Roman" w:hAnsi="Times New Roman"/>
          <w:sz w:val="20"/>
        </w:rPr>
      </w:pPr>
      <w:r>
        <w:rPr>
          <w:rFonts w:ascii="Times New Roman" w:hAnsi="Times New Roman"/>
          <w:sz w:val="20"/>
        </w:rPr>
        <w:t xml:space="preserve">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August 2, 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Times New Roman" w:hAnsi="Times New Roman"/>
          <w:i/>
          <w:sz w:val="20"/>
        </w:rPr>
        <w:t>The Business Combination Proposal  The Business Combination Agreement  Termination.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After the Business Combination, the directors of Rezolve will be Daniel Wagner, Anthony Sharp, Sir David Wright, John Wagner, Stephen Perry, and Derek Smith, all of whom are designated by Rezolve; Douglas Lurio and Stephen Herbert, both of whom are designated by Armada. After the Merger,                 ,                 and                 will be considered independent directors under the rules of Nasdaq. See the section entitled </w:t>
      </w:r>
      <w:r>
        <w:rPr>
          <w:rFonts w:ascii="Times New Roman" w:hAnsi="Times New Roman"/>
          <w:i/>
          <w:sz w:val="20"/>
        </w:rPr>
        <w:t>Management and Compensation of RezolveManagement of Rezolve Following the Business Combination.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Times New Roman" w:hAnsi="Times New Roman"/>
          <w:i/>
          <w:sz w:val="20"/>
        </w:rPr>
        <w:t>Management and Compensation of RezolveManagement of Rezolve Following the Business Combination.</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x309194_5"/>
      <w:bookmarkEnd w:id="7"/>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 future expectations;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contain projections of future results of operations or financial condition;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state other forward-looking information. </w:t>
            </w:r>
          </w:p>
        </w:tc>
      </w:tr>
    </w:tbl>
    <w:p>
      <w:pPr>
        <w:pStyle w:val="TextBody"/>
        <w:spacing w:before="240" w:after="0"/>
        <w:jc w:val="left"/>
        <w:rPr>
          <w:rFonts w:ascii="Times New Roman" w:hAnsi="Times New Roman"/>
          <w:sz w:val="20"/>
        </w:rPr>
      </w:pPr>
      <w:r>
        <w:rPr>
          <w:rFonts w:ascii="Times New Roman" w:hAnsi="Times New Roman"/>
          <w:sz w:val="20"/>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Times New Roman" w:hAnsi="Times New Roman"/>
          <w:i/>
          <w:sz w:val="20"/>
        </w:rPr>
        <w:t>Risk Factors,</w:t>
      </w:r>
      <w:r>
        <w:rPr>
          <w:rFonts w:ascii="Times New Roman" w:hAnsi="Times New Roman"/>
          <w:sz w:val="20"/>
        </w:rPr>
        <w:t xml:space="preserve"> provide examples of risks, uncertainties and events that may cause actual results to differ materially from the expectations described by Rezolve or Armada in such forward-looking statements, including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and percentage of Armadas public shareholders voting against the Business Combination Proposal and/or seeking Redemption;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occurrence of any event, change or other circumstances that could give rise to the termination of the Business Combination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ability to satisfy the listing criteria of the Nasdaq and to maintain the listing of its securities on Nasdaq following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adversely affecting the business in which Rezolve is engaged;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of the COVID-19 pandemic on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Armada or Rezolve following the announcement of the proposed Business Combination and transactions contemplated thereby;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risk that the proposed Business Combination disrupts current plans and operations of Rezolve as a result of the announcement and consummation of the transactions described 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Armadas ability to recognize the benefits of the Business Combination, which may be affected by, among other things, competition and the ability of Rezolve to grow and manage growth effectively following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costs related to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of the conflict in Ukraine or other hostilities;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business strategy and plans;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result of future financing efforts. </w:t>
            </w:r>
          </w:p>
        </w:tc>
      </w:tr>
    </w:tbl>
    <w:p>
      <w:pPr>
        <w:pStyle w:val="TextBody"/>
        <w:spacing w:before="240" w:after="0"/>
        <w:jc w:val="left"/>
        <w:rPr>
          <w:rFonts w:ascii="Times New Roman" w:hAnsi="Times New Roman"/>
          <w:sz w:val="20"/>
        </w:rPr>
      </w:pPr>
      <w:r>
        <w:rPr>
          <w:rFonts w:ascii="Times New Roman" w:hAnsi="Times New Roman"/>
          <w:sz w:val="20"/>
        </w:rPr>
        <w:t xml:space="preserve">You are cautioned not to place undue reliance on these forward-looking statements, which speak only as of the date of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All forward-looking statements included herein attributable to any of Armada, Rezolve or any person acting on either partys behalf are expressly qualified in their entirety by the cautionary statements contained or referred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x309194_6"/>
      <w:bookmarkEnd w:id="8"/>
      <w:r>
        <w:rPr>
          <w:rFonts w:ascii="Times New Roman" w:hAnsi="Times New Roman"/>
          <w:b/>
          <w:sz w:val="20"/>
        </w:rPr>
        <w:t xml:space="preserve">SUMMARY OF RISK FACTORS </w:t>
      </w:r>
    </w:p>
    <w:p>
      <w:pPr>
        <w:pStyle w:val="TextBody"/>
        <w:spacing w:before="240" w:after="0"/>
        <w:jc w:val="left"/>
        <w:rPr>
          <w:rFonts w:ascii="Times New Roman" w:hAnsi="Times New Roman"/>
          <w:sz w:val="20"/>
        </w:rPr>
      </w:pPr>
      <w:r>
        <w:rPr>
          <w:rFonts w:ascii="Times New Roman" w:hAnsi="Times New Roman"/>
          <w:sz w:val="20"/>
        </w:rPr>
        <w:t>The consummation of the Business Combination and the business and financial condition of Rezolve subsequent to Closing are subject to numerous risks and uncertainties, including those highlighted in the section titled </w:t>
      </w:r>
      <w:r>
        <w:rPr>
          <w:rFonts w:ascii="Times New Roman" w:hAnsi="Times New Roman"/>
          <w:i/>
          <w:sz w:val="20"/>
        </w:rPr>
        <w:t>Risk Factors</w:t>
      </w:r>
      <w:r>
        <w:rPr>
          <w:rFonts w:ascii="Times New Roman" w:hAnsi="Times New Roman"/>
          <w:sz w:val="20"/>
        </w:rPr>
        <w:t xml:space="preserve">. The occurrence of one or more of the events or circumstances described below, alone or in combination with other events or circumstances, may adversely affect Armadas ability to effect a business combination, and may have an adverse effect on the business, cash flows, financial condition and results of operations of Armada prior to the Business Combination and that of Rezolve subsequent to the Business Combination. Such risks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has generated limited revenues from existing Channels and there is no guarantee that it will be able to attract and retain new merchants and increase sales to new merchants.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is an early-stage company with a history of financial losses and expects to incur significant expenses and continuing losses for the foreseeable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worldwide economic conditions, including the resulting effect on spending by SMBs and spending on technology, may adversely affect Rezolves business, operating results and financial condition.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limited operating history in a new and developing market makes it difficult to evaluate its current business and future prospects and may increase the risk that it will not be successful.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growth depends in part on the success of its strategic relationships with third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radio advertising business in Germany is susceptible to risks associated with economic downturns and recession.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Non-performance under, termination, non-renewal or material modification of agreements with Rezolves business partners could have a material adverse effect on Rezolves business, financial condition and/or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business could be harmed if it fails to manage its growth effectively.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operating and financial results forecast relies in large part upon assumptions and analyses developed by Rezolve. If these assumptions or analyses prove to be incorrect, Rezolves actual operating results may be materially different from its forecasted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does not have the history with its solutions or pricing models necessary to accurately predict optimal pricing necessary to attract new merchants and retain existing merchants.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a result of Rezolves business model, it may not be able to accurately assess its financial position and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business is susceptible to risks associated with international sales and the use of its platform in various countries.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Exchange rate fluctuations may negatively affect Rezolves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operating results are expected to be subject to seasonal fluctuations.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Rezolves estimates or judgments relating to Rezolves critical accounting policies are ultimately incorrect, Rezolves results of operations could be adversely affected.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may not be able to compete successfully against current and future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Payment transactions on Rezolves platform may be subject to regulatory requirements and other risks that could be costly and difficult to comply with or that could harm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is a party to the Loan Note Instrument, which contains a number of covenants that may restrict our current and future operations and could adversely affect our ability to execute business needs.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may need to raise additional funds to pursue its growth strategy or continue its operations, and Rezolve may be unable to raise capital when needed or on acceptable terms.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effectively develop and expand Rezolves marketing, sales, customer service, and content management capabilities could harm its ability to increase Rezolves customer base and achieve broader market acceptance of Rezolves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availability of Rezolves platform does not meet its service-level commitments to customers, Rezolves current and future revenues may be negatively impacted.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will have broad discretion in the use of proceeds from this offering and may invest or spend the proceeds in ways with which you do not agree and in ways that may not yield a return.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does not intend to pay dividends for the foreseeable future.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regional or global health pandemic, including the global COVID-19 pandemic, may adversely impact Rezolves business, results of operations and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is unable to hire, retain and motivate qualified personnel, its business will be adversely affected.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is dependent on the continued services and performance of its senior management and other key employees, the loss of any of whom could adversely affect Rezolves business, operating results and financial condition.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is dependent upon consumers and merchants willingness to use the internet and internet-enabled mobile devices for commerce.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Rezolves software contains serious errors or defects, Rezolve may lose revenues and market acceptance and may incur costs to defend or settle claims with its merchants.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denial of service attack or security breach or incident could delay or interrupt service to Rezolves merchants and their customers, harm Rezolves reputation and subject Rezolve to significant liability.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uses a limited number of data centers to deliver its services. Any disruption of service at these facilities could harm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business and prospects would be harmed if changes to technologies used in Rezolves platform or new versions or upgrades of operating systems and internet browsers adversely impact the process by which merchants and consumers interface with Rezolves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relies on computer hardware, purchased or leased, and software licensed from and services rendered by third parties in order to provide its solutions and run its business.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does not or cannot maintain the compatibility of its platform with third-party applications that its customers use in their businesses, Rezolves revenues will decline.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Mobile devices are increasingly being used to conduct commerce, and if Rezolves solutions do not operate as effectively when accessed through these devices, Rezolves merchants and their customers may not be satisfied with Rezolves services, which could harm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may store and process personal data of its merchants and their customers. If the security of this information is compromised or otherwise subjected to unauthorized access, Rezolves reputation may be harmed and Rezolve may be exposed to liability.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brand is important to its success. If Rezolve fails to effectively maintain, promote and enhance Rezolves brand, Rezolves business and competitive advantage may be harmed.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Activities of merchants or the content of their shops could damage Rezolves brand, subject Rezolve to liability and harm its business and financial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fails to maintain a consistently high level of customer service, Rezolves brand, business and financial results may be harmed.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may be unable to maintain or protect its intellectual property rights and proprietary information, or obtain registrations in such rights or information, or otherwise prevent third parties from making unauthorized use of the foregoing, including its technology.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may be subject to claims by third parties of intellectual property infringement.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use of open source software could negatively affect its ability to sell its solutions and subject Rezolve to possible litigation.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financial accounting standards or practices may cause adverse, unexpected financial reporting fluctuations and adversely affect Rezolves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tax laws or tax rulings could materially affect Rezolves financial position, results of operations, and cash flows.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Claims for indemnification by Rezolves directors and officers may reduce Rezolves available funds to satisfy successful third-party claims against Rezolve and may reduce the amount of money available to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Enhanced trade tariffs, import restrictions, export restrictions, United States regulations or other trade barriers may materially harm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From time to time, Rezolve may be involved in legal proceedings and commercial or contractual disputes, which could have an adverse impact on Rezolves profitability and consolidated financial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provisions of the Articles and English law could deter takeover attempts.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x309194_7"/>
      <w:bookmarkEnd w:id="9"/>
      <w:r>
        <w:rPr>
          <w:rFonts w:ascii="Times New Roman" w:hAnsi="Times New Roman"/>
          <w:b/>
          <w:sz w:val="20"/>
        </w:rPr>
        <w:t xml:space="preserve">QUESTIONS AND ANSWERS ABOUT THE PROPOSALS </w:t>
      </w:r>
    </w:p>
    <w:p>
      <w:pPr>
        <w:pStyle w:val="TextBody"/>
        <w:spacing w:before="240" w:after="0"/>
        <w:jc w:val="left"/>
        <w:rPr>
          <w:rFonts w:ascii="Times New Roman" w:hAnsi="Times New Roman"/>
          <w:i/>
          <w:sz w:val="20"/>
        </w:rPr>
      </w:pPr>
      <w:r>
        <w:rPr>
          <w:rFonts w:ascii="Times New Roman" w:hAnsi="Times New Roman"/>
          <w:i/>
          <w:sz w:val="20"/>
        </w:rPr>
        <w:t xml:space="preserve">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 voting procedures for the Special Meeting, which will be held on                 , 2023 at                 , Eastern Time, virtually at http://www.cstproxy.com/armadaacquisition/2023.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being asked to consider and vote upon a proposal to adopt the Business Combination Agreement and approve the Business Combination and transactions contemplated thereby, among other proposals. We have entered into the Business Combination Agreement, pursuant to which: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(ii)</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(iii)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120" w:after="0"/>
        <w:jc w:val="left"/>
        <w:rPr>
          <w:rFonts w:ascii="Times New Roman" w:hAnsi="Times New Roman"/>
          <w:sz w:val="20"/>
        </w:rPr>
      </w:pPr>
      <w:r>
        <w:rPr>
          <w:rFonts w:ascii="Times New Roman" w:hAnsi="Times New Roman"/>
          <w:sz w:val="20"/>
        </w:rPr>
        <w:t xml:space="preserve">Accordingly, this proxy statement/prospectus covers the issuance by Rezolve of an aggregate of                  Rezolve Ordinary Shares,                  Rezolve Warrants and                  Rezolve Ordinary Shares issuable upon exercise of Rezolve Warrants. A copy of the Business Combination Agreement is attached to this proxy statement/prospectus as </w:t>
      </w:r>
      <w:r>
        <w:rPr>
          <w:rFonts w:ascii="Times New Roman" w:hAnsi="Times New Roman"/>
          <w:i/>
          <w:sz w:val="20"/>
        </w:rPr>
        <w:t>Annex 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u w:val="single"/>
        </w:rPr>
        <w:t>Your vote is important. You are encouraged to submit your proxy as soon as possible after carefully reviewing this proxy statement/prospectus and its Annexes</w:t>
      </w:r>
      <w:r>
        <w:rPr>
          <w:rFonts w:ascii="Times New Roman" w:hAnsi="Times New Roman"/>
          <w:b/>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Special Meeting will be held at                  Eastern Time, on                 , 2023, in a virtual format. Armadas Stockholders may attend, vote, and examine the list of Stockholders entitled to vote at the Special Meeting by visiting </w:t>
            </w:r>
            <w:r>
              <w:rPr>
                <w:rFonts w:ascii="Times New Roman" w:hAnsi="Times New Roman"/>
                <w:i/>
                <w:sz w:val="20"/>
              </w:rPr>
              <w:t>http://www.cstproxy.com/armadaacquisition/2023</w:t>
            </w:r>
            <w:r>
              <w:rPr>
                <w:rFonts w:ascii="Times New Roman" w:hAnsi="Times New Roman"/>
                <w:sz w:val="20"/>
              </w:rPr>
              <w:t xml:space="preserve"> and entering the control number found on their proxy card, voting instruction form, or notice included in their proxy materials. You may also attend the meeting telephonically by dialing 1 877-770-3647 (toll-free within the United States and Canada) or +1 312-780-0854 (outside of the United States and Canada, standard rates apply). The passcode for telephone access is                 , but please note that you will not be able to vote or ask questions if you choose to participate telephonically. The Special Meeting will be held in virtual meeting format only. You will not be able to attend the Special Meeting physically.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can I attend and vote at a virtual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a registered stockholder, you received a Proxy Card from                 . The form contains instructions on how to attend the virtual annual meeting including the URL address, along with your control number. You will need your control number for access. If you do not have your control number, contact                  at the phone number or e-mail address below.                  support contact information is as follows:                 , or email                 . </w:t>
            </w:r>
          </w:p>
        </w:tc>
      </w:tr>
    </w:tbl>
    <w:p>
      <w:pPr>
        <w:pStyle w:val="TextBody"/>
        <w:spacing w:before="120" w:after="0"/>
        <w:jc w:val="left"/>
        <w:rPr>
          <w:rFonts w:ascii="Times New Roman" w:hAnsi="Times New Roman"/>
          <w:sz w:val="20"/>
        </w:rPr>
      </w:pPr>
      <w:r>
        <w:rPr>
          <w:rFonts w:ascii="Times New Roman" w:hAnsi="Times New Roman"/>
          <w:sz w:val="20"/>
        </w:rPr>
        <w:t xml:space="preserve">You can pre-register to attend the virtual meeting starting on                 , 2023, at                  Eastern Time. Enter the URL address into your browser </w:t>
      </w:r>
      <w:r>
        <w:rPr>
          <w:rFonts w:ascii="Times New Roman" w:hAnsi="Times New Roman"/>
          <w:i/>
          <w:sz w:val="20"/>
        </w:rPr>
        <w:t>http://www.cstproxy.com/armadaacquisition/2023</w:t>
      </w:r>
      <w:r>
        <w:rPr>
          <w:rFonts w:ascii="Times New Roman" w:hAnsi="Times New Roman"/>
          <w:sz w:val="20"/>
        </w:rPr>
        <w:t xml:space="preserve">, enter your control number, name, and email address. Once you pre-register, you can vote or enter questions in the chat box. At the start of the meeting, you will need to re-log in using your control number and will also be prompted to enter your control number if you vote during the meeting. Beneficial owners, who own their investments through a bank or broker, will need to contact                  to receive a control number. If you plan to vote at the meeting you will need to have a legal proxy from your bank or broker, or if you would like to join and not vote,                  will issue you a guest control number with proof of ownership. Either way, you must contact                  for specific instructions on how to receive the control number. They can be contacted at the number or email address above. Please allow up to 72 hours prior to the meeting for processing your control number. </w:t>
      </w:r>
    </w:p>
    <w:p>
      <w:pPr>
        <w:pStyle w:val="TextBody"/>
        <w:spacing w:before="120" w:after="0"/>
        <w:jc w:val="left"/>
        <w:rPr>
          <w:rFonts w:ascii="Times New Roman" w:hAnsi="Times New Roman"/>
          <w:sz w:val="20"/>
        </w:rPr>
      </w:pPr>
      <w:r>
        <w:rPr>
          <w:rFonts w:ascii="Times New Roman" w:hAnsi="Times New Roman"/>
          <w:sz w:val="20"/>
        </w:rPr>
        <w:t xml:space="preserve">If you do not have internet capabilities, you can listen only to the meeting by dialing +1                  inside the U.S. and Canada and +1                  outside the U.S. and Canada (standard rates apply); when prompted enter the pin number                 . This is listen-only, you will not be able to vote or enter questions during the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are the specific proposals on which I am being asked to vote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being asked to approve the following proposals: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8"/>
        <w:gridCol w:w="526"/>
        <w:gridCol w:w="9595"/>
      </w:tblGrid>
      <w:tr>
        <w:trPr/>
        <w:tc>
          <w:tcPr>
            <w:tcW w:w="418"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w:t>
            </w:r>
            <w:r>
              <w:rPr>
                <w:rFonts w:ascii="Times New Roman" w:hAnsi="Times New Roman"/>
                <w:sz w:val="20"/>
              </w:rPr>
              <w:t xml:space="preserve">  To consider and vote upon a proposal to adopt and approve the business combination described in this proxy statement/prospectus (the Business Combination and such proposal, the Business Combination Proposal), including the Business Combination Agreement, dated as of December 17, 2021 as amended on November 10, 2022 and as further amended and restated on June 16, 2023 (as the same may be further amended, supplemented or otherwise modified from time to time, the Business Combination Agreement), by and among Armada, Rezolve Limited, a private limited company organized under the laws of England and Wales, Rezolve AI Limited, a private limited company organized under the laws of England and Wales (Rezolve), and Rezolve Merger Sub, Inc., a Delaware corporation (Rezolve Merger Sub),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3"/>
        <w:gridCol w:w="9596"/>
      </w:tblGrid>
      <w:tr>
        <w:trPr/>
        <w:tc>
          <w:tcPr>
            <w:tcW w:w="943" w:type="dxa"/>
            <w:tcBorders/>
            <w:shd w:fill="auto" w:val="clear"/>
            <w:vAlign w:val="center"/>
          </w:tcPr>
          <w:p>
            <w:pPr>
              <w:pStyle w:val="TableContents"/>
              <w:spacing w:before="0" w:after="283"/>
              <w:rPr/>
            </w:pPr>
            <w:r>
              <w:rPr/>
              <w:t> </w:t>
            </w:r>
          </w:p>
        </w:tc>
        <w:tc>
          <w:tcPr>
            <w:tcW w:w="9596" w:type="dxa"/>
            <w:tcBorders/>
            <w:shd w:fill="auto" w:val="clear"/>
          </w:tcPr>
          <w:p>
            <w:pPr>
              <w:pStyle w:val="TableContents"/>
              <w:spacing w:before="0" w:after="283"/>
              <w:jc w:val="left"/>
              <w:rPr/>
            </w:pPr>
            <w:r>
              <w:rPr/>
              <w:t xml:space="preserve">pursuant to which Armada, Rezolve and Rezolve Merger Sub will effect a series of transactions including, among other things: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6"/>
        <w:gridCol w:w="420"/>
        <w:gridCol w:w="9173"/>
      </w:tblGrid>
      <w:tr>
        <w:trPr/>
        <w:tc>
          <w:tcPr>
            <w:tcW w:w="946"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(ii)</w:t>
            </w:r>
          </w:p>
        </w:tc>
        <w:tc>
          <w:tcPr>
            <w:tcW w:w="91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8"/>
        <w:gridCol w:w="526"/>
        <w:gridCol w:w="9595"/>
      </w:tblGrid>
      <w:tr>
        <w:trPr/>
        <w:tc>
          <w:tcPr>
            <w:tcW w:w="418"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2.</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Proposal</w:t>
            </w:r>
            <w:r>
              <w:rPr>
                <w:rFonts w:ascii="Times New Roman" w:hAnsi="Times New Roman"/>
                <w:sz w:val="20"/>
              </w:rPr>
              <w:t xml:space="preserve">  To consider and vote upon a proposal to adopt and approve, for the purposes of complying 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 (the Nasdaq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7"/>
        <w:gridCol w:w="9593"/>
      </w:tblGrid>
      <w:tr>
        <w:trPr/>
        <w:tc>
          <w:tcPr>
            <w:tcW w:w="419"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3.</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Incentive Equity Plan Proposal</w:t>
            </w:r>
            <w:r>
              <w:rPr>
                <w:rFonts w:ascii="Times New Roman" w:hAnsi="Times New Roman"/>
                <w:sz w:val="20"/>
              </w:rPr>
              <w:t xml:space="preserve">  To consider and vote upon a proposal to adopt and approve, the Rezolve Incentive Equity Plan (the Rezolve Incentive Equity Plan), which will become effective on the Closing Date and will be used by Rezolve following the Closing (the Incentive Equity Plan Proposal);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4.</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  Adjournment Proposal</w:t>
            </w:r>
            <w:r>
              <w:rPr>
                <w:rFonts w:ascii="Times New Roman" w:hAnsi="Times New Roman"/>
                <w:sz w:val="20"/>
              </w:rPr>
              <w:t xml:space="preserve">  To approve, if necessary, the adjournment of the Special Meeting to a later date or dates to permit further solicitation and votes of proxies in the event that there are insufficient votes for, or otherwise in connection with, the approval of the Business Combination Proposal, the Nasdaq Proposal or the Incentive Equity Plan Proposal. This proposal will only be presented at the Special Meeting if there are not sufficient votes to approve the Business Combination Proposal, the Nasdaq Proposal or the Incentive Equity Plan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Are the proposals conditioned on one another?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 will be consummated only if the Business Combination Proposal, the Nasdaq Proposal, and the Incentive Equity Plan Proposal are approved at the Special Meeting.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 is important for you to note that in the event that the Business Combination Proposal, the Nasdaq Proposal, or the Incentive Equity Plan Proposal does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 </w:t>
      </w:r>
    </w:p>
    <w:p>
      <w:pPr>
        <w:pStyle w:val="TextBody"/>
        <w:spacing w:before="120" w:after="0"/>
        <w:jc w:val="left"/>
        <w:rPr>
          <w:rFonts w:ascii="Times New Roman" w:hAnsi="Times New Roman"/>
          <w:sz w:val="20"/>
        </w:rPr>
      </w:pPr>
      <w:r>
        <w:rPr>
          <w:rFonts w:ascii="Times New Roman" w:hAnsi="Times New Roman"/>
          <w:sz w:val="20"/>
        </w:rPr>
        <w:t xml:space="preserve">Our current deadline under our current amended and restated certificate of incorporation to consummate the Business Combination is August 17, 2023. The Business Combination Agreement may be terminated and the Business Combination may be abandoned by Armada or Rezolve, if the effective time of the Business Combination has not occurred prior to August 2, 2023; </w:t>
      </w:r>
      <w:r>
        <w:rPr>
          <w:rFonts w:ascii="Times New Roman" w:hAnsi="Times New Roman"/>
          <w:sz w:val="20"/>
          <w:u w:val="single"/>
        </w:rPr>
        <w:t>provided</w:t>
      </w:r>
      <w:r>
        <w:rPr>
          <w:rFonts w:ascii="Times New Roman" w:hAnsi="Times New Roman"/>
          <w:sz w:val="20"/>
        </w:rPr>
        <w:t xml:space="preserve">, that the right to terminate the Business Combination Agreement will not be available to Armada or Rezolve, respectively, if such partys respective breach of any of its respective covenants or obligations under the Business Combination Agreement shall have primarily caused the failure to consummate the transactions under the Business Combination Agreement on or before the Termination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Why are we providing stockholders with the opportunity to vote on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Q:</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revenues and profits/losses has Rezolve generated in the last two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has generated total revenues of $3.9 million and $12.3 million for the years ended December 31, 2021 and December 31, 2022, respectively, and total losses of $37.7 million and $104.1 million for the years ended December 31, 2021 and December 31, 2022,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will Rezolve be acquired in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Times New Roman" w:hAnsi="Times New Roman"/>
                <w:i/>
                <w:sz w:val="20"/>
              </w:rPr>
              <w:t>The Business Combination Proposal</w:t>
            </w:r>
            <w:r>
              <w:rPr>
                <w:rFonts w:ascii="Times New Roman" w:hAnsi="Times New Roman"/>
                <w:sz w:val="20"/>
              </w:rPr>
              <w:t xml:space="preserve"> for more information. As a result of the Business Combination, Rezolve will become a new public company, and Armada will become a wholly-owned subsidiary of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Following the Business Combination, will my securities trade on a stock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We intend to apply for the listing of Rezolve Ordinary Shares and Rezolve Warrants on the Nasdaq under the symbols                  and                 , respectively, upon the Closing. Rezolve will not have units traded following the consummation of the Business Combination.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has the announcement of the Business Combination affected the trading price of our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December 16, 2021, the last trading date immediately prior to the public announcement of the Business Combination, Armada Common Stock, Armada Warrants, and Armada Units closed at $9.75, $0.4899, and $10.01, respectively.                  , the last trading date immediately prior to the date of this proxy statement/prospectus, Armada Common Stock and Armada Units closed at $                 and $                 , respectively. On                  , the last trading day immediately prior to the date of this proxy statement/prospectus, the Armada Warrants closed at $                 per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Is the Business Combination the first step in a going private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Did Armadas Board of Directors obtain a third-party fairness opinion in determining whether or not to proceed with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and the written opinion of Marshall &amp; Stevens attached as </w:t>
            </w:r>
            <w:r>
              <w:rPr>
                <w:rFonts w:ascii="Times New Roman" w:hAnsi="Times New Roman"/>
                <w:i/>
                <w:sz w:val="20"/>
              </w:rPr>
              <w:t xml:space="preserve">Annex </w:t>
            </w:r>
            <w:r>
              <w:rPr>
                <w:rFonts w:ascii="Times New Roman" w:hAnsi="Times New Roman"/>
                <w:sz w:val="20"/>
              </w:rPr>
              <w:t xml:space="preserve">                 hereto. </w:t>
            </w:r>
          </w:p>
        </w:tc>
      </w:tr>
    </w:tbl>
    <w:p>
      <w:pPr>
        <w:pStyle w:val="TextBody"/>
        <w:spacing w:before="120" w:after="0"/>
        <w:jc w:val="left"/>
        <w:rPr>
          <w:rFonts w:ascii="Times New Roman" w:hAnsi="Times New Roman"/>
          <w:sz w:val="20"/>
        </w:rPr>
      </w:pPr>
      <w:r>
        <w:rPr>
          <w:rFonts w:ascii="Times New Roman" w:hAnsi="Times New Roman"/>
          <w:sz w:val="20"/>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hAnsi="Times New Roman"/>
          <w:i/>
          <w:sz w:val="20"/>
        </w:rPr>
        <w:t>The Business Combination Proposal  Opinion of Northland</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Will the management and board of directors of Rezolve change in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anticipate that all of the executive officers of Rezolve will remain with the post-combination company. Upon completion of the Business Combination, Stephen Herbert and Douglas Lurio will be appointed as 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Q:</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equity stake will current stockholders of Armada and the Rezolve equity holders hold in the post-combination company after the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It is anticipated that, upon completion of the Business Combination, assuming minimum redemptions: (i) the Armada public stockholders will have an ownership interest of approximately     % in Rezolve (not including shares beneficially owned by our Sponsor); (ii) our Sponsor will own approximately     % of Rezolve; and (iii) the existing Rezolve equity holders will own approximately     %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 to this proxy statement/prospectus as </w:t>
            </w:r>
            <w:r>
              <w:rPr>
                <w:rFonts w:ascii="Times New Roman" w:hAnsi="Times New Roman"/>
                <w:i/>
                <w:sz w:val="20"/>
              </w:rPr>
              <w:t>Annex</w:t>
            </w:r>
            <w:r>
              <w:rPr>
                <w:rFonts w:ascii="Times New Roman" w:hAnsi="Times New Roman"/>
                <w:sz w:val="20"/>
              </w:rPr>
              <w:t>                . If the actual facts are different than these assumptions, the percentage ownership retained by Armadas stockholders in the post-combination company will be different. For more information, please see the sections entitled </w:t>
            </w:r>
            <w:r>
              <w:rPr>
                <w:rFonts w:ascii="Times New Roman" w:hAnsi="Times New Roman"/>
                <w:i/>
                <w:sz w:val="20"/>
              </w:rPr>
              <w:t>Unaudited Pro Forma Condensed Combined Financial Information,</w:t>
            </w:r>
            <w:r>
              <w:rPr>
                <w:rFonts w:ascii="Times New Roman" w:hAnsi="Times New Roman"/>
                <w:sz w:val="20"/>
              </w:rPr>
              <w:t> and </w:t>
            </w:r>
            <w:r>
              <w:rPr>
                <w:rFonts w:ascii="Times New Roman" w:hAnsi="Times New Roman"/>
                <w:i/>
                <w:sz w:val="20"/>
              </w:rPr>
              <w:t>Proposal No.</w:t>
            </w:r>
            <w:r>
              <w:rPr>
                <w:rFonts w:ascii="Times New Roman" w:hAnsi="Times New Roman"/>
                <w:sz w:val="20"/>
              </w:rPr>
              <w:t> </w:t>
            </w:r>
            <w:r>
              <w:rPr>
                <w:rFonts w:ascii="Times New Roman" w:hAnsi="Times New Roman"/>
                <w:i/>
                <w:sz w:val="20"/>
              </w:rPr>
              <w:t>3  The Incentive Equity Plan Proposal</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Will we obtain new financing in connection with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 </w:t>
            </w:r>
          </w:p>
        </w:tc>
      </w:tr>
    </w:tbl>
    <w:p>
      <w:pPr>
        <w:pStyle w:val="TextBody"/>
        <w:spacing w:before="120" w:after="0"/>
        <w:jc w:val="left"/>
        <w:rPr>
          <w:rFonts w:ascii="Times New Roman" w:hAnsi="Times New Roman"/>
          <w:sz w:val="20"/>
        </w:rPr>
      </w:pPr>
      <w:r>
        <w:rPr>
          <w:rFonts w:ascii="Times New Roman" w:hAnsi="Times New Roman"/>
          <w:sz w:val="20"/>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Times New Roman" w:hAnsi="Times New Roman"/>
          <w:i/>
          <w:sz w:val="20"/>
        </w:rPr>
        <w:t>Rezolves Managements Discussion and AnalysisLiquidity and Capital ResourcesYorkville Capital Commitment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Notwithstanding the financing available under the Standby Purchase Agreement, Armada or Rezolve may need to obtain additional financing to consummate the Business Combination, but there is no assurance that new financing will be available to us on commercially acceptable terms.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conditions must be satisfied to complete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w:t>
            </w:r>
            <w:r>
              <w:rPr>
                <w:rFonts w:ascii="Times New Roman" w:hAnsi="Times New Roman"/>
                <w:sz w:val="20"/>
              </w:rPr>
              <w:t xml:space="preserve"> </w:t>
            </w:r>
            <w:r>
              <w:rPr>
                <w:rFonts w:ascii="Times New Roman" w:hAnsi="Times New Roman"/>
                <w:i/>
                <w:sz w:val="20"/>
              </w:rPr>
              <w:t>The Business Combination Agreement</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Are there any arrangements to help ensure that Armada will have sufficient funds, together with the proceeds in its Trust Account, to fund the aggregate purchase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Armada will use the funds in the Trust Account to: (i) pay Company stockholders who properly exercise their redemption rights; and, provided that there are funds remaining after this payment and (ii) pay certain other fees, costs and expenses (including deferred underwriting commissions, regulatory fees, legal fees, accounting fees, printer fees and other professional fees) that were incurred by Armada and other parties to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vAlign w:val="center"/>
          </w:tcPr>
          <w:p>
            <w:pPr>
              <w:pStyle w:val="TableContents"/>
              <w:spacing w:before="0" w:after="283"/>
              <w:rPr/>
            </w:pPr>
            <w:r>
              <w:rPr/>
              <w:t> </w:t>
            </w:r>
          </w:p>
        </w:tc>
        <w:tc>
          <w:tcPr>
            <w:tcW w:w="10119" w:type="dxa"/>
            <w:tcBorders/>
            <w:shd w:fill="auto" w:val="clear"/>
          </w:tcPr>
          <w:p>
            <w:pPr>
              <w:pStyle w:val="TableContents"/>
              <w:spacing w:before="0" w:after="283"/>
              <w:jc w:val="left"/>
              <w:rPr/>
            </w:pPr>
            <w:r>
              <w:rPr/>
              <w:t xml:space="preserve">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Why is Armada proposing the Nasdaq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proposing the Nasdaq Proposal in order to comply with Nasdaq Listing Rule 5635, which requires stockholder approval of certain transactions that result in a change of control of Armada. </w:t>
            </w:r>
          </w:p>
        </w:tc>
      </w:tr>
    </w:tbl>
    <w:p>
      <w:pPr>
        <w:pStyle w:val="TextBody"/>
        <w:spacing w:before="120" w:after="0"/>
        <w:jc w:val="left"/>
        <w:rPr>
          <w:rFonts w:ascii="Times New Roman" w:hAnsi="Times New Roman"/>
          <w:sz w:val="20"/>
        </w:rPr>
      </w:pPr>
      <w:r>
        <w:rPr>
          <w:rFonts w:ascii="Times New Roman" w:hAnsi="Times New Roman"/>
          <w:sz w:val="20"/>
        </w:rPr>
        <w:t>In connection with the Business Combination, Rezolve expects, on a pro forma basis, to issue approximately                  Rezolve Ordinary Shares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2 </w:t>
      </w:r>
      <w:r>
        <w:rPr>
          <w:rFonts w:ascii="Times New Roman" w:hAnsi="Times New Roman"/>
          <w:sz w:val="20"/>
        </w:rPr>
        <w:t xml:space="preserve"> </w:t>
      </w:r>
      <w:r>
        <w:rPr>
          <w:rFonts w:ascii="Times New Roman" w:hAnsi="Times New Roman"/>
          <w:i/>
          <w:sz w:val="20"/>
        </w:rPr>
        <w:t>The Nasdaq Proposal</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Why is Armada proposing the Incentive Equity Plan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3 </w:t>
            </w:r>
            <w:r>
              <w:rPr>
                <w:rFonts w:ascii="Times New Roman" w:hAnsi="Times New Roman"/>
                <w:sz w:val="20"/>
              </w:rPr>
              <w:t xml:space="preserve"> </w:t>
            </w:r>
            <w:r>
              <w:rPr>
                <w:rFonts w:ascii="Times New Roman" w:hAnsi="Times New Roman"/>
                <w:i/>
                <w:sz w:val="20"/>
              </w:rPr>
              <w:t>The Incentive Equity Plan Proposal</w:t>
            </w:r>
            <w:r>
              <w:rPr>
                <w:rFonts w:ascii="Times New Roman" w:hAnsi="Times New Roman"/>
                <w:sz w:val="20"/>
              </w:rPr>
              <w:t xml:space="preserve"> for additional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Q:</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Why is Armada proposing the Adjournment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or the Incentive Equity Plan Proposal, but no other proposal if the Business Combination Proposal, the Nasdaq Proposal, and the Incentive Equity Plan Proposal are approved.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4 </w:t>
            </w:r>
            <w:r>
              <w:rPr>
                <w:rFonts w:ascii="Times New Roman" w:hAnsi="Times New Roman"/>
                <w:sz w:val="20"/>
              </w:rPr>
              <w:t xml:space="preserve"> </w:t>
            </w:r>
            <w:r>
              <w:rPr>
                <w:rFonts w:ascii="Times New Roman" w:hAnsi="Times New Roman"/>
                <w:i/>
                <w:sz w:val="20"/>
              </w:rPr>
              <w:t>The Adjournment Proposal</w:t>
            </w:r>
            <w:r>
              <w:rPr>
                <w:rFonts w:ascii="Times New Roman" w:hAnsi="Times New Roman"/>
                <w:sz w:val="20"/>
              </w:rPr>
              <w:t xml:space="preserve"> for additional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happens if you sell your shares of Armada Common Stock before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Q:</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constitutes a quorum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 Abstentions will be counted as present for the purpose of determining a quorum. Our Sponsor, who currently owns approximately                 % of our issued and outstanding shares of Armada Common Stock (including the Founder Shares), will count towards this quorum. In the absence of a quorum, the chairman of the Special Meeting has power to adjourn the Special Meeting. As of the record date for the Special Meeting,                  shares of Armada Common Stock (including the Founder Shares) would be required to achieve a quorum.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vote is required to approve the proposals presented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 xml:space="preserve">1 </w:t>
            </w:r>
            <w:r>
              <w:rPr>
                <w:rFonts w:ascii="Times New Roman" w:hAnsi="Times New Roman"/>
                <w:sz w:val="20"/>
              </w:rPr>
              <w:t xml:space="preserve"> </w:t>
            </w:r>
            <w:r>
              <w:rPr>
                <w:rFonts w:ascii="Times New Roman" w:hAnsi="Times New Roman"/>
                <w:b/>
                <w:i/>
                <w:sz w:val="20"/>
              </w:rPr>
              <w:t>The Business Combination Proposal:</w:t>
            </w:r>
            <w:r>
              <w:rPr>
                <w:rFonts w:ascii="Times New Roman" w:hAnsi="Times New Roman"/>
                <w:sz w:val="20"/>
              </w:rPr>
              <w:t xml:space="preserve"> The approval of the Business Combination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Times New Roman" w:hAnsi="Times New Roman"/>
                <w:b/>
                <w:sz w:val="20"/>
              </w:rPr>
              <w:t>FOR</w:t>
            </w:r>
            <w:r>
              <w:rPr>
                <w:rFonts w:ascii="Times New Roman" w:hAnsi="Times New Roman"/>
                <w:sz w:val="20"/>
              </w:rPr>
              <w:t xml:space="preserve"> the Business Combination Proposal. </w:t>
            </w:r>
          </w:p>
        </w:tc>
      </w:tr>
    </w:tbl>
    <w:p>
      <w:pPr>
        <w:pStyle w:val="TextBody"/>
        <w:spacing w:before="12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 xml:space="preserve">2 </w:t>
      </w:r>
      <w:r>
        <w:rPr>
          <w:rFonts w:ascii="Times New Roman" w:hAnsi="Times New Roman"/>
          <w:sz w:val="20"/>
        </w:rPr>
        <w:t xml:space="preserve"> </w:t>
      </w:r>
      <w:r>
        <w:rPr>
          <w:rFonts w:ascii="Times New Roman" w:hAnsi="Times New Roman"/>
          <w:b/>
          <w:i/>
          <w:sz w:val="20"/>
        </w:rPr>
        <w:t>The Nasdaq Proposal:</w:t>
      </w:r>
      <w:r>
        <w:rPr>
          <w:rFonts w:ascii="Times New Roman" w:hAnsi="Times New Roman"/>
          <w:sz w:val="20"/>
        </w:rPr>
        <w:t xml:space="preserve"> The approval of the Nasdaq Proposal requires the affirmative vote of a majority of the votes cast by the 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 </w:t>
      </w:r>
    </w:p>
    <w:p>
      <w:pPr>
        <w:pStyle w:val="TextBody"/>
        <w:spacing w:before="120" w:after="0"/>
        <w:jc w:val="left"/>
        <w:rPr>
          <w:rFonts w:ascii="Times New Roman" w:hAnsi="Times New Roman"/>
          <w:sz w:val="20"/>
        </w:rPr>
      </w:pPr>
      <w:r>
        <w:rPr>
          <w:rFonts w:ascii="Times New Roman" w:hAnsi="Times New Roman"/>
          <w:b/>
          <w:i/>
          <w:sz w:val="20"/>
        </w:rPr>
        <w:t>Proposal No.</w:t>
      </w:r>
      <w:r>
        <w:rPr>
          <w:rFonts w:ascii="Times New Roman" w:hAnsi="Times New Roman"/>
          <w:sz w:val="20"/>
        </w:rPr>
        <w:t> </w:t>
      </w:r>
      <w:r>
        <w:rPr>
          <w:rFonts w:ascii="Times New Roman" w:hAnsi="Times New Roman"/>
          <w:b/>
          <w:i/>
          <w:sz w:val="20"/>
        </w:rPr>
        <w:t xml:space="preserve">3 </w:t>
      </w:r>
      <w:r>
        <w:rPr>
          <w:rFonts w:ascii="Times New Roman" w:hAnsi="Times New Roman"/>
          <w:sz w:val="20"/>
        </w:rPr>
        <w:t xml:space="preserve"> </w:t>
      </w:r>
      <w:r>
        <w:rPr>
          <w:rFonts w:ascii="Times New Roman" w:hAnsi="Times New Roman"/>
          <w:b/>
          <w:i/>
          <w:sz w:val="20"/>
        </w:rPr>
        <w:t>The Incentive Equity Plan Proposal:</w:t>
      </w:r>
      <w:r>
        <w:rPr>
          <w:rFonts w:ascii="Times New Roman" w:hAnsi="Times New Roman"/>
          <w:sz w:val="20"/>
        </w:rPr>
        <w:t xml:space="preserve"> The Incentive Equity Plan Proposal requires the affirmative vote 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 </w:t>
      </w:r>
    </w:p>
    <w:p>
      <w:pPr>
        <w:pStyle w:val="TextBody"/>
        <w:spacing w:before="120" w:after="0"/>
        <w:jc w:val="left"/>
        <w:rPr>
          <w:rFonts w:ascii="Times New Roman" w:hAnsi="Times New Roman"/>
          <w:sz w:val="20"/>
        </w:rPr>
      </w:pPr>
      <w:r>
        <w:rPr>
          <w:rFonts w:ascii="Times New Roman" w:hAnsi="Times New Roman"/>
          <w:b/>
          <w:i/>
          <w:sz w:val="20"/>
        </w:rPr>
        <w:t xml:space="preserve">Proposal No.4 </w:t>
      </w:r>
      <w:r>
        <w:rPr>
          <w:rFonts w:ascii="Times New Roman" w:hAnsi="Times New Roman"/>
          <w:sz w:val="20"/>
        </w:rPr>
        <w:t xml:space="preserve"> </w:t>
      </w:r>
      <w:r>
        <w:rPr>
          <w:rFonts w:ascii="Times New Roman" w:hAnsi="Times New Roman"/>
          <w:b/>
          <w:i/>
          <w:sz w:val="20"/>
        </w:rPr>
        <w:t>The Adjournment Proposal:</w:t>
      </w:r>
      <w:r>
        <w:rPr>
          <w:rFonts w:ascii="Times New Roman" w:hAnsi="Times New Roman"/>
          <w:sz w:val="20"/>
        </w:rPr>
        <w:t xml:space="preserve"> 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May Armada, the Sponsor or Armadas directors or officers or their affiliates purchase shares in connection with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many votes do you have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stockholder is entitled to one vote on each proposal presented at the Special Meeting for each share of Armada Common Stock held of record by such stockholder as of                 , 2023, the record date for the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vAlign w:val="center"/>
          </w:tcPr>
          <w:p>
            <w:pPr>
              <w:pStyle w:val="TableContents"/>
              <w:spacing w:before="0" w:after="283"/>
              <w:rPr/>
            </w:pPr>
            <w:r>
              <w:rPr/>
              <w:t> </w:t>
            </w:r>
          </w:p>
        </w:tc>
        <w:tc>
          <w:tcPr>
            <w:tcW w:w="10120" w:type="dxa"/>
            <w:tcBorders/>
            <w:shd w:fill="auto" w:val="clear"/>
          </w:tcPr>
          <w:p>
            <w:pPr>
              <w:pStyle w:val="TableContents"/>
              <w:spacing w:before="0" w:after="283"/>
              <w:jc w:val="left"/>
              <w:rPr/>
            </w:pPr>
            <w:r>
              <w:rPr/>
              <w:t xml:space="preserve">Special Meeting. As of the close of business on the record date, there were                  outstanding shares of our Armada Common Stock and founder shares entitled to vote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will our Sponsor, directors and officers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our IPO, we entered into agreements with our Sponsor, pursuant to which the Sponsor agreed to vote any shares of Armada Common Stock owned by it in favor of the Business Combination Proposal. Currently, our Sponsor owns approximately     % of our issued and outstanding shares of Armada Common Stock and will be able to vote all such shares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do I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were a stockholder of record at the close of business on                 , 2023, you may vote by granting a proxy. Specifically, you may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By Mail </w:t>
            </w:r>
            <w:r>
              <w:rPr>
                <w:rFonts w:ascii="Times New Roman" w:hAnsi="Times New Roman"/>
                <w:sz w:val="20"/>
              </w:rPr>
              <w:t xml:space="preserve"> You may vote by mail by completing, signing, dating and returning the enclosed proxy card in the postage-paid envelope provided. </w:t>
            </w:r>
            <w:r>
              <w:rPr>
                <w:rFonts w:ascii="Times New Roman" w:hAnsi="Times New Roman"/>
                <w:b/>
                <w:sz w:val="20"/>
              </w:rPr>
              <w:t>Votes submitted by mail must be received by</w:t>
            </w:r>
            <w:r>
              <w:rPr>
                <w:rFonts w:ascii="Times New Roman" w:hAnsi="Times New Roman"/>
                <w:sz w:val="20"/>
              </w:rPr>
              <w:t xml:space="preserve"> </w:t>
            </w:r>
            <w:r>
              <w:rPr>
                <w:rFonts w:ascii="Times New Roman" w:hAnsi="Times New Roman"/>
                <w:b/>
                <w:sz w:val="20"/>
              </w:rPr>
              <w:t xml:space="preserve">11:59 p.m. Eastern time on </w:t>
            </w:r>
            <w:r>
              <w:rPr>
                <w:rFonts w:ascii="Times New Roman" w:hAnsi="Times New Roman"/>
                <w:sz w:val="20"/>
              </w:rPr>
              <w:t>                </w:t>
            </w:r>
            <w:r>
              <w:rPr>
                <w:rFonts w:ascii="Times New Roman" w:hAnsi="Times New Roman"/>
                <w:b/>
                <w:sz w:val="20"/>
              </w:rPr>
              <w:t>, 2023.</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2"/>
        <w:gridCol w:w="231"/>
        <w:gridCol w:w="110"/>
        <w:gridCol w:w="9156"/>
      </w:tblGrid>
      <w:tr>
        <w:trPr/>
        <w:tc>
          <w:tcPr>
            <w:tcW w:w="1042" w:type="dxa"/>
            <w:tcBorders/>
            <w:shd w:fill="auto" w:val="clear"/>
            <w:vAlign w:val="center"/>
          </w:tcPr>
          <w:p>
            <w:pPr>
              <w:pStyle w:val="TableContents"/>
              <w:spacing w:before="0" w:after="283"/>
              <w:rPr/>
            </w:pPr>
            <w:r>
              <w:rPr/>
              <w:t> </w:t>
            </w:r>
          </w:p>
        </w:tc>
        <w:tc>
          <w:tcPr>
            <w:tcW w:w="231"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should sign your name exactly as it appears on the proxy card. If you are signing in a representative capacity (for example, as guardian, executor, trustee, custodian, attorney or officer of a corporation), indicate your name and title or capacity.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4"/>
        <w:gridCol w:w="240"/>
        <w:gridCol w:w="112"/>
        <w:gridCol w:w="9143"/>
      </w:tblGrid>
      <w:tr>
        <w:trPr/>
        <w:tc>
          <w:tcPr>
            <w:tcW w:w="1044"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encourage you to sign and return the proxy card even if you plan to attend the Special Meeting so that your shares will be voted if you are unable to attend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4"/>
        <w:gridCol w:w="240"/>
        <w:gridCol w:w="112"/>
        <w:gridCol w:w="9143"/>
      </w:tblGrid>
      <w:tr>
        <w:trPr/>
        <w:tc>
          <w:tcPr>
            <w:tcW w:w="1044"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receive more than one proxy card, it is an indication that your shares are held in multiple accounts. Please sign and return all proxy cards to ensure that all of your shares are voted.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Voting at the Special Meeting </w:t>
            </w:r>
            <w:r>
              <w:rPr>
                <w:rFonts w:ascii="Times New Roman" w:hAnsi="Times New Roman"/>
                <w:sz w:val="20"/>
              </w:rPr>
              <w:t xml:space="preserve"> We will be hosting the Special Meeting via live webcast. If you attend the Special Meeting, you may submit your vote at the Special Meeting online at </w:t>
            </w:r>
            <w:r>
              <w:rPr>
                <w:rFonts w:ascii="Times New Roman" w:hAnsi="Times New Roman"/>
                <w:i/>
                <w:sz w:val="20"/>
              </w:rPr>
              <w:t>http://www.cstproxy.com/armadaacquisition/2023</w:t>
            </w:r>
            <w:r>
              <w:rPr>
                <w:rFonts w:ascii="Times New Roman" w:hAnsi="Times New Roman"/>
                <w:sz w:val="20"/>
              </w:rPr>
              <w:t xml:space="preserve">, in which case any votes that you previously submitted will be superseded by the vote that you cast at the Special Meeting. </w:t>
            </w:r>
          </w:p>
        </w:tc>
      </w:tr>
    </w:tbl>
    <w:p>
      <w:pPr>
        <w:pStyle w:val="TextBody"/>
        <w:spacing w:before="120" w:after="0"/>
        <w:jc w:val="left"/>
        <w:rPr>
          <w:rFonts w:ascii="Times New Roman" w:hAnsi="Times New Roman"/>
          <w:sz w:val="20"/>
        </w:rPr>
      </w:pPr>
      <w:r>
        <w:rPr>
          <w:rFonts w:ascii="Times New Roman" w:hAnsi="Times New Roman"/>
          <w:sz w:val="20"/>
        </w:rPr>
        <w:t xml:space="preserve">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will happen if I abstain from voting or fail to vote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At the Special Meeting, we will count a properly executed proxy marked </w:t>
            </w:r>
            <w:r>
              <w:rPr>
                <w:rFonts w:ascii="Times New Roman" w:hAnsi="Times New Roman"/>
                <w:b/>
                <w:sz w:val="20"/>
              </w:rPr>
              <w:t>ABSTAIN</w:t>
            </w:r>
            <w:r>
              <w:rPr>
                <w:rFonts w:ascii="Times New Roman" w:hAnsi="Times New Roman"/>
                <w:sz w:val="20"/>
              </w:rPr>
              <w:t xml:space="preserve">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will happen if I sign and return my proxy card without indicating how I wish to vote?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Signed and dated proxies received by us without an indication of how the stockholder intends to vote on a proposal will be voted </w:t>
            </w:r>
            <w:r>
              <w:rPr>
                <w:rFonts w:ascii="Times New Roman" w:hAnsi="Times New Roman"/>
                <w:b/>
                <w:sz w:val="20"/>
              </w:rPr>
              <w:t>FOR</w:t>
            </w:r>
            <w:r>
              <w:rPr>
                <w:rFonts w:ascii="Times New Roman" w:hAnsi="Times New Roman"/>
                <w:sz w:val="20"/>
              </w:rPr>
              <w:t xml:space="preserve"> each proposal presented to the stockholders. The proxyholders may use their discretion to vote on any other matters which properly come before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If I am not going to attend the Special Meeting, should I return my proxy card instead?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Whether you plan to attend the Special Meeting or not, please read the enclosed proxy statement/prospectus carefully. If you are a stockholder of record of Armada Common Stock as of the close 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vAlign w:val="center"/>
          </w:tcPr>
          <w:p>
            <w:pPr>
              <w:pStyle w:val="TableContents"/>
              <w:spacing w:before="0" w:after="283"/>
              <w:rPr/>
            </w:pPr>
            <w:r>
              <w:rPr/>
              <w:t> </w:t>
            </w:r>
          </w:p>
        </w:tc>
        <w:tc>
          <w:tcPr>
            <w:tcW w:w="10120" w:type="dxa"/>
            <w:tcBorders/>
            <w:shd w:fill="auto" w:val="clear"/>
          </w:tcPr>
          <w:p>
            <w:pPr>
              <w:pStyle w:val="TableContents"/>
              <w:spacing w:before="0" w:after="283"/>
              <w:jc w:val="left"/>
              <w:rPr/>
            </w:pPr>
            <w:r>
              <w:rPr/>
              <w:t xml:space="preserve">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is the difference between a stockholder of record and a street name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If my shares are held in street name, will my broker, bank, or nominee automatically vote my shares for 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Times New Roman" w:hAnsi="Times New Roman"/>
                <w:b/>
                <w:sz w:val="20"/>
                <w:u w:val="single"/>
              </w:rPr>
              <w:t>cannot vote your shares without your instruction</w:t>
            </w:r>
            <w:r>
              <w:rPr>
                <w:rFonts w:ascii="Times New Roman" w:hAnsi="Times New Roman"/>
                <w:sz w:val="20"/>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will a broker non-vote impact the results of each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Broker non-votes will not have any effect on the outcome of any Proposals.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May I change my vote after I have returned my signed proxy card or voting instruction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Yes. If you are a holder of record of Armada Common Stock as of the close of business on the record date, whether you vote by mail or in person, you can change or revoke your proxy before it is voted at the Special Meeting by: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delivering a signed written notice of revocation to our Secretary at Armada Acquisition Corp. I, 2005 Market Street, Suite 3120, Philadelphia, Pennsylvania 19103, bearing a date later than the date of the proxy, stating that the proxy is revoked;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signing and delivering a new proxy, relating to the same shares and bearing a later date;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attending the Special Meeting and voting, although attendance at the Special Meeting will not, by itself, revoke a proxy. </w:t>
            </w:r>
          </w:p>
        </w:tc>
      </w:tr>
    </w:tbl>
    <w:p>
      <w:pPr>
        <w:pStyle w:val="TextBody"/>
        <w:spacing w:before="120" w:after="0"/>
        <w:jc w:val="left"/>
        <w:rPr>
          <w:rFonts w:ascii="Times New Roman" w:hAnsi="Times New Roman"/>
          <w:sz w:val="20"/>
        </w:rPr>
      </w:pPr>
      <w:r>
        <w:rPr>
          <w:rFonts w:ascii="Times New Roman" w:hAnsi="Times New Roman"/>
          <w:sz w:val="20"/>
        </w:rPr>
        <w:t xml:space="preserve">If you are a beneficial owner of Armada Common Stock as of the close of business on the record date, you must follow the instructions of your broker, bank, or other nominee to revoke or change your voting instructions.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interests do our Sponsor and our current officers and directors have in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tc>
      </w:tr>
    </w:tbl>
    <w:p>
      <w:pPr>
        <w:pStyle w:val="TextBody"/>
        <w:spacing w:before="120" w:after="0"/>
        <w:jc w:val="left"/>
        <w:rPr>
          <w:rFonts w:ascii="Times New Roman" w:hAnsi="Times New Roman"/>
          <w:sz w:val="20"/>
        </w:rPr>
      </w:pPr>
      <w:r>
        <w:rPr>
          <w:rFonts w:ascii="Times New Roman" w:hAnsi="Times New Roman"/>
          <w:sz w:val="20"/>
        </w:rPr>
        <w:t xml:space="preserve">These interests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Rezolves board of directors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3"/>
        <w:gridCol w:w="9596"/>
      </w:tblGrid>
      <w:tr>
        <w:trPr/>
        <w:tc>
          <w:tcPr>
            <w:tcW w:w="943" w:type="dxa"/>
            <w:tcBorders/>
            <w:shd w:fill="auto" w:val="clear"/>
            <w:vAlign w:val="center"/>
          </w:tcPr>
          <w:p>
            <w:pPr>
              <w:pStyle w:val="TableContents"/>
              <w:spacing w:before="0" w:after="283"/>
              <w:rPr/>
            </w:pPr>
            <w:r>
              <w:rPr/>
              <w:t> </w:t>
            </w:r>
          </w:p>
        </w:tc>
        <w:tc>
          <w:tcPr>
            <w:tcW w:w="9596"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 the Non-Redeeming Stockholders at Closing, among satisfaction of other conditions; however, subsequent to Armadas 2023 annual meeting of stockholders, the Non-Redeeming Stockholders may elect to redeem any public shares held;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spacing w:before="240" w:after="0"/>
        <w:jc w:val="left"/>
        <w:rPr>
          <w:rFonts w:ascii="Times New Roman" w:hAnsi="Times New Roman"/>
          <w:sz w:val="20"/>
        </w:rPr>
      </w:pPr>
      <w:r>
        <w:rPr>
          <w:rFonts w:ascii="Times New Roman" w:hAnsi="Times New Roman"/>
          <w:sz w:val="2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happens if you vote against the Business Combination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 be approved and, assuming the approval of the Nasdaq Proposal, the Incentive Equity Plan Proposal and the satisfaction or waiver of the other conditions to closing, the Business Combination will be consummated in accordance with the terms of the Business Combination Agreement. </w:t>
            </w:r>
          </w:p>
        </w:tc>
      </w:tr>
    </w:tbl>
    <w:p>
      <w:pPr>
        <w:pStyle w:val="TextBody"/>
        <w:spacing w:before="120" w:after="0"/>
        <w:jc w:val="left"/>
        <w:rPr>
          <w:rFonts w:ascii="Times New Roman" w:hAnsi="Times New Roman"/>
          <w:sz w:val="20"/>
        </w:rPr>
      </w:pPr>
      <w:r>
        <w:rPr>
          <w:rFonts w:ascii="Times New Roman" w:hAnsi="Times New Roman"/>
          <w:sz w:val="20"/>
        </w:rPr>
        <w:t xml:space="preserve">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Do you have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 and income taxes), subject to certain limitations. For illustrative purposes, based on the approximate balance of the Trust Account of approximately $                million as of                 , the estimated per share redemption price would have been approximately $                . </w:t>
            </w:r>
            <w:r>
              <w:rPr>
                <w:rFonts w:ascii="Times New Roman" w:hAnsi="Times New Roman"/>
                <w:b/>
                <w:sz w:val="20"/>
              </w:rPr>
              <w:t>Public stockholders may elect to redeem their shares even if they vote for the Business Combination</w:t>
            </w:r>
            <w:r>
              <w:rPr>
                <w:rFonts w:ascii="Times New Roman" w:hAnsi="Times New Roman"/>
                <w:sz w:val="20"/>
              </w:rPr>
              <w:t xml:space="preserve">. Any request to redeem public shares, once 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w:t>
            </w:r>
          </w:p>
        </w:tc>
      </w:tr>
    </w:tbl>
    <w:p>
      <w:pPr>
        <w:pStyle w:val="TextBody"/>
        <w:spacing w:before="120" w:after="0"/>
        <w:jc w:val="left"/>
        <w:rPr>
          <w:rFonts w:ascii="Times New Roman" w:hAnsi="Times New Roman"/>
          <w:sz w:val="20"/>
        </w:rPr>
      </w:pPr>
      <w:r>
        <w:rPr>
          <w:rFonts w:ascii="Times New Roman" w:hAnsi="Times New Roman"/>
          <w:sz w:val="20"/>
        </w:rPr>
        <w:t xml:space="preserve">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except that in no event will we redeem shares of Armada Common Stock in an amount that would result in Armadas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 </w:t>
      </w:r>
    </w:p>
    <w:p>
      <w:pPr>
        <w:pStyle w:val="TextBody"/>
        <w:spacing w:before="120" w:after="0"/>
        <w:jc w:val="left"/>
        <w:rPr>
          <w:rFonts w:ascii="Times New Roman" w:hAnsi="Times New Roman"/>
          <w:sz w:val="20"/>
        </w:rPr>
      </w:pPr>
      <w:r>
        <w:rPr>
          <w:rFonts w:ascii="Times New Roman" w:hAnsi="Times New Roman"/>
          <w:sz w:val="20"/>
        </w:rPr>
        <w:t xml:space="preserve">If you elect not to redeem your shares of Armada Common Stock you will become a stockholder of Rezolve following the Closing. The following table, for which information is not available as of the date of this proxy statement/prospectus but is expected to be completed subsequent to the date of this proxy statement/prospectus, illustrates varying ownership levels, potential sources of dilution that may occur following the consummation of the Business Combination and, for each scenario, the book value per share of Rezolve, on a pro forma basis as of                 , 2023, assuming minimum redemptions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Armadas public stockholders, 50% of the maximum redemptions by Armadas public stockholders, and maximum redemptions by Armadas public stockholders: </w:t>
      </w:r>
    </w:p>
    <w:p>
      <w:pPr>
        <w:pStyle w:val="TextBody"/>
        <w:spacing w:before="0" w:after="0"/>
        <w:jc w:val="left"/>
        <w:rPr/>
      </w:pPr>
      <w:r>
        <w:rPr/>
        <w:t> </w:t>
      </w:r>
    </w:p>
    <w:tbl>
      <w:tblPr>
        <w:tblW w:w="10835" w:type="dxa"/>
        <w:jc w:val="center"/>
        <w:tblInd w:w="0" w:type="dxa"/>
        <w:tblCellMar>
          <w:top w:w="0" w:type="dxa"/>
          <w:left w:w="0" w:type="dxa"/>
          <w:bottom w:w="0" w:type="dxa"/>
          <w:right w:w="0" w:type="dxa"/>
        </w:tblCellMar>
      </w:tblPr>
      <w:tblGrid>
        <w:gridCol w:w="3545"/>
        <w:gridCol w:w="120"/>
        <w:gridCol w:w="243"/>
        <w:gridCol w:w="834"/>
        <w:gridCol w:w="104"/>
        <w:gridCol w:w="208"/>
        <w:gridCol w:w="104"/>
        <w:gridCol w:w="837"/>
        <w:gridCol w:w="60"/>
        <w:gridCol w:w="120"/>
        <w:gridCol w:w="230"/>
        <w:gridCol w:w="791"/>
        <w:gridCol w:w="98"/>
        <w:gridCol w:w="197"/>
        <w:gridCol w:w="98"/>
        <w:gridCol w:w="796"/>
        <w:gridCol w:w="60"/>
        <w:gridCol w:w="120"/>
        <w:gridCol w:w="230"/>
        <w:gridCol w:w="791"/>
        <w:gridCol w:w="98"/>
        <w:gridCol w:w="197"/>
        <w:gridCol w:w="98"/>
        <w:gridCol w:w="796"/>
        <w:gridCol w:w="60"/>
      </w:tblGrid>
      <w:tr>
        <w:trPr/>
        <w:tc>
          <w:tcPr>
            <w:tcW w:w="35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545" w:type="dxa"/>
            <w:vMerge w:val="restart"/>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Amounts in thousands, except share amounts per</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share amounts and percentages</w:t>
            </w:r>
          </w:p>
        </w:tc>
        <w:tc>
          <w:tcPr>
            <w:tcW w:w="120" w:type="dxa"/>
            <w:tcBorders/>
            <w:shd w:fill="auto" w:val="clear"/>
            <w:vAlign w:val="bottom"/>
          </w:tcPr>
          <w:p>
            <w:pPr>
              <w:pStyle w:val="TableContents"/>
              <w:spacing w:before="0" w:after="283"/>
              <w:rPr/>
            </w:pPr>
            <w:r>
              <w:rPr/>
              <w:t>  </w:t>
            </w:r>
          </w:p>
        </w:tc>
        <w:tc>
          <w:tcPr>
            <w:tcW w:w="233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Minimum Redemption</w:t>
            </w:r>
            <w:r>
              <w:rPr/>
              <w:br/>
            </w:r>
            <w:r>
              <w:rPr>
                <w:b/>
              </w:rPr>
              <w:t>Scenario</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1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50% of Maximum</w:t>
            </w:r>
            <w:r>
              <w:rPr/>
              <w:br/>
            </w:r>
            <w:r>
              <w:rPr>
                <w:b/>
              </w:rPr>
              <w:t>Redemption Scenario</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1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Maximum</w:t>
            </w:r>
            <w:r>
              <w:rPr/>
              <w:br/>
            </w:r>
            <w:r>
              <w:rPr>
                <w:b/>
              </w:rPr>
              <w:t>Redemption Scenario</w:t>
            </w:r>
          </w:p>
        </w:tc>
        <w:tc>
          <w:tcPr>
            <w:tcW w:w="60" w:type="dxa"/>
            <w:tcBorders/>
            <w:shd w:fill="auto" w:val="clear"/>
            <w:vAlign w:val="bottom"/>
          </w:tcPr>
          <w:p>
            <w:pPr>
              <w:pStyle w:val="TableContents"/>
              <w:spacing w:before="0" w:after="283"/>
              <w:rPr/>
            </w:pPr>
            <w:r>
              <w:rPr/>
              <w:t> </w:t>
            </w:r>
          </w:p>
        </w:tc>
      </w:tr>
      <w:tr>
        <w:trPr/>
        <w:tc>
          <w:tcPr>
            <w:tcW w:w="3545" w:type="dxa"/>
            <w:vMerge w:val="continue"/>
            <w:tcBorders/>
            <w:shd w:fill="auto" w:val="clear"/>
            <w:vAlign w:val="bottom"/>
          </w:tcPr>
          <w:p>
            <w:pPr>
              <w:pStyle w:val="Normal"/>
              <w:rPr/>
            </w:pPr>
            <w:r>
              <w:rPr/>
            </w:r>
          </w:p>
        </w:tc>
        <w:tc>
          <w:tcPr>
            <w:tcW w:w="120" w:type="dxa"/>
            <w:tcBorders/>
            <w:shd w:fill="auto" w:val="clear"/>
            <w:vAlign w:val="bottom"/>
          </w:tcPr>
          <w:p>
            <w:pPr>
              <w:pStyle w:val="TableContents"/>
              <w:spacing w:before="0" w:after="283"/>
              <w:rPr/>
            </w:pPr>
            <w:r>
              <w:rPr/>
              <w:t>  </w:t>
            </w:r>
          </w:p>
        </w:tc>
        <w:tc>
          <w:tcPr>
            <w:tcW w:w="10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0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9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r>
      <w:tr>
        <w:trPr/>
        <w:tc>
          <w:tcPr>
            <w:tcW w:w="3545" w:type="dxa"/>
            <w:tcBorders/>
            <w:shd w:fill="CCEEFF" w:val="clear"/>
          </w:tcPr>
          <w:p>
            <w:pPr>
              <w:pStyle w:val="TableContents"/>
              <w:spacing w:before="0" w:after="0"/>
              <w:rPr>
                <w:rFonts w:ascii="Times New Roman" w:hAnsi="Times New Roman"/>
                <w:sz w:val="20"/>
              </w:rPr>
            </w:pPr>
            <w:r>
              <w:rPr>
                <w:rFonts w:ascii="Times New Roman" w:hAnsi="Times New Roman"/>
                <w:sz w:val="20"/>
              </w:rPr>
              <w:t>Rezolve Shareholders</w:t>
            </w:r>
          </w:p>
        </w:tc>
        <w:tc>
          <w:tcPr>
            <w:tcW w:w="12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04"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sz w:val="4"/>
                <w:szCs w:val="4"/>
              </w:rPr>
            </w:pPr>
            <w:r>
              <w:rPr>
                <w:sz w:val="4"/>
                <w:szCs w:val="4"/>
              </w:rPr>
            </w:r>
          </w:p>
        </w:tc>
        <w:tc>
          <w:tcPr>
            <w:tcW w:w="8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545" w:type="dxa"/>
            <w:tcBorders/>
            <w:shd w:fill="auto" w:val="clear"/>
          </w:tcPr>
          <w:p>
            <w:pPr>
              <w:pStyle w:val="TableContents"/>
              <w:spacing w:before="0" w:after="0"/>
              <w:rPr>
                <w:rFonts w:ascii="Times New Roman" w:hAnsi="Times New Roman"/>
                <w:sz w:val="20"/>
              </w:rPr>
            </w:pPr>
            <w:r>
              <w:rPr>
                <w:rFonts w:ascii="Times New Roman" w:hAnsi="Times New Roman"/>
                <w:sz w:val="20"/>
              </w:rPr>
              <w:t>Armada Stockholders</w:t>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sz w:val="4"/>
                <w:szCs w:val="4"/>
              </w:rPr>
            </w:pPr>
            <w:r>
              <w:rPr>
                <w:sz w:val="4"/>
                <w:szCs w:val="4"/>
              </w:rPr>
            </w:r>
          </w:p>
        </w:tc>
        <w:tc>
          <w:tcPr>
            <w:tcW w:w="834"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sz w:val="4"/>
                <w:szCs w:val="4"/>
              </w:rPr>
            </w:pPr>
            <w:r>
              <w:rPr>
                <w:sz w:val="4"/>
                <w:szCs w:val="4"/>
              </w:rPr>
            </w:r>
          </w:p>
        </w:tc>
        <w:tc>
          <w:tcPr>
            <w:tcW w:w="8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79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79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3545" w:type="dxa"/>
            <w:tcBorders/>
            <w:shd w:fill="CCEEFF" w:val="clear"/>
          </w:tcPr>
          <w:p>
            <w:pPr>
              <w:pStyle w:val="TableContents"/>
              <w:spacing w:before="0" w:after="0"/>
              <w:rPr>
                <w:rFonts w:ascii="Times New Roman" w:hAnsi="Times New Roman"/>
                <w:sz w:val="20"/>
              </w:rPr>
            </w:pPr>
            <w:r>
              <w:rPr>
                <w:rFonts w:ascii="Times New Roman" w:hAnsi="Times New Roman"/>
                <w:sz w:val="20"/>
              </w:rPr>
              <w:t>Public</w:t>
            </w:r>
          </w:p>
        </w:tc>
        <w:tc>
          <w:tcPr>
            <w:tcW w:w="12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04"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sz w:val="4"/>
                <w:szCs w:val="4"/>
              </w:rPr>
            </w:pPr>
            <w:r>
              <w:rPr>
                <w:sz w:val="4"/>
                <w:szCs w:val="4"/>
              </w:rPr>
            </w:r>
          </w:p>
        </w:tc>
        <w:tc>
          <w:tcPr>
            <w:tcW w:w="8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545" w:type="dxa"/>
            <w:tcBorders/>
            <w:shd w:fill="auto" w:val="clear"/>
          </w:tcPr>
          <w:p>
            <w:pPr>
              <w:pStyle w:val="TableContents"/>
              <w:spacing w:before="0" w:after="0"/>
              <w:rPr>
                <w:rFonts w:ascii="Times New Roman" w:hAnsi="Times New Roman"/>
                <w:sz w:val="20"/>
              </w:rPr>
            </w:pPr>
            <w:r>
              <w:rPr>
                <w:rFonts w:ascii="Times New Roman" w:hAnsi="Times New Roman"/>
                <w:sz w:val="20"/>
              </w:rPr>
              <w:t>Sponsor</w:t>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3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8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79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79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3545" w:type="dxa"/>
            <w:tcBorders/>
            <w:shd w:fill="CCEEFF" w:val="clear"/>
          </w:tcPr>
          <w:p>
            <w:pPr>
              <w:pStyle w:val="TableContents"/>
              <w:spacing w:before="0" w:after="0"/>
              <w:rPr>
                <w:rFonts w:ascii="Times New Roman" w:hAnsi="Times New Roman"/>
                <w:b/>
                <w:sz w:val="20"/>
              </w:rPr>
            </w:pPr>
            <w:r>
              <w:rPr>
                <w:rFonts w:ascii="Times New Roman" w:hAnsi="Times New Roman"/>
                <w:b/>
                <w:sz w:val="20"/>
              </w:rPr>
              <w:t>Pro Forma Rezolve Ordinary Shares Outstanding</w:t>
            </w:r>
          </w:p>
        </w:tc>
        <w:tc>
          <w:tcPr>
            <w:tcW w:w="12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sz w:val="4"/>
                <w:szCs w:val="4"/>
              </w:rPr>
            </w:pPr>
            <w:r>
              <w:rPr>
                <w:sz w:val="4"/>
                <w:szCs w:val="4"/>
              </w:rPr>
            </w:r>
          </w:p>
        </w:tc>
        <w:tc>
          <w:tcPr>
            <w:tcW w:w="834" w:type="dxa"/>
            <w:tcBorders/>
            <w:shd w:fill="CCEEFF" w:val="clear"/>
            <w:vAlign w:val="bottom"/>
          </w:tcPr>
          <w:p>
            <w:pPr>
              <w:pStyle w:val="TableContents"/>
              <w:spacing w:before="0" w:after="283"/>
              <w:rPr>
                <w:sz w:val="4"/>
                <w:szCs w:val="4"/>
              </w:rPr>
            </w:pPr>
            <w:r>
              <w:rPr>
                <w:sz w:val="4"/>
                <w:szCs w:val="4"/>
              </w:rPr>
            </w:r>
          </w:p>
        </w:tc>
        <w:tc>
          <w:tcPr>
            <w:tcW w:w="104" w:type="dxa"/>
            <w:tcBorders/>
            <w:shd w:fill="CCEEFF" w:val="clear"/>
            <w:vAlign w:val="bottom"/>
          </w:tcPr>
          <w:p>
            <w:pPr>
              <w:pStyle w:val="TableContents"/>
              <w:spacing w:before="0" w:after="283"/>
              <w:rPr>
                <w:sz w:val="4"/>
                <w:szCs w:val="4"/>
              </w:rPr>
            </w:pPr>
            <w:r>
              <w:rPr>
                <w:sz w:val="4"/>
                <w:szCs w:val="4"/>
              </w:rPr>
            </w:r>
          </w:p>
        </w:tc>
        <w:tc>
          <w:tcPr>
            <w:tcW w:w="20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sz w:val="4"/>
                <w:szCs w:val="4"/>
              </w:rPr>
            </w:pPr>
            <w:r>
              <w:rPr>
                <w:sz w:val="4"/>
                <w:szCs w:val="4"/>
              </w:rPr>
            </w:r>
          </w:p>
        </w:tc>
        <w:tc>
          <w:tcPr>
            <w:tcW w:w="8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791"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sz w:val="4"/>
                <w:szCs w:val="4"/>
              </w:rPr>
            </w:pPr>
            <w:r>
              <w:rPr>
                <w:sz w:val="4"/>
                <w:szCs w:val="4"/>
              </w:rPr>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double" w:sz="6" w:space="1" w:color="000000"/>
              </w:pBdr>
              <w:spacing w:before="0" w:after="0"/>
              <w:rPr/>
            </w:pPr>
            <w:r>
              <w:rPr/>
              <w:t> </w:t>
            </w:r>
          </w:p>
        </w:tc>
        <w:tc>
          <w:tcPr>
            <w:tcW w:w="834" w:type="dxa"/>
            <w:tcBorders/>
            <w:shd w:fill="auto" w:val="clear"/>
            <w:vAlign w:val="bottom"/>
          </w:tcPr>
          <w:p>
            <w:pPr>
              <w:pStyle w:val="TableContents"/>
              <w:pBdr>
                <w:top w:val="double" w:sz="6"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double" w:sz="6" w:space="1" w:color="000000"/>
              </w:pBdr>
              <w:spacing w:before="0" w:after="0"/>
              <w:rPr/>
            </w:pPr>
            <w:r>
              <w:rPr/>
              <w:t> </w:t>
            </w:r>
          </w:p>
        </w:tc>
        <w:tc>
          <w:tcPr>
            <w:tcW w:w="83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791" w:type="dxa"/>
            <w:tcBorders/>
            <w:shd w:fill="auto" w:val="clear"/>
            <w:vAlign w:val="bottom"/>
          </w:tcPr>
          <w:p>
            <w:pPr>
              <w:pStyle w:val="TableContents"/>
              <w:pBdr>
                <w:top w:val="double" w:sz="6"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0"/>
              <w:rPr/>
            </w:pPr>
            <w:r>
              <w:rPr/>
              <w:t> </w:t>
            </w:r>
          </w:p>
        </w:tc>
        <w:tc>
          <w:tcPr>
            <w:tcW w:w="79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791" w:type="dxa"/>
            <w:tcBorders/>
            <w:shd w:fill="auto" w:val="clear"/>
            <w:vAlign w:val="bottom"/>
          </w:tcPr>
          <w:p>
            <w:pPr>
              <w:pStyle w:val="TableContents"/>
              <w:pBdr>
                <w:top w:val="double" w:sz="6"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0"/>
              <w:rPr/>
            </w:pPr>
            <w:r>
              <w:rPr/>
              <w:t> </w:t>
            </w:r>
          </w:p>
        </w:tc>
        <w:tc>
          <w:tcPr>
            <w:tcW w:w="79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3545" w:type="dxa"/>
            <w:tcBorders/>
            <w:shd w:fill="auto" w:val="clear"/>
          </w:tcPr>
          <w:p>
            <w:pPr>
              <w:pStyle w:val="TableContents"/>
              <w:spacing w:before="0" w:after="0"/>
              <w:rPr>
                <w:rFonts w:ascii="Times New Roman" w:hAnsi="Times New Roman"/>
                <w:sz w:val="20"/>
              </w:rPr>
            </w:pPr>
            <w:r>
              <w:rPr>
                <w:rFonts w:ascii="Times New Roman" w:hAnsi="Times New Roman"/>
                <w:sz w:val="20"/>
              </w:rPr>
              <w:t>Pro Forma Rezolve Book Value of Equity</w:t>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834"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sz w:val="4"/>
                <w:szCs w:val="4"/>
              </w:rPr>
            </w:pPr>
            <w:r>
              <w:rPr>
                <w:sz w:val="4"/>
                <w:szCs w:val="4"/>
              </w:rPr>
            </w:r>
          </w:p>
        </w:tc>
        <w:tc>
          <w:tcPr>
            <w:tcW w:w="8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791"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791" w:type="dxa"/>
            <w:tcBorders/>
            <w:shd w:fill="auto" w:val="clear"/>
            <w:vAlign w:val="bottom"/>
          </w:tcPr>
          <w:p>
            <w:pPr>
              <w:pStyle w:val="TableContents"/>
              <w:spacing w:before="0" w:after="283"/>
              <w:jc w:val="right"/>
              <w:rPr/>
            </w:pPr>
            <w:r>
              <w:rPr/>
              <w:t> </w:t>
            </w:r>
          </w:p>
        </w:tc>
        <w:tc>
          <w:tcPr>
            <w:tcW w:w="98"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sz w:val="4"/>
                <w:szCs w:val="4"/>
              </w:rPr>
            </w:pPr>
            <w:r>
              <w:rPr>
                <w:sz w:val="4"/>
                <w:szCs w:val="4"/>
              </w:rPr>
            </w:r>
          </w:p>
        </w:tc>
        <w:tc>
          <w:tcPr>
            <w:tcW w:w="79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3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834" w:type="dxa"/>
            <w:tcBorders/>
            <w:shd w:fill="auto" w:val="clear"/>
            <w:vAlign w:val="bottom"/>
          </w:tcPr>
          <w:p>
            <w:pPr>
              <w:pStyle w:val="TableContents"/>
              <w:pBdr>
                <w:top w:val="single" w:sz="2"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8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79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791" w:type="dxa"/>
            <w:tcBorders/>
            <w:shd w:fill="auto" w:val="clear"/>
            <w:vAlign w:val="bottom"/>
          </w:tcPr>
          <w:p>
            <w:pPr>
              <w:pStyle w:val="TableContents"/>
              <w:pBdr>
                <w:top w:val="single" w:sz="2"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0"/>
              <w:rPr/>
            </w:pPr>
            <w:r>
              <w:rPr/>
              <w:t> </w:t>
            </w:r>
          </w:p>
        </w:tc>
        <w:tc>
          <w:tcPr>
            <w:tcW w:w="79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3545" w:type="dxa"/>
            <w:tcBorders/>
            <w:shd w:fill="CCEEFF" w:val="clear"/>
          </w:tcPr>
          <w:p>
            <w:pPr>
              <w:pStyle w:val="TableContents"/>
              <w:spacing w:before="0" w:after="0"/>
              <w:rPr>
                <w:rFonts w:ascii="Times New Roman" w:hAnsi="Times New Roman"/>
                <w:b/>
                <w:sz w:val="20"/>
              </w:rPr>
            </w:pPr>
            <w:r>
              <w:rPr>
                <w:rFonts w:ascii="Times New Roman" w:hAnsi="Times New Roman"/>
                <w:b/>
                <w:sz w:val="20"/>
              </w:rPr>
              <w:t>Pro Forma Rezolve Book Value per Share</w:t>
            </w:r>
          </w:p>
        </w:tc>
        <w:tc>
          <w:tcPr>
            <w:tcW w:w="12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w:t>
            </w:r>
          </w:p>
        </w:tc>
        <w:tc>
          <w:tcPr>
            <w:tcW w:w="834"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sz w:val="4"/>
                <w:szCs w:val="4"/>
              </w:rPr>
            </w:pPr>
            <w:r>
              <w:rPr>
                <w:sz w:val="4"/>
                <w:szCs w:val="4"/>
              </w:rPr>
            </w:r>
          </w:p>
        </w:tc>
        <w:tc>
          <w:tcPr>
            <w:tcW w:w="8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791"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791" w:type="dxa"/>
            <w:tcBorders/>
            <w:shd w:fill="CCEEFF" w:val="clear"/>
            <w:vAlign w:val="bottom"/>
          </w:tcPr>
          <w:p>
            <w:pPr>
              <w:pStyle w:val="TableContents"/>
              <w:spacing w:before="0" w:after="283"/>
              <w:jc w:val="right"/>
              <w:rPr/>
            </w:pPr>
            <w:r>
              <w:rPr/>
              <w:t> </w:t>
            </w:r>
          </w:p>
        </w:tc>
        <w:tc>
          <w:tcPr>
            <w:tcW w:w="98" w:type="dxa"/>
            <w:tcBorders/>
            <w:shd w:fill="CCEEFF" w:val="clear"/>
            <w:vAlign w:val="bottom"/>
          </w:tcPr>
          <w:p>
            <w:pPr>
              <w:pStyle w:val="TableContents"/>
              <w:spacing w:before="0" w:after="283"/>
              <w:rPr/>
            </w:pPr>
            <w:r>
              <w:rPr/>
              <w:t> </w:t>
            </w:r>
          </w:p>
        </w:tc>
        <w:tc>
          <w:tcPr>
            <w:tcW w:w="197"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79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54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double" w:sz="6" w:space="1" w:color="000000"/>
              </w:pBdr>
              <w:spacing w:before="0" w:after="0"/>
              <w:rPr/>
            </w:pPr>
            <w:r>
              <w:rPr/>
              <w:t> </w:t>
            </w:r>
          </w:p>
        </w:tc>
        <w:tc>
          <w:tcPr>
            <w:tcW w:w="834" w:type="dxa"/>
            <w:tcBorders/>
            <w:shd w:fill="auto" w:val="clear"/>
            <w:vAlign w:val="bottom"/>
          </w:tcPr>
          <w:p>
            <w:pPr>
              <w:pStyle w:val="TableContents"/>
              <w:pBdr>
                <w:top w:val="double" w:sz="6" w:space="1" w:color="000000"/>
              </w:pBdr>
              <w:spacing w:before="0" w:after="0"/>
              <w:rPr/>
            </w:pPr>
            <w:r>
              <w:rPr/>
              <w:t> </w:t>
            </w:r>
          </w:p>
        </w:tc>
        <w:tc>
          <w:tcPr>
            <w:tcW w:w="104" w:type="dxa"/>
            <w:tcBorders/>
            <w:shd w:fill="auto" w:val="clear"/>
            <w:vAlign w:val="cente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double" w:sz="6" w:space="1" w:color="000000"/>
              </w:pBdr>
              <w:spacing w:before="0" w:after="0"/>
              <w:rPr/>
            </w:pPr>
            <w:r>
              <w:rPr/>
              <w:t> </w:t>
            </w:r>
          </w:p>
        </w:tc>
        <w:tc>
          <w:tcPr>
            <w:tcW w:w="83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791" w:type="dxa"/>
            <w:tcBorders/>
            <w:shd w:fill="auto" w:val="clear"/>
            <w:vAlign w:val="bottom"/>
          </w:tcPr>
          <w:p>
            <w:pPr>
              <w:pStyle w:val="TableContents"/>
              <w:pBdr>
                <w:top w:val="double" w:sz="6"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0"/>
              <w:rPr/>
            </w:pPr>
            <w:r>
              <w:rPr/>
              <w:t> </w:t>
            </w:r>
          </w:p>
        </w:tc>
        <w:tc>
          <w:tcPr>
            <w:tcW w:w="79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791" w:type="dxa"/>
            <w:tcBorders/>
            <w:shd w:fill="auto" w:val="clear"/>
            <w:vAlign w:val="bottom"/>
          </w:tcPr>
          <w:p>
            <w:pPr>
              <w:pStyle w:val="TableContents"/>
              <w:pBdr>
                <w:top w:val="double" w:sz="6" w:space="1" w:color="000000"/>
              </w:pBdr>
              <w:spacing w:before="0" w:after="0"/>
              <w:rPr/>
            </w:pPr>
            <w:r>
              <w:rPr/>
              <w:t> </w:t>
            </w:r>
          </w:p>
        </w:tc>
        <w:tc>
          <w:tcPr>
            <w:tcW w:w="98" w:type="dxa"/>
            <w:tcBorders/>
            <w:shd w:fill="auto" w:val="clear"/>
            <w:vAlign w:val="center"/>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0"/>
              <w:rPr/>
            </w:pPr>
            <w:r>
              <w:rPr/>
              <w:t> </w:t>
            </w:r>
          </w:p>
        </w:tc>
        <w:tc>
          <w:tcPr>
            <w:tcW w:w="79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u w:val="single"/>
        </w:rPr>
      </w:pPr>
      <w:r>
        <w:rPr>
          <w:rFonts w:ascii="Times New Roman" w:hAnsi="Times New Roman"/>
          <w:i/>
          <w:sz w:val="20"/>
          <w:u w:val="single"/>
        </w:rPr>
        <w:t xml:space="preserve">Potential Sources of Dilution: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228"/>
        <w:gridCol w:w="200"/>
        <w:gridCol w:w="78"/>
        <w:gridCol w:w="657"/>
        <w:gridCol w:w="60"/>
        <w:gridCol w:w="200"/>
        <w:gridCol w:w="93"/>
        <w:gridCol w:w="752"/>
        <w:gridCol w:w="60"/>
        <w:gridCol w:w="200"/>
        <w:gridCol w:w="78"/>
        <w:gridCol w:w="657"/>
        <w:gridCol w:w="60"/>
        <w:gridCol w:w="200"/>
        <w:gridCol w:w="93"/>
        <w:gridCol w:w="752"/>
        <w:gridCol w:w="60"/>
        <w:gridCol w:w="200"/>
        <w:gridCol w:w="78"/>
        <w:gridCol w:w="656"/>
        <w:gridCol w:w="60"/>
        <w:gridCol w:w="200"/>
        <w:gridCol w:w="93"/>
        <w:gridCol w:w="752"/>
        <w:gridCol w:w="72"/>
      </w:tblGrid>
      <w:tr>
        <w:trPr/>
        <w:tc>
          <w:tcPr>
            <w:tcW w:w="422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r>
        <w:trPr/>
        <w:tc>
          <w:tcPr>
            <w:tcW w:w="4228"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Dilution</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Dilution</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t>
            </w:r>
            <w:r>
              <w:rPr/>
              <w:br/>
            </w:r>
            <w:r>
              <w:rPr>
                <w:b/>
              </w:rPr>
              <w:t>Dilution</w:t>
            </w:r>
          </w:p>
        </w:tc>
        <w:tc>
          <w:tcPr>
            <w:tcW w:w="72" w:type="dxa"/>
            <w:tcBorders/>
            <w:shd w:fill="auto" w:val="clear"/>
            <w:vAlign w:val="bottom"/>
          </w:tcPr>
          <w:p>
            <w:pPr>
              <w:pStyle w:val="TableContents"/>
              <w:spacing w:before="0" w:after="283"/>
              <w:rPr/>
            </w:pPr>
            <w:r>
              <w:rPr/>
              <w:t> </w:t>
            </w:r>
          </w:p>
        </w:tc>
      </w:tr>
      <w:tr>
        <w:trPr/>
        <w:tc>
          <w:tcPr>
            <w:tcW w:w="4228" w:type="dxa"/>
            <w:tcBorders/>
            <w:shd w:fill="CCEEFF" w:val="clear"/>
          </w:tcPr>
          <w:p>
            <w:pPr>
              <w:pStyle w:val="TableContents"/>
              <w:spacing w:before="0" w:after="0"/>
              <w:rPr>
                <w:rFonts w:ascii="Times New Roman" w:hAnsi="Times New Roman"/>
                <w:sz w:val="20"/>
              </w:rPr>
            </w:pPr>
            <w:r>
              <w:rPr>
                <w:rFonts w:ascii="Times New Roman" w:hAnsi="Times New Roman"/>
                <w:sz w:val="20"/>
              </w:rPr>
              <w:t>Armada Warrants</w:t>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228" w:type="dxa"/>
            <w:tcBorders/>
            <w:shd w:fill="auto" w:val="clear"/>
          </w:tcPr>
          <w:p>
            <w:pPr>
              <w:pStyle w:val="TableContents"/>
              <w:spacing w:before="0" w:after="0"/>
              <w:rPr>
                <w:rFonts w:ascii="Times New Roman" w:hAnsi="Times New Roman"/>
                <w:sz w:val="20"/>
              </w:rPr>
            </w:pPr>
            <w:r>
              <w:rPr>
                <w:rFonts w:ascii="Times New Roman" w:hAnsi="Times New Roman"/>
                <w:sz w:val="20"/>
              </w:rPr>
              <w:t>Public</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65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r>
      <w:tr>
        <w:trPr/>
        <w:tc>
          <w:tcPr>
            <w:tcW w:w="4228" w:type="dxa"/>
            <w:tcBorders/>
            <w:shd w:fill="CCEEFF" w:val="clear"/>
          </w:tcPr>
          <w:p>
            <w:pPr>
              <w:pStyle w:val="TableContents"/>
              <w:spacing w:before="0" w:after="0"/>
              <w:rPr>
                <w:rFonts w:ascii="Times New Roman" w:hAnsi="Times New Roman"/>
                <w:sz w:val="20"/>
              </w:rPr>
            </w:pPr>
            <w:r>
              <w:rPr>
                <w:rFonts w:ascii="Times New Roman" w:hAnsi="Times New Roman"/>
                <w:sz w:val="20"/>
              </w:rPr>
              <w:t>Private</w:t>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228" w:type="dxa"/>
            <w:tcBorders/>
            <w:shd w:fill="auto" w:val="clear"/>
          </w:tcPr>
          <w:p>
            <w:pPr>
              <w:pStyle w:val="TableContents"/>
              <w:spacing w:before="0" w:after="0"/>
              <w:rPr>
                <w:rFonts w:ascii="Times New Roman" w:hAnsi="Times New Roman"/>
                <w:sz w:val="20"/>
              </w:rPr>
            </w:pPr>
            <w:r>
              <w:rPr>
                <w:rFonts w:ascii="Times New Roman" w:hAnsi="Times New Roman"/>
                <w:sz w:val="20"/>
              </w:rPr>
              <w:t>Conversion of Convertible Notes</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        </w:t>
            </w:r>
          </w:p>
        </w:tc>
        <w:tc>
          <w:tcPr>
            <w:tcW w:w="72" w:type="dxa"/>
            <w:tcBorders/>
            <w:shd w:fill="auto" w:val="clear"/>
            <w:vAlign w:val="bottom"/>
          </w:tcPr>
          <w:p>
            <w:pPr>
              <w:pStyle w:val="TableContents"/>
              <w:spacing w:before="0" w:after="283"/>
              <w:rPr/>
            </w:pPr>
            <w:r>
              <w:rPr/>
              <w:t> </w:t>
            </w:r>
          </w:p>
        </w:tc>
      </w:tr>
      <w:tr>
        <w:trPr/>
        <w:tc>
          <w:tcPr>
            <w:tcW w:w="4228"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single" w:sz="2" w:space="1" w:color="000000"/>
              </w:pBdr>
              <w:spacing w:before="0" w:after="0"/>
              <w:rPr/>
            </w:pPr>
            <w:r>
              <w:rPr/>
              <w:t> </w:t>
            </w:r>
          </w:p>
        </w:tc>
        <w:tc>
          <w:tcPr>
            <w:tcW w:w="75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6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single" w:sz="2" w:space="1" w:color="000000"/>
              </w:pBdr>
              <w:spacing w:before="0" w:after="0"/>
              <w:rPr/>
            </w:pPr>
            <w:r>
              <w:rPr/>
              <w:t> </w:t>
            </w:r>
          </w:p>
        </w:tc>
        <w:tc>
          <w:tcPr>
            <w:tcW w:w="75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single" w:sz="2" w:space="1" w:color="000000"/>
              </w:pBdr>
              <w:spacing w:before="0" w:after="0"/>
              <w:rPr/>
            </w:pPr>
            <w:r>
              <w:rPr/>
              <w:t> </w:t>
            </w:r>
          </w:p>
        </w:tc>
        <w:tc>
          <w:tcPr>
            <w:tcW w:w="65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single" w:sz="2" w:space="1" w:color="000000"/>
              </w:pBdr>
              <w:spacing w:before="0" w:after="0"/>
              <w:rPr/>
            </w:pPr>
            <w:r>
              <w:rPr/>
              <w:t> </w:t>
            </w:r>
          </w:p>
        </w:tc>
        <w:tc>
          <w:tcPr>
            <w:tcW w:w="752"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r>
        <w:trPr/>
        <w:tc>
          <w:tcPr>
            <w:tcW w:w="4228" w:type="dxa"/>
            <w:tcBorders/>
            <w:shd w:fill="CCEEFF" w:val="clear"/>
          </w:tcPr>
          <w:p>
            <w:pPr>
              <w:pStyle w:val="TableContents"/>
              <w:spacing w:before="0" w:after="0"/>
              <w:rPr>
                <w:rFonts w:ascii="Times New Roman" w:hAnsi="Times New Roman"/>
                <w:b/>
                <w:sz w:val="20"/>
              </w:rPr>
            </w:pPr>
            <w:r>
              <w:rPr>
                <w:rFonts w:ascii="Times New Roman" w:hAnsi="Times New Roman"/>
                <w:b/>
                <w:sz w:val="20"/>
              </w:rPr>
              <w:t>Adjusted Pro Forma Rezolve Ordinary Shares Outstanding</w:t>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65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228"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0"/>
              <w:rPr/>
            </w:pPr>
            <w:r>
              <w:rPr/>
              <w:t> </w:t>
            </w:r>
          </w:p>
        </w:tc>
        <w:tc>
          <w:tcPr>
            <w:tcW w:w="65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double" w:sz="6" w:space="1" w:color="000000"/>
              </w:pBdr>
              <w:spacing w:before="0" w:after="0"/>
              <w:rPr/>
            </w:pPr>
            <w:r>
              <w:rPr/>
              <w:t> </w:t>
            </w:r>
          </w:p>
        </w:tc>
        <w:tc>
          <w:tcPr>
            <w:tcW w:w="75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0"/>
              <w:rPr/>
            </w:pPr>
            <w:r>
              <w:rPr/>
              <w:t> </w:t>
            </w:r>
          </w:p>
        </w:tc>
        <w:tc>
          <w:tcPr>
            <w:tcW w:w="65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double" w:sz="6" w:space="1" w:color="000000"/>
              </w:pBdr>
              <w:spacing w:before="0" w:after="0"/>
              <w:rPr/>
            </w:pPr>
            <w:r>
              <w:rPr/>
              <w:t> </w:t>
            </w:r>
          </w:p>
        </w:tc>
        <w:tc>
          <w:tcPr>
            <w:tcW w:w="75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pBdr>
                <w:top w:val="double" w:sz="6" w:space="1" w:color="000000"/>
              </w:pBdr>
              <w:spacing w:before="0" w:after="0"/>
              <w:rPr/>
            </w:pPr>
            <w:r>
              <w:rPr/>
              <w:t> </w:t>
            </w:r>
          </w:p>
        </w:tc>
        <w:tc>
          <w:tcPr>
            <w:tcW w:w="65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pBdr>
                <w:top w:val="double" w:sz="6" w:space="1" w:color="000000"/>
              </w:pBdr>
              <w:spacing w:before="0" w:after="0"/>
              <w:rPr/>
            </w:pPr>
            <w:r>
              <w:rPr/>
              <w:t> </w:t>
            </w:r>
          </w:p>
        </w:tc>
        <w:tc>
          <w:tcPr>
            <w:tcW w:w="752" w:type="dxa"/>
            <w:tcBorders/>
            <w:shd w:fill="auto" w:val="clear"/>
            <w:vAlign w:val="bottom"/>
          </w:tcPr>
          <w:p>
            <w:pPr>
              <w:pStyle w:val="TableContents"/>
              <w:pBdr>
                <w:top w:val="double" w:sz="6"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u w:val="single"/>
        </w:rPr>
      </w:pPr>
      <w:r>
        <w:rPr>
          <w:rFonts w:ascii="Times New Roman" w:hAnsi="Times New Roman"/>
          <w:i/>
          <w:sz w:val="20"/>
          <w:u w:val="single"/>
        </w:rPr>
        <w:t xml:space="preserve">Book Value Impacts from Sources of Dilution: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00"/>
        <w:gridCol w:w="245"/>
        <w:gridCol w:w="264"/>
        <w:gridCol w:w="686"/>
        <w:gridCol w:w="60"/>
        <w:gridCol w:w="245"/>
        <w:gridCol w:w="215"/>
        <w:gridCol w:w="601"/>
        <w:gridCol w:w="60"/>
        <w:gridCol w:w="245"/>
        <w:gridCol w:w="264"/>
        <w:gridCol w:w="686"/>
        <w:gridCol w:w="59"/>
        <w:gridCol w:w="245"/>
        <w:gridCol w:w="215"/>
        <w:gridCol w:w="601"/>
        <w:gridCol w:w="60"/>
        <w:gridCol w:w="245"/>
        <w:gridCol w:w="264"/>
        <w:gridCol w:w="686"/>
        <w:gridCol w:w="60"/>
        <w:gridCol w:w="245"/>
        <w:gridCol w:w="215"/>
        <w:gridCol w:w="601"/>
        <w:gridCol w:w="72"/>
      </w:tblGrid>
      <w:tr>
        <w:trPr/>
        <w:tc>
          <w:tcPr>
            <w:tcW w:w="340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r>
        <w:trPr/>
        <w:tc>
          <w:tcPr>
            <w:tcW w:w="340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Proceeds</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Proceeds</w:t>
            </w:r>
          </w:p>
        </w:tc>
        <w:tc>
          <w:tcPr>
            <w:tcW w:w="5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Proceeds</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w:t>
            </w:r>
          </w:p>
        </w:tc>
        <w:tc>
          <w:tcPr>
            <w:tcW w:w="72" w:type="dxa"/>
            <w:tcBorders/>
            <w:shd w:fill="auto" w:val="clear"/>
            <w:vAlign w:val="bottom"/>
          </w:tcPr>
          <w:p>
            <w:pPr>
              <w:pStyle w:val="TableContents"/>
              <w:spacing w:before="0" w:after="283"/>
              <w:rPr/>
            </w:pPr>
            <w:r>
              <w:rPr/>
              <w:t> </w:t>
            </w:r>
          </w:p>
        </w:tc>
      </w:tr>
      <w:tr>
        <w:trPr/>
        <w:tc>
          <w:tcPr>
            <w:tcW w:w="3400" w:type="dxa"/>
            <w:tcBorders/>
            <w:shd w:fill="CCEEFF" w:val="clear"/>
          </w:tcPr>
          <w:p>
            <w:pPr>
              <w:pStyle w:val="TableContents"/>
              <w:spacing w:before="0" w:after="0"/>
              <w:rPr>
                <w:rFonts w:ascii="Times New Roman" w:hAnsi="Times New Roman"/>
                <w:sz w:val="20"/>
              </w:rPr>
            </w:pPr>
            <w:r>
              <w:rPr>
                <w:rFonts w:ascii="Times New Roman" w:hAnsi="Times New Roman"/>
                <w:sz w:val="20"/>
              </w:rPr>
              <w:t>Armada Warrants</w:t>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sz w:val="4"/>
                <w:szCs w:val="4"/>
              </w:rPr>
            </w:pPr>
            <w:r>
              <w:rPr>
                <w:sz w:val="4"/>
                <w:szCs w:val="4"/>
              </w:rPr>
            </w:r>
          </w:p>
        </w:tc>
        <w:tc>
          <w:tcPr>
            <w:tcW w:w="68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3400" w:type="dxa"/>
            <w:tcBorders/>
            <w:shd w:fill="auto" w:val="clear"/>
          </w:tcPr>
          <w:p>
            <w:pPr>
              <w:pStyle w:val="TableContents"/>
              <w:spacing w:before="0" w:after="0"/>
              <w:rPr>
                <w:rFonts w:ascii="Times New Roman" w:hAnsi="Times New Roman"/>
                <w:sz w:val="20"/>
              </w:rPr>
            </w:pPr>
            <w:r>
              <w:rPr>
                <w:rFonts w:ascii="Times New Roman" w:hAnsi="Times New Roman"/>
                <w:sz w:val="20"/>
              </w:rPr>
              <w:t>Public</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w:t>
            </w:r>
          </w:p>
        </w:tc>
        <w:tc>
          <w:tcPr>
            <w:tcW w:w="6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6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w:t>
            </w:r>
          </w:p>
        </w:tc>
        <w:tc>
          <w:tcPr>
            <w:tcW w:w="686" w:type="dxa"/>
            <w:tcBorders/>
            <w:shd w:fill="auto" w:val="clear"/>
            <w:vAlign w:val="bottom"/>
          </w:tcPr>
          <w:p>
            <w:pPr>
              <w:pStyle w:val="TableContents"/>
              <w:spacing w:before="0" w:after="283"/>
              <w:jc w:val="right"/>
              <w:rPr/>
            </w:pPr>
            <w:r>
              <w:rPr/>
              <w:t> </w:t>
            </w:r>
          </w:p>
        </w:tc>
        <w:tc>
          <w:tcPr>
            <w:tcW w:w="5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60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w:t>
            </w:r>
          </w:p>
        </w:tc>
        <w:tc>
          <w:tcPr>
            <w:tcW w:w="6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w:t>
            </w:r>
          </w:p>
        </w:tc>
        <w:tc>
          <w:tcPr>
            <w:tcW w:w="601" w:type="dxa"/>
            <w:tcBorders/>
            <w:shd w:fill="auto" w:val="clear"/>
            <w:vAlign w:val="bottom"/>
          </w:tcPr>
          <w:p>
            <w:pPr>
              <w:pStyle w:val="TableContents"/>
              <w:spacing w:before="0" w:after="283"/>
              <w:jc w:val="right"/>
              <w:rPr/>
            </w:pPr>
            <w:r>
              <w:rPr/>
              <w:t> </w:t>
            </w:r>
          </w:p>
        </w:tc>
        <w:tc>
          <w:tcPr>
            <w:tcW w:w="72" w:type="dxa"/>
            <w:tcBorders/>
            <w:shd w:fill="auto" w:val="clear"/>
            <w:vAlign w:val="bottom"/>
          </w:tcPr>
          <w:p>
            <w:pPr>
              <w:pStyle w:val="TableContents"/>
              <w:spacing w:before="0" w:after="283"/>
              <w:rPr/>
            </w:pPr>
            <w:r>
              <w:rPr/>
              <w:t> </w:t>
            </w:r>
          </w:p>
        </w:tc>
      </w:tr>
      <w:tr>
        <w:trPr/>
        <w:tc>
          <w:tcPr>
            <w:tcW w:w="3400" w:type="dxa"/>
            <w:tcBorders/>
            <w:shd w:fill="CCEEFF" w:val="clear"/>
          </w:tcPr>
          <w:p>
            <w:pPr>
              <w:pStyle w:val="TableContents"/>
              <w:spacing w:before="0" w:after="0"/>
              <w:rPr>
                <w:rFonts w:ascii="Times New Roman" w:hAnsi="Times New Roman"/>
                <w:sz w:val="20"/>
              </w:rPr>
            </w:pPr>
            <w:r>
              <w:rPr>
                <w:rFonts w:ascii="Times New Roman" w:hAnsi="Times New Roman"/>
                <w:sz w:val="20"/>
              </w:rPr>
              <w:t>Private</w:t>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jc w:val="right"/>
              <w:rPr/>
            </w:pPr>
            <w:r>
              <w:rPr/>
              <w:t>  </w:t>
            </w:r>
          </w:p>
        </w:tc>
        <w:tc>
          <w:tcPr>
            <w:tcW w:w="72" w:type="dxa"/>
            <w:tcBorders/>
            <w:shd w:fill="CCEEFF" w:val="clear"/>
            <w:vAlign w:val="bottom"/>
          </w:tcPr>
          <w:p>
            <w:pPr>
              <w:pStyle w:val="TableContents"/>
              <w:spacing w:before="0" w:after="283"/>
              <w:rPr/>
            </w:pPr>
            <w:r>
              <w:rPr/>
              <w:t> </w:t>
            </w:r>
          </w:p>
        </w:tc>
      </w:tr>
      <w:tr>
        <w:trPr/>
        <w:tc>
          <w:tcPr>
            <w:tcW w:w="3400" w:type="dxa"/>
            <w:tcBorders/>
            <w:shd w:fill="auto" w:val="clear"/>
          </w:tcPr>
          <w:p>
            <w:pPr>
              <w:pStyle w:val="TableContents"/>
              <w:spacing w:before="0" w:after="0"/>
              <w:rPr>
                <w:rFonts w:ascii="Times New Roman" w:hAnsi="Times New Roman"/>
                <w:sz w:val="20"/>
              </w:rPr>
            </w:pPr>
            <w:r>
              <w:rPr>
                <w:rFonts w:ascii="Times New Roman" w:hAnsi="Times New Roman"/>
                <w:sz w:val="20"/>
              </w:rPr>
              <w:t>Adjusted Pro Forma Rezolve Book Value</w:t>
            </w:r>
          </w:p>
          <w:p>
            <w:pPr>
              <w:pStyle w:val="TableContents"/>
              <w:spacing w:before="0" w:after="20"/>
              <w:rPr>
                <w:rFonts w:ascii="Times New Roman" w:hAnsi="Times New Roman"/>
                <w:sz w:val="20"/>
              </w:rPr>
            </w:pPr>
            <w:r>
              <w:rPr>
                <w:rFonts w:ascii="Times New Roman" w:hAnsi="Times New Roman"/>
                <w:sz w:val="20"/>
              </w:rPr>
              <w:t>of Equity</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w:t>
            </w:r>
          </w:p>
        </w:tc>
        <w:tc>
          <w:tcPr>
            <w:tcW w:w="6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w:t>
            </w:r>
          </w:p>
        </w:tc>
        <w:tc>
          <w:tcPr>
            <w:tcW w:w="686" w:type="dxa"/>
            <w:tcBorders/>
            <w:shd w:fill="auto" w:val="clear"/>
            <w:vAlign w:val="bottom"/>
          </w:tcPr>
          <w:p>
            <w:pPr>
              <w:pStyle w:val="TableContents"/>
              <w:spacing w:before="0" w:after="283"/>
              <w:jc w:val="right"/>
              <w:rPr/>
            </w:pPr>
            <w:r>
              <w:rPr/>
              <w:t> </w:t>
            </w:r>
          </w:p>
        </w:tc>
        <w:tc>
          <w:tcPr>
            <w:tcW w:w="5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rPr/>
            </w:pPr>
            <w:r>
              <w:rPr/>
              <w:t>$</w:t>
            </w:r>
          </w:p>
        </w:tc>
        <w:tc>
          <w:tcPr>
            <w:tcW w:w="68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r>
      <w:tr>
        <w:trPr/>
        <w:tc>
          <w:tcPr>
            <w:tcW w:w="340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pBdr>
                <w:top w:val="single" w:sz="2" w:space="1" w:color="000000"/>
              </w:pBdr>
              <w:spacing w:before="0" w:after="0"/>
              <w:rPr/>
            </w:pPr>
            <w:r>
              <w:rPr/>
              <w:t> </w:t>
            </w:r>
          </w:p>
        </w:tc>
        <w:tc>
          <w:tcPr>
            <w:tcW w:w="68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0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pBdr>
                <w:top w:val="single" w:sz="2" w:space="1" w:color="000000"/>
              </w:pBdr>
              <w:spacing w:before="0" w:after="0"/>
              <w:rPr/>
            </w:pPr>
            <w:r>
              <w:rPr/>
              <w:t> </w:t>
            </w:r>
          </w:p>
        </w:tc>
        <w:tc>
          <w:tcPr>
            <w:tcW w:w="686" w:type="dxa"/>
            <w:tcBorders/>
            <w:shd w:fill="auto" w:val="clear"/>
            <w:vAlign w:val="bottom"/>
          </w:tcPr>
          <w:p>
            <w:pPr>
              <w:pStyle w:val="TableContents"/>
              <w:pBdr>
                <w:top w:val="single" w:sz="2"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0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pBdr>
                <w:top w:val="single" w:sz="2" w:space="1" w:color="000000"/>
              </w:pBdr>
              <w:spacing w:before="0" w:after="0"/>
              <w:rPr/>
            </w:pPr>
            <w:r>
              <w:rPr/>
              <w:t> </w:t>
            </w:r>
          </w:p>
        </w:tc>
        <w:tc>
          <w:tcPr>
            <w:tcW w:w="68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601" w:type="dxa"/>
            <w:tcBorders/>
            <w:shd w:fill="auto" w:val="clear"/>
            <w:vAlign w:val="bottom"/>
          </w:tcPr>
          <w:p>
            <w:pPr>
              <w:pStyle w:val="TableContents"/>
              <w:pBdr>
                <w:top w:val="single" w:sz="2"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r>
        <w:trPr/>
        <w:tc>
          <w:tcPr>
            <w:tcW w:w="3400" w:type="dxa"/>
            <w:tcBorders/>
            <w:shd w:fill="CCEEFF" w:val="clear"/>
          </w:tcPr>
          <w:p>
            <w:pPr>
              <w:pStyle w:val="TableContents"/>
              <w:spacing w:before="0" w:after="0"/>
              <w:rPr>
                <w:rFonts w:ascii="Times New Roman" w:hAnsi="Times New Roman"/>
                <w:b/>
                <w:sz w:val="20"/>
              </w:rPr>
            </w:pPr>
            <w:r>
              <w:rPr>
                <w:rFonts w:ascii="Times New Roman" w:hAnsi="Times New Roman"/>
                <w:b/>
                <w:sz w:val="20"/>
              </w:rPr>
              <w:t>Adjusted Pro Forma Rezolve Book Value per Share</w:t>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w:t>
            </w:r>
          </w:p>
        </w:tc>
        <w:tc>
          <w:tcPr>
            <w:tcW w:w="6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w:t>
            </w:r>
          </w:p>
        </w:tc>
        <w:tc>
          <w:tcPr>
            <w:tcW w:w="686" w:type="dxa"/>
            <w:tcBorders/>
            <w:shd w:fill="CCEEFF" w:val="clear"/>
            <w:vAlign w:val="bottom"/>
          </w:tcPr>
          <w:p>
            <w:pPr>
              <w:pStyle w:val="TableContents"/>
              <w:spacing w:before="0" w:after="283"/>
              <w:jc w:val="right"/>
              <w:rPr/>
            </w:pPr>
            <w:r>
              <w:rPr/>
              <w:t> </w:t>
            </w:r>
          </w:p>
        </w:tc>
        <w:tc>
          <w:tcPr>
            <w:tcW w:w="5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64" w:type="dxa"/>
            <w:tcBorders/>
            <w:shd w:fill="CCEEFF" w:val="clear"/>
            <w:vAlign w:val="bottom"/>
          </w:tcPr>
          <w:p>
            <w:pPr>
              <w:pStyle w:val="TableContents"/>
              <w:spacing w:before="0" w:after="283"/>
              <w:rPr/>
            </w:pPr>
            <w:r>
              <w:rPr/>
              <w:t>$</w:t>
            </w:r>
          </w:p>
        </w:tc>
        <w:tc>
          <w:tcPr>
            <w:tcW w:w="68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601"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3400"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pBdr>
                <w:top w:val="double" w:sz="6" w:space="1" w:color="000000"/>
              </w:pBdr>
              <w:spacing w:before="0" w:after="0"/>
              <w:rPr/>
            </w:pPr>
            <w:r>
              <w:rPr/>
              <w:t> </w:t>
            </w:r>
          </w:p>
        </w:tc>
        <w:tc>
          <w:tcPr>
            <w:tcW w:w="68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0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pBdr>
                <w:top w:val="double" w:sz="6" w:space="1" w:color="000000"/>
              </w:pBdr>
              <w:spacing w:before="0" w:after="0"/>
              <w:rPr/>
            </w:pPr>
            <w:r>
              <w:rPr/>
              <w:t> </w:t>
            </w:r>
          </w:p>
        </w:tc>
        <w:tc>
          <w:tcPr>
            <w:tcW w:w="686" w:type="dxa"/>
            <w:tcBorders/>
            <w:shd w:fill="auto" w:val="clear"/>
            <w:vAlign w:val="bottom"/>
          </w:tcPr>
          <w:p>
            <w:pPr>
              <w:pStyle w:val="TableContents"/>
              <w:pBdr>
                <w:top w:val="double" w:sz="6" w:space="1" w:color="000000"/>
              </w:pBdr>
              <w:spacing w:before="0" w:after="0"/>
              <w:rPr/>
            </w:pPr>
            <w:r>
              <w:rPr/>
              <w:t> </w:t>
            </w:r>
          </w:p>
        </w:tc>
        <w:tc>
          <w:tcPr>
            <w:tcW w:w="59"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0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pBdr>
                <w:top w:val="double" w:sz="6" w:space="1" w:color="000000"/>
              </w:pBdr>
              <w:spacing w:before="0" w:after="0"/>
              <w:rPr/>
            </w:pPr>
            <w:r>
              <w:rPr/>
              <w:t> </w:t>
            </w:r>
          </w:p>
        </w:tc>
        <w:tc>
          <w:tcPr>
            <w:tcW w:w="68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601" w:type="dxa"/>
            <w:tcBorders/>
            <w:shd w:fill="auto" w:val="clear"/>
            <w:vAlign w:val="bottom"/>
          </w:tcPr>
          <w:p>
            <w:pPr>
              <w:pStyle w:val="TableContents"/>
              <w:pBdr>
                <w:top w:val="double" w:sz="6" w:space="1" w:color="000000"/>
              </w:pBdr>
              <w:spacing w:before="0" w:after="0"/>
              <w:rPr/>
            </w:pPr>
            <w:r>
              <w:rPr/>
              <w:t> </w:t>
            </w:r>
          </w:p>
        </w:tc>
        <w:tc>
          <w:tcPr>
            <w:tcW w:w="72"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The public warrants would have an aggregate market value of approximately $                 million based upon the closing price of $                 per warrant on the Nasdaq on                 , 2023. The shares of Armada Common Stock issuable upon exercise of the public warrants would have an aggregate market value of approximately $                 million based upon the closing price of $                 per share of Armada Common Stock on the Nasdaq on                 , 2023. Once the warrants become exercisable, though, Rezolve may redeem the outstanding warrants. For a discussion of the terms of redemption for the warrants, see </w:t>
      </w:r>
      <w:r>
        <w:rPr>
          <w:rFonts w:ascii="Times New Roman" w:hAnsi="Times New Roman"/>
          <w:i/>
          <w:sz w:val="20"/>
        </w:rPr>
        <w:t>Description of Securities  Warrants  Redemption of Warrants</w:t>
      </w:r>
      <w:r>
        <w:rPr>
          <w:rFonts w:ascii="Times New Roman" w:hAnsi="Times New Roman"/>
          <w:sz w:val="20"/>
        </w:rPr>
        <w:t> </w:t>
      </w:r>
      <w:r>
        <w:rPr>
          <w:rFonts w:ascii="Times New Roman" w:hAnsi="Times New Roman"/>
          <w:i/>
          <w:sz w:val="20"/>
        </w:rPr>
        <w:t> Redemption of Warrants for Armada Common Stock</w:t>
      </w:r>
      <w:r>
        <w:rPr>
          <w:rFonts w:ascii="Times New Roman" w:hAnsi="Times New Roman"/>
          <w:sz w:val="20"/>
        </w:rPr>
        <w:t>. and  Risks Relating to Armada and the Business Combination</w:t>
      </w:r>
      <w:r>
        <w:rPr>
          <w:rFonts w:ascii="Times New Roman" w:hAnsi="Times New Roman"/>
          <w:i/>
          <w:sz w:val="20"/>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Additionally, if you elect not to redeem your shares of Armada Common Stock, the impact of the deferred underwriting fee may vary. The following table, for which information is not available as of the date of this proxy statement/prospectus but is expected to be completed subsequent to the date of this proxy statement/prospectus, illustrates the deferred underwriting fee from Armadas initial public offering, payable upon consummation of the Business Combination, varying levels of proceeds to Rezolve from the Trust Account, and the deferred underwriting fee as a percentage of proceeds from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Trust Account and per share of Rezolve, on a pro forma basis as of                 , 2023, assuming minimum redemptions by Armadas public stockholders, 50% of the maximum redemptions by Armadas public stockholders, and the maximum redemptions by Armadas public stockholders: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288"/>
        <w:gridCol w:w="333"/>
        <w:gridCol w:w="483"/>
        <w:gridCol w:w="1855"/>
        <w:gridCol w:w="275"/>
        <w:gridCol w:w="258"/>
        <w:gridCol w:w="260"/>
        <w:gridCol w:w="1013"/>
        <w:gridCol w:w="275"/>
        <w:gridCol w:w="258"/>
        <w:gridCol w:w="260"/>
        <w:gridCol w:w="1013"/>
        <w:gridCol w:w="281"/>
      </w:tblGrid>
      <w:tr>
        <w:trPr/>
        <w:tc>
          <w:tcPr>
            <w:tcW w:w="2288"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2288"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233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Minimum Redemption</w:t>
            </w:r>
            <w:r>
              <w:rPr/>
              <w:br/>
            </w:r>
            <w:r>
              <w:rPr>
                <w:b/>
              </w:rPr>
              <w:t>Scenario</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50% of</w:t>
            </w:r>
            <w:r>
              <w:rPr/>
              <w:br/>
            </w:r>
            <w:r>
              <w:rPr>
                <w:b/>
              </w:rPr>
              <w:t>Maximum</w:t>
            </w:r>
            <w:r>
              <w:rPr/>
              <w:br/>
            </w:r>
            <w:r>
              <w:rPr>
                <w:b/>
              </w:rPr>
              <w:t>Redemption</w:t>
            </w:r>
            <w:r>
              <w:rPr/>
              <w:br/>
            </w:r>
            <w:r>
              <w:rPr>
                <w:b/>
              </w:rPr>
              <w:t>Scenario</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27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Maximum</w:t>
            </w:r>
            <w:r>
              <w:rPr/>
              <w:br/>
            </w:r>
            <w:r>
              <w:rPr>
                <w:b/>
              </w:rPr>
              <w:t>Redemption</w:t>
            </w:r>
            <w:r>
              <w:rPr/>
              <w:br/>
            </w:r>
            <w:r>
              <w:rPr>
                <w:b/>
              </w:rPr>
              <w:t>Scenario</w:t>
            </w:r>
          </w:p>
        </w:tc>
        <w:tc>
          <w:tcPr>
            <w:tcW w:w="281" w:type="dxa"/>
            <w:tcBorders/>
            <w:shd w:fill="auto" w:val="clear"/>
            <w:vAlign w:val="bottom"/>
          </w:tcPr>
          <w:p>
            <w:pPr>
              <w:pStyle w:val="TableContents"/>
              <w:spacing w:before="0" w:after="283"/>
              <w:rPr/>
            </w:pPr>
            <w:r>
              <w:rPr/>
              <w:t> </w:t>
            </w:r>
          </w:p>
        </w:tc>
      </w:tr>
      <w:tr>
        <w:trPr/>
        <w:tc>
          <w:tcPr>
            <w:tcW w:w="2288" w:type="dxa"/>
            <w:tcBorders/>
            <w:shd w:fill="CCEEFF" w:val="clear"/>
          </w:tcPr>
          <w:p>
            <w:pPr>
              <w:pStyle w:val="TableContents"/>
              <w:spacing w:before="0" w:after="0"/>
              <w:rPr>
                <w:rFonts w:ascii="Times New Roman" w:hAnsi="Times New Roman"/>
                <w:sz w:val="20"/>
              </w:rPr>
            </w:pPr>
            <w:r>
              <w:rPr>
                <w:rFonts w:ascii="Times New Roman" w:hAnsi="Times New Roman"/>
                <w:sz w:val="20"/>
              </w:rPr>
              <w:t>Deferred underwriting fee ($ in thousands)</w:t>
            </w:r>
          </w:p>
        </w:tc>
        <w:tc>
          <w:tcPr>
            <w:tcW w:w="333"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w:t>
            </w:r>
          </w:p>
        </w:tc>
        <w:tc>
          <w:tcPr>
            <w:tcW w:w="1855"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w:t>
            </w:r>
          </w:p>
        </w:tc>
        <w:tc>
          <w:tcPr>
            <w:tcW w:w="1013"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w:t>
            </w:r>
          </w:p>
        </w:tc>
        <w:tc>
          <w:tcPr>
            <w:tcW w:w="1013"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rPr/>
            </w:pPr>
            <w:r>
              <w:rPr/>
              <w:t> </w:t>
            </w:r>
          </w:p>
        </w:tc>
      </w:tr>
      <w:tr>
        <w:trPr/>
        <w:tc>
          <w:tcPr>
            <w:tcW w:w="2288"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Trust Account ($ in thousands)</w:t>
            </w:r>
          </w:p>
        </w:tc>
        <w:tc>
          <w:tcPr>
            <w:tcW w:w="333"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w:t>
            </w:r>
          </w:p>
        </w:tc>
        <w:tc>
          <w:tcPr>
            <w:tcW w:w="185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w:t>
            </w:r>
          </w:p>
        </w:tc>
        <w:tc>
          <w:tcPr>
            <w:tcW w:w="1013"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w:t>
            </w:r>
          </w:p>
        </w:tc>
        <w:tc>
          <w:tcPr>
            <w:tcW w:w="1013"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rPr/>
            </w:pPr>
            <w:r>
              <w:rPr/>
              <w:t> </w:t>
            </w:r>
          </w:p>
        </w:tc>
      </w:tr>
      <w:tr>
        <w:trPr/>
        <w:tc>
          <w:tcPr>
            <w:tcW w:w="2288" w:type="dxa"/>
            <w:tcBorders/>
            <w:shd w:fill="CCEEFF" w:val="clear"/>
          </w:tcPr>
          <w:p>
            <w:pPr>
              <w:pStyle w:val="TableContents"/>
              <w:spacing w:before="0" w:after="0"/>
              <w:rPr>
                <w:rFonts w:ascii="Times New Roman" w:hAnsi="Times New Roman"/>
                <w:sz w:val="20"/>
              </w:rPr>
            </w:pPr>
            <w:r>
              <w:rPr>
                <w:rFonts w:ascii="Times New Roman" w:hAnsi="Times New Roman"/>
                <w:sz w:val="20"/>
              </w:rPr>
              <w:t>Effective Underwriting Fee:</w:t>
            </w:r>
          </w:p>
        </w:tc>
        <w:tc>
          <w:tcPr>
            <w:tcW w:w="333"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sz w:val="4"/>
                <w:szCs w:val="4"/>
              </w:rPr>
            </w:pPr>
            <w:r>
              <w:rPr>
                <w:sz w:val="4"/>
                <w:szCs w:val="4"/>
              </w:rPr>
            </w:r>
          </w:p>
        </w:tc>
        <w:tc>
          <w:tcPr>
            <w:tcW w:w="1855"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25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101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25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sz w:val="4"/>
                <w:szCs w:val="4"/>
              </w:rPr>
            </w:pPr>
            <w:r>
              <w:rPr>
                <w:sz w:val="4"/>
                <w:szCs w:val="4"/>
              </w:rPr>
            </w:r>
          </w:p>
        </w:tc>
        <w:tc>
          <w:tcPr>
            <w:tcW w:w="1013"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r>
      <w:tr>
        <w:trPr/>
        <w:tc>
          <w:tcPr>
            <w:tcW w:w="2288" w:type="dxa"/>
            <w:tcBorders/>
            <w:shd w:fill="auto" w:val="clear"/>
          </w:tcPr>
          <w:p>
            <w:pPr>
              <w:pStyle w:val="TableContents"/>
              <w:spacing w:before="0" w:after="0"/>
              <w:rPr>
                <w:rFonts w:ascii="Times New Roman" w:hAnsi="Times New Roman"/>
                <w:sz w:val="20"/>
              </w:rPr>
            </w:pPr>
            <w:r>
              <w:rPr>
                <w:rFonts w:ascii="Times New Roman" w:hAnsi="Times New Roman"/>
                <w:sz w:val="20"/>
              </w:rPr>
              <w:t>As % of Trust Proceeds</w:t>
            </w:r>
          </w:p>
        </w:tc>
        <w:tc>
          <w:tcPr>
            <w:tcW w:w="333"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rPr/>
            </w:pPr>
            <w:r>
              <w:rPr/>
              <w:t>% </w:t>
            </w:r>
          </w:p>
        </w:tc>
      </w:tr>
      <w:tr>
        <w:trPr/>
        <w:tc>
          <w:tcPr>
            <w:tcW w:w="2288" w:type="dxa"/>
            <w:tcBorders/>
            <w:shd w:fill="CCEEFF" w:val="clear"/>
          </w:tcPr>
          <w:p>
            <w:pPr>
              <w:pStyle w:val="TableContents"/>
              <w:spacing w:before="0" w:after="0"/>
              <w:rPr>
                <w:rFonts w:ascii="Times New Roman" w:hAnsi="Times New Roman"/>
                <w:sz w:val="20"/>
              </w:rPr>
            </w:pPr>
            <w:r>
              <w:rPr>
                <w:rFonts w:ascii="Times New Roman" w:hAnsi="Times New Roman"/>
                <w:sz w:val="20"/>
              </w:rPr>
              <w:t>On Per Share Basis  Pro Forma Rezolve Ordinary Shares Outstanding(1)</w:t>
            </w:r>
          </w:p>
        </w:tc>
        <w:tc>
          <w:tcPr>
            <w:tcW w:w="333" w:type="dxa"/>
            <w:tcBorders/>
            <w:shd w:fill="CCEEFF" w:val="clear"/>
            <w:vAlign w:val="bottom"/>
          </w:tcPr>
          <w:p>
            <w:pPr>
              <w:pStyle w:val="TableContents"/>
              <w:spacing w:before="0" w:after="283"/>
              <w:rPr/>
            </w:pPr>
            <w:r>
              <w:rPr/>
              <w:t>  </w:t>
            </w:r>
          </w:p>
        </w:tc>
        <w:tc>
          <w:tcPr>
            <w:tcW w:w="483" w:type="dxa"/>
            <w:tcBorders/>
            <w:shd w:fill="CCEEFF" w:val="clear"/>
            <w:vAlign w:val="bottom"/>
          </w:tcPr>
          <w:p>
            <w:pPr>
              <w:pStyle w:val="TableContents"/>
              <w:spacing w:before="0" w:after="283"/>
              <w:rPr/>
            </w:pPr>
            <w:r>
              <w:rPr/>
              <w:t>$</w:t>
            </w:r>
          </w:p>
        </w:tc>
        <w:tc>
          <w:tcPr>
            <w:tcW w:w="1855"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w:t>
            </w:r>
          </w:p>
        </w:tc>
        <w:tc>
          <w:tcPr>
            <w:tcW w:w="1013" w:type="dxa"/>
            <w:tcBorders/>
            <w:shd w:fill="CCEEFF" w:val="clear"/>
            <w:vAlign w:val="bottom"/>
          </w:tcPr>
          <w:p>
            <w:pPr>
              <w:pStyle w:val="TableContents"/>
              <w:spacing w:before="0" w:after="283"/>
              <w:jc w:val="right"/>
              <w:rPr/>
            </w:pPr>
            <w:r>
              <w:rPr/>
              <w:t>         </w:t>
            </w:r>
          </w:p>
        </w:tc>
        <w:tc>
          <w:tcPr>
            <w:tcW w:w="27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w:t>
            </w:r>
          </w:p>
        </w:tc>
        <w:tc>
          <w:tcPr>
            <w:tcW w:w="1013"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rPr/>
            </w:pPr>
            <w:r>
              <w:rPr/>
              <w:t> </w:t>
            </w:r>
          </w:p>
        </w:tc>
      </w:tr>
      <w:tr>
        <w:trPr/>
        <w:tc>
          <w:tcPr>
            <w:tcW w:w="2288" w:type="dxa"/>
            <w:tcBorders/>
            <w:shd w:fill="auto" w:val="clear"/>
          </w:tcPr>
          <w:p>
            <w:pPr>
              <w:pStyle w:val="TableContents"/>
              <w:spacing w:before="0" w:after="0"/>
              <w:rPr>
                <w:rFonts w:ascii="Times New Roman" w:hAnsi="Times New Roman"/>
                <w:sz w:val="20"/>
              </w:rPr>
            </w:pPr>
            <w:r>
              <w:rPr>
                <w:rFonts w:ascii="Times New Roman" w:hAnsi="Times New Roman"/>
                <w:sz w:val="20"/>
              </w:rPr>
              <w:t>On Per Share Basis  Adjusted Pro Forma Rezolve Ordinary Shares Outstanding(2)</w:t>
            </w:r>
          </w:p>
        </w:tc>
        <w:tc>
          <w:tcPr>
            <w:tcW w:w="333"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rPr/>
            </w:pPr>
            <w:r>
              <w:rPr/>
              <w:t>$</w:t>
            </w:r>
          </w:p>
        </w:tc>
        <w:tc>
          <w:tcPr>
            <w:tcW w:w="1855"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w:t>
            </w:r>
          </w:p>
        </w:tc>
        <w:tc>
          <w:tcPr>
            <w:tcW w:w="1013" w:type="dxa"/>
            <w:tcBorders/>
            <w:shd w:fill="auto" w:val="clear"/>
            <w:vAlign w:val="bottom"/>
          </w:tcPr>
          <w:p>
            <w:pPr>
              <w:pStyle w:val="TableContents"/>
              <w:spacing w:before="0" w:after="283"/>
              <w:jc w:val="right"/>
              <w:rPr/>
            </w:pPr>
            <w:r>
              <w:rPr/>
              <w:t>         </w:t>
            </w:r>
          </w:p>
        </w:tc>
        <w:tc>
          <w:tcPr>
            <w:tcW w:w="27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w:t>
            </w:r>
          </w:p>
        </w:tc>
        <w:tc>
          <w:tcPr>
            <w:tcW w:w="1013"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(1)</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as the deferred underwriting fee divided by the pro forma Rezolve Ordinary Shares outstanding following the consummation of the Business Combination across each of the presented scenarios as illustrated in the above sensitivity analysis.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(2)</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as the deferred underwriting fee divided by the Adjusted Pro Forma Rezolve Ordinary Shares outstanding following the consummation of the Business Combination across each of the presented scenarios as illustrated in the above sensitivity analysis.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If you are a Company public warrant holder, can you exercise Redemption Rights with respect to your public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The holders of our public warrants have no Redemption Rights with respect to such public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Can the Sponsor redeem its Founder Shares in connection with consummation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Our Sponsor, officers and directors have agreed to waive their redemption rights with respect to their shares of Armada Common Stock, as described in the Armada Letter Agreement in connection with the consummation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Is there a limit on the number of shares you may redeem?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no specified maximum redemption threshold under our current amended and restated certificate of incorporation. Each redemption of shares of Armada Common Stock by our public stockholders will reduce the amount in the Trust Account. In no event will we redeem shares of Armada Common Stock in an amount that would result in Armadas failure to have net tangible assets equaling or exceeding $5,000,001 (so that we are not subject to the SECs penny stock rules).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Is there a limit on the total number of shares that may be redeemed?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Our current amended and restated certificate of incorporation does not provide a specified maximum redemption threshold. However, the Armada Charter prohibits Armada from closing the Business Combination if its net tangible assets would be less than $5,000,001, unless Armada seeks to amend its charter prior to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vAlign w:val="center"/>
          </w:tcPr>
          <w:p>
            <w:pPr>
              <w:pStyle w:val="TableContents"/>
              <w:spacing w:before="0" w:after="283"/>
              <w:rPr/>
            </w:pPr>
            <w:r>
              <w:rPr/>
              <w:t> </w:t>
            </w:r>
          </w:p>
        </w:tc>
        <w:tc>
          <w:tcPr>
            <w:tcW w:w="10119" w:type="dxa"/>
            <w:tcBorders/>
            <w:shd w:fill="auto" w:val="clear"/>
          </w:tcPr>
          <w:p>
            <w:pPr>
              <w:pStyle w:val="TableContents"/>
              <w:spacing w:before="0" w:after="283"/>
              <w:jc w:val="left"/>
              <w:rPr/>
            </w:pPr>
            <w:r>
              <w:rPr/>
              <w:t xml:space="preserve">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 </w:t>
            </w:r>
          </w:p>
        </w:tc>
      </w:tr>
    </w:tbl>
    <w:p>
      <w:pPr>
        <w:pStyle w:val="TextBody"/>
        <w:spacing w:before="120" w:after="0"/>
        <w:jc w:val="left"/>
        <w:rPr>
          <w:rFonts w:ascii="Times New Roman" w:hAnsi="Times New Roman"/>
          <w:sz w:val="20"/>
        </w:rPr>
      </w:pPr>
      <w:r>
        <w:rPr>
          <w:rFonts w:ascii="Times New Roman" w:hAnsi="Times New Roman"/>
          <w:sz w:val="20"/>
        </w:rPr>
        <w:t xml:space="preserve">Based on the amount of cash and securities as of                 , 2023, including $                 in our Trust Account, approximately                  million shares of Armada Common Stock may be redeemed and still enable us to have sufficient cash to satisfy the cash closing conditions in the Business Combination Agreement. We refer to this as the maximum redemption scenario.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Will how you vote affect your ability to exercise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You may exercise your redemption rights whether you vote your shares of Armada Common Stock for or against, or whether you abstain from voting on, the Business Combination Proposal, or any other 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How do you exercise your Redemption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2023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 </w:t>
            </w:r>
          </w:p>
        </w:tc>
      </w:tr>
    </w:tbl>
    <w:p>
      <w:pPr>
        <w:pStyle w:val="TextBody"/>
        <w:spacing w:before="12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center"/>
        <w:rPr>
          <w:rFonts w:ascii="Times New Roman" w:hAnsi="Times New Roman"/>
          <w:sz w:val="20"/>
        </w:rPr>
      </w:pPr>
      <w:r>
        <w:rPr>
          <w:rFonts w:ascii="Times New Roman" w:hAnsi="Times New Roman"/>
          <w:sz w:val="20"/>
        </w:rPr>
        <w:t xml:space="preserve">1 State Street  30th Floor </w:t>
      </w:r>
    </w:p>
    <w:p>
      <w:pPr>
        <w:pStyle w:val="TextBody"/>
        <w:spacing w:before="0" w:after="0"/>
        <w:jc w:val="center"/>
        <w:rPr>
          <w:rFonts w:ascii="Times New Roman" w:hAnsi="Times New Roman"/>
          <w:sz w:val="20"/>
        </w:rPr>
      </w:pPr>
      <w:r>
        <w:rPr>
          <w:rFonts w:ascii="Times New Roman" w:hAnsi="Times New Roman"/>
          <w:sz w:val="20"/>
        </w:rPr>
        <w:t xml:space="preserve">New York, New York 10004 </w:t>
      </w:r>
    </w:p>
    <w:p>
      <w:pPr>
        <w:pStyle w:val="TextBody"/>
        <w:spacing w:before="120" w:after="0"/>
        <w:jc w:val="left"/>
        <w:rPr>
          <w:rFonts w:ascii="Times New Roman" w:hAnsi="Times New Roman"/>
          <w:sz w:val="20"/>
        </w:rPr>
      </w:pPr>
      <w:r>
        <w:rPr>
          <w:rFonts w:ascii="Times New Roman" w:hAnsi="Times New Roman"/>
          <w:sz w:val="20"/>
        </w:rPr>
        <w:t xml:space="preserve">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 </w:t>
      </w:r>
    </w:p>
    <w:p>
      <w:pPr>
        <w:pStyle w:val="TextBody"/>
        <w:spacing w:before="120" w:after="0"/>
        <w:jc w:val="left"/>
        <w:rPr>
          <w:rFonts w:ascii="Times New Roman" w:hAnsi="Times New Roman"/>
          <w:sz w:val="20"/>
        </w:rPr>
      </w:pPr>
      <w:r>
        <w:rPr>
          <w:rFonts w:ascii="Times New Roman" w:hAnsi="Times New Roman"/>
          <w:sz w:val="20"/>
        </w:rPr>
        <w:t xml:space="preserve">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Times New Roman" w:hAnsi="Times New Roman"/>
          <w:i/>
          <w:sz w:val="20"/>
        </w:rPr>
        <w:t>The requirement for physical or electronic delivery prior to the Special Meeting ensures that a redeeming stockholders election to redeem is irrevocable once the Business Combination is approved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 </w:t>
      </w:r>
    </w:p>
    <w:p>
      <w:pPr>
        <w:pStyle w:val="TextBody"/>
        <w:spacing w:before="120" w:after="0"/>
        <w:jc w:val="left"/>
        <w:rPr>
          <w:rFonts w:ascii="Times New Roman" w:hAnsi="Times New Roman"/>
          <w:sz w:val="20"/>
        </w:rPr>
      </w:pPr>
      <w:r>
        <w:rPr>
          <w:rFonts w:ascii="Times New Roman" w:hAnsi="Times New Roman"/>
          <w:sz w:val="20"/>
        </w:rPr>
        <w:t xml:space="preserve">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Do you have appraisal rights if you object to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Appraisal rights are not available to holders of Armada Common Stock in connection with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happens to the funds held in the Trust Account upon consummation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A:</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Q:</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happens if the Business Combination is not consummated?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There are certain circumstances under which the Business Combination Agreement may be terminated.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xml:space="preserve"> 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 The Business Combination Agreement</w:t>
            </w:r>
            <w:r>
              <w:rPr>
                <w:rFonts w:ascii="Times New Roman" w:hAnsi="Times New Roman"/>
                <w:sz w:val="20"/>
              </w:rPr>
              <w:t xml:space="preserve"> for information regarding the parties specific termination rights. </w:t>
            </w:r>
          </w:p>
        </w:tc>
      </w:tr>
    </w:tbl>
    <w:p>
      <w:pPr>
        <w:pStyle w:val="TextBody"/>
        <w:spacing w:before="120" w:after="0"/>
        <w:jc w:val="left"/>
        <w:rPr>
          <w:rFonts w:ascii="Times New Roman" w:hAnsi="Times New Roman"/>
          <w:sz w:val="20"/>
        </w:rPr>
      </w:pPr>
      <w:r>
        <w:rPr>
          <w:rFonts w:ascii="Times New Roman" w:hAnsi="Times New Roman"/>
          <w:sz w:val="20"/>
        </w:rPr>
        <w:t xml:space="preserve">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Times New Roman" w:hAnsi="Times New Roman"/>
          <w:i/>
          <w:sz w:val="20"/>
        </w:rPr>
        <w:t>Risk Factors</w:t>
      </w:r>
      <w:r>
        <w:rPr>
          <w:rFonts w:ascii="Times New Roman" w:hAnsi="Times New Roman"/>
          <w:sz w:val="20"/>
        </w:rPr>
        <w:t xml:space="preserve"> </w:t>
      </w:r>
      <w:r>
        <w:rPr>
          <w:rFonts w:ascii="Times New Roman" w:hAnsi="Times New Roman"/>
          <w:i/>
          <w:sz w:val="20"/>
        </w:rPr>
        <w:t> Risks Relating to the Business Combination and Risks Relating to Armadas Due Diligence and Evaluation of Rezolve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When is the Business Combination expected to be completed?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closing of the Business Combination is expected to take place on or prior to the third business day following the satisfaction or waiver of the conditions described below in the subsection entitled </w:t>
            </w:r>
            <w:r>
              <w:rPr>
                <w:rFonts w:ascii="Times New Roman" w:hAnsi="Times New Roman"/>
                <w:i/>
                <w:sz w:val="20"/>
              </w:rPr>
              <w:t>Proposal</w:t>
            </w:r>
            <w:r>
              <w:rPr>
                <w:rFonts w:ascii="Times New Roman" w:hAnsi="Times New Roman"/>
                <w:sz w:val="20"/>
              </w:rPr>
              <w:t xml:space="preserve"> </w:t>
            </w:r>
            <w:r>
              <w:rPr>
                <w:rFonts w:ascii="Times New Roman" w:hAnsi="Times New Roman"/>
                <w:i/>
                <w:sz w:val="20"/>
              </w:rPr>
              <w:t>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 The Business Combination Agreement</w:t>
            </w:r>
            <w:r>
              <w:rPr>
                <w:rFonts w:ascii="Times New Roman" w:hAnsi="Times New Roman"/>
                <w:sz w:val="20"/>
              </w:rPr>
              <w:t xml:space="preserve"> </w:t>
            </w:r>
            <w:r>
              <w:rPr>
                <w:rFonts w:ascii="Times New Roman" w:hAnsi="Times New Roman"/>
                <w:i/>
                <w:sz w:val="20"/>
              </w:rPr>
              <w:t> Conditions to the Closing of the Business Combination.</w:t>
            </w:r>
            <w:r>
              <w:rPr>
                <w:rFonts w:ascii="Times New Roman" w:hAnsi="Times New Roman"/>
                <w:sz w:val="20"/>
              </w:rPr>
              <w:t xml:space="preserve"> The closing is expected to occur in                 , 2023. The Business Combination Agreement may be terminated by Armada, or Rezolve, as applicable if the Closing has not occurred by August 2, 2023. </w:t>
            </w:r>
          </w:p>
        </w:tc>
      </w:tr>
    </w:tbl>
    <w:p>
      <w:pPr>
        <w:pStyle w:val="TextBody"/>
        <w:spacing w:before="120" w:after="0"/>
        <w:jc w:val="left"/>
        <w:rPr>
          <w:rFonts w:ascii="Times New Roman" w:hAnsi="Times New Roman"/>
          <w:sz w:val="20"/>
        </w:rPr>
      </w:pPr>
      <w:r>
        <w:rPr>
          <w:rFonts w:ascii="Times New Roman" w:hAnsi="Times New Roman"/>
          <w:sz w:val="20"/>
        </w:rPr>
        <w:t>For a description of the conditions to the completion of the Business Combination,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w:t>
      </w:r>
      <w:r>
        <w:rPr>
          <w:rFonts w:ascii="Times New Roman" w:hAnsi="Times New Roman"/>
          <w:i/>
          <w:sz w:val="20"/>
        </w:rPr>
        <w:t>Approval of the Business Combination</w:t>
      </w:r>
      <w:r>
        <w:rPr>
          <w:rFonts w:ascii="Times New Roman" w:hAnsi="Times New Roman"/>
          <w:sz w:val="20"/>
        </w:rPr>
        <w:t xml:space="preserve"> </w:t>
      </w:r>
      <w:r>
        <w:rPr>
          <w:rFonts w:ascii="Times New Roman" w:hAnsi="Times New Roman"/>
          <w:i/>
          <w:sz w:val="20"/>
        </w:rPr>
        <w:t> The Business Combination Agreement</w:t>
      </w:r>
      <w:r>
        <w:rPr>
          <w:rFonts w:ascii="Times New Roman" w:hAnsi="Times New Roman"/>
          <w:sz w:val="20"/>
        </w:rPr>
        <w:t xml:space="preserve"> </w:t>
      </w:r>
      <w:r>
        <w:rPr>
          <w:rFonts w:ascii="Times New Roman" w:hAnsi="Times New Roman"/>
          <w:i/>
          <w:sz w:val="20"/>
        </w:rPr>
        <w:t> Conditions to the Closing of the Business Combination.</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Q:</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What do you need to do now?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Who can vote at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Only holders of record of Armada Common Stock, including those shares held as a constituent part of our units, at the close of business on                 , 2023, are entitled to have their vote counted at the Special Meeting and any adjournments or postponements thereof. On this record date,                 shares of Armada Common Stock were outstanding and entitled to vote. </w:t>
            </w:r>
          </w:p>
        </w:tc>
      </w:tr>
    </w:tbl>
    <w:p>
      <w:pPr>
        <w:pStyle w:val="TextBody"/>
        <w:spacing w:before="120" w:after="0"/>
        <w:jc w:val="left"/>
        <w:rPr>
          <w:rFonts w:ascii="Times New Roman" w:hAnsi="Times New Roman"/>
          <w:sz w:val="20"/>
        </w:rPr>
      </w:pPr>
      <w:r>
        <w:rPr>
          <w:rFonts w:ascii="Times New Roman" w:hAnsi="Times New Roman"/>
          <w:i/>
          <w:sz w:val="20"/>
        </w:rPr>
        <w:t>Stockholder of Record:</w:t>
      </w:r>
      <w:r>
        <w:rPr>
          <w:rFonts w:ascii="Times New Roman" w:hAnsi="Times New Roman"/>
          <w:sz w:val="20"/>
        </w:rPr>
        <w:t xml:space="preserve"> </w:t>
      </w:r>
      <w:r>
        <w:rPr>
          <w:rFonts w:ascii="Times New Roman" w:hAnsi="Times New Roman"/>
          <w:i/>
          <w:sz w:val="20"/>
        </w:rPr>
        <w:t>Shares Registered in Your Name</w:t>
      </w:r>
      <w:r>
        <w:rPr>
          <w:rFonts w:ascii="Times New Roman" w:hAnsi="Times New Roman"/>
          <w:sz w:val="20"/>
        </w:rPr>
        <w:t xml:space="preserve">. If on the record date your shares or units were registered directly in your name with Armadas transfer agent, Continental Stock Transfer &amp; Trust 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 </w:t>
      </w:r>
    </w:p>
    <w:p>
      <w:pPr>
        <w:pStyle w:val="TextBody"/>
        <w:spacing w:before="120" w:after="0"/>
        <w:jc w:val="left"/>
        <w:rPr>
          <w:rFonts w:ascii="Times New Roman" w:hAnsi="Times New Roman"/>
          <w:sz w:val="20"/>
        </w:rPr>
      </w:pPr>
      <w:r>
        <w:rPr>
          <w:rFonts w:ascii="Times New Roman" w:hAnsi="Times New Roman"/>
          <w:i/>
          <w:sz w:val="20"/>
        </w:rPr>
        <w:t>Beneficial Owner:</w:t>
      </w:r>
      <w:r>
        <w:rPr>
          <w:rFonts w:ascii="Times New Roman" w:hAnsi="Times New Roman"/>
          <w:sz w:val="20"/>
        </w:rPr>
        <w:t xml:space="preserve"> </w:t>
      </w:r>
      <w:r>
        <w:rPr>
          <w:rFonts w:ascii="Times New Roman" w:hAnsi="Times New Roman"/>
          <w:i/>
          <w:sz w:val="20"/>
        </w:rPr>
        <w:t>Shares Registered in the Name of a Broker or Bank</w:t>
      </w:r>
      <w:r>
        <w:rPr>
          <w:rFonts w:ascii="Times New Roman" w:hAnsi="Times New Roman"/>
          <w:sz w:val="20"/>
        </w:rPr>
        <w:t xml:space="preserve">. If on the record date your shares or units were held, not in your name, but rather in an account at a brokerage firm, bank, dealer, or other similar organization, then you are the beneficial owner of shares held in street name and these proxy materials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Who will solicit and pay the cost of soliciting proxies for the Special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will pay the cost of soliciting proxies for the Special Meeting. We have engaged                 to assist in the solicitation of proxies for the Special Meeting. We have agreed to pay                  a fee of $                , plus disbursements, and will reimburse                 for its reasonable out-of-pocket expenses and indemnify                 and its affiliates against certain claims, liabilities, losses, damages and expenses. We will also reimburse banks, brokers and other custodians, nominees, and fiduciaries representing beneficial owners of Armada Common Stock for their expenses in forwarding soliciting materials to beneficial owners of Armada Common Stock and in obtaining voting instructions from those owners. Our directors, officers, and employees may also solicit proxies by telephone, by facsimile, by mail, on the Internet, or in person. They will not be paid any additional amounts for soliciting proxies.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Q:</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have questions about the proposals or if you need additional copies of this proxy statement/prospectus or the enclosed proxy card you should contact: </w:t>
            </w:r>
          </w:p>
        </w:tc>
      </w:tr>
    </w:tbl>
    <w:p>
      <w:pPr>
        <w:pStyle w:val="TextBody"/>
        <w:spacing w:before="120" w:after="0"/>
        <w:jc w:val="left"/>
        <w:rPr>
          <w:rFonts w:ascii="Times New Roman" w:hAnsi="Times New Roman"/>
          <w:sz w:val="20"/>
        </w:rPr>
      </w:pPr>
      <w:r>
        <w:rPr>
          <w:rFonts w:ascii="Times New Roman" w:hAnsi="Times New Roman"/>
          <w:sz w:val="20"/>
        </w:rPr>
        <w:t xml:space="preserve">c/o </w:t>
      </w:r>
    </w:p>
    <w:p>
      <w:pPr>
        <w:pStyle w:val="TextBody"/>
        <w:spacing w:before="480" w:after="0"/>
        <w:jc w:val="left"/>
        <w:rPr>
          <w:rFonts w:ascii="Times New Roman" w:hAnsi="Times New Roman"/>
          <w:sz w:val="20"/>
        </w:rPr>
      </w:pPr>
      <w:r>
        <w:rPr>
          <w:rFonts w:ascii="Times New Roman" w:hAnsi="Times New Roman"/>
          <w:sz w:val="20"/>
        </w:rPr>
        <w:t xml:space="preserve">You may also contact our proxy solicitor at: </w:t>
      </w:r>
    </w:p>
    <w:p>
      <w:pPr>
        <w:pStyle w:val="TextBody"/>
        <w:spacing w:before="480" w:after="0"/>
        <w:jc w:val="left"/>
        <w:rPr>
          <w:rFonts w:ascii="Times New Roman" w:hAnsi="Times New Roman"/>
          <w:sz w:val="20"/>
        </w:rPr>
      </w:pPr>
      <w:r>
        <w:rPr>
          <w:rFonts w:ascii="Times New Roman" w:hAnsi="Times New Roman"/>
          <w:sz w:val="20"/>
        </w:rPr>
        <w:t xml:space="preserve">To obtain timely delivery, our stockholders must request the materials no later than five business days prior to the Special Meeting. </w:t>
      </w:r>
    </w:p>
    <w:p>
      <w:pPr>
        <w:pStyle w:val="TextBody"/>
        <w:spacing w:before="240" w:after="0"/>
        <w:jc w:val="left"/>
        <w:rPr>
          <w:rFonts w:ascii="Times New Roman" w:hAnsi="Times New Roman"/>
          <w:sz w:val="20"/>
        </w:rPr>
      </w:pPr>
      <w:r>
        <w:rPr>
          <w:rFonts w:ascii="Times New Roman" w:hAnsi="Times New Roman"/>
          <w:sz w:val="20"/>
        </w:rPr>
        <w:t>You may also obtain additional information about us from documents filed with the SEC by following the instructions in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 </w:t>
      </w:r>
    </w:p>
    <w:p>
      <w:pPr>
        <w:pStyle w:val="TextBody"/>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center"/>
        <w:rPr>
          <w:rFonts w:ascii="Times New Roman" w:hAnsi="Times New Roman"/>
          <w:sz w:val="20"/>
        </w:rPr>
      </w:pPr>
      <w:r>
        <w:rPr>
          <w:rFonts w:ascii="Times New Roman" w:hAnsi="Times New Roman"/>
          <w:sz w:val="20"/>
        </w:rPr>
        <w:t xml:space="preserve">1 State Street  30th Floor </w:t>
      </w:r>
    </w:p>
    <w:p>
      <w:pPr>
        <w:pStyle w:val="TextBody"/>
        <w:spacing w:before="0" w:after="0"/>
        <w:jc w:val="center"/>
        <w:rPr>
          <w:rFonts w:ascii="Times New Roman" w:hAnsi="Times New Roman"/>
          <w:sz w:val="20"/>
        </w:rPr>
      </w:pPr>
      <w:r>
        <w:rPr>
          <w:rFonts w:ascii="Times New Roman" w:hAnsi="Times New Roman"/>
          <w:sz w:val="20"/>
        </w:rPr>
        <w:t xml:space="preserve">New York, New York 10004 </w:t>
      </w:r>
    </w:p>
    <w:p>
      <w:pPr>
        <w:pStyle w:val="TextBody"/>
        <w:spacing w:before="0" w:after="0"/>
        <w:jc w:val="center"/>
        <w:rPr>
          <w:rFonts w:ascii="Times New Roman" w:hAnsi="Times New Roman"/>
          <w:sz w:val="20"/>
        </w:rPr>
      </w:pPr>
      <w:r>
        <w:rPr>
          <w:rFonts w:ascii="Times New Roman" w:hAnsi="Times New Roman"/>
          <w:sz w:val="20"/>
        </w:rPr>
        <w:t xml:space="preserve">Attention:                  </w:t>
      </w:r>
    </w:p>
    <w:p>
      <w:pPr>
        <w:pStyle w:val="TextBody"/>
        <w:spacing w:before="0" w:after="0"/>
        <w:jc w:val="center"/>
        <w:rPr>
          <w:rFonts w:ascii="Times New Roman" w:hAnsi="Times New Roman"/>
          <w:sz w:val="20"/>
        </w:rPr>
      </w:pPr>
      <w:r>
        <w:rPr>
          <w:rFonts w:ascii="Times New Roman" w:hAnsi="Times New Roman"/>
          <w:sz w:val="20"/>
        </w:rPr>
        <w:t xml:space="preserve">E-mail: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0" w:name="tx309194_8"/>
      <w:bookmarkEnd w:id="10"/>
      <w:r>
        <w:rPr>
          <w:rFonts w:ascii="Times New Roman" w:hAnsi="Times New Roman"/>
          <w:b/>
          <w:sz w:val="20"/>
          <w:bdr w:val="single" w:sz="8" w:space="1" w:color="000000"/>
        </w:rPr>
        <w:t xml:space="preserve">SUMMARY OF THE PROXY STATEMENT/PROSPECTUS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Times New Roman" w:hAnsi="Times New Roman"/>
          <w:i/>
          <w:sz w:val="20"/>
          <w:u w:val="single"/>
          <w:bdr w:val="single" w:sz="8" w:space="1" w:color="000000"/>
        </w:rPr>
        <w:t>Annex A</w:t>
      </w:r>
      <w:r>
        <w:rPr>
          <w:rFonts w:ascii="Times New Roman" w:hAnsi="Times New Roman"/>
          <w:i/>
          <w:sz w:val="20"/>
          <w:bdr w:val="single" w:sz="8" w:space="1" w:color="000000"/>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Parties </w:t>
      </w:r>
    </w:p>
    <w:p>
      <w:pPr>
        <w:pStyle w:val="TextBody"/>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Rezolve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a mobile commerce and engagement platform, underpinned by machine learning, that enables retailers, brands and manufacturers to engage with consumers in a broad range of locations and settings via their mobile devices and personal computers. 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Rezolve was incorporated in England and Wales as a private limited company on January 5, 2023 under the name Rezolve Group Limited with company number 14573691 and changed its name on June 5, 2023 to Rezolve 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mailing address of Rezolves registered office is 3rd Floor, 80 New Bond Street, London, United Kingdom, W1S 1SB. After the consummation of the Business Combination, its principal executive office will be 3rd Floor, 80 New Bond Street, London, United Kingdom, W1S 1SB.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Armada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Armada is a blank check company or a special purpose acquisition company, incorporated on November 5, 2020, as a Delaware corporation and formed for the purpose of effecting a merger, capital stock exchange, asset acquisition, stock purchase, reorganization or similar business combination with one or more businesses. As of June 16, 2023, the Company had not commenced any operations.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mailing address of Armadas principal executive office is c/o Armada Acquisition Corp. I., 2005 Market Street, Suite 3120, Philadelphia, Pennsylvania 19103.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Business Combination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Business Combination Agreement, Armada will merge with and into Rezolve Merger Sub, with Armada continuing as the surviving entity and all the undertakings, properties and liabilities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Rezolve Merger Sub will vest in Armada by virtue of such merger pursuant to the Delaware General Corporation Law (the DGCL) and the plan of merger attached hereto as Annex                . Following completion of the Merger, Armada shall be a wholly-owned subsidiary of Rezolve. See the section titled </w:t>
      </w:r>
      <w:r>
        <w:rPr>
          <w:rFonts w:ascii="Times New Roman" w:hAnsi="Times New Roman"/>
          <w:i/>
          <w:sz w:val="20"/>
          <w:bdr w:val="single" w:sz="8" w:space="1" w:color="000000"/>
        </w:rPr>
        <w:t>The Business Combination Proposal</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Nasdaq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 Please see the section entitled </w:t>
      </w:r>
      <w:r>
        <w:rPr>
          <w:rFonts w:ascii="Times New Roman" w:hAnsi="Times New Roman"/>
          <w:i/>
          <w:sz w:val="20"/>
          <w:bdr w:val="single" w:sz="8" w:space="1" w:color="000000"/>
        </w:rPr>
        <w:t>The Nasdaq Proposal</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Incentive Equity Plan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titled </w:t>
      </w:r>
      <w:r>
        <w:rPr>
          <w:rFonts w:ascii="Times New Roman" w:hAnsi="Times New Roman"/>
          <w:i/>
          <w:sz w:val="20"/>
          <w:bdr w:val="single" w:sz="8" w:space="1" w:color="000000"/>
        </w:rPr>
        <w:t>The Incentive Equity Plan Proposal</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Adjournment Proposal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or the Incentive Equity Plan Proposal.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Please see the section entitled </w:t>
      </w:r>
      <w:r>
        <w:rPr>
          <w:rFonts w:ascii="Times New Roman" w:hAnsi="Times New Roman"/>
          <w:i/>
          <w:sz w:val="20"/>
          <w:bdr w:val="single" w:sz="8" w:space="1" w:color="000000"/>
        </w:rPr>
        <w:t>The Adjournment Proposal</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Armada Initial Shareholders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Armada Initial Shareholders beneficially owned and are entitled to vote an aggregate of                 Founder Shares that were issued prior to the IPO of Armada. The Founder Shares currently constitute     % of the outstanding Armada Common Stock.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Date, Time and Place of Armada Special Meeting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 Meeting will be held on                 , 2023 at                  Eastern Time at </w:t>
      </w:r>
      <w:r>
        <w:rPr>
          <w:rFonts w:ascii="Times New Roman" w:hAnsi="Times New Roman"/>
          <w:i/>
          <w:sz w:val="20"/>
          <w:bdr w:val="single" w:sz="8" w:space="1" w:color="000000"/>
        </w:rPr>
        <w:t>http://www.cstproxy.com/armadaacquisition/2023</w:t>
      </w:r>
      <w:r>
        <w:rPr>
          <w:rFonts w:ascii="Times New Roman" w:hAnsi="Times New Roman"/>
          <w:sz w:val="20"/>
          <w:bdr w:val="single" w:sz="8" w:space="1" w:color="000000"/>
        </w:rPr>
        <w:t xml:space="preserve">, or at such other date, time and place to which such meeting may be adjourned or postponed, to consider and vote upon the proposals. The Special Meeting will be conducted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exclusively via live webcast so stockholders will not be able to attend the meeting in person. Stockholders may attend the Special Meeting online and vote at the Special Meeting by visiting </w:t>
      </w:r>
      <w:r>
        <w:rPr>
          <w:rFonts w:ascii="Times New Roman" w:hAnsi="Times New Roman"/>
          <w:i/>
          <w:sz w:val="20"/>
          <w:bdr w:val="single" w:sz="8" w:space="1" w:color="000000"/>
        </w:rPr>
        <w:t>http://www.cstproxy.com/armadaacquisition/2023</w:t>
      </w:r>
      <w:r>
        <w:rPr>
          <w:rFonts w:ascii="Times New Roman" w:hAnsi="Times New Roman"/>
          <w:sz w:val="20"/>
          <w:bdr w:val="single" w:sz="8" w:space="1" w:color="000000"/>
        </w:rPr>
        <w:t xml:space="preserve"> and entering your 12-digit control number, which is either included on the proxy card you received or obtained through Continental Stock Transfer &amp; Trust Company.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Instructions for the Special Meeting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vote upon the proposals included in this proxy statement/prospectus, please follow these instructions as applicable to the nature of your ownership of Armada Common Stock: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using the proxy card, simply complete, sign, date and return the proxy card pursuant to the instructions on the card. If you return your signed proxy card before the Special Meeting, we will vote your shares as directed.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the company number and control number from the Notice. Your telephone vote must be received by 11:59 p.m. Eastern Time on                 , 2023 to be counted.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through the Internet before the meeting, go to </w:t>
            </w:r>
            <w:r>
              <w:rPr>
                <w:rFonts w:ascii="Times New Roman" w:hAnsi="Times New Roman"/>
                <w:i/>
                <w:sz w:val="20"/>
              </w:rPr>
              <w:t>www.cstproxyvote.com</w:t>
            </w:r>
            <w:r>
              <w:rPr>
                <w:rFonts w:ascii="Times New Roman" w:hAnsi="Times New Roman"/>
                <w:sz w:val="20"/>
              </w:rPr>
              <w:t>/</w:t>
            </w:r>
            <w:r>
              <w:rPr>
                <w:rFonts w:ascii="Times New Roman" w:hAnsi="Times New Roman"/>
                <w:i/>
                <w:sz w:val="20"/>
              </w:rPr>
              <w:t>armadaacquisition/2023</w:t>
            </w:r>
            <w:r>
              <w:rPr>
                <w:rFonts w:ascii="Times New Roman" w:hAnsi="Times New Roman"/>
                <w:sz w:val="20"/>
              </w:rPr>
              <w:t xml:space="preserve"> and follow the on-screen instructions. Your Internet vote must be received by 11:59 p.m. Eastern Time on                 , 2023 to be counted.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vote through the Internet during the meeting, please visit </w:t>
      </w:r>
      <w:r>
        <w:rPr>
          <w:rFonts w:ascii="Times New Roman" w:hAnsi="Times New Roman"/>
          <w:i/>
          <w:sz w:val="20"/>
          <w:bdr w:val="single" w:sz="8" w:space="1" w:color="000000"/>
        </w:rPr>
        <w:t>http://www.cstproxy.com/armadaacquisition/2023</w:t>
      </w:r>
      <w:r>
        <w:rPr>
          <w:rFonts w:ascii="Times New Roman" w:hAnsi="Times New Roman"/>
          <w:sz w:val="20"/>
          <w:bdr w:val="single" w:sz="8" w:space="1" w:color="000000"/>
        </w:rPr>
        <w:t xml:space="preserve"> and have available the 12-digit control number included in your Notice, on your proxy card or on the instructions that accompanied your proxy materials.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Power; Record Date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Armada stockholders of record at the close of business on                 , 2023, the record date for the Special Meeting, will be entitled to 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shares of Armada Common Stock and Founder Shares outstanding and entitled to vote, of which                  are public shares,                  are Private Placement Shares held by our Sponsor, and                  are Founder Shares held by our Sponsor, officers and directors.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Quorum and Vote of Armada Stockholders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 </w:t>
      </w:r>
    </w:p>
    <w:p>
      <w:pPr>
        <w:pStyle w:val="TextBody"/>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Redemption Rights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our current amended and restated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Armada seeks to amend its charter prior to closing of the Business Combination. As of                 , the estimated per share redemption price would have been approximately $                .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Times New Roman" w:hAnsi="Times New Roman"/>
          <w:i/>
          <w:sz w:val="20"/>
          <w:bdr w:val="single" w:sz="8" w:space="1" w:color="000000"/>
        </w:rPr>
        <w:t>Special Meeting of Company Stockholders  Redemption Rights</w:t>
      </w:r>
      <w:r>
        <w:rPr>
          <w:rFonts w:ascii="Times New Roman" w:hAnsi="Times New Roman"/>
          <w:sz w:val="20"/>
          <w:bdr w:val="single" w:sz="8" w:space="1" w:color="000000"/>
        </w:rPr>
        <w:t xml:space="preserve"> for the procedures to be followed if you wish to redeem your shares for cash. Any request for redemption may be withdrawn until the deadline for submitting redemption requests and thereafter, with our consent, until the vote is taken with respect to the Business Combination.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Appraisal rights are not available to holders of shares of Armada Common Stock in connection with the Business Combination.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Proxy Solicitation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Proxies may be solicited by mail. Armada has engaged                  to assist in the solicitation of proxies.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If a stockholder grants a proxy, it may still vote its shares in person if it revokes its proxy before the Special Meeting. A stockholder may also change its vote by submitting a later-dated proxy, as described in the section entitled </w:t>
      </w:r>
      <w:r>
        <w:rPr>
          <w:rFonts w:ascii="Times New Roman" w:hAnsi="Times New Roman"/>
          <w:i/>
          <w:sz w:val="20"/>
          <w:bdr w:val="single" w:sz="8" w:space="1" w:color="000000"/>
        </w:rPr>
        <w:t>Special Meeting of Company Stockholders  Revoking Your Proxy</w:t>
      </w:r>
      <w:r>
        <w:rPr>
          <w:rFonts w:ascii="Times New Roman" w:hAnsi="Times New Roman"/>
          <w:sz w:val="20"/>
          <w:bdr w:val="single" w:sz="8" w:space="1" w:color="00000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Armada Directors and Officers in the Business Combination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 things: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Rezolves board of directors after the Business Combination;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4"/>
        <w:gridCol w:w="9595"/>
      </w:tblGrid>
      <w:tr>
        <w:trPr/>
        <w:tc>
          <w:tcPr>
            <w:tcW w:w="944" w:type="dxa"/>
            <w:tcBorders/>
            <w:shd w:fill="auto" w:val="clear"/>
            <w:vAlign w:val="center"/>
          </w:tcPr>
          <w:p>
            <w:pPr>
              <w:pStyle w:val="TableContents"/>
              <w:spacing w:before="0" w:after="283"/>
              <w:rPr/>
            </w:pPr>
            <w:r>
              <w:rPr/>
              <w:t> </w:t>
            </w:r>
          </w:p>
        </w:tc>
        <w:tc>
          <w:tcPr>
            <w:tcW w:w="959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Recommendation to Stockholders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Times New Roman" w:hAnsi="Times New Roman"/>
          <w:i/>
          <w:sz w:val="20"/>
          <w:bdr w:val="single" w:sz="8" w:space="1" w:color="000000"/>
        </w:rPr>
        <w:t>Special Meeting of Company Stockholders  Recommendation to Company Stockholders</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Conditions to the Closing of the Business Combination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Reorganization is to occur on the first business day following the satisfaction of the specified conditions and following the Company Reorganization Date, the Merger Closing is to take place.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upon the closing, and after giving effect to the Pre-Closing Demerger, Company Reorganization, the Merger and the Promissory Note, Armada will have net tangible assets of at least $5,000,001 (the Net Tangible Assets Condition); (j) Rezolves fundamental representations remain true and correct; (k) Rezolve will have performed and complied in all material respects with the covenants and agreements required to be performed or complied with by it; (l) there has been no review under the National Security and Investment Act 2021; (m) no material adverse effect will have occurred in relation to Rezolve; and (n) certain documents are delivered by Rezolve to Armada, including the Investor Rights Agreement. Even if the Net Tangible Assets Condition is waived by Rezolve, the Armada Charter would prohibit Armada from closing the Business Combination if its net tangible assets would be less than $5,000,001, unless Armada seeks to amend its charter prior to closing of the Business Combination.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Anticipated Accounting Treatment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Matters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proposals to be presented at the Armada Special Meeting, a shareholder should carefully read this proxy statement/prospectus and especially consider the factors discussed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1" w:name="tx309194_9"/>
      <w:bookmarkEnd w:id="11"/>
      <w:r>
        <w:rPr>
          <w:rFonts w:ascii="Times New Roman" w:hAnsi="Times New Roman"/>
          <w:b/>
          <w:sz w:val="20"/>
          <w:bdr w:val="single" w:sz="8" w:space="1" w:color="000000"/>
        </w:rPr>
        <w:t xml:space="preserve">SUMMARY HISTORICAL FINANCIAL INFORMATION </w:t>
      </w:r>
    </w:p>
    <w:p>
      <w:pPr>
        <w:pStyle w:val="TextBody"/>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Financial Information of Armada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Armada is providing the following summary historical financial information to assist you in your analysis of the financial aspects of the Business Combination.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contains summary financial information of Armada as of and for the twelve months ended September 30, 2022 and as of and for the period from November 5, 2020 (inception) to September 30, 2021, and as of and for the six months ended March 31, 2023 and March 31, 2022. Armadas summary financial information as of and for the twelve months ended September 30, 2022 and the period from November 5, 2020 (inception) through September 30, 2021, statements of operations for the twelve months ended September 30, 2022 and for the period from November 5, 2020 (inception) to September 30, 2021, statements of changes in stockholders equity (deficit) for the twelve months ended September 30, 2022 and the period from November 5, 2020 (inception) to September 30, 2021, and statements of cash flows for the twelve months ended September 30, 2022 and the period from November 5, 2020 (inception) to September 30, 2021 are derived from Armadas audited financial statements included elsewhere in this proxy statement/prospectus. Armadas summary financial information as of and for the six months ended March 31, 2023 and March 31, 2022, unaudited condensed statements of operations for the three months and six months ended March 31, 2023 and March 31, 2022, Armadas Condensed Statements of Changes in Stockholders Equity (Deficit) for the three months and six months ended March 31, 2023 and March 31, 2022 and the Unaudited Condensed Statements of Cash Flows for the six months ended March 31, 2023 and March 31, 2022 are derived from Armadas condensed financial statements included elsewhere in this proxy statement/prospectus.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statements of Armada are stated in U.S. dollars ($).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information in this section is only a summary and should be read in conjunction with each of Armadas financial statements and related notes and </w:t>
      </w:r>
      <w:r>
        <w:rPr>
          <w:rFonts w:ascii="Times New Roman" w:hAnsi="Times New Roman"/>
          <w:i/>
          <w:sz w:val="20"/>
          <w:bdr w:val="single" w:sz="8" w:space="1" w:color="000000"/>
        </w:rPr>
        <w:t>Other Information Related to Armada  Armadas Managements Discussion and Analysis of Financial Condition and Results of Operations</w:t>
      </w:r>
      <w:r>
        <w:rPr>
          <w:rFonts w:ascii="Times New Roman" w:hAnsi="Times New Roman"/>
          <w:sz w:val="20"/>
          <w:bdr w:val="single" w:sz="8" w:space="1" w:color="000000"/>
        </w:rPr>
        <w:t xml:space="preserve"> contained elsewhere herein. The historical results included below and elsewhere in this proxy statement/prospectus are not indicative of the future performance of Armada.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1900"/>
        <w:gridCol w:w="156"/>
        <w:gridCol w:w="140"/>
        <w:gridCol w:w="1072"/>
        <w:gridCol w:w="156"/>
        <w:gridCol w:w="106"/>
        <w:gridCol w:w="140"/>
        <w:gridCol w:w="1072"/>
        <w:gridCol w:w="156"/>
        <w:gridCol w:w="106"/>
        <w:gridCol w:w="140"/>
        <w:gridCol w:w="982"/>
        <w:gridCol w:w="156"/>
        <w:gridCol w:w="106"/>
        <w:gridCol w:w="140"/>
        <w:gridCol w:w="1072"/>
        <w:gridCol w:w="156"/>
        <w:gridCol w:w="106"/>
        <w:gridCol w:w="140"/>
        <w:gridCol w:w="1072"/>
        <w:gridCol w:w="156"/>
        <w:gridCol w:w="106"/>
        <w:gridCol w:w="140"/>
        <w:gridCol w:w="895"/>
        <w:gridCol w:w="168"/>
      </w:tblGrid>
      <w:tr>
        <w:trPr/>
        <w:tc>
          <w:tcPr>
            <w:tcW w:w="190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90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2686"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Six Months Ended</w:t>
            </w:r>
            <w:r>
              <w:rPr/>
              <w:br/>
            </w:r>
            <w:r>
              <w:rPr>
                <w:b/>
              </w:rPr>
              <w:t>March 31,</w:t>
            </w:r>
            <w:r>
              <w:rPr/>
              <w:br/>
              <w:t>(Unaudited)</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596"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December 31,</w:t>
            </w:r>
            <w:r>
              <w:rPr/>
              <w:br/>
              <w:t>(Unaudited)</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2509"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September 30,</w:t>
            </w:r>
            <w:r>
              <w:rPr/>
              <w:br/>
              <w:t>(Audited)</w:t>
            </w:r>
          </w:p>
        </w:tc>
        <w:tc>
          <w:tcPr>
            <w:tcW w:w="168" w:type="dxa"/>
            <w:tcBorders/>
            <w:shd w:fill="auto"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1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2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0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2021(1)</w:t>
            </w:r>
          </w:p>
        </w:tc>
        <w:tc>
          <w:tcPr>
            <w:tcW w:w="168" w:type="dxa"/>
            <w:tcBorders/>
            <w:shd w:fill="auto" w:val="clear"/>
            <w:vAlign w:val="bottom"/>
          </w:tcPr>
          <w:p>
            <w:pPr>
              <w:pStyle w:val="TableContents"/>
              <w:spacing w:before="0" w:after="283"/>
              <w:rPr/>
            </w:pPr>
            <w:r>
              <w:rPr/>
              <w:t> </w:t>
            </w:r>
          </w:p>
        </w:tc>
      </w:tr>
      <w:tr>
        <w:trPr/>
        <w:tc>
          <w:tcPr>
            <w:tcW w:w="1900"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1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 </w:t>
            </w:r>
            <w:r>
              <w:rPr/>
              <w:t>1,185,087</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 </w:t>
            </w:r>
            <w:r>
              <w:rPr/>
              <w:t>2,367,661</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 </w:t>
            </w:r>
            <w:r>
              <w:rPr/>
              <w:t>394,352</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 </w:t>
            </w:r>
            <w:r>
              <w:rPr/>
              <w:t>2,010,995</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 </w:t>
            </w:r>
            <w:r>
              <w:rPr/>
              <w:t>4,391,263</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5" w:type="dxa"/>
            <w:tcBorders/>
            <w:shd w:fill="CCEEFF" w:val="clear"/>
            <w:vAlign w:val="bottom"/>
          </w:tcPr>
          <w:p>
            <w:pPr>
              <w:pStyle w:val="TableContents"/>
              <w:spacing w:before="0" w:after="283"/>
              <w:jc w:val="right"/>
              <w:rPr/>
            </w:pPr>
            <w:r>
              <w:rPr/>
              <w:t>184,105</w:t>
            </w:r>
          </w:p>
        </w:tc>
        <w:tc>
          <w:tcPr>
            <w:tcW w:w="168" w:type="dxa"/>
            <w:tcBorders/>
            <w:shd w:fill="CCEEFF"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5" w:type="dxa"/>
            <w:tcBorders/>
            <w:shd w:fill="auto" w:val="clear"/>
            <w:vAlign w:val="bottom"/>
          </w:tcPr>
          <w:p>
            <w:pPr>
              <w:pStyle w:val="TableContents"/>
              <w:pBdr>
                <w:top w:val="single" w:sz="2"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r>
        <w:trPr/>
        <w:tc>
          <w:tcPr>
            <w:tcW w:w="1900"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55,926</w:t>
            </w:r>
          </w:p>
        </w:tc>
        <w:tc>
          <w:tcPr>
            <w:tcW w:w="156"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55,926</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27,963</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27,963</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111,852</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285,846</w:t>
            </w:r>
          </w:p>
        </w:tc>
        <w:tc>
          <w:tcPr>
            <w:tcW w:w="168" w:type="dxa"/>
            <w:tcBorders/>
            <w:shd w:fill="auto"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5" w:type="dxa"/>
            <w:tcBorders/>
            <w:shd w:fill="auto" w:val="clear"/>
            <w:vAlign w:val="bottom"/>
          </w:tcPr>
          <w:p>
            <w:pPr>
              <w:pStyle w:val="TableContents"/>
              <w:pBdr>
                <w:top w:val="single" w:sz="2"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r>
        <w:trPr/>
        <w:tc>
          <w:tcPr>
            <w:tcW w:w="1900"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from operation</w:t>
            </w:r>
          </w:p>
        </w:tc>
        <w:tc>
          <w:tcPr>
            <w:tcW w:w="1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(1,241,013</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(2,423,587</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(422,315</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(2,038,958</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(4,503,115</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(469,951</w:t>
            </w:r>
          </w:p>
        </w:tc>
        <w:tc>
          <w:tcPr>
            <w:tcW w:w="168" w:type="dxa"/>
            <w:tcBorders/>
            <w:shd w:fill="CCEEFF"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5" w:type="dxa"/>
            <w:tcBorders/>
            <w:shd w:fill="auto" w:val="clear"/>
            <w:vAlign w:val="bottom"/>
          </w:tcPr>
          <w:p>
            <w:pPr>
              <w:pStyle w:val="TableContents"/>
              <w:pBdr>
                <w:top w:val="single" w:sz="2"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r>
        <w:trPr/>
        <w:tc>
          <w:tcPr>
            <w:tcW w:w="1900"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Other income</w:t>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5"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5" w:type="dxa"/>
            <w:tcBorders/>
            <w:shd w:fill="auto" w:val="clear"/>
            <w:vAlign w:val="bottom"/>
          </w:tcPr>
          <w:p>
            <w:pPr>
              <w:pStyle w:val="TableContents"/>
              <w:pBdr>
                <w:top w:val="single" w:sz="2"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r>
        <w:trPr/>
        <w:tc>
          <w:tcPr>
            <w:tcW w:w="1900" w:type="dxa"/>
            <w:tcBorders/>
            <w:shd w:fill="CCEEFF" w:val="clear"/>
          </w:tcPr>
          <w:p>
            <w:pPr>
              <w:pStyle w:val="TableContents"/>
              <w:spacing w:before="0" w:after="0"/>
              <w:rPr>
                <w:rFonts w:ascii="Times New Roman" w:hAnsi="Times New Roman"/>
                <w:sz w:val="20"/>
              </w:rPr>
            </w:pPr>
            <w:r>
              <w:rPr>
                <w:rFonts w:ascii="Times New Roman" w:hAnsi="Times New Roman"/>
                <w:sz w:val="20"/>
              </w:rPr>
              <w:t>Trust interest income</w:t>
            </w:r>
          </w:p>
        </w:tc>
        <w:tc>
          <w:tcPr>
            <w:tcW w:w="1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2,264,081</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15,087</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1,289,673</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2,844</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2" w:type="dxa"/>
            <w:tcBorders/>
            <w:shd w:fill="CCEEFF" w:val="clear"/>
            <w:vAlign w:val="bottom"/>
          </w:tcPr>
          <w:p>
            <w:pPr>
              <w:pStyle w:val="TableContents"/>
              <w:spacing w:before="0" w:after="283"/>
              <w:jc w:val="right"/>
              <w:rPr/>
            </w:pPr>
            <w:r>
              <w:rPr/>
              <w:t>1,025,942</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5" w:type="dxa"/>
            <w:tcBorders/>
            <w:shd w:fill="CCEEFF" w:val="clear"/>
            <w:vAlign w:val="bottom"/>
          </w:tcPr>
          <w:p>
            <w:pPr>
              <w:pStyle w:val="TableContents"/>
              <w:spacing w:before="0" w:after="283"/>
              <w:jc w:val="right"/>
              <w:rPr/>
            </w:pPr>
            <w:r>
              <w:rPr/>
              <w:t>1,052</w:t>
            </w:r>
          </w:p>
        </w:tc>
        <w:tc>
          <w:tcPr>
            <w:tcW w:w="168" w:type="dxa"/>
            <w:tcBorders/>
            <w:shd w:fill="CCEEFF"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5" w:type="dxa"/>
            <w:tcBorders/>
            <w:shd w:fill="auto" w:val="clear"/>
            <w:vAlign w:val="bottom"/>
          </w:tcPr>
          <w:p>
            <w:pPr>
              <w:pStyle w:val="TableContents"/>
              <w:pBdr>
                <w:top w:val="single" w:sz="2"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r>
        <w:trPr/>
        <w:tc>
          <w:tcPr>
            <w:tcW w:w="1900"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other income</w:t>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2,264,081</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15,087</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1,289,673</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2,844</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2" w:type="dxa"/>
            <w:tcBorders/>
            <w:shd w:fill="auto" w:val="clear"/>
            <w:vAlign w:val="bottom"/>
          </w:tcPr>
          <w:p>
            <w:pPr>
              <w:pStyle w:val="TableContents"/>
              <w:spacing w:before="0" w:after="283"/>
              <w:jc w:val="right"/>
              <w:rPr/>
            </w:pPr>
            <w:r>
              <w:rPr/>
              <w:t>1,025,942</w:t>
            </w:r>
          </w:p>
        </w:tc>
        <w:tc>
          <w:tcPr>
            <w:tcW w:w="156"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jc w:val="right"/>
              <w:rPr/>
            </w:pPr>
            <w:r>
              <w:rPr/>
              <w:t>1,052</w:t>
            </w:r>
          </w:p>
        </w:tc>
        <w:tc>
          <w:tcPr>
            <w:tcW w:w="168" w:type="dxa"/>
            <w:tcBorders/>
            <w:shd w:fill="auto"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2"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5" w:type="dxa"/>
            <w:tcBorders/>
            <w:shd w:fill="auto" w:val="clear"/>
            <w:vAlign w:val="bottom"/>
          </w:tcPr>
          <w:p>
            <w:pPr>
              <w:pStyle w:val="TableContents"/>
              <w:pBdr>
                <w:top w:val="single" w:sz="2"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r>
        <w:trPr/>
        <w:tc>
          <w:tcPr>
            <w:tcW w:w="1900"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 income</w:t>
            </w:r>
          </w:p>
        </w:tc>
        <w:tc>
          <w:tcPr>
            <w:tcW w:w="1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 </w:t>
            </w:r>
            <w:r>
              <w:rPr/>
              <w:t>579,884</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(2,408,500</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 </w:t>
            </w:r>
            <w:r>
              <w:rPr/>
              <w:t>607,027</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(2,036,114</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2" w:type="dxa"/>
            <w:tcBorders/>
            <w:shd w:fill="CCEEFF" w:val="clear"/>
            <w:vAlign w:val="bottom"/>
          </w:tcPr>
          <w:p>
            <w:pPr>
              <w:pStyle w:val="TableContents"/>
              <w:spacing w:before="0" w:after="283"/>
              <w:jc w:val="right"/>
              <w:rPr/>
            </w:pPr>
            <w:r>
              <w:rPr/>
              <w:t>(3,622,794</w:t>
            </w:r>
          </w:p>
        </w:tc>
        <w:tc>
          <w:tcPr>
            <w:tcW w:w="156"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5" w:type="dxa"/>
            <w:tcBorders/>
            <w:shd w:fill="CCEEFF" w:val="clear"/>
            <w:vAlign w:val="bottom"/>
          </w:tcPr>
          <w:p>
            <w:pPr>
              <w:pStyle w:val="TableContents"/>
              <w:spacing w:before="0" w:after="283"/>
              <w:jc w:val="right"/>
              <w:rPr/>
            </w:pPr>
            <w:r>
              <w:rPr/>
              <w:t>(468,899</w:t>
            </w:r>
          </w:p>
        </w:tc>
        <w:tc>
          <w:tcPr>
            <w:tcW w:w="168" w:type="dxa"/>
            <w:tcBorders/>
            <w:shd w:fill="CCEEFF" w:val="clear"/>
            <w:vAlign w:val="bottom"/>
          </w:tcPr>
          <w:p>
            <w:pPr>
              <w:pStyle w:val="TableContents"/>
              <w:spacing w:before="0" w:after="283"/>
              <w:rPr/>
            </w:pPr>
            <w:r>
              <w:rPr/>
              <w:t>) </w:t>
            </w:r>
          </w:p>
        </w:tc>
      </w:tr>
      <w:tr>
        <w:trPr/>
        <w:tc>
          <w:tcPr>
            <w:tcW w:w="190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72"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72"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82"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72"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72"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95" w:type="dxa"/>
            <w:tcBorders/>
            <w:shd w:fill="auto" w:val="clear"/>
            <w:vAlign w:val="bottom"/>
          </w:tcPr>
          <w:p>
            <w:pPr>
              <w:pStyle w:val="TableContents"/>
              <w:pBdr>
                <w:top w:val="double" w:sz="6" w:space="1" w:color="000000"/>
              </w:pBdr>
              <w:spacing w:before="0" w:after="0"/>
              <w:rPr/>
            </w:pPr>
            <w:r>
              <w:rPr/>
              <w:t> </w:t>
            </w:r>
          </w:p>
        </w:tc>
        <w:tc>
          <w:tcPr>
            <w:tcW w:w="168"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ind w:left="0" w:right="0" w:hanging="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(1)</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w:t>
            </w:r>
          </w:p>
        </w:tc>
      </w:tr>
    </w:tbl>
    <w:p>
      <w:pPr>
        <w:pStyle w:val="TextBody"/>
        <w:spacing w:before="0" w:after="0"/>
        <w:jc w:val="left"/>
        <w:rPr>
          <w:bdr w:val="single" w:sz="8" w:space="1" w:color="000000"/>
        </w:rPr>
      </w:pPr>
      <w:r>
        <w:rPr>
          <w:bdr w:val="single" w:sz="8" w:space="1" w:color="000000"/>
        </w:rPr>
        <w:t> </w:t>
      </w:r>
    </w:p>
    <w:tbl>
      <w:tblPr>
        <w:tblW w:w="4200" w:type="pct"/>
        <w:jc w:val="center"/>
        <w:tblInd w:w="0" w:type="dxa"/>
        <w:tblCellMar>
          <w:top w:w="0" w:type="dxa"/>
          <w:left w:w="0" w:type="dxa"/>
          <w:bottom w:w="0" w:type="dxa"/>
          <w:right w:w="0" w:type="dxa"/>
        </w:tblCellMar>
      </w:tblPr>
      <w:tblGrid>
        <w:gridCol w:w="1978"/>
        <w:gridCol w:w="245"/>
        <w:gridCol w:w="183"/>
        <w:gridCol w:w="1453"/>
        <w:gridCol w:w="155"/>
        <w:gridCol w:w="245"/>
        <w:gridCol w:w="202"/>
        <w:gridCol w:w="1787"/>
        <w:gridCol w:w="155"/>
        <w:gridCol w:w="245"/>
        <w:gridCol w:w="207"/>
        <w:gridCol w:w="1836"/>
        <w:gridCol w:w="161"/>
      </w:tblGrid>
      <w:tr>
        <w:trPr/>
        <w:tc>
          <w:tcPr>
            <w:tcW w:w="197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78"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63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March 31, 2023</w:t>
            </w:r>
            <w:r>
              <w:rPr/>
              <w:br/>
              <w:t>(Unaudited)</w:t>
            </w:r>
          </w:p>
        </w:tc>
        <w:tc>
          <w:tcPr>
            <w:tcW w:w="15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98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December 31, 2022</w:t>
            </w:r>
            <w:r>
              <w:rPr/>
              <w:br/>
              <w:t>(Unaudited)</w:t>
            </w:r>
          </w:p>
        </w:tc>
        <w:tc>
          <w:tcPr>
            <w:tcW w:w="15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4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September 30, 2022</w:t>
            </w:r>
            <w:r>
              <w:rPr/>
              <w:br/>
              <w:t>(Audited)</w:t>
            </w:r>
          </w:p>
        </w:tc>
        <w:tc>
          <w:tcPr>
            <w:tcW w:w="161" w:type="dxa"/>
            <w:tcBorders/>
            <w:shd w:fill="auto" w:val="clear"/>
            <w:vAlign w:val="bottom"/>
          </w:tcPr>
          <w:p>
            <w:pPr>
              <w:pStyle w:val="TableContents"/>
              <w:spacing w:before="0" w:after="283"/>
              <w:rPr/>
            </w:pPr>
            <w:r>
              <w:rPr/>
              <w:t> </w:t>
            </w:r>
          </w:p>
        </w:tc>
      </w:tr>
      <w:tr>
        <w:trPr/>
        <w:tc>
          <w:tcPr>
            <w:tcW w:w="1978" w:type="dxa"/>
            <w:tcBorders/>
            <w:shd w:fill="CCEEFF" w:val="clear"/>
          </w:tcPr>
          <w:p>
            <w:pPr>
              <w:pStyle w:val="TableContents"/>
              <w:spacing w:before="0" w:after="0"/>
              <w:rPr>
                <w:rFonts w:ascii="Times New Roman" w:hAnsi="Times New Roman"/>
                <w:sz w:val="20"/>
              </w:rPr>
            </w:pPr>
            <w:r>
              <w:rPr>
                <w:rFonts w:ascii="Times New Roman" w:hAnsi="Times New Roman"/>
                <w:sz w:val="20"/>
              </w:rPr>
              <w:t>Balance Sheet Data:</w:t>
            </w:r>
          </w:p>
        </w:tc>
        <w:tc>
          <w:tcPr>
            <w:tcW w:w="24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sz w:val="4"/>
                <w:szCs w:val="4"/>
              </w:rPr>
            </w:pPr>
            <w:r>
              <w:rPr>
                <w:sz w:val="4"/>
                <w:szCs w:val="4"/>
              </w:rPr>
            </w:r>
          </w:p>
        </w:tc>
        <w:tc>
          <w:tcPr>
            <w:tcW w:w="14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4"/>
                <w:szCs w:val="4"/>
              </w:rPr>
            </w:pPr>
            <w:r>
              <w:rPr>
                <w:sz w:val="4"/>
                <w:szCs w:val="4"/>
              </w:rPr>
            </w:r>
          </w:p>
        </w:tc>
        <w:tc>
          <w:tcPr>
            <w:tcW w:w="178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836"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1978" w:type="dxa"/>
            <w:tcBorders/>
            <w:shd w:fill="auto" w:val="clear"/>
          </w:tcPr>
          <w:p>
            <w:pPr>
              <w:pStyle w:val="TableContents"/>
              <w:spacing w:before="0" w:after="0"/>
              <w:rPr>
                <w:rFonts w:ascii="Times New Roman" w:hAnsi="Times New Roman"/>
                <w:sz w:val="20"/>
              </w:rPr>
            </w:pPr>
            <w:r>
              <w:rPr>
                <w:rFonts w:ascii="Times New Roman" w:hAnsi="Times New Roman"/>
                <w:sz w:val="20"/>
              </w:rPr>
              <w:t>Cash</w:t>
            </w:r>
          </w:p>
        </w:tc>
        <w:tc>
          <w:tcPr>
            <w:tcW w:w="24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w:t>
            </w:r>
          </w:p>
        </w:tc>
        <w:tc>
          <w:tcPr>
            <w:tcW w:w="1453" w:type="dxa"/>
            <w:tcBorders/>
            <w:shd w:fill="auto" w:val="clear"/>
            <w:vAlign w:val="bottom"/>
          </w:tcPr>
          <w:p>
            <w:pPr>
              <w:pStyle w:val="TableContents"/>
              <w:spacing w:before="0" w:after="283"/>
              <w:jc w:val="right"/>
              <w:rPr/>
            </w:pPr>
            <w:r>
              <w:rPr/>
              <w:t>235,949</w:t>
            </w:r>
          </w:p>
        </w:tc>
        <w:tc>
          <w:tcPr>
            <w:tcW w:w="15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w:t>
            </w:r>
          </w:p>
        </w:tc>
        <w:tc>
          <w:tcPr>
            <w:tcW w:w="1787" w:type="dxa"/>
            <w:tcBorders/>
            <w:shd w:fill="auto" w:val="clear"/>
            <w:vAlign w:val="bottom"/>
          </w:tcPr>
          <w:p>
            <w:pPr>
              <w:pStyle w:val="TableContents"/>
              <w:spacing w:before="0" w:after="283"/>
              <w:jc w:val="right"/>
              <w:rPr/>
            </w:pPr>
            <w:r>
              <w:rPr/>
              <w:t>363,247</w:t>
            </w:r>
          </w:p>
        </w:tc>
        <w:tc>
          <w:tcPr>
            <w:tcW w:w="15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836" w:type="dxa"/>
            <w:tcBorders/>
            <w:shd w:fill="auto" w:val="clear"/>
            <w:vAlign w:val="bottom"/>
          </w:tcPr>
          <w:p>
            <w:pPr>
              <w:pStyle w:val="TableContents"/>
              <w:spacing w:before="0" w:after="283"/>
              <w:jc w:val="right"/>
              <w:rPr/>
            </w:pPr>
            <w:r>
              <w:rPr/>
              <w:t>177,578</w:t>
            </w:r>
          </w:p>
        </w:tc>
        <w:tc>
          <w:tcPr>
            <w:tcW w:w="161" w:type="dxa"/>
            <w:tcBorders/>
            <w:shd w:fill="auto" w:val="clear"/>
            <w:vAlign w:val="bottom"/>
          </w:tcPr>
          <w:p>
            <w:pPr>
              <w:pStyle w:val="TableContents"/>
              <w:spacing w:before="0" w:after="283"/>
              <w:rPr/>
            </w:pPr>
            <w:r>
              <w:rPr/>
              <w:t> </w:t>
            </w:r>
          </w:p>
        </w:tc>
      </w:tr>
      <w:tr>
        <w:trPr/>
        <w:tc>
          <w:tcPr>
            <w:tcW w:w="1978"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24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453" w:type="dxa"/>
            <w:tcBorders/>
            <w:shd w:fill="CCEEFF" w:val="clear"/>
            <w:vAlign w:val="bottom"/>
          </w:tcPr>
          <w:p>
            <w:pPr>
              <w:pStyle w:val="TableContents"/>
              <w:spacing w:before="0" w:after="283"/>
              <w:jc w:val="right"/>
              <w:rPr/>
            </w:pPr>
            <w:r>
              <w:rPr/>
              <w:t>36,964,740</w:t>
            </w:r>
          </w:p>
        </w:tc>
        <w:tc>
          <w:tcPr>
            <w:tcW w:w="15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w:t>
            </w:r>
          </w:p>
        </w:tc>
        <w:tc>
          <w:tcPr>
            <w:tcW w:w="1787" w:type="dxa"/>
            <w:tcBorders/>
            <w:shd w:fill="CCEEFF" w:val="clear"/>
            <w:vAlign w:val="bottom"/>
          </w:tcPr>
          <w:p>
            <w:pPr>
              <w:pStyle w:val="TableContents"/>
              <w:spacing w:before="0" w:after="283"/>
              <w:jc w:val="right"/>
              <w:rPr/>
            </w:pPr>
            <w:r>
              <w:rPr/>
              <w:t>154,004,109</w:t>
            </w:r>
          </w:p>
        </w:tc>
        <w:tc>
          <w:tcPr>
            <w:tcW w:w="15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36" w:type="dxa"/>
            <w:tcBorders/>
            <w:shd w:fill="CCEEFF" w:val="clear"/>
            <w:vAlign w:val="bottom"/>
          </w:tcPr>
          <w:p>
            <w:pPr>
              <w:pStyle w:val="TableContents"/>
              <w:spacing w:before="0" w:after="283"/>
              <w:jc w:val="right"/>
              <w:rPr/>
            </w:pPr>
            <w:r>
              <w:rPr/>
              <w:t>151,084,445</w:t>
            </w:r>
          </w:p>
        </w:tc>
        <w:tc>
          <w:tcPr>
            <w:tcW w:w="161" w:type="dxa"/>
            <w:tcBorders/>
            <w:shd w:fill="CCEEFF" w:val="clear"/>
            <w:vAlign w:val="bottom"/>
          </w:tcPr>
          <w:p>
            <w:pPr>
              <w:pStyle w:val="TableContents"/>
              <w:spacing w:before="0" w:after="283"/>
              <w:rPr/>
            </w:pPr>
            <w:r>
              <w:rPr/>
              <w:t> </w:t>
            </w:r>
          </w:p>
        </w:tc>
      </w:tr>
      <w:tr>
        <w:trPr/>
        <w:tc>
          <w:tcPr>
            <w:tcW w:w="1978"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4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453" w:type="dxa"/>
            <w:tcBorders/>
            <w:shd w:fill="auto" w:val="clear"/>
            <w:vAlign w:val="bottom"/>
          </w:tcPr>
          <w:p>
            <w:pPr>
              <w:pStyle w:val="TableContents"/>
              <w:spacing w:before="0" w:after="283"/>
              <w:jc w:val="right"/>
              <w:rPr/>
            </w:pPr>
            <w:r>
              <w:rPr/>
              <w:t>7,180,073</w:t>
            </w:r>
          </w:p>
        </w:tc>
        <w:tc>
          <w:tcPr>
            <w:tcW w:w="15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787" w:type="dxa"/>
            <w:tcBorders/>
            <w:shd w:fill="auto" w:val="clear"/>
            <w:vAlign w:val="bottom"/>
          </w:tcPr>
          <w:p>
            <w:pPr>
              <w:pStyle w:val="TableContents"/>
              <w:spacing w:before="0" w:after="283"/>
              <w:jc w:val="right"/>
              <w:rPr/>
            </w:pPr>
            <w:r>
              <w:rPr/>
              <w:t>5,969,584</w:t>
            </w:r>
          </w:p>
        </w:tc>
        <w:tc>
          <w:tcPr>
            <w:tcW w:w="15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36" w:type="dxa"/>
            <w:tcBorders/>
            <w:shd w:fill="auto" w:val="clear"/>
            <w:vAlign w:val="bottom"/>
          </w:tcPr>
          <w:p>
            <w:pPr>
              <w:pStyle w:val="TableContents"/>
              <w:spacing w:before="0" w:after="283"/>
              <w:jc w:val="right"/>
              <w:rPr/>
            </w:pPr>
            <w:r>
              <w:rPr/>
              <w:t>3,684,910</w:t>
            </w:r>
          </w:p>
        </w:tc>
        <w:tc>
          <w:tcPr>
            <w:tcW w:w="161" w:type="dxa"/>
            <w:tcBorders/>
            <w:shd w:fill="auto" w:val="clear"/>
            <w:vAlign w:val="bottom"/>
          </w:tcPr>
          <w:p>
            <w:pPr>
              <w:pStyle w:val="TableContents"/>
              <w:spacing w:before="0" w:after="283"/>
              <w:rPr/>
            </w:pPr>
            <w:r>
              <w:rPr/>
              <w:t> </w:t>
            </w:r>
          </w:p>
        </w:tc>
      </w:tr>
      <w:tr>
        <w:trPr/>
        <w:tc>
          <w:tcPr>
            <w:tcW w:w="1978"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stockholders (deficit) equity</w:t>
            </w:r>
          </w:p>
        </w:tc>
        <w:tc>
          <w:tcPr>
            <w:tcW w:w="24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w:t>
            </w:r>
          </w:p>
        </w:tc>
        <w:tc>
          <w:tcPr>
            <w:tcW w:w="1453" w:type="dxa"/>
            <w:tcBorders/>
            <w:shd w:fill="CCEEFF" w:val="clear"/>
            <w:vAlign w:val="bottom"/>
          </w:tcPr>
          <w:p>
            <w:pPr>
              <w:pStyle w:val="TableContents"/>
              <w:spacing w:before="0" w:after="283"/>
              <w:jc w:val="right"/>
              <w:rPr/>
            </w:pPr>
            <w:r>
              <w:rPr/>
              <w:t>(6,832,733</w:t>
            </w:r>
          </w:p>
        </w:tc>
        <w:tc>
          <w:tcPr>
            <w:tcW w:w="15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787" w:type="dxa"/>
            <w:tcBorders/>
            <w:shd w:fill="CCEEFF" w:val="clear"/>
            <w:vAlign w:val="bottom"/>
          </w:tcPr>
          <w:p>
            <w:pPr>
              <w:pStyle w:val="TableContents"/>
              <w:spacing w:before="0" w:after="283"/>
              <w:jc w:val="right"/>
              <w:rPr/>
            </w:pPr>
            <w:r>
              <w:rPr/>
              <w:t>(4,993,680</w:t>
            </w:r>
          </w:p>
        </w:tc>
        <w:tc>
          <w:tcPr>
            <w:tcW w:w="15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836" w:type="dxa"/>
            <w:tcBorders/>
            <w:shd w:fill="CCEEFF" w:val="clear"/>
            <w:vAlign w:val="bottom"/>
          </w:tcPr>
          <w:p>
            <w:pPr>
              <w:pStyle w:val="TableContents"/>
              <w:spacing w:before="0" w:after="283"/>
              <w:jc w:val="right"/>
              <w:rPr/>
            </w:pPr>
            <w:r>
              <w:rPr/>
              <w:t>(3,149,327</w:t>
            </w:r>
          </w:p>
        </w:tc>
        <w:tc>
          <w:tcPr>
            <w:tcW w:w="161"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Historical Summary Financial Information of Rezolve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summarizes Rezolves financial data. Rezolve has derived the following statements of operations and comprehensive loss for the years ended December 31, 2022 and 2021 and balance sheet data as of December 31,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Rezolve Financial Statements are stated in U.S. dollars ($).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information in this section is only a summary and should be read in conjunction with each of the Rezolve Financial Statements and related notes and </w:t>
      </w:r>
      <w:r>
        <w:rPr>
          <w:rFonts w:ascii="Times New Roman" w:hAnsi="Times New Roman"/>
          <w:i/>
          <w:sz w:val="20"/>
          <w:bdr w:val="single" w:sz="8" w:space="1" w:color="000000"/>
        </w:rPr>
        <w:t>Rezolves Managements Discussion and Analysis of Financial Condition and Results of Operations</w:t>
      </w:r>
      <w:r>
        <w:rPr>
          <w:rFonts w:ascii="Times New Roman" w:hAnsi="Times New Roman"/>
          <w:sz w:val="20"/>
          <w:bdr w:val="single" w:sz="8" w:space="1" w:color="000000"/>
        </w:rPr>
        <w:t xml:space="preserve"> contained elsewhere herein. The historical results included below and elsewhere in this proxy statement/prospectus are not indicative of the future performance of Rezolve. </w:t>
      </w:r>
    </w:p>
    <w:p>
      <w:pPr>
        <w:pStyle w:val="TextBody"/>
        <w:spacing w:before="0" w:after="0"/>
        <w:jc w:val="left"/>
        <w:rPr>
          <w:bdr w:val="single" w:sz="8" w:space="1" w:color="000000"/>
        </w:rPr>
      </w:pPr>
      <w:r>
        <w:rPr>
          <w:bdr w:val="single" w:sz="8" w:space="1" w:color="000000"/>
        </w:rPr>
        <w:t> </w:t>
      </w:r>
    </w:p>
    <w:tbl>
      <w:tblPr>
        <w:tblW w:w="3800" w:type="pct"/>
        <w:jc w:val="center"/>
        <w:tblInd w:w="0" w:type="dxa"/>
        <w:tblCellMar>
          <w:top w:w="0" w:type="dxa"/>
          <w:left w:w="0" w:type="dxa"/>
          <w:bottom w:w="0" w:type="dxa"/>
          <w:right w:w="0" w:type="dxa"/>
        </w:tblCellMar>
      </w:tblPr>
      <w:tblGrid>
        <w:gridCol w:w="3909"/>
        <w:gridCol w:w="332"/>
        <w:gridCol w:w="145"/>
        <w:gridCol w:w="1482"/>
        <w:gridCol w:w="155"/>
        <w:gridCol w:w="332"/>
        <w:gridCol w:w="145"/>
        <w:gridCol w:w="1350"/>
        <w:gridCol w:w="159"/>
      </w:tblGrid>
      <w:tr>
        <w:trPr/>
        <w:tc>
          <w:tcPr>
            <w:tcW w:w="39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0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609"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w:t>
            </w:r>
          </w:p>
        </w:tc>
        <w:tc>
          <w:tcPr>
            <w:tcW w:w="159" w:type="dxa"/>
            <w:tcBorders/>
            <w:shd w:fill="auto" w:val="clear"/>
            <w:vAlign w:val="bottom"/>
          </w:tcPr>
          <w:p>
            <w:pPr>
              <w:pStyle w:val="TableContents"/>
              <w:spacing w:before="0" w:after="283"/>
              <w:rPr/>
            </w:pPr>
            <w:r>
              <w:rPr/>
              <w:t> </w:t>
            </w:r>
          </w:p>
        </w:tc>
      </w:tr>
      <w:tr>
        <w:trPr/>
        <w:tc>
          <w:tcPr>
            <w:tcW w:w="3909"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9" w:type="dxa"/>
            <w:tcBorders/>
            <w:shd w:fill="auto" w:val="clear"/>
            <w:vAlign w:val="bottom"/>
          </w:tcPr>
          <w:p>
            <w:pPr>
              <w:pStyle w:val="TableContents"/>
              <w:spacing w:before="0" w:after="283"/>
              <w:rPr/>
            </w:pPr>
            <w:r>
              <w:rPr/>
              <w:t> </w:t>
            </w:r>
          </w:p>
        </w:tc>
      </w:tr>
      <w:tr>
        <w:trPr/>
        <w:tc>
          <w:tcPr>
            <w:tcW w:w="3909"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482" w:type="dxa"/>
            <w:tcBorders/>
            <w:shd w:fill="CCEEFF" w:val="clear"/>
            <w:vAlign w:val="bottom"/>
          </w:tcPr>
          <w:p>
            <w:pPr>
              <w:pStyle w:val="TableContents"/>
              <w:spacing w:before="0" w:after="283"/>
              <w:jc w:val="right"/>
              <w:rPr/>
            </w:pPr>
            <w:r>
              <w:rPr/>
              <w:t>12,325,753</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350" w:type="dxa"/>
            <w:tcBorders/>
            <w:shd w:fill="CCEEFF" w:val="clear"/>
            <w:vAlign w:val="bottom"/>
          </w:tcPr>
          <w:p>
            <w:pPr>
              <w:pStyle w:val="TableContents"/>
              <w:spacing w:before="0" w:after="283"/>
              <w:jc w:val="right"/>
              <w:rPr/>
            </w:pPr>
            <w:r>
              <w:rPr/>
              <w:t>3,904,574</w:t>
            </w:r>
          </w:p>
        </w:tc>
        <w:tc>
          <w:tcPr>
            <w:tcW w:w="159" w:type="dxa"/>
            <w:tcBorders/>
            <w:shd w:fill="CCEEFF" w:val="clear"/>
            <w:vAlign w:val="bottom"/>
          </w:tcPr>
          <w:p>
            <w:pPr>
              <w:pStyle w:val="TableContents"/>
              <w:spacing w:before="0" w:after="283"/>
              <w:rPr/>
            </w:pPr>
            <w:r>
              <w:rPr/>
              <w:t> </w:t>
            </w:r>
          </w:p>
        </w:tc>
      </w:tr>
      <w:tr>
        <w:trPr/>
        <w:tc>
          <w:tcPr>
            <w:tcW w:w="3909"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09" w:type="dxa"/>
            <w:tcBorders/>
            <w:shd w:fill="auto" w:val="clear"/>
          </w:tcPr>
          <w:p>
            <w:pPr>
              <w:pStyle w:val="TableContents"/>
              <w:spacing w:before="0" w:after="0"/>
              <w:rPr>
                <w:rFonts w:ascii="Times New Roman" w:hAnsi="Times New Roman"/>
                <w:sz w:val="20"/>
              </w:rPr>
            </w:pPr>
            <w:r>
              <w:rPr>
                <w:rFonts w:ascii="Times New Roman" w:hAnsi="Times New Roman"/>
                <w:sz w:val="20"/>
              </w:rPr>
              <w:t>Operating loss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(99,584,867</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(36,233,946</w:t>
            </w:r>
          </w:p>
        </w:tc>
        <w:tc>
          <w:tcPr>
            <w:tcW w:w="159" w:type="dxa"/>
            <w:tcBorders/>
            <w:shd w:fill="auto" w:val="clear"/>
            <w:vAlign w:val="bottom"/>
          </w:tcPr>
          <w:p>
            <w:pPr>
              <w:pStyle w:val="TableContents"/>
              <w:spacing w:before="0" w:after="283"/>
              <w:rPr/>
            </w:pPr>
            <w:r>
              <w:rPr/>
              <w:t>) </w:t>
            </w:r>
          </w:p>
        </w:tc>
      </w:tr>
      <w:tr>
        <w:trPr/>
        <w:tc>
          <w:tcPr>
            <w:tcW w:w="3909"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09" w:type="dxa"/>
            <w:tcBorders/>
            <w:shd w:fill="CCEEFF" w:val="clear"/>
          </w:tcPr>
          <w:p>
            <w:pPr>
              <w:pStyle w:val="TableContents"/>
              <w:spacing w:before="0" w:after="0"/>
              <w:rPr>
                <w:rFonts w:ascii="Times New Roman" w:hAnsi="Times New Roman"/>
                <w:sz w:val="20"/>
              </w:rPr>
            </w:pPr>
            <w:r>
              <w:rPr>
                <w:rFonts w:ascii="Times New Roman" w:hAnsi="Times New Roman"/>
                <w:sz w:val="20"/>
              </w:rPr>
              <w:t>Net loss for the year</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482" w:type="dxa"/>
            <w:tcBorders/>
            <w:shd w:fill="CCEEFF" w:val="clear"/>
            <w:vAlign w:val="bottom"/>
          </w:tcPr>
          <w:p>
            <w:pPr>
              <w:pStyle w:val="TableContents"/>
              <w:spacing w:before="0" w:after="283"/>
              <w:jc w:val="right"/>
              <w:rPr/>
            </w:pPr>
            <w:r>
              <w:rPr/>
              <w:t>(104,105,438</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350" w:type="dxa"/>
            <w:tcBorders/>
            <w:shd w:fill="CCEEFF" w:val="clear"/>
            <w:vAlign w:val="bottom"/>
          </w:tcPr>
          <w:p>
            <w:pPr>
              <w:pStyle w:val="TableContents"/>
              <w:spacing w:before="0" w:after="283"/>
              <w:jc w:val="right"/>
              <w:rPr/>
            </w:pPr>
            <w:r>
              <w:rPr/>
              <w:t>(37,719,475</w:t>
            </w:r>
          </w:p>
        </w:tc>
        <w:tc>
          <w:tcPr>
            <w:tcW w:w="159" w:type="dxa"/>
            <w:tcBorders/>
            <w:shd w:fill="CCEEFF" w:val="clear"/>
            <w:vAlign w:val="bottom"/>
          </w:tcPr>
          <w:p>
            <w:pPr>
              <w:pStyle w:val="TableContents"/>
              <w:spacing w:before="0" w:after="283"/>
              <w:rPr/>
            </w:pPr>
            <w:r>
              <w:rPr/>
              <w:t>) </w:t>
            </w:r>
          </w:p>
        </w:tc>
      </w:tr>
      <w:tr>
        <w:trPr/>
        <w:tc>
          <w:tcPr>
            <w:tcW w:w="3909"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09" w:type="dxa"/>
            <w:tcBorders/>
            <w:shd w:fill="auto" w:val="clear"/>
          </w:tcPr>
          <w:p>
            <w:pPr>
              <w:pStyle w:val="TableContents"/>
              <w:spacing w:before="0" w:after="0"/>
              <w:rPr>
                <w:rFonts w:ascii="Times New Roman" w:hAnsi="Times New Roman"/>
                <w:sz w:val="20"/>
              </w:rPr>
            </w:pPr>
            <w:r>
              <w:rPr>
                <w:rFonts w:ascii="Times New Roman" w:hAnsi="Times New Roman"/>
                <w:sz w:val="20"/>
              </w:rPr>
              <w:t>Other comprehensive loss, net of tax</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4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35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909"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translation (loss)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(757,356</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(501,130</w:t>
            </w:r>
          </w:p>
        </w:tc>
        <w:tc>
          <w:tcPr>
            <w:tcW w:w="159" w:type="dxa"/>
            <w:tcBorders/>
            <w:shd w:fill="CCEEFF" w:val="clear"/>
            <w:vAlign w:val="bottom"/>
          </w:tcPr>
          <w:p>
            <w:pPr>
              <w:pStyle w:val="TableContents"/>
              <w:spacing w:before="0" w:after="283"/>
              <w:rPr/>
            </w:pPr>
            <w:r>
              <w:rPr/>
              <w:t>) </w:t>
            </w:r>
          </w:p>
        </w:tc>
      </w:tr>
      <w:tr>
        <w:trPr/>
        <w:tc>
          <w:tcPr>
            <w:tcW w:w="3909"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4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350"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09" w:type="dxa"/>
            <w:tcBorders/>
            <w:shd w:fill="auto" w:val="clear"/>
          </w:tcPr>
          <w:p>
            <w:pPr>
              <w:pStyle w:val="TableContents"/>
              <w:spacing w:before="0" w:after="0"/>
              <w:rPr>
                <w:rFonts w:ascii="Times New Roman" w:hAnsi="Times New Roman"/>
                <w:sz w:val="20"/>
              </w:rPr>
            </w:pPr>
            <w:r>
              <w:rPr>
                <w:rFonts w:ascii="Times New Roman" w:hAnsi="Times New Roman"/>
                <w:sz w:val="20"/>
              </w:rPr>
              <w:t>Total comprehensive loss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482" w:type="dxa"/>
            <w:tcBorders/>
            <w:shd w:fill="auto" w:val="clear"/>
            <w:vAlign w:val="bottom"/>
          </w:tcPr>
          <w:p>
            <w:pPr>
              <w:pStyle w:val="TableContents"/>
              <w:spacing w:before="0" w:after="283"/>
              <w:jc w:val="right"/>
              <w:rPr/>
            </w:pPr>
            <w:r>
              <w:rPr/>
              <w:t>(104,862,794</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350" w:type="dxa"/>
            <w:tcBorders/>
            <w:shd w:fill="auto" w:val="clear"/>
            <w:vAlign w:val="bottom"/>
          </w:tcPr>
          <w:p>
            <w:pPr>
              <w:pStyle w:val="TableContents"/>
              <w:spacing w:before="0" w:after="283"/>
              <w:jc w:val="right"/>
              <w:rPr/>
            </w:pPr>
            <w:r>
              <w:rPr/>
              <w:t>(38,220,605</w:t>
            </w:r>
          </w:p>
        </w:tc>
        <w:tc>
          <w:tcPr>
            <w:tcW w:w="159" w:type="dxa"/>
            <w:tcBorders/>
            <w:shd w:fill="auto" w:val="clear"/>
            <w:vAlign w:val="bottom"/>
          </w:tcPr>
          <w:p>
            <w:pPr>
              <w:pStyle w:val="TableContents"/>
              <w:spacing w:before="0" w:after="283"/>
              <w:rPr/>
            </w:pPr>
            <w:r>
              <w:rPr/>
              <w:t>) </w:t>
            </w:r>
          </w:p>
        </w:tc>
      </w:tr>
      <w:tr>
        <w:trPr/>
        <w:tc>
          <w:tcPr>
            <w:tcW w:w="3909"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4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350"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bdr w:val="single" w:sz="8" w:space="1" w:color="000000"/>
        </w:rPr>
      </w:pPr>
      <w:r>
        <w:rPr>
          <w:bdr w:val="single" w:sz="8" w:space="1" w:color="000000"/>
        </w:rPr>
        <w:t> </w:t>
      </w:r>
    </w:p>
    <w:tbl>
      <w:tblPr>
        <w:tblW w:w="3400" w:type="pct"/>
        <w:jc w:val="center"/>
        <w:tblInd w:w="0" w:type="dxa"/>
        <w:tblCellMar>
          <w:top w:w="0" w:type="dxa"/>
          <w:left w:w="0" w:type="dxa"/>
          <w:bottom w:w="0" w:type="dxa"/>
          <w:right w:w="0" w:type="dxa"/>
        </w:tblCellMar>
      </w:tblPr>
      <w:tblGrid>
        <w:gridCol w:w="4845"/>
        <w:gridCol w:w="747"/>
        <w:gridCol w:w="150"/>
        <w:gridCol w:w="1267"/>
        <w:gridCol w:w="157"/>
      </w:tblGrid>
      <w:tr>
        <w:trPr/>
        <w:tc>
          <w:tcPr>
            <w:tcW w:w="48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845"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December 31,</w:t>
            </w:r>
            <w:r>
              <w:rPr/>
              <w:br/>
            </w:r>
            <w:r>
              <w:rPr>
                <w:b/>
              </w:rPr>
              <w:t>2022</w:t>
            </w:r>
          </w:p>
        </w:tc>
        <w:tc>
          <w:tcPr>
            <w:tcW w:w="157" w:type="dxa"/>
            <w:tcBorders/>
            <w:shd w:fill="auto" w:val="clear"/>
            <w:vAlign w:val="bottom"/>
          </w:tcPr>
          <w:p>
            <w:pPr>
              <w:pStyle w:val="TableContents"/>
              <w:spacing w:before="0" w:after="283"/>
              <w:rPr/>
            </w:pPr>
            <w:r>
              <w:rPr/>
              <w:t> </w:t>
            </w:r>
          </w:p>
        </w:tc>
      </w:tr>
      <w:tr>
        <w:trPr/>
        <w:tc>
          <w:tcPr>
            <w:tcW w:w="4845" w:type="dxa"/>
            <w:tcBorders/>
            <w:shd w:fill="CCEEFF" w:val="clear"/>
          </w:tcPr>
          <w:p>
            <w:pPr>
              <w:pStyle w:val="TableContents"/>
              <w:spacing w:before="0" w:after="0"/>
              <w:rPr>
                <w:rFonts w:ascii="Times New Roman" w:hAnsi="Times New Roman"/>
                <w:sz w:val="20"/>
              </w:rPr>
            </w:pPr>
            <w:r>
              <w:rPr>
                <w:rFonts w:ascii="Times New Roman" w:hAnsi="Times New Roman"/>
                <w:sz w:val="20"/>
              </w:rPr>
              <w:t>Balance Sheet Data:</w:t>
            </w:r>
          </w:p>
        </w:tc>
        <w:tc>
          <w:tcPr>
            <w:tcW w:w="74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1267"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4845" w:type="dxa"/>
            <w:tcBorders/>
            <w:shd w:fill="auto" w:val="clear"/>
          </w:tcPr>
          <w:p>
            <w:pPr>
              <w:pStyle w:val="TableContents"/>
              <w:spacing w:before="0" w:after="0"/>
              <w:rPr>
                <w:rFonts w:ascii="Times New Roman" w:hAnsi="Times New Roman"/>
                <w:sz w:val="20"/>
              </w:rPr>
            </w:pPr>
            <w:r>
              <w:rPr>
                <w:rFonts w:ascii="Times New Roman" w:hAnsi="Times New Roman"/>
                <w:sz w:val="20"/>
              </w:rPr>
              <w:t>Cash</w:t>
            </w:r>
          </w:p>
        </w:tc>
        <w:tc>
          <w:tcPr>
            <w:tcW w:w="74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w:t>
            </w:r>
          </w:p>
        </w:tc>
        <w:tc>
          <w:tcPr>
            <w:tcW w:w="1267" w:type="dxa"/>
            <w:tcBorders/>
            <w:shd w:fill="auto" w:val="clear"/>
            <w:vAlign w:val="bottom"/>
          </w:tcPr>
          <w:p>
            <w:pPr>
              <w:pStyle w:val="TableContents"/>
              <w:spacing w:before="0" w:after="283"/>
              <w:jc w:val="right"/>
              <w:rPr/>
            </w:pPr>
            <w:r>
              <w:rPr/>
              <w:t>41,709</w:t>
            </w:r>
          </w:p>
        </w:tc>
        <w:tc>
          <w:tcPr>
            <w:tcW w:w="157" w:type="dxa"/>
            <w:tcBorders/>
            <w:shd w:fill="auto" w:val="clear"/>
            <w:vAlign w:val="bottom"/>
          </w:tcPr>
          <w:p>
            <w:pPr>
              <w:pStyle w:val="TableContents"/>
              <w:spacing w:before="0" w:after="283"/>
              <w:rPr/>
            </w:pPr>
            <w:r>
              <w:rPr/>
              <w:t> </w:t>
            </w:r>
          </w:p>
        </w:tc>
      </w:tr>
      <w:tr>
        <w:trPr/>
        <w:tc>
          <w:tcPr>
            <w:tcW w:w="4845"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74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9,365,521</w:t>
            </w:r>
          </w:p>
        </w:tc>
        <w:tc>
          <w:tcPr>
            <w:tcW w:w="157" w:type="dxa"/>
            <w:tcBorders/>
            <w:shd w:fill="CCEEFF" w:val="clear"/>
            <w:vAlign w:val="bottom"/>
          </w:tcPr>
          <w:p>
            <w:pPr>
              <w:pStyle w:val="TableContents"/>
              <w:spacing w:before="0" w:after="283"/>
              <w:rPr/>
            </w:pPr>
            <w:r>
              <w:rPr/>
              <w:t> </w:t>
            </w:r>
          </w:p>
        </w:tc>
      </w:tr>
      <w:tr>
        <w:trPr/>
        <w:tc>
          <w:tcPr>
            <w:tcW w:w="4845" w:type="dxa"/>
            <w:tcBorders/>
            <w:shd w:fill="auto" w:val="clear"/>
          </w:tcPr>
          <w:p>
            <w:pPr>
              <w:pStyle w:val="TableContents"/>
              <w:spacing w:before="0" w:after="0"/>
              <w:rPr>
                <w:rFonts w:ascii="Times New Roman" w:hAnsi="Times New Roman"/>
                <w:sz w:val="20"/>
              </w:rPr>
            </w:pPr>
            <w:r>
              <w:rPr>
                <w:rFonts w:ascii="Times New Roman" w:hAnsi="Times New Roman"/>
                <w:sz w:val="20"/>
              </w:rPr>
              <w:t>Total non-current liabilities</w:t>
            </w:r>
          </w:p>
        </w:tc>
        <w:tc>
          <w:tcPr>
            <w:tcW w:w="74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267" w:type="dxa"/>
            <w:tcBorders/>
            <w:shd w:fill="auto" w:val="clear"/>
            <w:vAlign w:val="bottom"/>
          </w:tcPr>
          <w:p>
            <w:pPr>
              <w:pStyle w:val="TableContents"/>
              <w:spacing w:before="0" w:after="283"/>
              <w:jc w:val="right"/>
              <w:rPr/>
            </w:pPr>
            <w:r>
              <w:rPr/>
              <w:t>28,006,947</w:t>
            </w:r>
          </w:p>
        </w:tc>
        <w:tc>
          <w:tcPr>
            <w:tcW w:w="157" w:type="dxa"/>
            <w:tcBorders/>
            <w:shd w:fill="auto" w:val="clear"/>
            <w:vAlign w:val="bottom"/>
          </w:tcPr>
          <w:p>
            <w:pPr>
              <w:pStyle w:val="TableContents"/>
              <w:spacing w:before="0" w:after="283"/>
              <w:rPr/>
            </w:pPr>
            <w:r>
              <w:rPr/>
              <w:t> </w:t>
            </w:r>
          </w:p>
        </w:tc>
      </w:tr>
      <w:tr>
        <w:trPr/>
        <w:tc>
          <w:tcPr>
            <w:tcW w:w="4845" w:type="dxa"/>
            <w:tcBorders/>
            <w:shd w:fill="CCEEFF" w:val="clear"/>
          </w:tcPr>
          <w:p>
            <w:pPr>
              <w:pStyle w:val="TableContents"/>
              <w:spacing w:before="0" w:after="0"/>
              <w:rPr>
                <w:rFonts w:ascii="Times New Roman" w:hAnsi="Times New Roman"/>
                <w:sz w:val="20"/>
              </w:rPr>
            </w:pPr>
            <w:r>
              <w:rPr>
                <w:rFonts w:ascii="Times New Roman" w:hAnsi="Times New Roman"/>
                <w:sz w:val="20"/>
              </w:rPr>
              <w:t>Total shareholders equity (deficit)</w:t>
            </w:r>
          </w:p>
        </w:tc>
        <w:tc>
          <w:tcPr>
            <w:tcW w:w="74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267" w:type="dxa"/>
            <w:tcBorders/>
            <w:shd w:fill="CCEEFF" w:val="clear"/>
            <w:vAlign w:val="bottom"/>
          </w:tcPr>
          <w:p>
            <w:pPr>
              <w:pStyle w:val="TableContents"/>
              <w:spacing w:before="0" w:after="283"/>
              <w:jc w:val="right"/>
              <w:rPr/>
            </w:pPr>
            <w:r>
              <w:rPr/>
              <w:t>(27,314,998</w:t>
            </w:r>
          </w:p>
        </w:tc>
        <w:tc>
          <w:tcPr>
            <w:tcW w:w="157"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Unaudited Pro Forma Condensed Combined Financial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following table provides summary selected unaudited pro forma financial information to correspond to the unaudited pro forma financial information provided for Rezolve and Armada in </w:t>
      </w:r>
      <w:r>
        <w:rPr>
          <w:rFonts w:ascii="Times New Roman" w:hAnsi="Times New Roman"/>
          <w:i/>
          <w:sz w:val="20"/>
          <w:bdr w:val="single" w:sz="8" w:space="1" w:color="000000"/>
        </w:rPr>
        <w:t xml:space="preserve">Unaudited Pro Forma Condensed Combined Financial Information. For more information on selected financial information, see Unaudited Pro Forma Condensed Combined Financial Information.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Unaudited Pro Forma Condensed Combined Balance Sheet as of December 31, 2022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7015"/>
        <w:gridCol w:w="228"/>
        <w:gridCol w:w="151"/>
        <w:gridCol w:w="1239"/>
        <w:gridCol w:w="156"/>
        <w:gridCol w:w="201"/>
        <w:gridCol w:w="151"/>
        <w:gridCol w:w="1239"/>
        <w:gridCol w:w="159"/>
      </w:tblGrid>
      <w:tr>
        <w:trPr/>
        <w:tc>
          <w:tcPr>
            <w:tcW w:w="701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01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Minimum</w:t>
              <w:br/>
              <w:t>Redemptions</w:t>
            </w:r>
          </w:p>
        </w:tc>
        <w:tc>
          <w:tcPr>
            <w:tcW w:w="15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Maximum</w:t>
              <w:br/>
              <w:t>Redemptions</w:t>
            </w:r>
          </w:p>
        </w:tc>
        <w:tc>
          <w:tcPr>
            <w:tcW w:w="159" w:type="dxa"/>
            <w:tcBorders/>
            <w:shd w:fill="auto" w:val="clear"/>
            <w:vAlign w:val="bottom"/>
          </w:tcPr>
          <w:p>
            <w:pPr>
              <w:pStyle w:val="TableContents"/>
              <w:spacing w:before="0" w:after="283"/>
              <w:rPr/>
            </w:pPr>
            <w:r>
              <w:rPr/>
              <w:t> </w:t>
            </w:r>
          </w:p>
        </w:tc>
      </w:tr>
      <w:tr>
        <w:trPr/>
        <w:tc>
          <w:tcPr>
            <w:tcW w:w="701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9" w:type="dxa"/>
            <w:tcBorders/>
            <w:shd w:fill="auto" w:val="clear"/>
            <w:vAlign w:val="bottom"/>
          </w:tcPr>
          <w:p>
            <w:pPr>
              <w:pStyle w:val="TableContents"/>
              <w:spacing w:before="0" w:after="283"/>
              <w:rPr/>
            </w:pPr>
            <w:r>
              <w:rPr/>
              <w:t> </w:t>
            </w:r>
          </w:p>
        </w:tc>
      </w:tr>
      <w:tr>
        <w:trPr/>
        <w:tc>
          <w:tcPr>
            <w:tcW w:w="7015"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22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239" w:type="dxa"/>
            <w:tcBorders/>
            <w:shd w:fill="CCEEFF" w:val="clear"/>
            <w:vAlign w:val="bottom"/>
          </w:tcPr>
          <w:p>
            <w:pPr>
              <w:pStyle w:val="TableContents"/>
              <w:spacing w:before="0" w:after="283"/>
              <w:jc w:val="right"/>
              <w:rPr/>
            </w:pPr>
            <w:r>
              <w:rPr/>
              <w:t>9,330,076</w:t>
            </w:r>
          </w:p>
        </w:tc>
        <w:tc>
          <w:tcPr>
            <w:tcW w:w="15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239" w:type="dxa"/>
            <w:tcBorders/>
            <w:shd w:fill="CCEEFF" w:val="clear"/>
            <w:vAlign w:val="bottom"/>
          </w:tcPr>
          <w:p>
            <w:pPr>
              <w:pStyle w:val="TableContents"/>
              <w:spacing w:before="0" w:after="283"/>
              <w:jc w:val="right"/>
              <w:rPr/>
            </w:pPr>
            <w:r>
              <w:rPr/>
              <w:t>9,330,076</w:t>
            </w:r>
          </w:p>
        </w:tc>
        <w:tc>
          <w:tcPr>
            <w:tcW w:w="159" w:type="dxa"/>
            <w:tcBorders/>
            <w:shd w:fill="CCEEFF" w:val="clear"/>
            <w:vAlign w:val="bottom"/>
          </w:tcPr>
          <w:p>
            <w:pPr>
              <w:pStyle w:val="TableContents"/>
              <w:spacing w:before="0" w:after="283"/>
              <w:rPr/>
            </w:pPr>
            <w:r>
              <w:rPr/>
              <w:t> </w:t>
            </w:r>
          </w:p>
        </w:tc>
      </w:tr>
      <w:tr>
        <w:trPr/>
        <w:tc>
          <w:tcPr>
            <w:tcW w:w="7015"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28"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1239" w:type="dxa"/>
            <w:tcBorders/>
            <w:shd w:fill="auto" w:val="clear"/>
            <w:vAlign w:val="bottom"/>
          </w:tcPr>
          <w:p>
            <w:pPr>
              <w:pStyle w:val="TableContents"/>
              <w:spacing w:before="0" w:after="283"/>
              <w:jc w:val="right"/>
              <w:rPr/>
            </w:pPr>
            <w:r>
              <w:rPr/>
              <w:t>22,349,328</w:t>
            </w:r>
          </w:p>
        </w:tc>
        <w:tc>
          <w:tcPr>
            <w:tcW w:w="15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1239" w:type="dxa"/>
            <w:tcBorders/>
            <w:shd w:fill="auto" w:val="clear"/>
            <w:vAlign w:val="bottom"/>
          </w:tcPr>
          <w:p>
            <w:pPr>
              <w:pStyle w:val="TableContents"/>
              <w:spacing w:before="0" w:after="283"/>
              <w:jc w:val="right"/>
              <w:rPr/>
            </w:pPr>
            <w:r>
              <w:rPr/>
              <w:t>58,657,935</w:t>
            </w:r>
          </w:p>
        </w:tc>
        <w:tc>
          <w:tcPr>
            <w:tcW w:w="159" w:type="dxa"/>
            <w:tcBorders/>
            <w:shd w:fill="auto" w:val="clear"/>
            <w:vAlign w:val="bottom"/>
          </w:tcPr>
          <w:p>
            <w:pPr>
              <w:pStyle w:val="TableContents"/>
              <w:spacing w:before="0" w:after="283"/>
              <w:rPr/>
            </w:pPr>
            <w:r>
              <w:rPr/>
              <w:t> </w:t>
            </w:r>
          </w:p>
        </w:tc>
      </w:tr>
      <w:tr>
        <w:trPr/>
        <w:tc>
          <w:tcPr>
            <w:tcW w:w="7015" w:type="dxa"/>
            <w:tcBorders/>
            <w:shd w:fill="CCEEFF" w:val="clear"/>
          </w:tcPr>
          <w:p>
            <w:pPr>
              <w:pStyle w:val="TableContents"/>
              <w:spacing w:before="0" w:after="0"/>
              <w:rPr>
                <w:rFonts w:ascii="Times New Roman" w:hAnsi="Times New Roman"/>
                <w:sz w:val="20"/>
              </w:rPr>
            </w:pPr>
            <w:r>
              <w:rPr>
                <w:rFonts w:ascii="Times New Roman" w:hAnsi="Times New Roman"/>
                <w:sz w:val="20"/>
              </w:rPr>
              <w:t>Total shareholders equity (deficit)</w:t>
            </w:r>
          </w:p>
        </w:tc>
        <w:tc>
          <w:tcPr>
            <w:tcW w:w="228"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239" w:type="dxa"/>
            <w:tcBorders/>
            <w:shd w:fill="CCEEFF" w:val="clear"/>
            <w:vAlign w:val="bottom"/>
          </w:tcPr>
          <w:p>
            <w:pPr>
              <w:pStyle w:val="TableContents"/>
              <w:spacing w:before="0" w:after="283"/>
              <w:jc w:val="right"/>
              <w:rPr/>
            </w:pPr>
            <w:r>
              <w:rPr/>
              <w:t>(13,019,252</w:t>
            </w:r>
          </w:p>
        </w:tc>
        <w:tc>
          <w:tcPr>
            <w:tcW w:w="15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239" w:type="dxa"/>
            <w:tcBorders/>
            <w:shd w:fill="CCEEFF" w:val="clear"/>
            <w:vAlign w:val="bottom"/>
          </w:tcPr>
          <w:p>
            <w:pPr>
              <w:pStyle w:val="TableContents"/>
              <w:spacing w:before="0" w:after="283"/>
              <w:jc w:val="right"/>
              <w:rPr/>
            </w:pPr>
            <w:r>
              <w:rPr/>
              <w:t>(49,327,859</w:t>
            </w:r>
          </w:p>
        </w:tc>
        <w:tc>
          <w:tcPr>
            <w:tcW w:w="159"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Unaudited Pro Forma Condensed Combined Statement Of Operations for the Year Ended December 31, 2022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6773"/>
        <w:gridCol w:w="228"/>
        <w:gridCol w:w="149"/>
        <w:gridCol w:w="1361"/>
        <w:gridCol w:w="156"/>
        <w:gridCol w:w="201"/>
        <w:gridCol w:w="149"/>
        <w:gridCol w:w="1361"/>
        <w:gridCol w:w="161"/>
      </w:tblGrid>
      <w:tr>
        <w:trPr/>
        <w:tc>
          <w:tcPr>
            <w:tcW w:w="677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7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Minimum</w:t>
              <w:br/>
              <w:t>Redemptions</w:t>
            </w:r>
          </w:p>
        </w:tc>
        <w:tc>
          <w:tcPr>
            <w:tcW w:w="15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Maximum</w:t>
              <w:br/>
              <w:t>Redemptions</w:t>
            </w:r>
          </w:p>
        </w:tc>
        <w:tc>
          <w:tcPr>
            <w:tcW w:w="161" w:type="dxa"/>
            <w:tcBorders/>
            <w:shd w:fill="auto" w:val="clear"/>
            <w:vAlign w:val="bottom"/>
          </w:tcPr>
          <w:p>
            <w:pPr>
              <w:pStyle w:val="TableContents"/>
              <w:spacing w:before="0" w:after="283"/>
              <w:rPr/>
            </w:pPr>
            <w:r>
              <w:rPr/>
              <w:t> </w:t>
            </w:r>
          </w:p>
        </w:tc>
      </w:tr>
      <w:tr>
        <w:trPr/>
        <w:tc>
          <w:tcPr>
            <w:tcW w:w="6773"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Consolidated</w:t>
            </w:r>
          </w:p>
        </w:tc>
        <w:tc>
          <w:tcPr>
            <w:tcW w:w="15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Consolidated</w:t>
            </w:r>
          </w:p>
        </w:tc>
        <w:tc>
          <w:tcPr>
            <w:tcW w:w="161" w:type="dxa"/>
            <w:tcBorders/>
            <w:shd w:fill="auto" w:val="clear"/>
            <w:vAlign w:val="bottom"/>
          </w:tcPr>
          <w:p>
            <w:pPr>
              <w:pStyle w:val="TableContents"/>
              <w:spacing w:before="0" w:after="283"/>
              <w:rPr/>
            </w:pPr>
            <w:r>
              <w:rPr/>
              <w:t> </w:t>
            </w:r>
          </w:p>
        </w:tc>
      </w:tr>
      <w:tr>
        <w:trPr/>
        <w:tc>
          <w:tcPr>
            <w:tcW w:w="6773"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 income</w:t>
            </w:r>
          </w:p>
        </w:tc>
        <w:tc>
          <w:tcPr>
            <w:tcW w:w="22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361" w:type="dxa"/>
            <w:tcBorders/>
            <w:shd w:fill="CCEEFF" w:val="clear"/>
            <w:vAlign w:val="bottom"/>
          </w:tcPr>
          <w:p>
            <w:pPr>
              <w:pStyle w:val="TableContents"/>
              <w:spacing w:before="0" w:after="283"/>
              <w:jc w:val="right"/>
              <w:rPr/>
            </w:pPr>
            <w:r>
              <w:rPr/>
              <w:t>(113,325,209</w:t>
            </w:r>
          </w:p>
        </w:tc>
        <w:tc>
          <w:tcPr>
            <w:tcW w:w="15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361" w:type="dxa"/>
            <w:tcBorders/>
            <w:shd w:fill="CCEEFF" w:val="clear"/>
            <w:vAlign w:val="bottom"/>
          </w:tcPr>
          <w:p>
            <w:pPr>
              <w:pStyle w:val="TableContents"/>
              <w:spacing w:before="0" w:after="283"/>
              <w:jc w:val="right"/>
              <w:rPr/>
            </w:pPr>
            <w:r>
              <w:rPr/>
              <w:t>(113,684,700</w:t>
            </w:r>
          </w:p>
        </w:tc>
        <w:tc>
          <w:tcPr>
            <w:tcW w:w="161" w:type="dxa"/>
            <w:tcBorders/>
            <w:shd w:fill="CCEEFF" w:val="clear"/>
            <w:vAlign w:val="bottom"/>
          </w:tcPr>
          <w:p>
            <w:pPr>
              <w:pStyle w:val="TableContents"/>
              <w:spacing w:before="0" w:after="283"/>
              <w:rPr/>
            </w:pPr>
            <w:r>
              <w:rPr/>
              <w:t>) </w:t>
            </w:r>
          </w:p>
        </w:tc>
      </w:tr>
      <w:tr>
        <w:trPr/>
        <w:tc>
          <w:tcPr>
            <w:tcW w:w="6773" w:type="dxa"/>
            <w:tcBorders/>
            <w:shd w:fill="auto" w:val="clear"/>
          </w:tcPr>
          <w:p>
            <w:pPr>
              <w:pStyle w:val="TableContents"/>
              <w:spacing w:before="0" w:after="0"/>
              <w:rPr>
                <w:rFonts w:ascii="Times New Roman" w:hAnsi="Times New Roman"/>
                <w:b/>
                <w:sz w:val="20"/>
              </w:rPr>
            </w:pPr>
            <w:r>
              <w:rPr>
                <w:rFonts w:ascii="Times New Roman" w:hAnsi="Times New Roman"/>
                <w:b/>
                <w:sz w:val="20"/>
              </w:rPr>
              <w:t>Earnings Per Share</w:t>
            </w:r>
          </w:p>
        </w:tc>
        <w:tc>
          <w:tcPr>
            <w:tcW w:w="228"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36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sz w:val="4"/>
                <w:szCs w:val="4"/>
              </w:rPr>
            </w:pPr>
            <w:r>
              <w:rPr>
                <w:sz w:val="4"/>
                <w:szCs w:val="4"/>
              </w:rPr>
            </w:r>
          </w:p>
        </w:tc>
        <w:tc>
          <w:tcPr>
            <w:tcW w:w="136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6773"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228"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188,648,066</w:t>
            </w:r>
          </w:p>
        </w:tc>
        <w:tc>
          <w:tcPr>
            <w:tcW w:w="15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61" w:type="dxa"/>
            <w:tcBorders/>
            <w:shd w:fill="CCEEFF" w:val="clear"/>
            <w:vAlign w:val="bottom"/>
          </w:tcPr>
          <w:p>
            <w:pPr>
              <w:pStyle w:val="TableContents"/>
              <w:spacing w:before="0" w:after="283"/>
              <w:jc w:val="right"/>
              <w:rPr/>
            </w:pPr>
            <w:r>
              <w:rPr/>
              <w:t>185,139,214</w:t>
            </w:r>
          </w:p>
        </w:tc>
        <w:tc>
          <w:tcPr>
            <w:tcW w:w="161" w:type="dxa"/>
            <w:tcBorders/>
            <w:shd w:fill="CCEEFF" w:val="clear"/>
            <w:vAlign w:val="bottom"/>
          </w:tcPr>
          <w:p>
            <w:pPr>
              <w:pStyle w:val="TableContents"/>
              <w:spacing w:before="0" w:after="283"/>
              <w:rPr/>
            </w:pPr>
            <w:r>
              <w:rPr/>
              <w:t> </w:t>
            </w:r>
          </w:p>
        </w:tc>
      </w:tr>
      <w:tr>
        <w:trPr/>
        <w:tc>
          <w:tcPr>
            <w:tcW w:w="6773"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share, basic and diluted</w:t>
            </w:r>
          </w:p>
        </w:tc>
        <w:tc>
          <w:tcPr>
            <w:tcW w:w="228"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(0.60</w:t>
            </w:r>
          </w:p>
        </w:tc>
        <w:tc>
          <w:tcPr>
            <w:tcW w:w="156"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1" w:type="dxa"/>
            <w:tcBorders/>
            <w:shd w:fill="auto" w:val="clear"/>
            <w:vAlign w:val="bottom"/>
          </w:tcPr>
          <w:p>
            <w:pPr>
              <w:pStyle w:val="TableContents"/>
              <w:spacing w:before="0" w:after="283"/>
              <w:jc w:val="right"/>
              <w:rPr/>
            </w:pPr>
            <w:r>
              <w:rPr/>
              <w:t>(0.61</w:t>
            </w:r>
          </w:p>
        </w:tc>
        <w:tc>
          <w:tcPr>
            <w:tcW w:w="161"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Comparative Per Share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Minimum Redemptions  This assumes that the minimum number of Armada public stockholder exercises redemption rights with respect to Armada Public Shares for a pro rata portion of the funds in Armadas Trust Account.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Maximum Redemptions  This assumes that Armada public stockholder (who are not Armada Initial Shareholders or an officer or director of Armada) holding 15,000,000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proceeds of $35,949,116. Under the Business Combination Agreement, the consummation of the Business Combination is conditioned upon, among other things, the Company having at least $5,000,001 of net tangible assets, after giving effect to the public shareholders exercise of their redemption rights. This scenario gives effect to the maximum number of redemptions that meet all of the conditions to permit consummation of the Business Combination. </w:t>
            </w:r>
          </w:p>
        </w:tc>
      </w:tr>
    </w:tbl>
    <w:p>
      <w:pPr>
        <w:pStyle w:val="TextBody"/>
        <w:spacing w:before="0" w:after="0"/>
        <w:jc w:val="left"/>
        <w:rPr>
          <w:bdr w:val="single" w:sz="8" w:space="1" w:color="000000"/>
        </w:rPr>
      </w:pPr>
      <w:r>
        <w:rPr>
          <w:bdr w:val="single" w:sz="8" w:space="1" w:color="000000"/>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unaudited pro forma weighted average shares outstanding and net loss per share information give pro forma effect to the Business Combination as if it had occurred on January 1,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information is only a summary and should be read together with the selected historical financial information included elsewhere in this proxy statement/prospectus and the audited financial statements of 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 </w:t>
      </w:r>
    </w:p>
    <w:p>
      <w:pPr>
        <w:pStyle w:val="TextBody"/>
        <w:spacing w:before="0" w:after="0"/>
        <w:jc w:val="left"/>
        <w:rPr>
          <w:bdr w:val="single" w:sz="8" w:space="1" w:color="000000"/>
        </w:rPr>
      </w:pPr>
      <w:r>
        <w:rPr>
          <w:bdr w:val="single" w:sz="8" w:space="1" w:color="000000"/>
        </w:rPr>
        <w:t> </w:t>
      </w:r>
    </w:p>
    <w:tbl>
      <w:tblPr>
        <w:tblW w:w="10745" w:type="dxa"/>
        <w:jc w:val="center"/>
        <w:tblInd w:w="0" w:type="dxa"/>
        <w:tblCellMar>
          <w:top w:w="0" w:type="dxa"/>
          <w:left w:w="0" w:type="dxa"/>
          <w:bottom w:w="0" w:type="dxa"/>
          <w:right w:w="0" w:type="dxa"/>
        </w:tblCellMar>
      </w:tblPr>
      <w:tblGrid>
        <w:gridCol w:w="1415"/>
        <w:gridCol w:w="60"/>
        <w:gridCol w:w="140"/>
        <w:gridCol w:w="1100"/>
        <w:gridCol w:w="155"/>
        <w:gridCol w:w="60"/>
        <w:gridCol w:w="140"/>
        <w:gridCol w:w="1220"/>
        <w:gridCol w:w="155"/>
        <w:gridCol w:w="60"/>
        <w:gridCol w:w="140"/>
        <w:gridCol w:w="1220"/>
        <w:gridCol w:w="155"/>
        <w:gridCol w:w="60"/>
        <w:gridCol w:w="140"/>
        <w:gridCol w:w="1220"/>
        <w:gridCol w:w="155"/>
        <w:gridCol w:w="60"/>
        <w:gridCol w:w="140"/>
        <w:gridCol w:w="1220"/>
        <w:gridCol w:w="155"/>
        <w:gridCol w:w="60"/>
        <w:gridCol w:w="140"/>
        <w:gridCol w:w="1220"/>
        <w:gridCol w:w="155"/>
      </w:tblGrid>
      <w:tr>
        <w:trPr/>
        <w:tc>
          <w:tcPr>
            <w:tcW w:w="1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Pro Forma Combined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3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Rezolve equivalent pro forma</w:t>
              <w:br/>
              <w:t>per share information (2)</w:t>
            </w:r>
          </w:p>
        </w:tc>
        <w:tc>
          <w:tcPr>
            <w:tcW w:w="155" w:type="dxa"/>
            <w:tcBorders/>
            <w:shd w:fill="auto" w:val="clear"/>
            <w:vAlign w:val="bottom"/>
          </w:tcPr>
          <w:p>
            <w:pPr>
              <w:pStyle w:val="TableContents"/>
              <w:spacing w:before="0" w:after="283"/>
              <w:rPr/>
            </w:pPr>
            <w:r>
              <w:rPr/>
              <w:t> </w:t>
            </w:r>
          </w:p>
        </w:tc>
      </w:tr>
      <w:tr>
        <w:trPr/>
        <w:tc>
          <w:tcPr>
            <w:tcW w:w="14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jc w:val="center"/>
              <w:rPr>
                <w:b/>
              </w:rPr>
            </w:pPr>
            <w:r>
              <w:rPr>
                <w:b/>
              </w:rPr>
              <w:t>Armada</w:t>
              <w:br/>
              <w:t>(Historical)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jc w:val="center"/>
              <w:rPr>
                <w:b/>
              </w:rPr>
            </w:pPr>
            <w:r>
              <w:rPr>
                <w:b/>
              </w:rPr>
              <w:t>Rezolve</w:t>
              <w:br/>
              <w:t>(Historical)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jc w:val="center"/>
              <w:rPr>
                <w:b/>
              </w:rPr>
            </w:pPr>
            <w:r>
              <w:rPr>
                <w:b/>
              </w:rPr>
              <w:t>(Assuming</w:t>
              <w:br/>
              <w:t>Minimum</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jc w:val="center"/>
              <w:rPr>
                <w:b/>
              </w:rPr>
            </w:pPr>
            <w:r>
              <w:rPr>
                <w:b/>
              </w:rPr>
              <w:t>(Assuming</w:t>
              <w:br/>
              <w:t>Maximum</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jc w:val="center"/>
              <w:rPr>
                <w:b/>
              </w:rPr>
            </w:pPr>
            <w:r>
              <w:rPr>
                <w:b/>
              </w:rPr>
              <w:t>(Assuming</w:t>
              <w:br/>
              <w:t>Minimum</w:t>
              <w:br/>
              <w:t>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jc w:val="center"/>
              <w:rPr>
                <w:b/>
              </w:rPr>
            </w:pPr>
            <w:r>
              <w:rPr>
                <w:b/>
              </w:rPr>
              <w:t>(Assuming</w:t>
              <w:br/>
              <w:t>Maximum</w:t>
              <w:br/>
              <w:t>Redemptions)</w:t>
            </w:r>
          </w:p>
        </w:tc>
        <w:tc>
          <w:tcPr>
            <w:tcW w:w="155" w:type="dxa"/>
            <w:tcBorders/>
            <w:shd w:fill="auto" w:val="clear"/>
            <w:vAlign w:val="bottom"/>
          </w:tcPr>
          <w:p>
            <w:pPr>
              <w:pStyle w:val="TableContents"/>
              <w:spacing w:before="0" w:after="283"/>
              <w:rPr/>
            </w:pPr>
            <w:r>
              <w:rPr/>
              <w:t> </w:t>
            </w:r>
          </w:p>
        </w:tc>
      </w:tr>
      <w:tr>
        <w:trPr/>
        <w:tc>
          <w:tcPr>
            <w:tcW w:w="1415" w:type="dxa"/>
            <w:tcBorders/>
            <w:shd w:fill="auto" w:val="clear"/>
            <w:vAlign w:val="bottom"/>
          </w:tcPr>
          <w:p>
            <w:pPr>
              <w:pStyle w:val="TableContents"/>
              <w:spacing w:before="0" w:after="283"/>
              <w:rPr>
                <w:b/>
              </w:rPr>
            </w:pPr>
            <w:r>
              <w:rPr>
                <w:b/>
              </w:rPr>
              <w:t>As of and for the year ended</w:t>
              <w:br/>
              <w:t>December 31, 2022 (3)</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1415" w:type="dxa"/>
            <w:tcBorders/>
            <w:shd w:fill="CCEEFF" w:val="clear"/>
          </w:tcPr>
          <w:p>
            <w:pPr>
              <w:pStyle w:val="TableContents"/>
              <w:spacing w:before="0" w:after="0"/>
              <w:rPr>
                <w:rFonts w:ascii="Times New Roman" w:hAnsi="Times New Roman"/>
                <w:sz w:val="18"/>
              </w:rPr>
            </w:pPr>
            <w:r>
              <w:rPr>
                <w:rFonts w:ascii="Times New Roman" w:hAnsi="Times New Roman"/>
                <w:sz w:val="18"/>
              </w:rPr>
              <w:t>Book value per share (1)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0.24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(0.03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415" w:type="dxa"/>
            <w:tcBorders/>
            <w:shd w:fill="auto" w:val="clear"/>
          </w:tcPr>
          <w:p>
            <w:pPr>
              <w:pStyle w:val="TableContents"/>
              <w:spacing w:before="0" w:after="0"/>
              <w:rPr>
                <w:rFonts w:ascii="Times New Roman" w:hAnsi="Times New Roman"/>
                <w:sz w:val="18"/>
              </w:rPr>
            </w:pPr>
            <w:r>
              <w:rPr>
                <w:rFonts w:ascii="Times New Roman" w:hAnsi="Times New Roman"/>
                <w:sz w:val="18"/>
              </w:rPr>
              <w:t>Weighted average Common Stock outstanding, basic and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415" w:type="dxa"/>
            <w:tcBorders/>
            <w:shd w:fill="CCEEFF" w:val="clear"/>
          </w:tcPr>
          <w:p>
            <w:pPr>
              <w:pStyle w:val="TableContents"/>
              <w:spacing w:before="0" w:after="0"/>
              <w:rPr>
                <w:rFonts w:ascii="Times New Roman" w:hAnsi="Times New Roman"/>
                <w:sz w:val="18"/>
              </w:rPr>
            </w:pPr>
            <w:r>
              <w:rPr>
                <w:rFonts w:ascii="Times New Roman" w:hAnsi="Times New Roman"/>
                <w:sz w:val="18"/>
              </w:rPr>
              <w:t>Net loss per share attributable to Common stockholders, basic and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(0.05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415" w:type="dxa"/>
            <w:tcBorders/>
            <w:shd w:fill="auto" w:val="clear"/>
          </w:tcPr>
          <w:p>
            <w:pPr>
              <w:pStyle w:val="TableContents"/>
              <w:spacing w:before="0" w:after="0"/>
              <w:rPr>
                <w:rFonts w:ascii="Times New Roman" w:hAnsi="Times New Roman"/>
                <w:sz w:val="18"/>
              </w:rPr>
            </w:pPr>
            <w:r>
              <w:rPr>
                <w:rFonts w:ascii="Times New Roman" w:hAnsi="Times New Roman"/>
                <w:sz w:val="18"/>
              </w:rPr>
              <w:t>Weighted average Common stock subject to possible redemption outstanding, basic and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15,000,000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415" w:type="dxa"/>
            <w:tcBorders/>
            <w:shd w:fill="CCEEFF" w:val="clear"/>
          </w:tcPr>
          <w:p>
            <w:pPr>
              <w:pStyle w:val="TableContents"/>
              <w:spacing w:before="0" w:after="0"/>
              <w:rPr>
                <w:rFonts w:ascii="Times New Roman" w:hAnsi="Times New Roman"/>
                <w:sz w:val="18"/>
              </w:rPr>
            </w:pPr>
            <w:r>
              <w:rPr>
                <w:rFonts w:ascii="Times New Roman" w:hAnsi="Times New Roman"/>
                <w:sz w:val="18"/>
              </w:rPr>
              <w:t>Net loss per share attributable to redeemable stockholders, basic and diluted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(0.05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415" w:type="dxa"/>
            <w:tcBorders/>
            <w:shd w:fill="auto" w:val="clear"/>
          </w:tcPr>
          <w:p>
            <w:pPr>
              <w:pStyle w:val="TableContents"/>
              <w:spacing w:before="0" w:after="0"/>
              <w:rPr>
                <w:rFonts w:ascii="Times New Roman" w:hAnsi="Times New Roman"/>
                <w:sz w:val="18"/>
              </w:rPr>
            </w:pPr>
            <w:r>
              <w:rPr>
                <w:rFonts w:ascii="Times New Roman" w:hAnsi="Times New Roman"/>
                <w:sz w:val="18"/>
              </w:rPr>
              <w:t>Weighted average redeemable Ordinary Shares outstanding, basic and diluted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913,109,577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188,648,066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185,139,214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188,648,066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185,139,214</w:t>
            </w:r>
          </w:p>
        </w:tc>
        <w:tc>
          <w:tcPr>
            <w:tcW w:w="155" w:type="dxa"/>
            <w:tcBorders/>
            <w:shd w:fill="auto" w:val="clear"/>
            <w:vAlign w:val="bottom"/>
          </w:tcPr>
          <w:p>
            <w:pPr>
              <w:pStyle w:val="TableContents"/>
              <w:spacing w:before="0" w:after="283"/>
              <w:rPr/>
            </w:pPr>
            <w:r>
              <w:rPr/>
              <w:t> </w:t>
            </w:r>
          </w:p>
        </w:tc>
      </w:tr>
      <w:tr>
        <w:trPr/>
        <w:tc>
          <w:tcPr>
            <w:tcW w:w="1415" w:type="dxa"/>
            <w:tcBorders/>
            <w:shd w:fill="CCEEFF" w:val="clear"/>
          </w:tcPr>
          <w:p>
            <w:pPr>
              <w:pStyle w:val="TableContents"/>
              <w:spacing w:before="0" w:after="0"/>
              <w:rPr>
                <w:rFonts w:ascii="Times New Roman" w:hAnsi="Times New Roman"/>
                <w:sz w:val="18"/>
              </w:rPr>
            </w:pPr>
            <w:r>
              <w:rPr>
                <w:rFonts w:ascii="Times New Roman" w:hAnsi="Times New Roman"/>
                <w:sz w:val="18"/>
              </w:rPr>
              <w:t>Basic and diluted net loss per Ordinary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(0.11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(0.60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(0.61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(0.60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(0.61</w:t>
            </w:r>
          </w:p>
        </w:tc>
        <w:tc>
          <w:tcPr>
            <w:tcW w:w="15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pPr>
            <w:r>
              <w:rPr/>
              <w:t>(1)</w:t>
            </w:r>
          </w:p>
        </w:tc>
        <w:tc>
          <w:tcPr>
            <w:tcW w:w="10014"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Book value per share equals total equity available to common stockholders or ordinary shareholders, divided by the number of shares of common stock, ordinary shares and redeemable stock outstanding. Preferred and deferred shares are excluded.</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5"/>
        <w:gridCol w:w="10014"/>
      </w:tblGrid>
      <w:tr>
        <w:trPr/>
        <w:tc>
          <w:tcPr>
            <w:tcW w:w="525" w:type="dxa"/>
            <w:tcBorders/>
            <w:shd w:fill="auto" w:val="clear"/>
          </w:tcPr>
          <w:p>
            <w:pPr>
              <w:pStyle w:val="TableContents"/>
              <w:spacing w:before="0" w:after="283"/>
              <w:jc w:val="left"/>
              <w:rPr/>
            </w:pPr>
            <w:r>
              <w:rPr/>
              <w:t>(2)</w:t>
            </w:r>
          </w:p>
        </w:tc>
        <w:tc>
          <w:tcPr>
            <w:tcW w:w="10014"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The equivalent pro forma basic and diluted per share data for Rezolve is calculated by multiplying the pro forma combined per share data by the Exchange Rezolve Ordinary Ratio, which is expected to be one Ordinary Share for each share of Armada Common Stock.</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26"/>
        <w:gridCol w:w="10013"/>
      </w:tblGrid>
      <w:tr>
        <w:trPr/>
        <w:tc>
          <w:tcPr>
            <w:tcW w:w="526" w:type="dxa"/>
            <w:tcBorders/>
            <w:shd w:fill="auto" w:val="clear"/>
          </w:tcPr>
          <w:p>
            <w:pPr>
              <w:pStyle w:val="TableContents"/>
              <w:spacing w:before="0" w:after="283"/>
              <w:jc w:val="left"/>
              <w:rPr/>
            </w:pPr>
            <w:r>
              <w:rPr/>
              <w:t>(3)</w:t>
            </w:r>
          </w:p>
        </w:tc>
        <w:tc>
          <w:tcPr>
            <w:tcW w:w="10013"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There were no cash dividends declared in the period presented.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x309194_10"/>
      <w:bookmarkEnd w:id="12"/>
      <w:r>
        <w:rPr>
          <w:rFonts w:ascii="Times New Roman" w:hAnsi="Times New Roman"/>
          <w:b/>
          <w:sz w:val="20"/>
        </w:rPr>
        <w:t xml:space="preserve">RISK FACTORS </w:t>
      </w:r>
    </w:p>
    <w:p>
      <w:pPr>
        <w:pStyle w:val="TextBody"/>
        <w:spacing w:before="240" w:after="0"/>
        <w:jc w:val="left"/>
        <w:rPr>
          <w:rFonts w:ascii="Times New Roman" w:hAnsi="Times New Roman"/>
          <w:i/>
          <w:sz w:val="20"/>
        </w:rPr>
      </w:pPr>
      <w:r>
        <w:rPr>
          <w:rFonts w:ascii="Times New Roman" w:hAnsi="Times New Roman"/>
          <w:i/>
          <w:sz w:val="20"/>
        </w:rPr>
        <w:t xml:space="preserve">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 </w:t>
      </w:r>
    </w:p>
    <w:p>
      <w:pPr>
        <w:pStyle w:val="TextBody"/>
        <w:spacing w:before="240" w:after="0"/>
        <w:jc w:val="left"/>
        <w:rPr>
          <w:rFonts w:ascii="Times New Roman" w:hAnsi="Times New Roman"/>
          <w:i/>
          <w:sz w:val="20"/>
        </w:rPr>
      </w:pPr>
      <w:r>
        <w:rPr>
          <w:rFonts w:ascii="Times New Roman" w:hAnsi="Times New Roman"/>
          <w:i/>
          <w:sz w:val="20"/>
        </w:rPr>
        <w:t xml:space="preserve">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 </w:t>
      </w:r>
    </w:p>
    <w:p>
      <w:pPr>
        <w:pStyle w:val="TextBody"/>
        <w:spacing w:before="240" w:after="0"/>
        <w:jc w:val="left"/>
        <w:rPr>
          <w:rFonts w:ascii="Times New Roman" w:hAnsi="Times New Roman"/>
          <w:i/>
          <w:sz w:val="20"/>
        </w:rPr>
      </w:pPr>
      <w:r>
        <w:rPr>
          <w:rFonts w:ascii="Times New Roman" w:hAnsi="Times New Roman"/>
          <w:i/>
          <w:sz w:val="20"/>
        </w:rPr>
        <w:t xml:space="preserve">In this section, we, us, and our refer to Armada prior to the consummation of the Business Combination and to Rezolve PLC and its subsidiaries following the consummation of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Risks Relating to the Business Combination and Risks Relating to Armadas Due Diligence and Evaluation of Rezolve </w:t>
      </w:r>
    </w:p>
    <w:p>
      <w:pPr>
        <w:pStyle w:val="TextBody"/>
        <w:spacing w:before="120" w:after="0"/>
        <w:jc w:val="left"/>
        <w:rPr>
          <w:rFonts w:ascii="Times New Roman" w:hAnsi="Times New Roman"/>
          <w:b/>
          <w:i/>
          <w:sz w:val="20"/>
        </w:rPr>
      </w:pPr>
      <w:r>
        <w:rPr>
          <w:rFonts w:ascii="Times New Roman" w:hAnsi="Times New Roman"/>
          <w:b/>
          <w:i/>
          <w:sz w:val="20"/>
        </w:rPr>
        <w:t xml:space="preserve">If we are unable to complete an initial business combination prior to Armadas applicable business combination deadline, our public stockholders may receive only approximately $         per share on the liquidation of the Trust Account (or less than $         per share in certain circumstances where a third party brings a claim against us that our Sponsor is unable to indemnify). </w:t>
      </w:r>
    </w:p>
    <w:p>
      <w:pPr>
        <w:pStyle w:val="TextBody"/>
        <w:spacing w:before="120" w:after="0"/>
        <w:jc w:val="left"/>
        <w:rPr>
          <w:rFonts w:ascii="Times New Roman" w:hAnsi="Times New Roman"/>
          <w:sz w:val="20"/>
        </w:rPr>
      </w:pPr>
      <w:r>
        <w:rPr>
          <w:rFonts w:ascii="Times New Roman" w:hAnsi="Times New Roman"/>
          <w:sz w:val="20"/>
        </w:rPr>
        <w:t xml:space="preserve">If we are unable to complete an initial business combination by the applicable deadline, our public stockholders may receive only approximately $         per share on the liquidation of the Trust Account (or less than $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 </w:t>
      </w:r>
    </w:p>
    <w:p>
      <w:pPr>
        <w:pStyle w:val="TextBody"/>
        <w:spacing w:before="360" w:after="0"/>
        <w:jc w:val="left"/>
        <w:rPr>
          <w:rFonts w:ascii="Times New Roman" w:hAnsi="Times New Roman"/>
          <w:b/>
          <w:i/>
          <w:sz w:val="20"/>
        </w:rPr>
      </w:pPr>
      <w:r>
        <w:rPr>
          <w:rFonts w:ascii="Times New Roman" w:hAnsi="Times New Roman"/>
          <w:b/>
          <w:i/>
          <w:sz w:val="20"/>
        </w:rPr>
        <w:t xml:space="preserve">The Sponsor has agreed to vote in favor of the Business Combination, regardless of how the Armada public stockholders vote. </w:t>
      </w:r>
    </w:p>
    <w:p>
      <w:pPr>
        <w:pStyle w:val="TextBody"/>
        <w:spacing w:before="120" w:after="0"/>
        <w:jc w:val="left"/>
        <w:rPr>
          <w:rFonts w:ascii="Times New Roman" w:hAnsi="Times New Roman"/>
          <w:sz w:val="20"/>
        </w:rPr>
      </w:pPr>
      <w:r>
        <w:rPr>
          <w:rFonts w:ascii="Times New Roman" w:hAnsi="Times New Roman"/>
          <w:sz w:val="20"/>
        </w:rPr>
        <w:t xml:space="preserve">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Armadas public stockholders may not have the same benefits as an investor in an underwritten public offering. </w:t>
      </w:r>
    </w:p>
    <w:p>
      <w:pPr>
        <w:pStyle w:val="TextBody"/>
        <w:spacing w:before="120" w:after="0"/>
        <w:jc w:val="left"/>
        <w:rPr>
          <w:rFonts w:ascii="Times New Roman" w:hAnsi="Times New Roman"/>
          <w:sz w:val="20"/>
        </w:rPr>
      </w:pPr>
      <w:r>
        <w:rPr>
          <w:rFonts w:ascii="Times New Roman" w:hAnsi="Times New Roman"/>
          <w:sz w:val="20"/>
        </w:rPr>
        <w:t xml:space="preserve">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 </w:t>
      </w:r>
    </w:p>
    <w:p>
      <w:pPr>
        <w:pStyle w:val="TextBody"/>
        <w:spacing w:before="240" w:after="0"/>
        <w:jc w:val="left"/>
        <w:rPr>
          <w:rFonts w:ascii="Times New Roman" w:hAnsi="Times New Roman"/>
          <w:sz w:val="20"/>
        </w:rPr>
      </w:pPr>
      <w:r>
        <w:rPr>
          <w:rFonts w:ascii="Times New Roman" w:hAnsi="Times New Roman"/>
          <w:sz w:val="20"/>
        </w:rPr>
        <w:t xml:space="preserve">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 </w:t>
      </w:r>
    </w:p>
    <w:p>
      <w:pPr>
        <w:pStyle w:val="TextBody"/>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statement/prospectus may not be indicative of what Rezolves actual financial position or results of operations would have been. </w:t>
      </w:r>
    </w:p>
    <w:p>
      <w:pPr>
        <w:pStyle w:val="TextBody"/>
        <w:spacing w:before="120" w:after="0"/>
        <w:jc w:val="left"/>
        <w:rPr>
          <w:rFonts w:ascii="Times New Roman" w:hAnsi="Times New Roman"/>
          <w:sz w:val="20"/>
        </w:rPr>
      </w:pPr>
      <w:r>
        <w:rPr>
          <w:rFonts w:ascii="Times New Roman" w:hAnsi="Times New Roman"/>
          <w:sz w:val="20"/>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Times New Roman" w:hAnsi="Times New Roman"/>
          <w:i/>
          <w:sz w:val="20"/>
        </w:rPr>
        <w:t>Unaudited Pro Forma Condensed Combined Financial Information</w:t>
      </w:r>
      <w:r>
        <w:rPr>
          <w:rFonts w:ascii="Times New Roman" w:hAnsi="Times New Roman"/>
          <w:sz w:val="20"/>
        </w:rPr>
        <w:t xml:space="preserve"> for more information. </w:t>
      </w:r>
    </w:p>
    <w:p>
      <w:pPr>
        <w:pStyle w:val="TextBody"/>
        <w:spacing w:before="360" w:after="0"/>
        <w:jc w:val="left"/>
        <w:rPr>
          <w:rFonts w:ascii="Times New Roman" w:hAnsi="Times New Roman"/>
          <w:b/>
          <w:i/>
          <w:sz w:val="20"/>
        </w:rPr>
      </w:pPr>
      <w:r>
        <w:rPr>
          <w:rFonts w:ascii="Times New Roman" w:hAnsi="Times New Roman"/>
          <w:b/>
          <w:i/>
          <w:sz w:val="20"/>
        </w:rPr>
        <w:t xml:space="preserve">Armada does not expect to obtain an updated opinion from Marshall &amp; Stevens reflecting changes in circumstances that may occur after the signing of the amended and restated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 </w:t>
      </w:r>
    </w:p>
    <w:p>
      <w:pPr>
        <w:pStyle w:val="TextBody"/>
        <w:spacing w:before="240" w:after="0"/>
        <w:jc w:val="left"/>
        <w:rPr>
          <w:rFonts w:ascii="Times New Roman" w:hAnsi="Times New Roman"/>
          <w:sz w:val="20"/>
        </w:rPr>
      </w:pPr>
      <w:r>
        <w:rPr>
          <w:rFonts w:ascii="Times New Roman" w:hAnsi="Times New Roman"/>
          <w:sz w:val="20"/>
        </w:rPr>
        <w:t xml:space="preserve">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date of such opinion. For a description of the opinion issued by Northland and the opinion issued by Marshall &amp; Stevens to the Board, please see the sections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and </w:t>
      </w:r>
      <w:r>
        <w:rPr>
          <w:rFonts w:ascii="Times New Roman" w:hAnsi="Times New Roman"/>
          <w:i/>
          <w:sz w:val="20"/>
        </w:rPr>
        <w:t>The Business Combination Proposal  Opinion of Northland</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Armadas directors may decide not to enforce the indemnification obligations of Armadas Sponsor, resulting in a reduction in the amount of funds in the Trust Account available for distribution to Armadas public stockholders. </w:t>
      </w:r>
    </w:p>
    <w:p>
      <w:pPr>
        <w:pStyle w:val="TextBody"/>
        <w:spacing w:before="120" w:after="0"/>
        <w:jc w:val="left"/>
        <w:rPr>
          <w:rFonts w:ascii="Times New Roman" w:hAnsi="Times New Roman"/>
          <w:sz w:val="20"/>
        </w:rPr>
      </w:pPr>
      <w:r>
        <w:rPr>
          <w:rFonts w:ascii="Times New Roman" w:hAnsi="Times New Roman"/>
          <w:sz w:val="20"/>
        </w:rPr>
        <w:t xml:space="preserve">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 </w:t>
      </w:r>
    </w:p>
    <w:p>
      <w:pPr>
        <w:pStyle w:val="TextBody"/>
        <w:spacing w:before="360" w:after="0"/>
        <w:jc w:val="left"/>
        <w:rPr>
          <w:rFonts w:ascii="Times New Roman" w:hAnsi="Times New Roman"/>
          <w:b/>
          <w:i/>
          <w:sz w:val="20"/>
        </w:rPr>
      </w:pPr>
      <w:r>
        <w:rPr>
          <w:rFonts w:ascii="Times New Roman" w:hAnsi="Times New Roman"/>
          <w:b/>
          <w:i/>
          <w:sz w:val="20"/>
        </w:rPr>
        <w:t xml:space="preserve">Armada may not have sufficient funds to satisfy indemnification claims of its 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 </w:t>
      </w:r>
    </w:p>
    <w:p>
      <w:pPr>
        <w:pStyle w:val="TextBody"/>
        <w:spacing w:before="360" w:after="0"/>
        <w:jc w:val="left"/>
        <w:rPr>
          <w:rFonts w:ascii="Times New Roman" w:hAnsi="Times New Roman"/>
          <w:b/>
          <w:i/>
          <w:sz w:val="20"/>
        </w:rPr>
      </w:pPr>
      <w:r>
        <w:rPr>
          <w:rFonts w:ascii="Times New Roman" w:hAnsi="Times New Roman"/>
          <w:b/>
          <w:i/>
          <w:sz w:val="20"/>
        </w:rPr>
        <w:t xml:space="preserve">Armadas ability to successfully effect the Business Combination and to be successful thereafter will be totally dependent upon the efforts of its and Rezolves key personnel. </w:t>
      </w:r>
    </w:p>
    <w:p>
      <w:pPr>
        <w:pStyle w:val="TextBody"/>
        <w:spacing w:before="120" w:after="0"/>
        <w:jc w:val="left"/>
        <w:rPr>
          <w:rFonts w:ascii="Times New Roman" w:hAnsi="Times New Roman"/>
          <w:sz w:val="20"/>
        </w:rPr>
      </w:pPr>
      <w:r>
        <w:rPr>
          <w:rFonts w:ascii="Times New Roman" w:hAnsi="Times New Roman"/>
          <w:sz w:val="20"/>
        </w:rPr>
        <w:t xml:space="preserve">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Armada and Rezolve will be subject to business uncertainties and contractual restrictions while the Business Combination is pending. </w:t>
      </w:r>
    </w:p>
    <w:p>
      <w:pPr>
        <w:pStyle w:val="TextBody"/>
        <w:spacing w:before="120" w:after="0"/>
        <w:jc w:val="left"/>
        <w:rPr>
          <w:rFonts w:ascii="Times New Roman" w:hAnsi="Times New Roman"/>
          <w:sz w:val="20"/>
        </w:rPr>
      </w:pPr>
      <w:r>
        <w:rPr>
          <w:rFonts w:ascii="Times New Roman" w:hAnsi="Times New Roman"/>
          <w:sz w:val="20"/>
        </w:rPr>
        <w:t xml:space="preserve">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 </w:t>
      </w:r>
    </w:p>
    <w:p>
      <w:pPr>
        <w:pStyle w:val="TextBody"/>
        <w:spacing w:before="360" w:after="0"/>
        <w:jc w:val="left"/>
        <w:rPr>
          <w:rFonts w:ascii="Times New Roman" w:hAnsi="Times New Roman"/>
          <w:b/>
          <w:i/>
          <w:sz w:val="20"/>
        </w:rPr>
      </w:pPr>
      <w:r>
        <w:rPr>
          <w:rFonts w:ascii="Times New Roman" w:hAnsi="Times New Roman"/>
          <w:b/>
          <w:i/>
          <w:sz w:val="20"/>
        </w:rPr>
        <w:t xml:space="preserve">Armada may waive one or more of the conditions to the Business Combination. </w:t>
      </w:r>
    </w:p>
    <w:p>
      <w:pPr>
        <w:pStyle w:val="TextBody"/>
        <w:spacing w:before="120" w:after="0"/>
        <w:jc w:val="left"/>
        <w:rPr>
          <w:rFonts w:ascii="Times New Roman" w:hAnsi="Times New Roman"/>
          <w:sz w:val="20"/>
        </w:rPr>
      </w:pPr>
      <w:r>
        <w:rPr>
          <w:rFonts w:ascii="Times New Roman" w:hAnsi="Times New Roman"/>
          <w:sz w:val="20"/>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w:t>
      </w:r>
      <w:r>
        <w:rPr>
          <w:rFonts w:ascii="Times New Roman" w:hAnsi="Times New Roman"/>
          <w:sz w:val="20"/>
        </w:rPr>
        <w:t> </w:t>
      </w:r>
      <w:r>
        <w:rPr>
          <w:rFonts w:ascii="Times New Roman" w:hAnsi="Times New Roman"/>
          <w:i/>
          <w:sz w:val="20"/>
        </w:rPr>
        <w:t></w:t>
      </w:r>
      <w:r>
        <w:rPr>
          <w:rFonts w:ascii="Times New Roman" w:hAnsi="Times New Roman"/>
          <w:sz w:val="20"/>
        </w:rPr>
        <w:t> </w:t>
      </w:r>
      <w:r>
        <w:rPr>
          <w:rFonts w:ascii="Times New Roman" w:hAnsi="Times New Roman"/>
          <w:i/>
          <w:sz w:val="20"/>
        </w:rPr>
        <w:t>Approval of the Business Combination</w:t>
      </w:r>
      <w:r>
        <w:rPr>
          <w:rFonts w:ascii="Times New Roman" w:hAnsi="Times New Roman"/>
          <w:sz w:val="20"/>
        </w:rPr>
        <w:t> </w:t>
      </w:r>
      <w:r>
        <w:rPr>
          <w:rFonts w:ascii="Times New Roman" w:hAnsi="Times New Roman"/>
          <w:i/>
          <w:sz w:val="20"/>
        </w:rPr>
        <w:t></w:t>
      </w:r>
      <w:r>
        <w:rPr>
          <w:rFonts w:ascii="Times New Roman" w:hAnsi="Times New Roman"/>
          <w:sz w:val="20"/>
        </w:rPr>
        <w:t> </w:t>
      </w:r>
      <w:r>
        <w:rPr>
          <w:rFonts w:ascii="Times New Roman" w:hAnsi="Times New Roman"/>
          <w:i/>
          <w:sz w:val="20"/>
        </w:rPr>
        <w:t>The Business Combination Agreement</w:t>
      </w:r>
      <w:r>
        <w:rPr>
          <w:rFonts w:ascii="Times New Roman" w:hAnsi="Times New Roman"/>
          <w:sz w:val="20"/>
        </w:rPr>
        <w:t xml:space="preserve"> for additional information. </w:t>
      </w:r>
    </w:p>
    <w:p>
      <w:pPr>
        <w:pStyle w:val="TextBody"/>
        <w:spacing w:before="360" w:after="0"/>
        <w:jc w:val="left"/>
        <w:rPr>
          <w:rFonts w:ascii="Times New Roman" w:hAnsi="Times New Roman"/>
          <w:b/>
          <w:i/>
          <w:sz w:val="20"/>
        </w:rPr>
      </w:pPr>
      <w:r>
        <w:rPr>
          <w:rFonts w:ascii="Times New Roman" w:hAnsi="Times New Roman"/>
          <w:b/>
          <w:i/>
          <w:sz w:val="20"/>
        </w:rPr>
        <w:t xml:space="preserve">Armada and Rezolve will incur significant transaction and transition costs in connection with the Business Combination. </w:t>
      </w:r>
    </w:p>
    <w:p>
      <w:pPr>
        <w:pStyle w:val="TextBody"/>
        <w:spacing w:before="120" w:after="0"/>
        <w:jc w:val="left"/>
        <w:rPr>
          <w:rFonts w:ascii="Times New Roman" w:hAnsi="Times New Roman"/>
          <w:sz w:val="20"/>
        </w:rPr>
      </w:pPr>
      <w:r>
        <w:rPr>
          <w:rFonts w:ascii="Times New Roman" w:hAnsi="Times New Roman"/>
          <w:sz w:val="20"/>
        </w:rPr>
        <w:t xml:space="preserve">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 </w:t>
      </w:r>
    </w:p>
    <w:p>
      <w:pPr>
        <w:pStyle w:val="TextBody"/>
        <w:spacing w:before="240" w:after="0"/>
        <w:jc w:val="left"/>
        <w:rPr>
          <w:rFonts w:ascii="Times New Roman" w:hAnsi="Times New Roman"/>
          <w:sz w:val="20"/>
        </w:rPr>
      </w:pPr>
      <w:r>
        <w:rPr>
          <w:rFonts w:ascii="Times New Roman" w:hAnsi="Times New Roman"/>
          <w:sz w:val="20"/>
        </w:rPr>
        <w:t xml:space="preserve">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 </w:t>
      </w:r>
    </w:p>
    <w:p>
      <w:pPr>
        <w:pStyle w:val="TextBody"/>
        <w:spacing w:before="360" w:after="0"/>
        <w:jc w:val="left"/>
        <w:rPr>
          <w:rFonts w:ascii="Times New Roman" w:hAnsi="Times New Roman"/>
          <w:b/>
          <w:i/>
          <w:sz w:val="20"/>
        </w:rPr>
      </w:pPr>
      <w:r>
        <w:rPr>
          <w:rFonts w:ascii="Times New Roman" w:hAnsi="Times New Roman"/>
          <w:b/>
          <w:i/>
          <w:sz w:val="20"/>
        </w:rPr>
        <w:t xml:space="preserve">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 </w:t>
      </w:r>
    </w:p>
    <w:p>
      <w:pPr>
        <w:pStyle w:val="TextBody"/>
        <w:spacing w:before="120" w:after="0"/>
        <w:jc w:val="left"/>
        <w:rPr>
          <w:rFonts w:ascii="Times New Roman" w:hAnsi="Times New Roman"/>
          <w:sz w:val="20"/>
        </w:rPr>
      </w:pPr>
      <w:r>
        <w:rPr>
          <w:rFonts w:ascii="Times New Roman" w:hAnsi="Times New Roman"/>
          <w:sz w:val="20"/>
        </w:rPr>
        <w:t xml:space="preserve">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4"/>
        <w:gridCol w:w="9595"/>
      </w:tblGrid>
      <w:tr>
        <w:trPr/>
        <w:tc>
          <w:tcPr>
            <w:tcW w:w="944" w:type="dxa"/>
            <w:tcBorders/>
            <w:shd w:fill="auto" w:val="clear"/>
            <w:vAlign w:val="center"/>
          </w:tcPr>
          <w:p>
            <w:pPr>
              <w:pStyle w:val="TableContents"/>
              <w:spacing w:before="0" w:after="283"/>
              <w:rPr/>
            </w:pPr>
            <w:r>
              <w:rPr/>
              <w:t> </w:t>
            </w:r>
          </w:p>
        </w:tc>
        <w:tc>
          <w:tcPr>
            <w:tcW w:w="959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Stephen Herbert and Douglas Lurio will each be appointed as board members of Rezolve after the Business Combination and shall be entitled to receive compensation for serving on Rezolves board of directors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1"/>
        <w:gridCol w:w="9598"/>
      </w:tblGrid>
      <w:tr>
        <w:trPr/>
        <w:tc>
          <w:tcPr>
            <w:tcW w:w="941" w:type="dxa"/>
            <w:tcBorders/>
            <w:shd w:fill="auto" w:val="clear"/>
            <w:vAlign w:val="center"/>
          </w:tcPr>
          <w:p>
            <w:pPr>
              <w:pStyle w:val="TableContents"/>
              <w:spacing w:before="0" w:after="283"/>
              <w:rPr/>
            </w:pPr>
            <w:r>
              <w:rPr/>
              <w:t> </w:t>
            </w:r>
          </w:p>
        </w:tc>
        <w:tc>
          <w:tcPr>
            <w:tcW w:w="9598"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even if the share price of Rezolve Ordinary Shares falls significantly below the per share value implied in the Business Combination of $10.00 per share and the public stockholders of Armada experience a negative rate of return. </w:t>
            </w:r>
          </w:p>
        </w:tc>
      </w:tr>
    </w:tbl>
    <w:p>
      <w:pPr>
        <w:pStyle w:val="TextBody"/>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spacing w:before="240" w:after="0"/>
        <w:jc w:val="left"/>
        <w:rPr>
          <w:rFonts w:ascii="Times New Roman" w:hAnsi="Times New Roman"/>
          <w:sz w:val="20"/>
        </w:rPr>
      </w:pPr>
      <w:r>
        <w:rPr>
          <w:rFonts w:ascii="Times New Roman" w:hAnsi="Times New Roman"/>
          <w:sz w:val="20"/>
        </w:rPr>
        <w:t xml:space="preserve">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spacing w:before="360" w:after="0"/>
        <w:jc w:val="left"/>
        <w:rPr>
          <w:rFonts w:ascii="Times New Roman" w:hAnsi="Times New Roman"/>
          <w:b/>
          <w:i/>
          <w:sz w:val="20"/>
        </w:rPr>
      </w:pPr>
      <w:r>
        <w:rPr>
          <w:rFonts w:ascii="Times New Roman" w:hAnsi="Times New Roman"/>
          <w:b/>
          <w:i/>
          <w:sz w:val="20"/>
        </w:rPr>
        <w:t xml:space="preserve">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 </w:t>
      </w:r>
    </w:p>
    <w:p>
      <w:pPr>
        <w:pStyle w:val="TextBody"/>
        <w:spacing w:before="120" w:after="0"/>
        <w:jc w:val="left"/>
        <w:rPr>
          <w:rFonts w:ascii="Times New Roman" w:hAnsi="Times New Roman"/>
          <w:sz w:val="20"/>
        </w:rPr>
      </w:pPr>
      <w:r>
        <w:rPr>
          <w:rFonts w:ascii="Times New Roman" w:hAnsi="Times New Roman"/>
          <w:sz w:val="20"/>
        </w:rPr>
        <w:t xml:space="preserve">Armadas Sponsor, directors, or officers or their affiliates may purchase shares in privately negotiated transactions or in the open market either prior to or following the completion of its Business Combination, 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 </w:t>
      </w:r>
    </w:p>
    <w:p>
      <w:pPr>
        <w:pStyle w:val="TextBody"/>
        <w:spacing w:before="240" w:after="0"/>
        <w:jc w:val="left"/>
        <w:rPr>
          <w:rFonts w:ascii="Times New Roman" w:hAnsi="Times New Roman"/>
          <w:sz w:val="20"/>
        </w:rPr>
      </w:pPr>
      <w:r>
        <w:rPr>
          <w:rFonts w:ascii="Times New Roman" w:hAnsi="Times New Roman"/>
          <w:sz w:val="20"/>
        </w:rPr>
        <w:t xml:space="preserve">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 </w:t>
      </w:r>
    </w:p>
    <w:p>
      <w:pPr>
        <w:pStyle w:val="TextBody"/>
        <w:spacing w:before="360" w:after="0"/>
        <w:jc w:val="left"/>
        <w:rPr>
          <w:rFonts w:ascii="Times New Roman" w:hAnsi="Times New Roman"/>
          <w:b/>
          <w:i/>
          <w:sz w:val="20"/>
        </w:rPr>
      </w:pPr>
      <w:r>
        <w:rPr>
          <w:rFonts w:ascii="Times New Roman" w:hAnsi="Times New Roman"/>
          <w:b/>
          <w:i/>
          <w:sz w:val="20"/>
        </w:rPr>
        <w:t xml:space="preserve">Shareholders of the post-combination company may not be able to enforce judgments entered by United States courts against certain of Rezolves officers and directors. </w:t>
      </w:r>
    </w:p>
    <w:p>
      <w:pPr>
        <w:pStyle w:val="TextBody"/>
        <w:spacing w:before="120" w:after="0"/>
        <w:jc w:val="left"/>
        <w:rPr>
          <w:rFonts w:ascii="Times New Roman" w:hAnsi="Times New Roman"/>
          <w:sz w:val="20"/>
        </w:rPr>
      </w:pPr>
      <w:r>
        <w:rPr>
          <w:rFonts w:ascii="Times New Roman" w:hAnsi="Times New Roman"/>
          <w:sz w:val="20"/>
        </w:rPr>
        <w:t xml:space="preserve">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the post-combination company fails to introduce or acquire new offerings or services that achieve broad market acceptance on a timely basis, or if its offerings or services are not adopted as expected, Rezolve will not be able to compete effectively. </w:t>
      </w:r>
    </w:p>
    <w:p>
      <w:pPr>
        <w:pStyle w:val="TextBody"/>
        <w:spacing w:before="120" w:after="0"/>
        <w:jc w:val="left"/>
        <w:rPr>
          <w:rFonts w:ascii="Times New Roman" w:hAnsi="Times New Roman"/>
          <w:sz w:val="20"/>
        </w:rPr>
      </w:pPr>
      <w:r>
        <w:rPr>
          <w:rFonts w:ascii="Times New Roman" w:hAnsi="Times New Roman"/>
          <w:sz w:val="20"/>
        </w:rPr>
        <w:t xml:space="preserve">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 </w:t>
      </w:r>
    </w:p>
    <w:p>
      <w:pPr>
        <w:pStyle w:val="TextBody"/>
        <w:spacing w:before="240" w:after="0"/>
        <w:jc w:val="left"/>
        <w:rPr>
          <w:rFonts w:ascii="Times New Roman" w:hAnsi="Times New Roman"/>
          <w:sz w:val="20"/>
        </w:rPr>
      </w:pPr>
      <w:r>
        <w:rPr>
          <w:rFonts w:ascii="Times New Roman" w:hAnsi="Times New Roman"/>
          <w:sz w:val="20"/>
        </w:rPr>
        <w:t xml:space="preserve">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 </w:t>
      </w:r>
    </w:p>
    <w:p>
      <w:pPr>
        <w:pStyle w:val="TextBody"/>
        <w:spacing w:before="240" w:after="0"/>
        <w:jc w:val="left"/>
        <w:rPr>
          <w:rFonts w:ascii="Times New Roman" w:hAnsi="Times New Roman"/>
          <w:sz w:val="20"/>
        </w:rPr>
      </w:pPr>
      <w:r>
        <w:rPr>
          <w:rFonts w:ascii="Times New Roman" w:hAnsi="Times New Roman"/>
          <w:sz w:val="20"/>
        </w:rPr>
        <w:t xml:space="preserve">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 </w:t>
      </w:r>
    </w:p>
    <w:p>
      <w:pPr>
        <w:pStyle w:val="TextBody"/>
        <w:spacing w:before="240" w:after="0"/>
        <w:jc w:val="left"/>
        <w:rPr>
          <w:rFonts w:ascii="Times New Roman" w:hAnsi="Times New Roman"/>
          <w:sz w:val="20"/>
        </w:rPr>
      </w:pPr>
      <w:r>
        <w:rPr>
          <w:rFonts w:ascii="Times New Roman" w:hAnsi="Times New Roman"/>
          <w:sz w:val="20"/>
        </w:rPr>
        <w:t xml:space="preserve">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 </w:t>
      </w:r>
    </w:p>
    <w:p>
      <w:pPr>
        <w:pStyle w:val="TextBody"/>
        <w:spacing w:before="360" w:after="0"/>
        <w:jc w:val="left"/>
        <w:rPr>
          <w:rFonts w:ascii="Times New Roman" w:hAnsi="Times New Roman"/>
          <w:b/>
          <w:i/>
          <w:sz w:val="20"/>
        </w:rPr>
      </w:pPr>
      <w:r>
        <w:rPr>
          <w:rFonts w:ascii="Times New Roman" w:hAnsi="Times New Roman"/>
          <w:b/>
          <w:i/>
          <w:sz w:val="20"/>
        </w:rPr>
        <w:t xml:space="preserve">Rezolves internal controls over financial reporting may not be effective and its independent registered public accounting firm may not be able to certify as to their effectiveness, which could have a significant and adverse effect on its business and reputation. </w:t>
      </w:r>
    </w:p>
    <w:p>
      <w:pPr>
        <w:pStyle w:val="TextBody"/>
        <w:spacing w:before="120" w:after="0"/>
        <w:jc w:val="left"/>
        <w:rPr>
          <w:rFonts w:ascii="Times New Roman" w:hAnsi="Times New Roman"/>
          <w:sz w:val="20"/>
        </w:rPr>
      </w:pPr>
      <w:r>
        <w:rPr>
          <w:rFonts w:ascii="Times New Roman" w:hAnsi="Times New Roman"/>
          <w:sz w:val="20"/>
        </w:rPr>
        <w:t xml:space="preserve">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 </w:t>
      </w:r>
    </w:p>
    <w:p>
      <w:pPr>
        <w:pStyle w:val="TextBody"/>
        <w:spacing w:before="240" w:after="0"/>
        <w:jc w:val="left"/>
        <w:rPr>
          <w:rFonts w:ascii="Times New Roman" w:hAnsi="Times New Roman"/>
          <w:sz w:val="20"/>
        </w:rPr>
      </w:pPr>
      <w:r>
        <w:rPr>
          <w:rFonts w:ascii="Times New Roman" w:hAnsi="Times New Roman"/>
          <w:sz w:val="20"/>
        </w:rPr>
        <w:t xml:space="preserve">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 </w:t>
      </w:r>
    </w:p>
    <w:p>
      <w:pPr>
        <w:pStyle w:val="TextBody"/>
        <w:spacing w:before="360" w:after="0"/>
        <w:jc w:val="left"/>
        <w:rPr>
          <w:rFonts w:ascii="Times New Roman" w:hAnsi="Times New Roman"/>
          <w:b/>
          <w:i/>
          <w:sz w:val="20"/>
        </w:rPr>
      </w:pPr>
      <w:r>
        <w:rPr>
          <w:rFonts w:ascii="Times New Roman" w:hAnsi="Times New Roman"/>
          <w:b/>
          <w:i/>
          <w:sz w:val="20"/>
        </w:rPr>
        <w:t xml:space="preserve">Activities taken by Armadas affiliates to purchase, directly or indirectly, public shares will increase the likelihood of approval of the Business Combination Proposal and the other Proposals and may affect the market price of Armadas securities. </w:t>
      </w:r>
    </w:p>
    <w:p>
      <w:pPr>
        <w:pStyle w:val="TextBody"/>
        <w:spacing w:before="120" w:after="0"/>
        <w:jc w:val="left"/>
        <w:rPr>
          <w:rFonts w:ascii="Times New Roman" w:hAnsi="Times New Roman"/>
          <w:sz w:val="20"/>
        </w:rPr>
      </w:pPr>
      <w:r>
        <w:rPr>
          <w:rFonts w:ascii="Times New Roman" w:hAnsi="Times New Roman"/>
          <w:sz w:val="20"/>
        </w:rPr>
        <w:t xml:space="preserve">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 </w:t>
      </w:r>
    </w:p>
    <w:p>
      <w:pPr>
        <w:pStyle w:val="TextBody"/>
        <w:spacing w:before="240" w:after="0"/>
        <w:jc w:val="left"/>
        <w:rPr>
          <w:rFonts w:ascii="Times New Roman" w:hAnsi="Times New Roman"/>
          <w:sz w:val="20"/>
        </w:rPr>
      </w:pPr>
      <w:r>
        <w:rPr>
          <w:rFonts w:ascii="Times New Roman" w:hAnsi="Times New Roman"/>
          <w:sz w:val="20"/>
        </w:rPr>
        <w:t xml:space="preserve">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 </w:t>
      </w:r>
    </w:p>
    <w:p>
      <w:pPr>
        <w:pStyle w:val="TextBody"/>
        <w:spacing w:before="240" w:after="0"/>
        <w:jc w:val="left"/>
        <w:rPr>
          <w:rFonts w:ascii="Times New Roman" w:hAnsi="Times New Roman"/>
          <w:sz w:val="20"/>
        </w:rPr>
      </w:pPr>
      <w:r>
        <w:rPr>
          <w:rFonts w:ascii="Times New Roman" w:hAnsi="Times New Roman"/>
          <w:sz w:val="20"/>
        </w:rPr>
        <w:t xml:space="preserve">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 </w:t>
      </w:r>
    </w:p>
    <w:p>
      <w:pPr>
        <w:pStyle w:val="TextBody"/>
        <w:spacing w:before="120" w:after="0"/>
        <w:jc w:val="left"/>
        <w:rPr>
          <w:rFonts w:ascii="Times New Roman" w:hAnsi="Times New Roman"/>
          <w:sz w:val="20"/>
        </w:rPr>
      </w:pPr>
      <w:r>
        <w:rPr>
          <w:rFonts w:ascii="Times New Roman" w:hAnsi="Times New Roman"/>
          <w:sz w:val="20"/>
        </w:rPr>
        <w:t xml:space="preserve">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 </w:t>
      </w:r>
    </w:p>
    <w:p>
      <w:pPr>
        <w:pStyle w:val="TextBody"/>
        <w:spacing w:before="360" w:after="0"/>
        <w:jc w:val="left"/>
        <w:rPr>
          <w:rFonts w:ascii="Times New Roman" w:hAnsi="Times New Roman"/>
          <w:b/>
          <w:i/>
          <w:sz w:val="20"/>
        </w:rPr>
      </w:pPr>
      <w:r>
        <w:rPr>
          <w:rFonts w:ascii="Times New Roman" w:hAnsi="Times New Roman"/>
          <w:b/>
          <w:i/>
          <w:sz w:val="20"/>
        </w:rPr>
        <w:t xml:space="preserve">Changes in laws or regulations, or a failure to comply with any laws and regulations, may adversely affect Armadas business, investments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Relating to Closing the Business Combination </w:t>
      </w:r>
    </w:p>
    <w:p>
      <w:pPr>
        <w:pStyle w:val="TextBody"/>
        <w:spacing w:before="120" w:after="0"/>
        <w:jc w:val="left"/>
        <w:rPr>
          <w:rFonts w:ascii="Times New Roman" w:hAnsi="Times New Roman"/>
          <w:b/>
          <w:i/>
          <w:sz w:val="20"/>
        </w:rPr>
      </w:pPr>
      <w:r>
        <w:rPr>
          <w:rFonts w:ascii="Times New Roman" w:hAnsi="Times New Roman"/>
          <w:b/>
          <w:i/>
          <w:sz w:val="20"/>
        </w:rPr>
        <w:t xml:space="preserve">Armada does not have a specified maximum redemption threshold. </w:t>
      </w:r>
    </w:p>
    <w:p>
      <w:pPr>
        <w:pStyle w:val="TextBody"/>
        <w:spacing w:before="120" w:after="0"/>
        <w:jc w:val="left"/>
        <w:rPr>
          <w:rFonts w:ascii="Times New Roman" w:hAnsi="Times New Roman"/>
          <w:sz w:val="20"/>
        </w:rPr>
      </w:pPr>
      <w:r>
        <w:rPr>
          <w:rFonts w:ascii="Times New Roman" w:hAnsi="Times New Roman"/>
          <w:sz w:val="20"/>
        </w:rPr>
        <w:t xml:space="preserve">The absence of such a redemption threshold may make it easier for Armada to consummate a business combination even where a substantial number of public stockholders seek to redeem their shares to cash in 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If there are insufficient funds in the Trust Account at Closing to satisfy the requirement for $5,000,001 of net tangible assets, the Combined Company will have to obtain additional funding, and if it fails to do so, may not be able to close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If the conditions to the Business Combination Agreement are not met, the Business Combination may not occur. </w:t>
      </w:r>
    </w:p>
    <w:p>
      <w:pPr>
        <w:pStyle w:val="TextBody"/>
        <w:spacing w:before="120" w:after="0"/>
        <w:jc w:val="left"/>
        <w:rPr>
          <w:rFonts w:ascii="Times New Roman" w:hAnsi="Times New Roman"/>
          <w:sz w:val="20"/>
        </w:rPr>
      </w:pPr>
      <w:r>
        <w:rPr>
          <w:rFonts w:ascii="Times New Roman" w:hAnsi="Times New Roman"/>
          <w:sz w:val="20"/>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Times New Roman" w:hAnsi="Times New Roman"/>
          <w:i/>
          <w:sz w:val="20"/>
        </w:rPr>
        <w:t>Conditions to the Closing of the Business Combination Agreement</w:t>
      </w:r>
      <w:r>
        <w:rPr>
          <w:rFonts w:ascii="Times New Roman" w:hAnsi="Times New Roman"/>
          <w:sz w:val="20"/>
        </w:rPr>
        <w:t xml:space="preserve">.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 </w:t>
      </w:r>
    </w:p>
    <w:p>
      <w:pPr>
        <w:pStyle w:val="TextBody"/>
        <w:spacing w:before="240" w:after="0"/>
        <w:jc w:val="left"/>
        <w:rPr>
          <w:rFonts w:ascii="Times New Roman" w:hAnsi="Times New Roman"/>
          <w:sz w:val="20"/>
        </w:rPr>
      </w:pPr>
      <w:r>
        <w:rPr>
          <w:rFonts w:ascii="Times New Roman" w:hAnsi="Times New Roman"/>
          <w:sz w:val="20"/>
        </w:rPr>
        <w:t xml:space="preserve">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 </w:t>
      </w:r>
    </w:p>
    <w:p>
      <w:pPr>
        <w:pStyle w:val="TextBody"/>
        <w:spacing w:before="240" w:after="0"/>
        <w:jc w:val="left"/>
        <w:rPr>
          <w:rFonts w:ascii="Times New Roman" w:hAnsi="Times New Roman"/>
          <w:sz w:val="20"/>
        </w:rPr>
      </w:pPr>
      <w:r>
        <w:rPr>
          <w:rFonts w:ascii="Times New Roman" w:hAnsi="Times New Roman"/>
          <w:sz w:val="20"/>
        </w:rPr>
        <w:t xml:space="preserve">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availability of market quotations for Rezolves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determination that Rezolve Ordinary Shares are a penny stock which will require brokers trading in Rezolve Ordinary Shares to adhere to more stringent rules, possibly resulting in a reduced level of trading activity in the secondary trading market for Rezolve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amount of analyst coverage;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spacing w:before="360" w:after="0"/>
        <w:jc w:val="left"/>
        <w:rPr>
          <w:rFonts w:ascii="Times New Roman" w:hAnsi="Times New Roman"/>
          <w:b/>
          <w:i/>
          <w:sz w:val="20"/>
        </w:rPr>
      </w:pPr>
      <w:r>
        <w:rPr>
          <w:rFonts w:ascii="Times New Roman" w:hAnsi="Times New Roman"/>
          <w:b/>
          <w:i/>
          <w:sz w:val="20"/>
        </w:rPr>
        <w:t xml:space="preserve">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 </w:t>
      </w:r>
    </w:p>
    <w:p>
      <w:pPr>
        <w:pStyle w:val="TextBody"/>
        <w:spacing w:before="120" w:after="0"/>
        <w:jc w:val="left"/>
        <w:rPr>
          <w:rFonts w:ascii="Times New Roman" w:hAnsi="Times New Roman"/>
          <w:sz w:val="20"/>
        </w:rPr>
      </w:pPr>
      <w:r>
        <w:rPr>
          <w:rFonts w:ascii="Times New Roman" w:hAnsi="Times New Roman"/>
          <w:sz w:val="20"/>
        </w:rPr>
        <w:t xml:space="preserve">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 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 </w:t>
      </w:r>
    </w:p>
    <w:p>
      <w:pPr>
        <w:pStyle w:val="TextBody"/>
        <w:spacing w:before="120" w:after="0"/>
        <w:jc w:val="left"/>
        <w:rPr>
          <w:rFonts w:ascii="Times New Roman" w:hAnsi="Times New Roman"/>
          <w:sz w:val="20"/>
        </w:rPr>
      </w:pPr>
      <w:r>
        <w:rPr>
          <w:rFonts w:ascii="Times New Roman" w:hAnsi="Times New Roman"/>
          <w:sz w:val="20"/>
        </w:rPr>
        <w:t xml:space="preserve">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 </w:t>
      </w:r>
    </w:p>
    <w:p>
      <w:pPr>
        <w:pStyle w:val="TextBody"/>
        <w:spacing w:before="360" w:after="0"/>
        <w:jc w:val="left"/>
        <w:rPr>
          <w:rFonts w:ascii="Times New Roman" w:hAnsi="Times New Roman"/>
          <w:b/>
          <w:sz w:val="20"/>
        </w:rPr>
      </w:pPr>
      <w:r>
        <w:rPr>
          <w:rFonts w:ascii="Times New Roman" w:hAnsi="Times New Roman"/>
          <w:b/>
          <w:sz w:val="20"/>
        </w:rPr>
        <w:t xml:space="preserve">Risks Relating to Redemptions </w:t>
      </w:r>
    </w:p>
    <w:p>
      <w:pPr>
        <w:pStyle w:val="TextBody"/>
        <w:spacing w:before="120" w:after="0"/>
        <w:jc w:val="left"/>
        <w:rPr>
          <w:rFonts w:ascii="Times New Roman" w:hAnsi="Times New Roman"/>
          <w:b/>
          <w:i/>
          <w:sz w:val="20"/>
        </w:rPr>
      </w:pPr>
      <w:r>
        <w:rPr>
          <w:rFonts w:ascii="Times New Roman" w:hAnsi="Times New Roman"/>
          <w:b/>
          <w:i/>
          <w:sz w:val="20"/>
        </w:rPr>
        <w:t xml:space="preserve">Armada does not have a specified maximum redemption threshold. The absence of such a redemption threshold may make it possible for Armada to complete a Business Combination with which a substantial majority of our stockholders do not agree. </w:t>
      </w:r>
    </w:p>
    <w:p>
      <w:pPr>
        <w:pStyle w:val="TextBody"/>
        <w:spacing w:before="120" w:after="0"/>
        <w:jc w:val="left"/>
        <w:rPr>
          <w:rFonts w:ascii="Times New Roman" w:hAnsi="Times New Roman"/>
          <w:sz w:val="20"/>
        </w:rPr>
      </w:pPr>
      <w:r>
        <w:rPr>
          <w:rFonts w:ascii="Times New Roman" w:hAnsi="Times New Roman"/>
          <w:sz w:val="20"/>
        </w:rPr>
        <w:t xml:space="preserve">Armadas current amended and restated certificate of incorporation does not provide a specified maximum redemption threshold, except that Armada will not redeem its public shares in an amount that would cause Armadas net tangible assets to be less than $5,000,001 upon consummation of its initial business combination (such that Armada is not subject to the SECs penny stock rules). As a result, Armada may be able to complete Armadas Business Combination even though a portion of its public stockholders do not agree with the transaction and have redeemed their shares or have entered into privately negotiated agreements to sell their shares to Armadas Sponsor, directors or officers or their affiliates. Based on the amount of approximately $                     million in Armadas Trust Account as of                 , 2023,                  shares of Armada Common Stock may be redeemed and still enable Armada to have sufficient cash to satisfy the $5,000,001 net tangible assets condition specified in the Business Combination Agreement.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 </w:t>
      </w:r>
    </w:p>
    <w:p>
      <w:pPr>
        <w:pStyle w:val="TextBody"/>
        <w:spacing w:before="240" w:after="0"/>
        <w:jc w:val="left"/>
        <w:rPr>
          <w:rFonts w:ascii="Times New Roman" w:hAnsi="Times New Roman"/>
          <w:sz w:val="20"/>
        </w:rPr>
      </w:pPr>
      <w:r>
        <w:rPr>
          <w:rFonts w:ascii="Times New Roman" w:hAnsi="Times New Roman"/>
          <w:sz w:val="20"/>
        </w:rPr>
        <w:t xml:space="preserve">In the event the aggregate cash consideration Armada would be required to pay for all shares of Armada Common Stock that are validly submitted for redemption plus the cash amount specified in the Business 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 </w:t>
      </w:r>
    </w:p>
    <w:p>
      <w:pPr>
        <w:pStyle w:val="TextBody"/>
        <w:spacing w:before="120" w:after="0"/>
        <w:jc w:val="left"/>
        <w:rPr>
          <w:rFonts w:ascii="Times New Roman" w:hAnsi="Times New Roman"/>
          <w:sz w:val="20"/>
        </w:rPr>
      </w:pPr>
      <w:r>
        <w:rPr>
          <w:rFonts w:ascii="Times New Roman" w:hAnsi="Times New Roman"/>
          <w:sz w:val="20"/>
        </w:rPr>
        <w:t xml:space="preserve">Under the Business Combination Agreement, Armada is required to have, upon the closing, and after giving effect to the Company Reorganization, the Merger and the Promissory Note, net tangible assets of at least $5,000,001 (the Net Tangible Assets Condition). Armada does not know how many stockholders will ultimately exercise their redemption rights in connection with the Business Combination. As such, the Business Combination is structured based on Armadas expectations (and those of the other parties to the Business Combination Agreement) as to the number of shares that will be submitted for redemption. In the event that Armadas stockholders exercise their redemption rights with respect to a number of Armadas shares such that the Net Tangible Assets Condition is not met, Armada may need to seek to arrange for additional third-party financing to be able to satisfy the Net Tangible Assets Condition (or such lower amount designated by Rezolve if Rezolve waives the condition). If Rezolve waives the Net Tangible Assets Condition, Rezolves ability to operate its business and execute its plans to meet its projections post-Closing of the Business Combination may be adversely affected. Furthermore, if Rezolve waives the Net Tangible Assets Condition in order to complete the Business Combination, Rezolve may need to raise a substantial amount of capital in order to be able to continue its operations, which capital may not be available due to the business conditions created as a result of Rezolves waiver of the Net Tangible Assets Condition. Furthermore, raising such additional financing may involve dilutive equity issuances or the incurrence of indebtedness at higher-than-desirable levels. In general, if Armada (or, after the Business Combination, Rezolve) is unable to obtain sufficient funding on a timely basis, Armada may be unable to expand its operations or otherwise capitalize on business opportunities, and defend against and prosecute litigation, which could materially adversely affect Armadas business, financial condition and results of operations. If Armada is ultimately unable to continue as a going concern, Armada may have to seek the protection of bankruptcy laws or liquidate its assets and may receive less than the value at which those assets are carried in its audited financial statements, and it is likely that Armadas securityholders will lose all or a part of their investment. </w:t>
      </w:r>
    </w:p>
    <w:p>
      <w:pPr>
        <w:pStyle w:val="TextBody"/>
        <w:spacing w:before="240" w:after="0"/>
        <w:jc w:val="left"/>
        <w:rPr>
          <w:rFonts w:ascii="Times New Roman" w:hAnsi="Times New Roman"/>
          <w:sz w:val="20"/>
        </w:rPr>
      </w:pPr>
      <w:r>
        <w:rPr>
          <w:rFonts w:ascii="Times New Roman" w:hAnsi="Times New Roman"/>
          <w:sz w:val="20"/>
        </w:rPr>
        <w:t xml:space="preserve">If too many of Armadas stockholders elect to redeem their shares and additional third-party financing is not available to Armada and Armada and Rezolve do not elect to waive the Net Tangible Assets Condition, there is an increased probability that the Business Combination would be unsuccessful.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 </w:t>
      </w:r>
    </w:p>
    <w:p>
      <w:pPr>
        <w:pStyle w:val="TextBody"/>
        <w:spacing w:before="360" w:after="0"/>
        <w:jc w:val="left"/>
        <w:rPr>
          <w:rFonts w:ascii="Times New Roman" w:hAnsi="Times New Roman"/>
          <w:b/>
          <w:i/>
          <w:sz w:val="20"/>
        </w:rPr>
      </w:pPr>
      <w:r>
        <w:rPr>
          <w:rFonts w:ascii="Times New Roman" w:hAnsi="Times New Roman"/>
          <w:b/>
          <w:i/>
          <w:sz w:val="20"/>
        </w:rPr>
        <w:t xml:space="preserve">There is no guarantee that a stockholders decision whether to redeem their shares for a pro rata portion of the Trust Account will put the stockholder in a better future economic position. </w:t>
      </w:r>
    </w:p>
    <w:p>
      <w:pPr>
        <w:pStyle w:val="TextBody"/>
        <w:spacing w:before="120" w:after="0"/>
        <w:jc w:val="left"/>
        <w:rPr>
          <w:rFonts w:ascii="Times New Roman" w:hAnsi="Times New Roman"/>
          <w:sz w:val="20"/>
        </w:rPr>
      </w:pPr>
      <w:r>
        <w:rPr>
          <w:rFonts w:ascii="Times New Roman" w:hAnsi="Times New Roman"/>
          <w:sz w:val="20"/>
        </w:rPr>
        <w:t xml:space="preserve">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Armadas stockholders fail to comply with the redemption requirements specified in this proxy statement/prospectus, they will not be entitled to redeem their shares of Armada Common Stock for a pro rata portion of the funds held in the Trust Account. </w:t>
      </w:r>
    </w:p>
    <w:p>
      <w:pPr>
        <w:pStyle w:val="TextBody"/>
        <w:spacing w:before="120" w:after="0"/>
        <w:jc w:val="left"/>
        <w:rPr>
          <w:rFonts w:ascii="Times New Roman" w:hAnsi="Times New Roman"/>
          <w:sz w:val="20"/>
        </w:rPr>
      </w:pPr>
      <w:r>
        <w:rPr>
          <w:rFonts w:ascii="Times New Roman" w:hAnsi="Times New Roman"/>
          <w:sz w:val="20"/>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 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Times New Roman" w:hAnsi="Times New Roman"/>
          <w:i/>
          <w:sz w:val="20"/>
        </w:rPr>
        <w:t>Special Meeting of Company Stockholders  Redemption Rights</w:t>
      </w:r>
      <w:r>
        <w:rPr>
          <w:rFonts w:ascii="Times New Roman" w:hAnsi="Times New Roman"/>
          <w:sz w:val="20"/>
        </w:rPr>
        <w:t xml:space="preserve"> for additional information on how to exercise your Redemption Rights. </w:t>
      </w:r>
    </w:p>
    <w:p>
      <w:pPr>
        <w:pStyle w:val="TextBody"/>
        <w:spacing w:before="360" w:after="0"/>
        <w:jc w:val="left"/>
        <w:rPr>
          <w:rFonts w:ascii="Times New Roman" w:hAnsi="Times New Roman"/>
          <w:b/>
          <w:i/>
          <w:sz w:val="20"/>
        </w:rPr>
      </w:pPr>
      <w:r>
        <w:rPr>
          <w:rFonts w:ascii="Times New Roman" w:hAnsi="Times New Roman"/>
          <w:b/>
          <w:i/>
          <w:sz w:val="20"/>
        </w:rPr>
        <w:t xml:space="preserve">Armadas stockholders who wish to redeem their shares for a pro rata portion of the Trust Account must comply with specific requirements for redemption that may make it more difficult for them to exercise their Redemption Rights prior to the deadline. </w:t>
      </w:r>
    </w:p>
    <w:p>
      <w:pPr>
        <w:pStyle w:val="TextBody"/>
        <w:spacing w:before="120" w:after="0"/>
        <w:jc w:val="left"/>
        <w:rPr>
          <w:rFonts w:ascii="Times New Roman" w:hAnsi="Times New Roman"/>
          <w:sz w:val="20"/>
        </w:rPr>
      </w:pPr>
      <w:r>
        <w:rPr>
          <w:rFonts w:ascii="Times New Roman" w:hAnsi="Times New Roman"/>
          <w:sz w:val="20"/>
        </w:rPr>
        <w:t>Armadas public stockholders who wish to redeem their shares for a pro rata portion of the Trust Account must, among other things as fully described in the section titled </w:t>
      </w:r>
      <w:r>
        <w:rPr>
          <w:rFonts w:ascii="Times New Roman" w:hAnsi="Times New Roman"/>
          <w:i/>
          <w:sz w:val="20"/>
        </w:rPr>
        <w:t>Special Meeting of Company Stockholders  Redemption Rights</w:t>
      </w:r>
      <w:r>
        <w:rPr>
          <w:rFonts w:ascii="Times New Roman" w:hAnsi="Times New Roman"/>
          <w:sz w:val="20"/>
        </w:rPr>
        <w:t xml:space="preserve">,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 </w:t>
      </w:r>
    </w:p>
    <w:p>
      <w:pPr>
        <w:pStyle w:val="TextBody"/>
        <w:spacing w:before="360" w:after="0"/>
        <w:jc w:val="left"/>
        <w:rPr>
          <w:rFonts w:ascii="Times New Roman" w:hAnsi="Times New Roman"/>
          <w:b/>
          <w:i/>
          <w:sz w:val="20"/>
        </w:rPr>
      </w:pPr>
      <w:r>
        <w:rPr>
          <w:rFonts w:ascii="Times New Roman" w:hAnsi="Times New Roman"/>
          <w:b/>
          <w:i/>
          <w:sz w:val="20"/>
        </w:rPr>
        <w:t xml:space="preserve">If a stockholder fails to receive notice of Armadas offer to redeem its public shares in connection with its Business Combination or fails to comply with the procedures for tendering its shares, such shares may not be redeemed. </w:t>
      </w:r>
    </w:p>
    <w:p>
      <w:pPr>
        <w:pStyle w:val="TextBody"/>
        <w:spacing w:before="120" w:after="0"/>
        <w:jc w:val="left"/>
        <w:rPr>
          <w:rFonts w:ascii="Times New Roman" w:hAnsi="Times New Roman"/>
          <w:sz w:val="20"/>
        </w:rPr>
      </w:pPr>
      <w:r>
        <w:rPr>
          <w:rFonts w:ascii="Times New Roman" w:hAnsi="Times New Roman"/>
          <w:sz w:val="20"/>
        </w:rPr>
        <w:t xml:space="preserve">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 </w:t>
      </w:r>
    </w:p>
    <w:p>
      <w:pPr>
        <w:pStyle w:val="TextBody"/>
        <w:spacing w:before="360" w:after="0"/>
        <w:jc w:val="left"/>
        <w:rPr>
          <w:rFonts w:ascii="Times New Roman" w:hAnsi="Times New Roman"/>
          <w:b/>
          <w:i/>
          <w:sz w:val="20"/>
        </w:rPr>
      </w:pPr>
      <w:r>
        <w:rPr>
          <w:rFonts w:ascii="Times New Roman" w:hAnsi="Times New Roman"/>
          <w:b/>
          <w:i/>
          <w:sz w:val="20"/>
        </w:rPr>
        <w:t xml:space="preserve">The ability to execute the post-combination companys strategic plan could be negatively impacted to the extent a significant number of stockholders choose to redeem their shares in connection with the Business Combination. </w:t>
      </w:r>
    </w:p>
    <w:p>
      <w:pPr>
        <w:pStyle w:val="TextBody"/>
        <w:spacing w:before="120" w:after="0"/>
        <w:jc w:val="left"/>
        <w:rPr>
          <w:rFonts w:ascii="Times New Roman" w:hAnsi="Times New Roman"/>
          <w:sz w:val="20"/>
        </w:rPr>
      </w:pPr>
      <w:r>
        <w:rPr>
          <w:rFonts w:ascii="Times New Roman" w:hAnsi="Times New Roman"/>
          <w:sz w:val="20"/>
        </w:rPr>
        <w:t xml:space="preserve">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third parties bring claims against Armada, the proceeds held in trust could be reduced and the per-share redemption price received by stockholders may be less than $10.00 per share. </w:t>
      </w:r>
    </w:p>
    <w:p>
      <w:pPr>
        <w:pStyle w:val="TextBody"/>
        <w:spacing w:before="240" w:after="0"/>
        <w:jc w:val="left"/>
        <w:rPr>
          <w:rFonts w:ascii="Times New Roman" w:hAnsi="Times New Roman"/>
          <w:sz w:val="20"/>
        </w:rPr>
      </w:pPr>
      <w:r>
        <w:rPr>
          <w:rFonts w:ascii="Times New Roman" w:hAnsi="Times New Roman"/>
          <w:sz w:val="20"/>
        </w:rPr>
        <w:t xml:space="preserve">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 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 </w:t>
      </w:r>
    </w:p>
    <w:p>
      <w:pPr>
        <w:pStyle w:val="TextBody"/>
        <w:spacing w:before="240" w:after="0"/>
        <w:jc w:val="left"/>
        <w:rPr>
          <w:rFonts w:ascii="Times New Roman" w:hAnsi="Times New Roman"/>
          <w:sz w:val="20"/>
        </w:rPr>
      </w:pPr>
      <w:r>
        <w:rPr>
          <w:rFonts w:ascii="Times New Roman" w:hAnsi="Times New Roman"/>
          <w:sz w:val="20"/>
        </w:rPr>
        <w:t xml:space="preserve">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 </w:t>
      </w:r>
    </w:p>
    <w:p>
      <w:pPr>
        <w:pStyle w:val="TextBody"/>
        <w:spacing w:before="360" w:after="0"/>
        <w:jc w:val="left"/>
        <w:rPr>
          <w:rFonts w:ascii="Times New Roman" w:hAnsi="Times New Roman"/>
          <w:b/>
          <w:i/>
          <w:sz w:val="20"/>
        </w:rPr>
      </w:pPr>
      <w:r>
        <w:rPr>
          <w:rFonts w:ascii="Times New Roman" w:hAnsi="Times New Roman"/>
          <w:b/>
          <w:i/>
          <w:sz w:val="20"/>
        </w:rPr>
        <w:t xml:space="preserve">Armadas stockholders may be held liable for claims by third parties against Armada to the extent of distributions received by them upon redemption of their shares. </w:t>
      </w:r>
    </w:p>
    <w:p>
      <w:pPr>
        <w:pStyle w:val="TextBody"/>
        <w:spacing w:before="120" w:after="0"/>
        <w:jc w:val="left"/>
        <w:rPr>
          <w:rFonts w:ascii="Times New Roman" w:hAnsi="Times New Roman"/>
          <w:sz w:val="20"/>
        </w:rPr>
      </w:pPr>
      <w:r>
        <w:rPr>
          <w:rFonts w:ascii="Times New Roman" w:hAnsi="Times New Roman"/>
          <w:sz w:val="20"/>
        </w:rPr>
        <w:t xml:space="preserve">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 </w:t>
      </w:r>
    </w:p>
    <w:p>
      <w:pPr>
        <w:pStyle w:val="TextBody"/>
        <w:spacing w:before="360" w:after="0"/>
        <w:jc w:val="left"/>
        <w:rPr>
          <w:rFonts w:ascii="Times New Roman" w:hAnsi="Times New Roman"/>
          <w:b/>
          <w:sz w:val="20"/>
        </w:rPr>
      </w:pPr>
      <w:r>
        <w:rPr>
          <w:rFonts w:ascii="Times New Roman" w:hAnsi="Times New Roman"/>
          <w:b/>
          <w:sz w:val="20"/>
        </w:rPr>
        <w:t xml:space="preserve">Risks Related to Ownership of Shares </w:t>
      </w:r>
    </w:p>
    <w:p>
      <w:pPr>
        <w:pStyle w:val="TextBody"/>
        <w:spacing w:before="120" w:after="0"/>
        <w:jc w:val="left"/>
        <w:rPr>
          <w:rFonts w:ascii="Times New Roman" w:hAnsi="Times New Roman"/>
          <w:b/>
          <w:i/>
          <w:sz w:val="20"/>
        </w:rPr>
      </w:pPr>
      <w:r>
        <w:rPr>
          <w:rFonts w:ascii="Times New Roman" w:hAnsi="Times New Roman"/>
          <w:b/>
          <w:i/>
          <w:sz w:val="20"/>
        </w:rPr>
        <w:t xml:space="preserve">The Nasdaq may not list Rezolves securities on its exchange, which could limit investors ability to make transactions in its securities and subject Rezolve to additional trading restrictions.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 </w:t>
      </w:r>
    </w:p>
    <w:p>
      <w:pPr>
        <w:pStyle w:val="TextBody"/>
        <w:spacing w:before="240" w:after="0"/>
        <w:jc w:val="left"/>
        <w:rPr>
          <w:rFonts w:ascii="Times New Roman" w:hAnsi="Times New Roman"/>
          <w:sz w:val="20"/>
        </w:rPr>
      </w:pPr>
      <w:r>
        <w:rPr>
          <w:rFonts w:ascii="Times New Roman" w:hAnsi="Times New Roman"/>
          <w:sz w:val="20"/>
        </w:rPr>
        <w:t xml:space="preserve">If Rezolve fails to meet the initial listing requirements and the Nasdaq does not list the post-combination companys securities on its exchange, Rezolve would not be required to consummate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availability of market quotations for Rezolves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reduced liquidity for Rezolves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determination that Rezolves Ordinary Shares are a penny stock which will require brokers trading in the Rezolve Ordinary Shares to adhere to more stringent rules and possibly result in a reduced level of trading activity in the secondary trading market for its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 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 </w:t>
      </w:r>
    </w:p>
    <w:p>
      <w:pPr>
        <w:pStyle w:val="TextBody"/>
        <w:spacing w:before="360" w:after="0"/>
        <w:jc w:val="left"/>
        <w:rPr>
          <w:rFonts w:ascii="Times New Roman" w:hAnsi="Times New Roman"/>
          <w:b/>
          <w:i/>
          <w:sz w:val="20"/>
        </w:rPr>
      </w:pPr>
      <w:r>
        <w:rPr>
          <w:rFonts w:ascii="Times New Roman" w:hAnsi="Times New Roman"/>
          <w:b/>
          <w:i/>
          <w:sz w:val="20"/>
        </w:rPr>
        <w:t xml:space="preserve">If Rezolves estimates or judgments relating to Rezolves critical accounting policies are ultimately incorrect, Rezolves results of operations could be adversely affected.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Changes in financial accounting standards or practices may cause adverse, unexpected financial reporting fluctuations and adversely affect Rezolves results of operations. </w:t>
      </w:r>
    </w:p>
    <w:p>
      <w:pPr>
        <w:pStyle w:val="TextBody"/>
        <w:spacing w:before="120" w:after="0"/>
        <w:jc w:val="left"/>
        <w:rPr>
          <w:rFonts w:ascii="Times New Roman" w:hAnsi="Times New Roman"/>
          <w:sz w:val="20"/>
        </w:rPr>
      </w:pPr>
      <w:r>
        <w:rPr>
          <w:rFonts w:ascii="Times New Roman" w:hAnsi="Times New Roman"/>
          <w:sz w:val="20"/>
        </w:rPr>
        <w:t xml:space="preserve">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are a controlled company within the meaning of the Nasdaq rules. As a result, we qualify for, and may rely on, exemptions from certain corporate governance requirements that provide protection to stockholders of other companies. </w:t>
      </w:r>
    </w:p>
    <w:p>
      <w:pPr>
        <w:pStyle w:val="TextBody"/>
        <w:spacing w:before="120" w:after="0"/>
        <w:jc w:val="left"/>
        <w:rPr>
          <w:rFonts w:ascii="Times New Roman" w:hAnsi="Times New Roman"/>
          <w:sz w:val="20"/>
        </w:rPr>
      </w:pPr>
      <w:r>
        <w:rPr>
          <w:rFonts w:ascii="Times New Roman" w:hAnsi="Times New Roman"/>
          <w:sz w:val="20"/>
        </w:rPr>
        <w:t xml:space="preserve">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a majority of the board of directors consist of independent directors as defined under the Nasdaq rules;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to have a compensation committee that is composed entirely of independent directors with a written charter addressing the committees purpose and responsibilities;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to have a nominating and corporate governance committee that is composed entirely of independent directors with a written charter addressing the committees purpose and responsibilities;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for an annual performance evaluation of the compensation and nominating and corporate governance committees. </w:t>
            </w:r>
          </w:p>
        </w:tc>
      </w:tr>
    </w:tbl>
    <w:p>
      <w:pPr>
        <w:pStyle w:val="TextBody"/>
        <w:spacing w:before="240" w:after="0"/>
        <w:jc w:val="left"/>
        <w:rPr>
          <w:rFonts w:ascii="Times New Roman" w:hAnsi="Times New Roman"/>
          <w:sz w:val="20"/>
        </w:rPr>
      </w:pPr>
      <w:r>
        <w:rPr>
          <w:rFonts w:ascii="Times New Roman" w:hAnsi="Times New Roman"/>
          <w:sz w:val="20"/>
        </w:rPr>
        <w:t xml:space="preserve">Rezolve may choose to utilize certain of these exemptions. Accordingly, you will not have the same protections afforded to stockholders of companies that are subject to all of the corporate governance requirements of the Nasdaq. </w:t>
      </w:r>
    </w:p>
    <w:p>
      <w:pPr>
        <w:pStyle w:val="TextBody"/>
        <w:spacing w:before="240" w:after="0"/>
        <w:jc w:val="left"/>
        <w:rPr>
          <w:rFonts w:ascii="Times New Roman" w:hAnsi="Times New Roman"/>
          <w:sz w:val="20"/>
        </w:rPr>
      </w:pPr>
      <w:r>
        <w:rPr>
          <w:rFonts w:ascii="Times New Roman" w:hAnsi="Times New Roman"/>
          <w:sz w:val="20"/>
        </w:rPr>
        <w:t xml:space="preserve">In addition, the Nasdaq has developed listing standards regarding compensation committee independence requirements and the role and disclosure of compensation consultants and other advisers to the compensation committee that, among other things, requires: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compensation committees be composed of independent directors, as determined pursuant to new independence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compensation committees be explicitly charged with hiring and overseeing compensation consultants, legal counsel and other committee advisors;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compensation committees be required to consider, when engaging compensation consultants, legal counsel or other advisors, certain independence factors, including factors that examine the relationship between the consultant or advisors employer and us. </w:t>
            </w:r>
          </w:p>
        </w:tc>
      </w:tr>
    </w:tbl>
    <w:p>
      <w:pPr>
        <w:pStyle w:val="TextBody"/>
        <w:spacing w:before="240" w:after="0"/>
        <w:jc w:val="left"/>
        <w:rPr>
          <w:rFonts w:ascii="Times New Roman" w:hAnsi="Times New Roman"/>
          <w:sz w:val="20"/>
        </w:rPr>
      </w:pPr>
      <w:r>
        <w:rPr>
          <w:rFonts w:ascii="Times New Roman" w:hAnsi="Times New Roman"/>
          <w:sz w:val="20"/>
        </w:rPr>
        <w:t xml:space="preserve">As a controlled company, Rezolve will not be subject to these compensation committee independence requirements. </w:t>
      </w:r>
    </w:p>
    <w:p>
      <w:pPr>
        <w:pStyle w:val="TextBody"/>
        <w:spacing w:before="360" w:after="0"/>
        <w:jc w:val="left"/>
        <w:rPr>
          <w:rFonts w:ascii="Times New Roman" w:hAnsi="Times New Roman"/>
          <w:b/>
          <w:i/>
          <w:sz w:val="20"/>
        </w:rPr>
      </w:pPr>
      <w:r>
        <w:rPr>
          <w:rFonts w:ascii="Times New Roman" w:hAnsi="Times New Roman"/>
          <w:b/>
          <w:i/>
          <w:sz w:val="20"/>
        </w:rPr>
        <w:t xml:space="preserve">Changes in tax laws or tax rulings could materially affect Rezolves financial position, results of operations, and cash flows. </w:t>
      </w:r>
    </w:p>
    <w:p>
      <w:pPr>
        <w:pStyle w:val="TextBody"/>
        <w:spacing w:before="12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 </w:t>
      </w:r>
    </w:p>
    <w:p>
      <w:pPr>
        <w:pStyle w:val="TextBody"/>
        <w:spacing w:before="120" w:after="0"/>
        <w:jc w:val="left"/>
        <w:rPr>
          <w:rFonts w:ascii="Times New Roman" w:hAnsi="Times New Roman"/>
          <w:sz w:val="20"/>
        </w:rPr>
      </w:pPr>
      <w:r>
        <w:rPr>
          <w:rFonts w:ascii="Times New Roman" w:hAnsi="Times New Roman"/>
          <w:sz w:val="20"/>
        </w:rPr>
        <w:t>It is anticipated that, upon completion of the Business Combination, assuming minimum redemptions: (i) Armada public stockholders will retain an ownership interest of approximately     % in Rezolve (not including shares beneficially owned by Armadas Sponsor); (ii) Armadas Sponsor will own approximately     % of Rezolve; and (iii) the existing Rezolve equity holders will own approximately     % of Rezolve. The ownership percentage with respect to Rezolve following the Business Combination does not take into account the issuance of any shares upon completion of the Business Combination under the Rezolve Incentive Equity Plan, a copy of which is attached to this proxy statement/prospectus as Annex                 ,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Times New Roman" w:hAnsi="Times New Roman"/>
          <w:i/>
          <w:sz w:val="20"/>
        </w:rPr>
        <w:t>Unaudited Pro Forma Condensed Combined Financial Information</w:t>
      </w:r>
      <w:r>
        <w:rPr>
          <w:rFonts w:ascii="Times New Roman" w:hAnsi="Times New Roman"/>
          <w:sz w:val="20"/>
        </w:rPr>
        <w:t xml:space="preserve">, and </w:t>
      </w:r>
      <w:r>
        <w:rPr>
          <w:rFonts w:ascii="Times New Roman" w:hAnsi="Times New Roman"/>
          <w:i/>
          <w:sz w:val="20"/>
        </w:rPr>
        <w:t>Proposal No.</w:t>
      </w:r>
      <w:r>
        <w:rPr>
          <w:rFonts w:ascii="Times New Roman" w:hAnsi="Times New Roman"/>
          <w:sz w:val="20"/>
        </w:rPr>
        <w:t> </w:t>
      </w:r>
      <w:r>
        <w:rPr>
          <w:rFonts w:ascii="Times New Roman" w:hAnsi="Times New Roman"/>
          <w:i/>
          <w:sz w:val="20"/>
        </w:rPr>
        <w:t>3  The Incentive Equity Plan Proposal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issuance of additional Ordinary Shares will significantly dilute the equity interests of existing holders of Armada securities and may adversely affect prevailing market prices for Armadas units, public shares or public warrants. </w:t>
      </w:r>
    </w:p>
    <w:p>
      <w:pPr>
        <w:pStyle w:val="TextBody"/>
        <w:spacing w:before="360" w:after="0"/>
        <w:jc w:val="left"/>
        <w:rPr>
          <w:rFonts w:ascii="Times New Roman" w:hAnsi="Times New Roman"/>
          <w:b/>
          <w:sz w:val="20"/>
        </w:rPr>
      </w:pPr>
      <w:r>
        <w:rPr>
          <w:rFonts w:ascii="Times New Roman" w:hAnsi="Times New Roman"/>
          <w:b/>
          <w:sz w:val="20"/>
        </w:rPr>
        <w:t xml:space="preserve">Risks Relating to Rezolves Business and Industry </w:t>
      </w:r>
    </w:p>
    <w:p>
      <w:pPr>
        <w:pStyle w:val="TextBody"/>
        <w:spacing w:before="120" w:after="0"/>
        <w:jc w:val="left"/>
        <w:rPr>
          <w:rFonts w:ascii="Times New Roman" w:hAnsi="Times New Roman"/>
          <w:b/>
          <w:i/>
          <w:sz w:val="20"/>
        </w:rPr>
      </w:pPr>
      <w:r>
        <w:rPr>
          <w:rFonts w:ascii="Times New Roman" w:hAnsi="Times New Roman"/>
          <w:b/>
          <w:i/>
          <w:sz w:val="20"/>
        </w:rPr>
        <w:t xml:space="preserve">Rezolve has generated limited revenues from existing Channels and there is no guarantee that it will be able to attract and retain new merchants and increase sales to new merchants. </w:t>
      </w:r>
    </w:p>
    <w:p>
      <w:pPr>
        <w:pStyle w:val="TextBody"/>
        <w:spacing w:before="120" w:after="0"/>
        <w:jc w:val="left"/>
        <w:rPr>
          <w:rFonts w:ascii="Times New Roman" w:hAnsi="Times New Roman"/>
          <w:sz w:val="20"/>
        </w:rPr>
      </w:pPr>
      <w:r>
        <w:rPr>
          <w:rFonts w:ascii="Times New Roman" w:hAnsi="Times New Roman"/>
          <w:sz w:val="20"/>
        </w:rPr>
        <w:t xml:space="preserve">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 may also fail to attract new partners and retain existing partners as a result of a number of other factors,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competitive factors affecting the software as a service, or SaaS, business software applications market, including the introduction of competing platforms, discount pricing and other strategies that may be implemented by Rezolves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ability to execute on Rezolves growth strategy and operating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decline in Rezolves partners level of satisfaction with Rezolves platform and usage of Rezolves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Rezolves relationships with third parties, including Rezolves partners, app developers, theme designers, referral sources and payment processors;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timeliness and success of Rezolves solutions;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frequency and severity of any system outages;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technological change;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 </w:t>
            </w:r>
          </w:p>
        </w:tc>
      </w:tr>
    </w:tbl>
    <w:p>
      <w:pPr>
        <w:pStyle w:val="TextBody"/>
        <w:spacing w:before="360" w:after="0"/>
        <w:jc w:val="left"/>
        <w:rPr>
          <w:rFonts w:ascii="Times New Roman" w:hAnsi="Times New Roman"/>
          <w:b/>
          <w:i/>
          <w:sz w:val="20"/>
        </w:rPr>
      </w:pPr>
      <w:r>
        <w:rPr>
          <w:rFonts w:ascii="Times New Roman" w:hAnsi="Times New Roman"/>
          <w:b/>
          <w:i/>
          <w:sz w:val="20"/>
        </w:rPr>
        <w:t xml:space="preserve">Rezolve is an early-stage company with a history of financial losses and expects to incur significant expenses and continuing losses for the foreseeable future. </w:t>
      </w:r>
    </w:p>
    <w:p>
      <w:pPr>
        <w:pStyle w:val="TextBody"/>
        <w:spacing w:before="120" w:after="0"/>
        <w:jc w:val="left"/>
        <w:rPr>
          <w:rFonts w:ascii="Times New Roman" w:hAnsi="Times New Roman"/>
          <w:sz w:val="20"/>
        </w:rPr>
      </w:pPr>
      <w:r>
        <w:rPr>
          <w:rFonts w:ascii="Times New Roman" w:hAnsi="Times New Roman"/>
          <w:sz w:val="20"/>
        </w:rPr>
        <w:t xml:space="preserve">Rezolve incurred a net loss of, respectively, $37.7 million in the year ended December 31, 2021 and $104.1 million in the year ended December 31, 2022. At December 31, 2022, Rezolve had a total shareholders deficit of $27.3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impact of worldwide economic conditions, including the resulting effect on spending by SMBs and spending on technology, may adversely affect Rezolves business, operating results and financial condition. </w:t>
      </w:r>
    </w:p>
    <w:p>
      <w:pPr>
        <w:pStyle w:val="TextBody"/>
        <w:spacing w:before="120" w:after="0"/>
        <w:jc w:val="left"/>
        <w:rPr>
          <w:rFonts w:ascii="Times New Roman" w:hAnsi="Times New Roman"/>
          <w:sz w:val="20"/>
        </w:rPr>
      </w:pPr>
      <w:r>
        <w:rPr>
          <w:rFonts w:ascii="Times New Roman" w:hAnsi="Times New Roman"/>
          <w:sz w:val="20"/>
        </w:rPr>
        <w:t xml:space="preserve">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 </w:t>
      </w:r>
    </w:p>
    <w:p>
      <w:pPr>
        <w:pStyle w:val="TextBody"/>
        <w:spacing w:before="240" w:after="0"/>
        <w:jc w:val="left"/>
        <w:rPr>
          <w:rFonts w:ascii="Times New Roman" w:hAnsi="Times New Roman"/>
          <w:sz w:val="20"/>
        </w:rPr>
      </w:pPr>
      <w:r>
        <w:rPr>
          <w:rFonts w:ascii="Times New Roman" w:hAnsi="Times New Roman"/>
          <w:sz w:val="20"/>
        </w:rPr>
        <w:t xml:space="preserve">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 </w:t>
      </w:r>
    </w:p>
    <w:p>
      <w:pPr>
        <w:pStyle w:val="TextBody"/>
        <w:spacing w:before="240" w:after="0"/>
        <w:jc w:val="left"/>
        <w:rPr>
          <w:rFonts w:ascii="Times New Roman" w:hAnsi="Times New Roman"/>
          <w:sz w:val="20"/>
        </w:rPr>
      </w:pPr>
      <w:r>
        <w:rPr>
          <w:rFonts w:ascii="Times New Roman" w:hAnsi="Times New Roman"/>
          <w:sz w:val="20"/>
        </w:rPr>
        <w:t xml:space="preserve">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 </w:t>
      </w:r>
    </w:p>
    <w:p>
      <w:pPr>
        <w:pStyle w:val="TextBody"/>
        <w:spacing w:before="360" w:after="0"/>
        <w:jc w:val="left"/>
        <w:rPr>
          <w:rFonts w:ascii="Times New Roman" w:hAnsi="Times New Roman"/>
          <w:b/>
          <w:i/>
          <w:sz w:val="20"/>
        </w:rPr>
      </w:pPr>
      <w:r>
        <w:rPr>
          <w:rFonts w:ascii="Times New Roman" w:hAnsi="Times New Roman"/>
          <w:b/>
          <w:i/>
          <w:sz w:val="20"/>
        </w:rPr>
        <w:t xml:space="preserve">Rezolves limited operating history in a new and developing market makes it difficult to evaluate its current business and future prospects and may increase the risk that it will not be successful. </w:t>
      </w:r>
    </w:p>
    <w:p>
      <w:pPr>
        <w:pStyle w:val="TextBody"/>
        <w:spacing w:before="120" w:after="0"/>
        <w:jc w:val="left"/>
        <w:rPr>
          <w:rFonts w:ascii="Times New Roman" w:hAnsi="Times New Roman"/>
          <w:sz w:val="20"/>
        </w:rPr>
      </w:pPr>
      <w:r>
        <w:rPr>
          <w:rFonts w:ascii="Times New Roman" w:hAnsi="Times New Roman"/>
          <w:sz w:val="20"/>
        </w:rPr>
        <w:t xml:space="preserve">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 </w:t>
      </w:r>
    </w:p>
    <w:p>
      <w:pPr>
        <w:pStyle w:val="TextBody"/>
        <w:spacing w:before="360" w:after="0"/>
        <w:jc w:val="left"/>
        <w:rPr>
          <w:rFonts w:ascii="Times New Roman" w:hAnsi="Times New Roman"/>
          <w:b/>
          <w:i/>
          <w:sz w:val="20"/>
        </w:rPr>
      </w:pPr>
      <w:r>
        <w:rPr>
          <w:rFonts w:ascii="Times New Roman" w:hAnsi="Times New Roman"/>
          <w:b/>
          <w:i/>
          <w:sz w:val="20"/>
        </w:rPr>
        <w:t xml:space="preserve">Rezolves growth depends in part on the success of its strategic relationships with third parties. </w:t>
      </w:r>
    </w:p>
    <w:p>
      <w:pPr>
        <w:pStyle w:val="TextBody"/>
        <w:spacing w:before="120" w:after="0"/>
        <w:jc w:val="left"/>
        <w:rPr>
          <w:rFonts w:ascii="Times New Roman" w:hAnsi="Times New Roman"/>
          <w:sz w:val="20"/>
        </w:rPr>
      </w:pPr>
      <w:r>
        <w:rPr>
          <w:rFonts w:ascii="Times New Roman" w:hAnsi="Times New Roman"/>
          <w:sz w:val="20"/>
        </w:rPr>
        <w:t xml:space="preserve">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 </w:t>
      </w:r>
    </w:p>
    <w:p>
      <w:pPr>
        <w:pStyle w:val="TextBody"/>
        <w:spacing w:before="360" w:after="0"/>
        <w:jc w:val="left"/>
        <w:rPr>
          <w:rFonts w:ascii="Times New Roman" w:hAnsi="Times New Roman"/>
          <w:b/>
          <w:i/>
          <w:sz w:val="20"/>
        </w:rPr>
      </w:pPr>
      <w:r>
        <w:rPr>
          <w:rFonts w:ascii="Times New Roman" w:hAnsi="Times New Roman"/>
          <w:b/>
          <w:i/>
          <w:sz w:val="20"/>
        </w:rPr>
        <w:t xml:space="preserve">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 </w:t>
      </w:r>
    </w:p>
    <w:p>
      <w:pPr>
        <w:pStyle w:val="TextBody"/>
        <w:spacing w:before="120" w:after="0"/>
        <w:jc w:val="left"/>
        <w:rPr>
          <w:rFonts w:ascii="Times New Roman" w:hAnsi="Times New Roman"/>
          <w:sz w:val="20"/>
        </w:rPr>
      </w:pPr>
      <w:r>
        <w:rPr>
          <w:rFonts w:ascii="Times New Roman" w:hAnsi="Times New Roman"/>
          <w:sz w:val="20"/>
        </w:rPr>
        <w:t xml:space="preserve">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Rezolves radio advertising business in Germany is susceptible to risks associated with economic downturns and recession. </w:t>
      </w:r>
    </w:p>
    <w:p>
      <w:pPr>
        <w:pStyle w:val="TextBody"/>
        <w:spacing w:before="120" w:after="0"/>
        <w:jc w:val="left"/>
        <w:rPr>
          <w:rFonts w:ascii="Times New Roman" w:hAnsi="Times New Roman"/>
          <w:sz w:val="20"/>
        </w:rPr>
      </w:pPr>
      <w:r>
        <w:rPr>
          <w:rFonts w:ascii="Times New Roman" w:hAnsi="Times New Roman"/>
          <w:sz w:val="20"/>
        </w:rPr>
        <w:t>On August 30, 2021, Rezolve acquired Any Lifestyle Marketing GmbH (ANY) from its shareholders including the Radio Group GmbH. ANY was incorporated on August 13, 2021. ANY was established to purchase the rights to sell services of the companies owned by Radio Group GmbH (Radio Group) such as airtime advertisements. ANYs business from incorporation is Radio Groups predecessor marketing business prior to being carved-out and inserted into the newly formed company, ANY. For additional details, see </w:t>
      </w:r>
      <w:r>
        <w:rPr>
          <w:rFonts w:ascii="Times New Roman" w:hAnsi="Times New Roman"/>
          <w:i/>
          <w:sz w:val="20"/>
        </w:rPr>
        <w:t>Rezolves Managements Discussion and Analysis</w:t>
      </w:r>
      <w:r>
        <w:rPr>
          <w:rFonts w:ascii="Times New Roman" w:hAnsi="Times New Roman"/>
          <w:sz w:val="20"/>
        </w:rPr>
        <w:t xml:space="preserve"> </w:t>
      </w:r>
      <w:r>
        <w:rPr>
          <w:rFonts w:ascii="Times New Roman" w:hAnsi="Times New Roman"/>
          <w:i/>
          <w:sz w:val="20"/>
        </w:rPr>
        <w:t>of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elect within 14 days of the listing of Rezolves Ordinary Shares, Rezolve must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w:t>
      </w:r>
    </w:p>
    <w:p>
      <w:pPr>
        <w:pStyle w:val="TextBody"/>
        <w:spacing w:before="240" w:after="0"/>
        <w:jc w:val="left"/>
        <w:rPr>
          <w:rFonts w:ascii="Times New Roman" w:hAnsi="Times New Roman"/>
          <w:sz w:val="20"/>
        </w:rPr>
      </w:pPr>
      <w:r>
        <w:rPr>
          <w:rFonts w:ascii="Times New Roman" w:hAnsi="Times New Roman"/>
          <w:sz w:val="20"/>
        </w:rPr>
        <w:t xml:space="preserve">If the Company does not consummate the Business Combination by November 30, 2023, the sellers of ANY may terminate the acquisition of ANY. The sellers of ANY may sell up to EUR two million (equivalent to $2,161,600) of their consideration shares within 60 days of the listing to existing shareholders of Rezolve. If the sellers of ANY do not find an interested buyer in the shares within 60 days, the sellers may elect within 14 days after that 60-day period that Rezolve pays the sellers EUR two million (equivalent to $2,161,600) within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10 business days and upon such payment 2,098,640 of the consideration shares (as adjusted as a result of the Pre-Closing Demerger) held by those sellers will be reclassified as deferred shares. If Rezolve fails to make such payment, the sellers of ANY may reverse the acquisition. </w:t>
      </w:r>
    </w:p>
    <w:p>
      <w:pPr>
        <w:pStyle w:val="TextBody"/>
        <w:spacing w:before="240" w:after="0"/>
        <w:jc w:val="left"/>
        <w:rPr>
          <w:rFonts w:ascii="Times New Roman" w:hAnsi="Times New Roman"/>
          <w:sz w:val="20"/>
        </w:rPr>
      </w:pPr>
      <w:r>
        <w:rPr>
          <w:rFonts w:ascii="Times New Roman" w:hAnsi="Times New Roman"/>
          <w:sz w:val="20"/>
        </w:rPr>
        <w:t xml:space="preserve">The failure of Rezolve to pay cash to the sellers of ANY may result in the reversal of the acquisition of ANY, which could adversely affect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Non-performance under, termination, non-renewal or material modification of agreements with Rezolves business partners could have a material adverse effect on Rezolves business, financial condition and/or results of operations. </w:t>
      </w:r>
    </w:p>
    <w:p>
      <w:pPr>
        <w:pStyle w:val="TextBody"/>
        <w:spacing w:before="120" w:after="0"/>
        <w:jc w:val="left"/>
        <w:rPr>
          <w:rFonts w:ascii="Times New Roman" w:hAnsi="Times New Roman"/>
          <w:sz w:val="20"/>
        </w:rPr>
      </w:pPr>
      <w:r>
        <w:rPr>
          <w:rFonts w:ascii="Times New Roman" w:hAnsi="Times New Roman"/>
          <w:sz w:val="20"/>
        </w:rPr>
        <w:t xml:space="preserve">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 </w:t>
      </w:r>
    </w:p>
    <w:p>
      <w:pPr>
        <w:pStyle w:val="TextBody"/>
        <w:spacing w:before="240" w:after="0"/>
        <w:jc w:val="left"/>
        <w:rPr>
          <w:rFonts w:ascii="Times New Roman" w:hAnsi="Times New Roman"/>
          <w:sz w:val="20"/>
        </w:rPr>
      </w:pPr>
      <w:r>
        <w:rPr>
          <w:rFonts w:ascii="Times New Roman" w:hAnsi="Times New Roman"/>
          <w:sz w:val="20"/>
        </w:rPr>
        <w:t xml:space="preserve">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Rezolves business could be harmed if it fails to manage its growth effectively. </w:t>
      </w:r>
    </w:p>
    <w:p>
      <w:pPr>
        <w:pStyle w:val="TextBody"/>
        <w:spacing w:before="120" w:after="0"/>
        <w:jc w:val="left"/>
        <w:rPr>
          <w:rFonts w:ascii="Times New Roman" w:hAnsi="Times New Roman"/>
          <w:sz w:val="20"/>
        </w:rPr>
      </w:pPr>
      <w:r>
        <w:rPr>
          <w:rFonts w:ascii="Times New Roman" w:hAnsi="Times New Roman"/>
          <w:sz w:val="20"/>
        </w:rPr>
        <w:t xml:space="preserve">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 </w:t>
      </w:r>
    </w:p>
    <w:p>
      <w:pPr>
        <w:pStyle w:val="TextBody"/>
        <w:spacing w:before="240" w:after="0"/>
        <w:jc w:val="left"/>
        <w:rPr>
          <w:rFonts w:ascii="Times New Roman" w:hAnsi="Times New Roman"/>
          <w:sz w:val="20"/>
        </w:rPr>
      </w:pPr>
      <w:r>
        <w:rPr>
          <w:rFonts w:ascii="Times New Roman" w:hAnsi="Times New Roman"/>
          <w:sz w:val="20"/>
        </w:rPr>
        <w:t xml:space="preserve">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 </w:t>
      </w:r>
    </w:p>
    <w:p>
      <w:pPr>
        <w:pStyle w:val="TextBody"/>
        <w:spacing w:before="240" w:after="0"/>
        <w:jc w:val="left"/>
        <w:rPr>
          <w:rFonts w:ascii="Times New Roman" w:hAnsi="Times New Roman"/>
          <w:sz w:val="20"/>
        </w:rPr>
      </w:pPr>
      <w:r>
        <w:rPr>
          <w:rFonts w:ascii="Times New Roman" w:hAnsi="Times New Roman"/>
          <w:sz w:val="20"/>
        </w:rPr>
        <w:t xml:space="preserve">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Rezolves operating and financial results forecast relies in large part upon assumptions and analyses developed by Rezolve. If these assumptions or analyses prove to be incorrect, Rezolves actual operating results may be materially different from its forecasted results. </w:t>
      </w:r>
    </w:p>
    <w:p>
      <w:pPr>
        <w:pStyle w:val="TextBody"/>
        <w:spacing w:before="120" w:after="0"/>
        <w:jc w:val="left"/>
        <w:rPr>
          <w:rFonts w:ascii="Times New Roman" w:hAnsi="Times New Roman"/>
          <w:sz w:val="20"/>
        </w:rPr>
      </w:pPr>
      <w:r>
        <w:rPr>
          <w:rFonts w:ascii="Times New Roman" w:hAnsi="Times New Roman"/>
          <w:sz w:val="20"/>
        </w:rPr>
        <w:t xml:space="preserve">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 and timing of existing and new market business development;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 and timing of new software development activity;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competition, including from established and future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ability to manage its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Rezolve can manage relationships with business partners and key customers;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ability to retain existing key management, integrate recent hires and attract, retain and motivate qualified personnel;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overall strength and stability of domestic and international economies. </w:t>
            </w:r>
          </w:p>
        </w:tc>
      </w:tr>
    </w:tbl>
    <w:p>
      <w:pPr>
        <w:pStyle w:val="TextBody"/>
        <w:spacing w:before="240" w:after="0"/>
        <w:jc w:val="left"/>
        <w:rPr>
          <w:rFonts w:ascii="Times New Roman" w:hAnsi="Times New Roman"/>
          <w:sz w:val="20"/>
        </w:rPr>
      </w:pPr>
      <w:r>
        <w:rPr>
          <w:rFonts w:ascii="Times New Roman" w:hAnsi="Times New Roman"/>
          <w:sz w:val="20"/>
        </w:rPr>
        <w:t xml:space="preserve">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 </w:t>
      </w:r>
    </w:p>
    <w:p>
      <w:pPr>
        <w:pStyle w:val="TextBody"/>
        <w:spacing w:before="360" w:after="0"/>
        <w:jc w:val="left"/>
        <w:rPr>
          <w:rFonts w:ascii="Times New Roman" w:hAnsi="Times New Roman"/>
          <w:b/>
          <w:i/>
          <w:sz w:val="20"/>
        </w:rPr>
      </w:pPr>
      <w:r>
        <w:rPr>
          <w:rFonts w:ascii="Times New Roman" w:hAnsi="Times New Roman"/>
          <w:b/>
          <w:i/>
          <w:sz w:val="20"/>
        </w:rPr>
        <w:t xml:space="preserve">Rezolve does not have the history with its solutions or pricing models necessary to accurately predict optimal pricing necessary to attract new merchants and retain existing merchants. </w:t>
      </w:r>
    </w:p>
    <w:p>
      <w:pPr>
        <w:pStyle w:val="TextBody"/>
        <w:spacing w:before="120" w:after="0"/>
        <w:jc w:val="left"/>
        <w:rPr>
          <w:rFonts w:ascii="Times New Roman" w:hAnsi="Times New Roman"/>
          <w:sz w:val="20"/>
        </w:rPr>
      </w:pPr>
      <w:r>
        <w:rPr>
          <w:rFonts w:ascii="Times New Roman" w:hAnsi="Times New Roman"/>
          <w:sz w:val="20"/>
        </w:rPr>
        <w:t xml:space="preserve">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 </w:t>
      </w:r>
    </w:p>
    <w:p>
      <w:pPr>
        <w:pStyle w:val="TextBody"/>
        <w:spacing w:before="360" w:after="0"/>
        <w:jc w:val="left"/>
        <w:rPr>
          <w:rFonts w:ascii="Times New Roman" w:hAnsi="Times New Roman"/>
          <w:b/>
          <w:i/>
          <w:sz w:val="20"/>
        </w:rPr>
      </w:pPr>
      <w:r>
        <w:rPr>
          <w:rFonts w:ascii="Times New Roman" w:hAnsi="Times New Roman"/>
          <w:b/>
          <w:i/>
          <w:sz w:val="20"/>
        </w:rPr>
        <w:t xml:space="preserve">As a result of Rezolves business model, it may not be able to accurately assess its financial position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Rezolves business is susceptible to risks associated with international sales and the use of its platform in various countries. </w:t>
      </w:r>
    </w:p>
    <w:p>
      <w:pPr>
        <w:pStyle w:val="TextBody"/>
        <w:spacing w:before="120" w:after="0"/>
        <w:jc w:val="left"/>
        <w:rPr>
          <w:rFonts w:ascii="Times New Roman" w:hAnsi="Times New Roman"/>
          <w:sz w:val="20"/>
        </w:rPr>
      </w:pPr>
      <w:r>
        <w:rPr>
          <w:rFonts w:ascii="Times New Roman" w:hAnsi="Times New Roman"/>
          <w:sz w:val="20"/>
        </w:rPr>
        <w:t xml:space="preserve">Rezolves international sales and the use of its platform in various countries subject Rezolve to risks that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lack of familiarity and burdens and complexity involved with complying with multiple, conflicting and changing foreign laws, standards, regulatory requirements, tariffs, export controls and other barriers;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difficulties in ensuring compliance with countries multiple, conflicting and changing international trade, customs and sanctions laws;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difficulties in complying with laws relating to privacy, data protection, and cybersecurity, including the UK General Data Protection Regulation, some of which may require that merchant and customer data be stored and processed in a designated territory;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difficulties in managing systems integrators and technology partners;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differing technology standards;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potentially adverse tax consequences, including the complexities of foreign value added tax (or other tax) systems and restrictions on the repatriation of earnings;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greater difficulty in enforcing contracts, including Rezolves universal terms of service and other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currency exchange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reduced or uncertain protection for intellectual property rights in some countries;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and different sources of competition. </w:t>
            </w:r>
          </w:p>
        </w:tc>
      </w:tr>
    </w:tbl>
    <w:p>
      <w:pPr>
        <w:pStyle w:val="TextBody"/>
        <w:spacing w:before="240" w:after="0"/>
        <w:jc w:val="left"/>
        <w:rPr>
          <w:rFonts w:ascii="Times New Roman" w:hAnsi="Times New Roman"/>
          <w:sz w:val="20"/>
        </w:rPr>
      </w:pPr>
      <w:r>
        <w:rPr>
          <w:rFonts w:ascii="Times New Roman" w:hAnsi="Times New Roman"/>
          <w:sz w:val="20"/>
        </w:rPr>
        <w:t xml:space="preserve">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 </w:t>
      </w:r>
    </w:p>
    <w:p>
      <w:pPr>
        <w:pStyle w:val="TextBody"/>
        <w:spacing w:before="240" w:after="0"/>
        <w:jc w:val="left"/>
        <w:rPr>
          <w:rFonts w:ascii="Times New Roman" w:hAnsi="Times New Roman"/>
          <w:sz w:val="20"/>
        </w:rPr>
      </w:pPr>
      <w:r>
        <w:rPr>
          <w:rFonts w:ascii="Times New Roman" w:hAnsi="Times New Roman"/>
          <w:sz w:val="20"/>
        </w:rPr>
        <w:t xml:space="preserve">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Exchange rate fluctuations may negatively affect Rezolves results of operations. </w:t>
      </w:r>
    </w:p>
    <w:p>
      <w:pPr>
        <w:pStyle w:val="TextBody"/>
        <w:spacing w:before="120" w:after="0"/>
        <w:jc w:val="left"/>
        <w:rPr>
          <w:rFonts w:ascii="Times New Roman" w:hAnsi="Times New Roman"/>
          <w:sz w:val="20"/>
        </w:rPr>
      </w:pPr>
      <w:r>
        <w:rPr>
          <w:rFonts w:ascii="Times New Roman" w:hAnsi="Times New Roman"/>
          <w:sz w:val="20"/>
        </w:rPr>
        <w:t xml:space="preserve">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 </w:t>
      </w:r>
    </w:p>
    <w:p>
      <w:pPr>
        <w:pStyle w:val="TextBody"/>
        <w:spacing w:before="360" w:after="0"/>
        <w:jc w:val="left"/>
        <w:rPr>
          <w:rFonts w:ascii="Times New Roman" w:hAnsi="Times New Roman"/>
          <w:b/>
          <w:i/>
          <w:sz w:val="20"/>
        </w:rPr>
      </w:pPr>
      <w:r>
        <w:rPr>
          <w:rFonts w:ascii="Times New Roman" w:hAnsi="Times New Roman"/>
          <w:b/>
          <w:i/>
          <w:sz w:val="20"/>
        </w:rPr>
        <w:t xml:space="preserve">Rezolves operating results are expected to be subject to seasonal fluctuations. </w:t>
      </w:r>
    </w:p>
    <w:p>
      <w:pPr>
        <w:pStyle w:val="TextBody"/>
        <w:spacing w:before="120" w:after="0"/>
        <w:jc w:val="left"/>
        <w:rPr>
          <w:rFonts w:ascii="Times New Roman" w:hAnsi="Times New Roman"/>
          <w:sz w:val="20"/>
        </w:rPr>
      </w:pPr>
      <w:r>
        <w:rPr>
          <w:rFonts w:ascii="Times New Roman" w:hAnsi="Times New Roman"/>
          <w:sz w:val="20"/>
        </w:rPr>
        <w:t xml:space="preserve">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 </w:t>
      </w:r>
    </w:p>
    <w:p>
      <w:pPr>
        <w:pStyle w:val="TextBody"/>
        <w:spacing w:before="360" w:after="0"/>
        <w:jc w:val="left"/>
        <w:rPr>
          <w:rFonts w:ascii="Times New Roman" w:hAnsi="Times New Roman"/>
          <w:b/>
          <w:i/>
          <w:sz w:val="20"/>
        </w:rPr>
      </w:pPr>
      <w:r>
        <w:rPr>
          <w:rFonts w:ascii="Times New Roman" w:hAnsi="Times New Roman"/>
          <w:b/>
          <w:i/>
          <w:sz w:val="20"/>
        </w:rPr>
        <w:t xml:space="preserve">If Rezolve fails to improve and enhance the functionality, performance, reliability, design, security and scalability of its platform in a manner that responds to merchants evolving needs, its business may be adversely affected. </w:t>
      </w:r>
    </w:p>
    <w:p>
      <w:pPr>
        <w:pStyle w:val="TextBody"/>
        <w:spacing w:before="120" w:after="0"/>
        <w:jc w:val="left"/>
        <w:rPr>
          <w:rFonts w:ascii="Times New Roman" w:hAnsi="Times New Roman"/>
          <w:sz w:val="20"/>
        </w:rPr>
      </w:pPr>
      <w:r>
        <w:rPr>
          <w:rFonts w:ascii="Times New Roman" w:hAnsi="Times New Roman"/>
          <w:sz w:val="20"/>
        </w:rPr>
        <w:t xml:space="preserve">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 </w:t>
      </w:r>
    </w:p>
    <w:p>
      <w:pPr>
        <w:pStyle w:val="TextBody"/>
        <w:spacing w:before="240" w:after="0"/>
        <w:jc w:val="left"/>
        <w:rPr>
          <w:rFonts w:ascii="Times New Roman" w:hAnsi="Times New Roman"/>
          <w:sz w:val="20"/>
        </w:rPr>
      </w:pPr>
      <w:r>
        <w:rPr>
          <w:rFonts w:ascii="Times New Roman" w:hAnsi="Times New Roman"/>
          <w:sz w:val="20"/>
        </w:rPr>
        <w:t xml:space="preserve">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Rezolve may not be able to compete successfully against current and future competitors. </w:t>
      </w:r>
    </w:p>
    <w:p>
      <w:pPr>
        <w:pStyle w:val="TextBody"/>
        <w:spacing w:before="120" w:after="0"/>
        <w:jc w:val="left"/>
        <w:rPr>
          <w:rFonts w:ascii="Times New Roman" w:hAnsi="Times New Roman"/>
          <w:sz w:val="20"/>
        </w:rPr>
      </w:pPr>
      <w:r>
        <w:rPr>
          <w:rFonts w:ascii="Times New Roman" w:hAnsi="Times New Roman"/>
          <w:sz w:val="20"/>
        </w:rPr>
        <w:t xml:space="preserve">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 </w:t>
      </w:r>
    </w:p>
    <w:p>
      <w:pPr>
        <w:pStyle w:val="TextBody"/>
        <w:spacing w:before="240" w:after="0"/>
        <w:jc w:val="left"/>
        <w:rPr>
          <w:rFonts w:ascii="Times New Roman" w:hAnsi="Times New Roman"/>
          <w:sz w:val="20"/>
        </w:rPr>
      </w:pPr>
      <w:r>
        <w:rPr>
          <w:rFonts w:ascii="Times New Roman" w:hAnsi="Times New Roman"/>
          <w:sz w:val="20"/>
        </w:rPr>
        <w:t xml:space="preserve">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 </w:t>
      </w:r>
    </w:p>
    <w:p>
      <w:pPr>
        <w:pStyle w:val="TextBody"/>
        <w:spacing w:before="360" w:after="0"/>
        <w:jc w:val="left"/>
        <w:rPr>
          <w:rFonts w:ascii="Times New Roman" w:hAnsi="Times New Roman"/>
          <w:b/>
          <w:i/>
          <w:sz w:val="20"/>
        </w:rPr>
      </w:pPr>
      <w:r>
        <w:rPr>
          <w:rFonts w:ascii="Times New Roman" w:hAnsi="Times New Roman"/>
          <w:b/>
          <w:i/>
          <w:sz w:val="20"/>
        </w:rPr>
        <w:t xml:space="preserve">Payment transactions on Rezolves platform may be subject to regulatory requirements and other risks that could be costly and difficult to comply with or that could harm Rezolves business. </w:t>
      </w:r>
    </w:p>
    <w:p>
      <w:pPr>
        <w:pStyle w:val="TextBody"/>
        <w:spacing w:before="120" w:after="0"/>
        <w:jc w:val="left"/>
        <w:rPr>
          <w:rFonts w:ascii="Times New Roman" w:hAnsi="Times New Roman"/>
          <w:sz w:val="20"/>
        </w:rPr>
      </w:pPr>
      <w:r>
        <w:rPr>
          <w:rFonts w:ascii="Times New Roman" w:hAnsi="Times New Roman"/>
          <w:sz w:val="20"/>
        </w:rPr>
        <w:t xml:space="preserve">Rezolve may become subject to a number of risks related to payments processed through Instant Buy,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payment of interchange and other fees, which may increase Rezolves operating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is unable to maintain its chargeback rate at acceptable levels, its credit card fees may increase or credit card issuers may terminate their relationship with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increased costs and diversion of management time and effort and other resources to deal with fraudulent transactions or chargeback disputes;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potential fraudulent or otherwise illegal activity by merchants, their customers, developers, employees or third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restrictions on funds or required reserves related to payments;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additional disclosure and other requirements, including new reporting regulations and new credit card association rules. </w:t>
            </w:r>
          </w:p>
        </w:tc>
      </w:tr>
    </w:tbl>
    <w:p>
      <w:pPr>
        <w:pStyle w:val="TextBody"/>
        <w:spacing w:before="240" w:after="0"/>
        <w:jc w:val="left"/>
        <w:rPr>
          <w:rFonts w:ascii="Times New Roman" w:hAnsi="Times New Roman"/>
          <w:sz w:val="20"/>
        </w:rPr>
      </w:pPr>
      <w:r>
        <w:rPr>
          <w:rFonts w:ascii="Times New Roman" w:hAnsi="Times New Roman"/>
          <w:sz w:val="20"/>
        </w:rPr>
        <w:t xml:space="preserve">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 </w:t>
      </w:r>
    </w:p>
    <w:p>
      <w:pPr>
        <w:pStyle w:val="TextBody"/>
        <w:spacing w:before="240" w:after="0"/>
        <w:jc w:val="left"/>
        <w:rPr>
          <w:rFonts w:ascii="Times New Roman" w:hAnsi="Times New Roman"/>
          <w:sz w:val="20"/>
        </w:rPr>
      </w:pPr>
      <w:r>
        <w:rPr>
          <w:rFonts w:ascii="Times New Roman" w:hAnsi="Times New Roman"/>
          <w:sz w:val="20"/>
        </w:rPr>
        <w:t xml:space="preserve">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subject Rezolve to fines, penalties, damages, higher transaction fees and civil liability, and could eventually prevent Rezolve from processing or accepting payment cards or could lead to a loss of payment processor partners, even if there is no compromise of customer information. </w:t>
      </w:r>
    </w:p>
    <w:p>
      <w:pPr>
        <w:pStyle w:val="TextBody"/>
        <w:spacing w:before="240" w:after="0"/>
        <w:jc w:val="left"/>
        <w:rPr>
          <w:rFonts w:ascii="Times New Roman" w:hAnsi="Times New Roman"/>
          <w:sz w:val="20"/>
        </w:rPr>
      </w:pPr>
      <w:r>
        <w:rPr>
          <w:rFonts w:ascii="Times New Roman" w:hAnsi="Times New Roman"/>
          <w:sz w:val="20"/>
        </w:rPr>
        <w:t xml:space="preserve">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 </w:t>
      </w:r>
    </w:p>
    <w:p>
      <w:pPr>
        <w:pStyle w:val="TextBody"/>
        <w:spacing w:before="120" w:after="0"/>
        <w:jc w:val="left"/>
        <w:rPr>
          <w:rFonts w:ascii="Times New Roman" w:hAnsi="Times New Roman"/>
          <w:sz w:val="20"/>
        </w:rPr>
      </w:pPr>
      <w:r>
        <w:rPr>
          <w:rFonts w:ascii="Times New Roman" w:hAnsi="Times New Roman"/>
          <w:sz w:val="20"/>
        </w:rPr>
        <w:t xml:space="preserve">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diversion of management time and focus from operating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use of resources that are needed in other areas of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acquisition, implementation or remediation of controls, procedures and policies of the acquired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acquisition, difficulty integrating the accounting systems and operations of the acquired company, including potential risks to Rezolves corporate culture;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 acquisition, retention and integration of employees from the acquired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unforeseen costs or liabilities;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 effects to Rezolves existing business relationships with partners and merchants as a result of the acquisition or investment;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of adverse tax consequences;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litigation or other claims arising in connection with the acquired company or investment;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foreign acquisitions, the need to integrate operations across different cultures and languages and to address the particular economic, currency, political and regulatory risks associated with specific countries.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 </w:t>
      </w:r>
    </w:p>
    <w:p>
      <w:pPr>
        <w:pStyle w:val="TextBody"/>
        <w:spacing w:before="240" w:after="0"/>
        <w:jc w:val="left"/>
        <w:rPr>
          <w:rFonts w:ascii="Times New Roman" w:hAnsi="Times New Roman"/>
          <w:sz w:val="20"/>
        </w:rPr>
      </w:pPr>
      <w:r>
        <w:rPr>
          <w:rFonts w:ascii="Times New Roman" w:hAnsi="Times New Roman"/>
          <w:sz w:val="20"/>
        </w:rPr>
        <w:t xml:space="preserve">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 </w:t>
      </w:r>
    </w:p>
    <w:p>
      <w:pPr>
        <w:pStyle w:val="TextBody"/>
        <w:spacing w:before="240" w:after="0"/>
        <w:jc w:val="left"/>
        <w:rPr>
          <w:rFonts w:ascii="Times New Roman" w:hAnsi="Times New Roman"/>
          <w:sz w:val="20"/>
        </w:rPr>
      </w:pPr>
      <w:r>
        <w:rPr>
          <w:rFonts w:ascii="Times New Roman" w:hAnsi="Times New Roman"/>
          <w:sz w:val="20"/>
        </w:rPr>
        <w:t xml:space="preserve">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 </w:t>
      </w:r>
    </w:p>
    <w:p>
      <w:pPr>
        <w:pStyle w:val="TextBody"/>
        <w:spacing w:before="360" w:after="0"/>
        <w:jc w:val="left"/>
        <w:rPr>
          <w:rFonts w:ascii="Times New Roman" w:hAnsi="Times New Roman"/>
          <w:b/>
          <w:i/>
          <w:sz w:val="20"/>
        </w:rPr>
      </w:pPr>
      <w:r>
        <w:rPr>
          <w:rFonts w:ascii="Times New Roman" w:hAnsi="Times New Roman"/>
          <w:b/>
          <w:i/>
          <w:sz w:val="20"/>
        </w:rPr>
        <w:t xml:space="preserve">Rezolve is a party to the Loan Note Instrument, which contains a number of covenants that may restrict our current and future operations and could adversely affect our ability to execute business needs. </w:t>
      </w:r>
    </w:p>
    <w:p>
      <w:pPr>
        <w:pStyle w:val="TextBody"/>
        <w:spacing w:before="120" w:after="0"/>
        <w:jc w:val="left"/>
        <w:rPr>
          <w:rFonts w:ascii="Times New Roman" w:hAnsi="Times New Roman"/>
          <w:sz w:val="20"/>
        </w:rPr>
      </w:pPr>
      <w:r>
        <w:rPr>
          <w:rFonts w:ascii="Times New Roman" w:hAnsi="Times New Roman"/>
          <w:sz w:val="20"/>
        </w:rPr>
        <w:t xml:space="preserve">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 </w:t>
      </w:r>
    </w:p>
    <w:p>
      <w:pPr>
        <w:pStyle w:val="TextBody"/>
        <w:spacing w:before="120" w:after="0"/>
        <w:jc w:val="left"/>
        <w:rPr>
          <w:rFonts w:ascii="Times New Roman" w:hAnsi="Times New Roman"/>
          <w:sz w:val="20"/>
        </w:rPr>
      </w:pPr>
      <w:r>
        <w:rPr>
          <w:rFonts w:ascii="Times New Roman" w:hAnsi="Times New Roman"/>
          <w:sz w:val="20"/>
        </w:rPr>
        <w:t xml:space="preserve">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 </w:t>
      </w:r>
    </w:p>
    <w:p>
      <w:pPr>
        <w:pStyle w:val="TextBody"/>
        <w:spacing w:before="360" w:after="0"/>
        <w:jc w:val="left"/>
        <w:rPr>
          <w:rFonts w:ascii="Times New Roman" w:hAnsi="Times New Roman"/>
          <w:b/>
          <w:i/>
          <w:sz w:val="20"/>
        </w:rPr>
      </w:pPr>
      <w:r>
        <w:rPr>
          <w:rFonts w:ascii="Times New Roman" w:hAnsi="Times New Roman"/>
          <w:b/>
          <w:i/>
          <w:sz w:val="20"/>
        </w:rPr>
        <w:t xml:space="preserve">Rezolve may need to raise additional funds to pursue its growth strategy or continue its operations, and Rezolve may be unable to raise capital when needed or on acceptable terms. </w:t>
      </w:r>
    </w:p>
    <w:p>
      <w:pPr>
        <w:pStyle w:val="TextBody"/>
        <w:spacing w:before="120" w:after="0"/>
        <w:jc w:val="left"/>
        <w:rPr>
          <w:rFonts w:ascii="Times New Roman" w:hAnsi="Times New Roman"/>
          <w:sz w:val="20"/>
        </w:rPr>
      </w:pPr>
      <w:r>
        <w:rPr>
          <w:rFonts w:ascii="Times New Roman" w:hAnsi="Times New Roman"/>
          <w:sz w:val="20"/>
        </w:rPr>
        <w:t xml:space="preserve">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Failure to effectively develop and expand Rezolves marketing, sales, customer service, and content management capabilities could harm its ability to increase Rezolves customer base and achieve broader market acceptance of Rezolves platform. </w:t>
      </w:r>
    </w:p>
    <w:p>
      <w:pPr>
        <w:pStyle w:val="TextBody"/>
        <w:spacing w:before="120" w:after="0"/>
        <w:jc w:val="left"/>
        <w:rPr>
          <w:rFonts w:ascii="Times New Roman" w:hAnsi="Times New Roman"/>
          <w:sz w:val="20"/>
        </w:rPr>
      </w:pPr>
      <w:r>
        <w:rPr>
          <w:rFonts w:ascii="Times New Roman" w:hAnsi="Times New Roman"/>
          <w:sz w:val="20"/>
        </w:rPr>
        <w:t xml:space="preserve">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 </w:t>
      </w:r>
    </w:p>
    <w:p>
      <w:pPr>
        <w:pStyle w:val="TextBody"/>
        <w:spacing w:before="360" w:after="0"/>
        <w:jc w:val="left"/>
        <w:rPr>
          <w:rFonts w:ascii="Times New Roman" w:hAnsi="Times New Roman"/>
          <w:b/>
          <w:i/>
          <w:sz w:val="20"/>
        </w:rPr>
      </w:pPr>
      <w:r>
        <w:rPr>
          <w:rFonts w:ascii="Times New Roman" w:hAnsi="Times New Roman"/>
          <w:b/>
          <w:i/>
          <w:sz w:val="20"/>
        </w:rPr>
        <w:t xml:space="preserve">If the availability of Rezolves platform does not meet its service-level commitments to customers, Rezolves current and future revenues may be negatively impacted. </w:t>
      </w:r>
    </w:p>
    <w:p>
      <w:pPr>
        <w:pStyle w:val="TextBody"/>
        <w:spacing w:before="120" w:after="0"/>
        <w:jc w:val="left"/>
        <w:rPr>
          <w:rFonts w:ascii="Times New Roman" w:hAnsi="Times New Roman"/>
          <w:sz w:val="20"/>
        </w:rPr>
      </w:pPr>
      <w:r>
        <w:rPr>
          <w:rFonts w:ascii="Times New Roman" w:hAnsi="Times New Roman"/>
          <w:sz w:val="20"/>
        </w:rPr>
        <w:t xml:space="preserve">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Rezolve will have broad discretion in the use of proceeds from this offering and may invest or spend the proceeds in ways with which you do not agree and in ways that may not yield a return. </w:t>
      </w:r>
    </w:p>
    <w:p>
      <w:pPr>
        <w:pStyle w:val="TextBody"/>
        <w:spacing w:before="120" w:after="0"/>
        <w:jc w:val="left"/>
        <w:rPr>
          <w:rFonts w:ascii="Times New Roman" w:hAnsi="Times New Roman"/>
          <w:sz w:val="20"/>
        </w:rPr>
      </w:pPr>
      <w:r>
        <w:rPr>
          <w:rFonts w:ascii="Times New Roman" w:hAnsi="Times New Roman"/>
          <w:sz w:val="20"/>
        </w:rPr>
        <w:t xml:space="preserve">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Rezolve does not intend to pay dividends for the foreseeable future. </w:t>
      </w:r>
    </w:p>
    <w:p>
      <w:pPr>
        <w:pStyle w:val="TextBody"/>
        <w:spacing w:before="120" w:after="0"/>
        <w:jc w:val="left"/>
        <w:rPr>
          <w:rFonts w:ascii="Times New Roman" w:hAnsi="Times New Roman"/>
          <w:sz w:val="20"/>
        </w:rPr>
      </w:pPr>
      <w:r>
        <w:rPr>
          <w:rFonts w:ascii="Times New Roman" w:hAnsi="Times New Roman"/>
          <w:sz w:val="20"/>
        </w:rPr>
        <w:t xml:space="preserve">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 </w:t>
      </w:r>
    </w:p>
    <w:p>
      <w:pPr>
        <w:pStyle w:val="TextBody"/>
        <w:spacing w:before="360" w:after="0"/>
        <w:jc w:val="left"/>
        <w:rPr>
          <w:rFonts w:ascii="Times New Roman" w:hAnsi="Times New Roman"/>
          <w:b/>
          <w:i/>
          <w:sz w:val="20"/>
        </w:rPr>
      </w:pPr>
      <w:r>
        <w:rPr>
          <w:rFonts w:ascii="Times New Roman" w:hAnsi="Times New Roman"/>
          <w:b/>
          <w:i/>
          <w:sz w:val="20"/>
        </w:rPr>
        <w:t xml:space="preserve">A regional or global health pandemic, including the global COVID-19 pandemic, may adversely impact Rezolves business, results of operations and financial performance. </w:t>
      </w:r>
    </w:p>
    <w:p>
      <w:pPr>
        <w:pStyle w:val="TextBody"/>
        <w:spacing w:before="120" w:after="0"/>
        <w:jc w:val="left"/>
        <w:rPr>
          <w:rFonts w:ascii="Times New Roman" w:hAnsi="Times New Roman"/>
          <w:sz w:val="20"/>
        </w:rPr>
      </w:pPr>
      <w:r>
        <w:rPr>
          <w:rFonts w:ascii="Times New Roman" w:hAnsi="Times New Roman"/>
          <w:sz w:val="20"/>
        </w:rPr>
        <w:t xml:space="preserve">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 </w:t>
      </w:r>
    </w:p>
    <w:p>
      <w:pPr>
        <w:pStyle w:val="TextBody"/>
        <w:spacing w:before="240" w:after="0"/>
        <w:jc w:val="left"/>
        <w:rPr>
          <w:rFonts w:ascii="Times New Roman" w:hAnsi="Times New Roman"/>
          <w:sz w:val="20"/>
        </w:rPr>
      </w:pPr>
      <w:r>
        <w:rPr>
          <w:rFonts w:ascii="Times New Roman" w:hAnsi="Times New Roman"/>
          <w:sz w:val="20"/>
        </w:rPr>
        <w:t xml:space="preserve">Although Rezolves results have not been materially affected by COVID-19 to date, Rezolve is unable to accurately predict the impact that other global health crises will have on Rezolves or its business partners or customers operations. </w:t>
      </w:r>
    </w:p>
    <w:p>
      <w:pPr>
        <w:pStyle w:val="TextBody"/>
        <w:spacing w:before="240" w:after="0"/>
        <w:jc w:val="left"/>
        <w:rPr>
          <w:rFonts w:ascii="Times New Roman" w:hAnsi="Times New Roman"/>
          <w:sz w:val="20"/>
        </w:rPr>
      </w:pPr>
      <w:r>
        <w:rPr>
          <w:rFonts w:ascii="Times New Roman" w:hAnsi="Times New Roman"/>
          <w:sz w:val="20"/>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hAnsi="Times New Roman"/>
          <w:i/>
          <w:sz w:val="20"/>
        </w:rPr>
        <w:t>Risk Factors</w:t>
      </w:r>
      <w:r>
        <w:rPr>
          <w:rFonts w:ascii="Times New Roman" w:hAnsi="Times New Roman"/>
          <w:sz w:val="20"/>
        </w:rPr>
        <w:t xml:space="preserve"> section. </w:t>
      </w:r>
    </w:p>
    <w:p>
      <w:pPr>
        <w:pStyle w:val="TextBody"/>
        <w:spacing w:before="360" w:after="0"/>
        <w:jc w:val="left"/>
        <w:rPr>
          <w:rFonts w:ascii="Times New Roman" w:hAnsi="Times New Roman"/>
          <w:b/>
          <w:i/>
          <w:sz w:val="20"/>
        </w:rPr>
      </w:pPr>
      <w:r>
        <w:rPr>
          <w:rFonts w:ascii="Times New Roman" w:hAnsi="Times New Roman"/>
          <w:b/>
          <w:i/>
          <w:sz w:val="20"/>
        </w:rPr>
        <w:t xml:space="preserve">If Rezolve is unable to hire, retain and motivate qualified personnel, its business will be adversely affected. </w:t>
      </w:r>
    </w:p>
    <w:p>
      <w:pPr>
        <w:pStyle w:val="TextBody"/>
        <w:spacing w:before="120" w:after="0"/>
        <w:jc w:val="left"/>
        <w:rPr>
          <w:rFonts w:ascii="Times New Roman" w:hAnsi="Times New Roman"/>
          <w:sz w:val="20"/>
        </w:rPr>
      </w:pPr>
      <w:r>
        <w:rPr>
          <w:rFonts w:ascii="Times New Roman" w:hAnsi="Times New Roman"/>
          <w:sz w:val="20"/>
        </w:rPr>
        <w:t xml:space="preserve">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Rezolve is dependent on the continued services and performance of its senior management and other key employees, the loss of any of whom could adversely affect Rezolves business, operating results and financial condition. </w:t>
      </w:r>
    </w:p>
    <w:p>
      <w:pPr>
        <w:pStyle w:val="TextBody"/>
        <w:spacing w:before="120" w:after="0"/>
        <w:jc w:val="left"/>
        <w:rPr>
          <w:rFonts w:ascii="Times New Roman" w:hAnsi="Times New Roman"/>
          <w:sz w:val="20"/>
        </w:rPr>
      </w:pPr>
      <w:r>
        <w:rPr>
          <w:rFonts w:ascii="Times New Roman" w:hAnsi="Times New Roman"/>
          <w:sz w:val="20"/>
        </w:rPr>
        <w:t xml:space="preserve">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 </w:t>
      </w:r>
    </w:p>
    <w:p>
      <w:pPr>
        <w:pStyle w:val="TextBody"/>
        <w:spacing w:before="360" w:after="0"/>
        <w:jc w:val="left"/>
        <w:rPr>
          <w:rFonts w:ascii="Times New Roman" w:hAnsi="Times New Roman"/>
          <w:b/>
          <w:i/>
          <w:sz w:val="20"/>
        </w:rPr>
      </w:pPr>
      <w:r>
        <w:rPr>
          <w:rFonts w:ascii="Times New Roman" w:hAnsi="Times New Roman"/>
          <w:b/>
          <w:i/>
          <w:sz w:val="20"/>
        </w:rPr>
        <w:t xml:space="preserve">Rezolve expects to be dependent upon consumers and merchants willingness to use the internet and internet-enabled mobile devices for commerce. </w:t>
      </w:r>
    </w:p>
    <w:p>
      <w:pPr>
        <w:pStyle w:val="TextBody"/>
        <w:spacing w:before="120" w:after="0"/>
        <w:jc w:val="left"/>
        <w:rPr>
          <w:rFonts w:ascii="Times New Roman" w:hAnsi="Times New Roman"/>
          <w:sz w:val="20"/>
        </w:rPr>
      </w:pPr>
      <w:r>
        <w:rPr>
          <w:rFonts w:ascii="Times New Roman" w:hAnsi="Times New Roman"/>
          <w:sz w:val="20"/>
        </w:rPr>
        <w:t xml:space="preserve">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 </w:t>
      </w:r>
    </w:p>
    <w:p>
      <w:pPr>
        <w:pStyle w:val="TextBody"/>
        <w:spacing w:before="360" w:after="0"/>
        <w:jc w:val="left"/>
        <w:rPr>
          <w:rFonts w:ascii="Times New Roman" w:hAnsi="Times New Roman"/>
          <w:b/>
          <w:sz w:val="20"/>
        </w:rPr>
      </w:pPr>
      <w:r>
        <w:rPr>
          <w:rFonts w:ascii="Times New Roman" w:hAnsi="Times New Roman"/>
          <w:b/>
          <w:sz w:val="20"/>
        </w:rPr>
        <w:t xml:space="preserve">Risks related to Rezolves Software, Platform, and Security </w:t>
      </w:r>
    </w:p>
    <w:p>
      <w:pPr>
        <w:pStyle w:val="TextBody"/>
        <w:spacing w:before="120" w:after="0"/>
        <w:jc w:val="left"/>
        <w:rPr>
          <w:rFonts w:ascii="Times New Roman" w:hAnsi="Times New Roman"/>
          <w:b/>
          <w:i/>
          <w:sz w:val="20"/>
        </w:rPr>
      </w:pPr>
      <w:r>
        <w:rPr>
          <w:rFonts w:ascii="Times New Roman" w:hAnsi="Times New Roman"/>
          <w:b/>
          <w:i/>
          <w:sz w:val="20"/>
        </w:rPr>
        <w:t xml:space="preserve">If Rezolves software or platform contains serious errors or defects, Rezolve may lose revenues and market acceptance and may incur costs to defend or settle claims with its merchants. </w:t>
      </w:r>
    </w:p>
    <w:p>
      <w:pPr>
        <w:pStyle w:val="TextBody"/>
        <w:spacing w:before="120" w:after="0"/>
        <w:jc w:val="left"/>
        <w:rPr>
          <w:rFonts w:ascii="Times New Roman" w:hAnsi="Times New Roman"/>
          <w:sz w:val="20"/>
        </w:rPr>
      </w:pPr>
      <w:r>
        <w:rPr>
          <w:rFonts w:ascii="Times New Roman" w:hAnsi="Times New Roman"/>
          <w:sz w:val="20"/>
        </w:rPr>
        <w:t xml:space="preserve">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 </w:t>
      </w:r>
    </w:p>
    <w:p>
      <w:pPr>
        <w:pStyle w:val="TextBody"/>
        <w:spacing w:before="240" w:after="0"/>
        <w:jc w:val="left"/>
        <w:rPr>
          <w:rFonts w:ascii="Times New Roman" w:hAnsi="Times New Roman"/>
          <w:sz w:val="20"/>
        </w:rPr>
      </w:pPr>
      <w:r>
        <w:rPr>
          <w:rFonts w:ascii="Times New Roman" w:hAnsi="Times New Roman"/>
          <w:sz w:val="20"/>
        </w:rPr>
        <w:t xml:space="preserve">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 </w:t>
      </w:r>
    </w:p>
    <w:p>
      <w:pPr>
        <w:pStyle w:val="TextBody"/>
        <w:spacing w:before="360" w:after="0"/>
        <w:jc w:val="left"/>
        <w:rPr>
          <w:rFonts w:ascii="Times New Roman" w:hAnsi="Times New Roman"/>
          <w:b/>
          <w:i/>
          <w:sz w:val="20"/>
        </w:rPr>
      </w:pPr>
      <w:r>
        <w:rPr>
          <w:rFonts w:ascii="Times New Roman" w:hAnsi="Times New Roman"/>
          <w:b/>
          <w:i/>
          <w:sz w:val="20"/>
        </w:rPr>
        <w:t xml:space="preserve">A denial of service attack or security breach or incident could delay or interrupt service to Rezolves merchants and their customers, harm Rezolves reputation and subject Rezolve to significant liability. </w:t>
      </w:r>
    </w:p>
    <w:p>
      <w:pPr>
        <w:pStyle w:val="TextBody"/>
        <w:spacing w:before="120" w:after="0"/>
        <w:jc w:val="left"/>
        <w:rPr>
          <w:rFonts w:ascii="Times New Roman" w:hAnsi="Times New Roman"/>
          <w:sz w:val="20"/>
        </w:rPr>
      </w:pPr>
      <w:r>
        <w:rPr>
          <w:rFonts w:ascii="Times New Roman" w:hAnsi="Times New Roman"/>
          <w:sz w:val="20"/>
        </w:rPr>
        <w:t xml:space="preserve">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 </w:t>
      </w:r>
    </w:p>
    <w:p>
      <w:pPr>
        <w:pStyle w:val="TextBody"/>
        <w:spacing w:before="240" w:after="0"/>
        <w:jc w:val="left"/>
        <w:rPr>
          <w:rFonts w:ascii="Times New Roman" w:hAnsi="Times New Roman"/>
          <w:sz w:val="20"/>
        </w:rPr>
      </w:pPr>
      <w:r>
        <w:rPr>
          <w:rFonts w:ascii="Times New Roman" w:hAnsi="Times New Roman"/>
          <w:sz w:val="20"/>
        </w:rPr>
        <w:t xml:space="preserve">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Rezolve uses a limited number of data centers to deliver its services. Any disruption of service at these facilities could harm Rezolves business. </w:t>
      </w:r>
    </w:p>
    <w:p>
      <w:pPr>
        <w:pStyle w:val="TextBody"/>
        <w:spacing w:before="120" w:after="0"/>
        <w:jc w:val="left"/>
        <w:rPr>
          <w:rFonts w:ascii="Times New Roman" w:hAnsi="Times New Roman"/>
          <w:sz w:val="20"/>
        </w:rPr>
      </w:pPr>
      <w:r>
        <w:rPr>
          <w:rFonts w:ascii="Times New Roman" w:hAnsi="Times New Roman"/>
          <w:sz w:val="20"/>
        </w:rPr>
        <w:t xml:space="preserve">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Rezolves business and prospects would be harmed if changes to technologies used in Rezolves platform or new versions or upgrades of operating systems and internet browsers adversely impact the process by which merchants and consumers interface with Rezolves platform. </w:t>
      </w:r>
    </w:p>
    <w:p>
      <w:pPr>
        <w:pStyle w:val="TextBody"/>
        <w:spacing w:before="120" w:after="0"/>
        <w:jc w:val="left"/>
        <w:rPr>
          <w:rFonts w:ascii="Times New Roman" w:hAnsi="Times New Roman"/>
          <w:sz w:val="20"/>
        </w:rPr>
      </w:pPr>
      <w:r>
        <w:rPr>
          <w:rFonts w:ascii="Times New Roman" w:hAnsi="Times New Roman"/>
          <w:sz w:val="20"/>
        </w:rPr>
        <w:t xml:space="preserve">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Rezolve relies on computer hardware, purchased or leased, and software licensed from and services rendered by third parties in order to provide its solutions and run its business. </w:t>
      </w:r>
    </w:p>
    <w:p>
      <w:pPr>
        <w:pStyle w:val="TextBody"/>
        <w:spacing w:before="120" w:after="0"/>
        <w:jc w:val="left"/>
        <w:rPr>
          <w:rFonts w:ascii="Times New Roman" w:hAnsi="Times New Roman"/>
          <w:sz w:val="20"/>
        </w:rPr>
      </w:pPr>
      <w:r>
        <w:rPr>
          <w:rFonts w:ascii="Times New Roman" w:hAnsi="Times New Roman"/>
          <w:sz w:val="20"/>
        </w:rPr>
        <w:t xml:space="preserve">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Rezolve does not or cannot maintain the compatibility of its platform with third-party applications that its customers use in their businesses, Rezolves revenues will decline. </w:t>
      </w:r>
    </w:p>
    <w:p>
      <w:pPr>
        <w:pStyle w:val="TextBody"/>
        <w:spacing w:before="120" w:after="0"/>
        <w:jc w:val="left"/>
        <w:rPr>
          <w:rFonts w:ascii="Times New Roman" w:hAnsi="Times New Roman"/>
          <w:sz w:val="20"/>
        </w:rPr>
      </w:pPr>
      <w:r>
        <w:rPr>
          <w:rFonts w:ascii="Times New Roman" w:hAnsi="Times New Roman"/>
          <w:sz w:val="20"/>
        </w:rPr>
        <w:t xml:space="preserve">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 </w:t>
      </w:r>
    </w:p>
    <w:p>
      <w:pPr>
        <w:pStyle w:val="TextBody"/>
        <w:spacing w:before="360" w:after="0"/>
        <w:jc w:val="left"/>
        <w:rPr>
          <w:rFonts w:ascii="Times New Roman" w:hAnsi="Times New Roman"/>
          <w:b/>
          <w:i/>
          <w:sz w:val="20"/>
        </w:rPr>
      </w:pPr>
      <w:r>
        <w:rPr>
          <w:rFonts w:ascii="Times New Roman" w:hAnsi="Times New Roman"/>
          <w:b/>
          <w:i/>
          <w:sz w:val="20"/>
        </w:rPr>
        <w:t xml:space="preserve">Mobile devices are increasingly being used to conduct commerce, and if Rezolves solutions do not operate as effectively when accessed through these devices, Rezolves merchants and their customers may not be satisfied with Rezolves services, which could harm Rezolves business. </w:t>
      </w:r>
    </w:p>
    <w:p>
      <w:pPr>
        <w:pStyle w:val="TextBody"/>
        <w:spacing w:before="120" w:after="0"/>
        <w:jc w:val="left"/>
        <w:rPr>
          <w:rFonts w:ascii="Times New Roman" w:hAnsi="Times New Roman"/>
          <w:sz w:val="20"/>
        </w:rPr>
      </w:pPr>
      <w:r>
        <w:rPr>
          <w:rFonts w:ascii="Times New Roman" w:hAnsi="Times New Roman"/>
          <w:sz w:val="20"/>
        </w:rPr>
        <w:t xml:space="preserve">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Rezolve may store and process personal data of its merchants and their customers. If the security of this information is compromised or otherwise subjected to unauthorized access, Rezolves reputation may be harmed and Rezolve may be exposed to liability. </w:t>
      </w:r>
    </w:p>
    <w:p>
      <w:pPr>
        <w:pStyle w:val="TextBody"/>
        <w:spacing w:before="120" w:after="0"/>
        <w:jc w:val="left"/>
        <w:rPr>
          <w:rFonts w:ascii="Times New Roman" w:hAnsi="Times New Roman"/>
          <w:sz w:val="20"/>
        </w:rPr>
      </w:pPr>
      <w:r>
        <w:rPr>
          <w:rFonts w:ascii="Times New Roman" w:hAnsi="Times New Roman"/>
          <w:sz w:val="20"/>
        </w:rPr>
        <w:t xml:space="preserve">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 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 </w:t>
      </w:r>
    </w:p>
    <w:p>
      <w:pPr>
        <w:pStyle w:val="TextBody"/>
        <w:spacing w:before="240" w:after="0"/>
        <w:jc w:val="left"/>
        <w:rPr>
          <w:rFonts w:ascii="Times New Roman" w:hAnsi="Times New Roman"/>
          <w:sz w:val="20"/>
        </w:rPr>
      </w:pPr>
      <w:r>
        <w:rPr>
          <w:rFonts w:ascii="Times New Roman" w:hAnsi="Times New Roman"/>
          <w:sz w:val="20"/>
        </w:rPr>
        <w:t xml:space="preserve">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related to Rezolves Brand </w:t>
      </w:r>
    </w:p>
    <w:p>
      <w:pPr>
        <w:pStyle w:val="TextBody"/>
        <w:spacing w:before="120" w:after="0"/>
        <w:jc w:val="left"/>
        <w:rPr>
          <w:rFonts w:ascii="Times New Roman" w:hAnsi="Times New Roman"/>
          <w:b/>
          <w:i/>
          <w:sz w:val="20"/>
        </w:rPr>
      </w:pPr>
      <w:r>
        <w:rPr>
          <w:rFonts w:ascii="Times New Roman" w:hAnsi="Times New Roman"/>
          <w:b/>
          <w:i/>
          <w:sz w:val="20"/>
        </w:rPr>
        <w:t xml:space="preserve">Rezolves brand is important to its success. If Rezolve fails to effectively maintain, promote and enhance Rezolves brand, Rezolves business and competitive advantage may be harmed. </w:t>
      </w:r>
    </w:p>
    <w:p>
      <w:pPr>
        <w:pStyle w:val="TextBody"/>
        <w:spacing w:before="120" w:after="0"/>
        <w:jc w:val="left"/>
        <w:rPr>
          <w:rFonts w:ascii="Times New Roman" w:hAnsi="Times New Roman"/>
          <w:sz w:val="20"/>
        </w:rPr>
      </w:pPr>
      <w:r>
        <w:rPr>
          <w:rFonts w:ascii="Times New Roman" w:hAnsi="Times New Roman"/>
          <w:sz w:val="20"/>
        </w:rPr>
        <w:t xml:space="preserve">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 </w:t>
      </w:r>
    </w:p>
    <w:p>
      <w:pPr>
        <w:pStyle w:val="TextBody"/>
        <w:spacing w:before="240" w:after="0"/>
        <w:jc w:val="left"/>
        <w:rPr>
          <w:rFonts w:ascii="Times New Roman" w:hAnsi="Times New Roman"/>
          <w:sz w:val="20"/>
        </w:rPr>
      </w:pPr>
      <w:r>
        <w:rPr>
          <w:rFonts w:ascii="Times New Roman" w:hAnsi="Times New Roman"/>
          <w:sz w:val="20"/>
        </w:rPr>
        <w:t xml:space="preserve">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 </w:t>
      </w:r>
    </w:p>
    <w:p>
      <w:pPr>
        <w:pStyle w:val="TextBody"/>
        <w:spacing w:before="360" w:after="0"/>
        <w:jc w:val="left"/>
        <w:rPr>
          <w:rFonts w:ascii="Times New Roman" w:hAnsi="Times New Roman"/>
          <w:b/>
          <w:i/>
          <w:sz w:val="20"/>
        </w:rPr>
      </w:pPr>
      <w:r>
        <w:rPr>
          <w:rFonts w:ascii="Times New Roman" w:hAnsi="Times New Roman"/>
          <w:b/>
          <w:i/>
          <w:sz w:val="20"/>
        </w:rPr>
        <w:t xml:space="preserve">Activities of merchants or the content of their shops could damage Rezolves brand, subject Rezolve to liability and harm its business and financial results. </w:t>
      </w:r>
    </w:p>
    <w:p>
      <w:pPr>
        <w:pStyle w:val="TextBody"/>
        <w:spacing w:before="120" w:after="0"/>
        <w:jc w:val="left"/>
        <w:rPr>
          <w:rFonts w:ascii="Times New Roman" w:hAnsi="Times New Roman"/>
          <w:sz w:val="20"/>
        </w:rPr>
      </w:pPr>
      <w:r>
        <w:rPr>
          <w:rFonts w:ascii="Times New Roman" w:hAnsi="Times New Roman"/>
          <w:sz w:val="20"/>
        </w:rPr>
        <w:t xml:space="preserve">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 </w:t>
      </w:r>
    </w:p>
    <w:p>
      <w:pPr>
        <w:pStyle w:val="TextBody"/>
        <w:spacing w:before="360" w:after="0"/>
        <w:jc w:val="left"/>
        <w:rPr>
          <w:rFonts w:ascii="Times New Roman" w:hAnsi="Times New Roman"/>
          <w:b/>
          <w:i/>
          <w:sz w:val="20"/>
        </w:rPr>
      </w:pPr>
      <w:r>
        <w:rPr>
          <w:rFonts w:ascii="Times New Roman" w:hAnsi="Times New Roman"/>
          <w:b/>
          <w:i/>
          <w:sz w:val="20"/>
        </w:rPr>
        <w:t xml:space="preserve">If Rezolve fails to maintain a consistently high level of customer service, Rezolves brand, business and financial results may be harmed. </w:t>
      </w:r>
    </w:p>
    <w:p>
      <w:pPr>
        <w:pStyle w:val="TextBody"/>
        <w:spacing w:before="120" w:after="0"/>
        <w:jc w:val="left"/>
        <w:rPr>
          <w:rFonts w:ascii="Times New Roman" w:hAnsi="Times New Roman"/>
          <w:sz w:val="20"/>
        </w:rPr>
      </w:pPr>
      <w:r>
        <w:rPr>
          <w:rFonts w:ascii="Times New Roman" w:hAnsi="Times New Roman"/>
          <w:sz w:val="20"/>
        </w:rPr>
        <w:t xml:space="preserve">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 </w:t>
      </w:r>
    </w:p>
    <w:p>
      <w:pPr>
        <w:pStyle w:val="TextBody"/>
        <w:spacing w:before="360" w:after="0"/>
        <w:jc w:val="left"/>
        <w:rPr>
          <w:rFonts w:ascii="Times New Roman" w:hAnsi="Times New Roman"/>
          <w:b/>
          <w:sz w:val="20"/>
        </w:rPr>
      </w:pPr>
      <w:r>
        <w:rPr>
          <w:rFonts w:ascii="Times New Roman" w:hAnsi="Times New Roman"/>
          <w:b/>
          <w:sz w:val="20"/>
        </w:rPr>
        <w:t xml:space="preserve">Risks Relating to Rezolves Intellectual Property </w:t>
      </w:r>
    </w:p>
    <w:p>
      <w:pPr>
        <w:pStyle w:val="TextBody"/>
        <w:spacing w:before="120" w:after="0"/>
        <w:jc w:val="left"/>
        <w:rPr>
          <w:rFonts w:ascii="Times New Roman" w:hAnsi="Times New Roman"/>
          <w:b/>
          <w:i/>
          <w:sz w:val="20"/>
        </w:rPr>
      </w:pPr>
      <w:r>
        <w:rPr>
          <w:rFonts w:ascii="Times New Roman" w:hAnsi="Times New Roman"/>
          <w:b/>
          <w:i/>
          <w:sz w:val="20"/>
        </w:rPr>
        <w:t xml:space="preserve">Rezolve may be unable to maintain or protect its intellectual property rights and proprietary information, or obtain registrations in such rights or information, or otherwise prevent third parties from making unauthorized use of the foregoing, including its technology. </w:t>
      </w:r>
    </w:p>
    <w:p>
      <w:pPr>
        <w:pStyle w:val="TextBody"/>
        <w:spacing w:before="120" w:after="0"/>
        <w:jc w:val="left"/>
        <w:rPr>
          <w:rFonts w:ascii="Times New Roman" w:hAnsi="Times New Roman"/>
          <w:sz w:val="20"/>
        </w:rPr>
      </w:pPr>
      <w:r>
        <w:rPr>
          <w:rFonts w:ascii="Times New Roman" w:hAnsi="Times New Roman"/>
          <w:sz w:val="20"/>
        </w:rPr>
        <w:t xml:space="preserve">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 </w:t>
      </w:r>
    </w:p>
    <w:p>
      <w:pPr>
        <w:pStyle w:val="TextBody"/>
        <w:spacing w:before="240" w:after="0"/>
        <w:jc w:val="left"/>
        <w:rPr>
          <w:rFonts w:ascii="Times New Roman" w:hAnsi="Times New Roman"/>
          <w:sz w:val="20"/>
        </w:rPr>
      </w:pPr>
      <w:r>
        <w:rPr>
          <w:rFonts w:ascii="Times New Roman" w:hAnsi="Times New Roman"/>
          <w:sz w:val="20"/>
        </w:rPr>
        <w:t xml:space="preserve">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 </w:t>
      </w:r>
    </w:p>
    <w:p>
      <w:pPr>
        <w:pStyle w:val="TextBody"/>
        <w:spacing w:before="240" w:after="0"/>
        <w:jc w:val="left"/>
        <w:rPr>
          <w:rFonts w:ascii="Times New Roman" w:hAnsi="Times New Roman"/>
          <w:sz w:val="20"/>
        </w:rPr>
      </w:pPr>
      <w:r>
        <w:rPr>
          <w:rFonts w:ascii="Times New Roman" w:hAnsi="Times New Roman"/>
          <w:sz w:val="20"/>
        </w:rPr>
        <w:t xml:space="preserve">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Rezolve may be subject to claims by third parties of intellectual property infringement. </w:t>
      </w:r>
    </w:p>
    <w:p>
      <w:pPr>
        <w:pStyle w:val="TextBody"/>
        <w:spacing w:before="120" w:after="0"/>
        <w:jc w:val="left"/>
        <w:rPr>
          <w:rFonts w:ascii="Times New Roman" w:hAnsi="Times New Roman"/>
          <w:sz w:val="20"/>
        </w:rPr>
      </w:pPr>
      <w:r>
        <w:rPr>
          <w:rFonts w:ascii="Times New Roman" w:hAnsi="Times New Roman"/>
          <w:sz w:val="20"/>
        </w:rPr>
        <w:t xml:space="preserve">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 </w:t>
      </w:r>
    </w:p>
    <w:p>
      <w:pPr>
        <w:pStyle w:val="TextBody"/>
        <w:spacing w:before="240" w:after="0"/>
        <w:jc w:val="left"/>
        <w:rPr>
          <w:rFonts w:ascii="Times New Roman" w:hAnsi="Times New Roman"/>
          <w:sz w:val="20"/>
        </w:rPr>
      </w:pPr>
      <w:r>
        <w:rPr>
          <w:rFonts w:ascii="Times New Roman" w:hAnsi="Times New Roman"/>
          <w:sz w:val="20"/>
        </w:rPr>
        <w:t xml:space="preserve">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 </w:t>
      </w:r>
    </w:p>
    <w:p>
      <w:pPr>
        <w:pStyle w:val="TextBody"/>
        <w:spacing w:before="360" w:after="0"/>
        <w:jc w:val="left"/>
        <w:rPr>
          <w:rFonts w:ascii="Times New Roman" w:hAnsi="Times New Roman"/>
          <w:b/>
          <w:i/>
          <w:sz w:val="20"/>
        </w:rPr>
      </w:pPr>
      <w:r>
        <w:rPr>
          <w:rFonts w:ascii="Times New Roman" w:hAnsi="Times New Roman"/>
          <w:b/>
          <w:i/>
          <w:sz w:val="20"/>
        </w:rPr>
        <w:t xml:space="preserve">Rezolves use of open source software could negatively affect its ability to sell its solutions and subject Rezolve to possible litigation. </w:t>
      </w:r>
    </w:p>
    <w:p>
      <w:pPr>
        <w:pStyle w:val="TextBody"/>
        <w:spacing w:before="120" w:after="0"/>
        <w:jc w:val="left"/>
        <w:rPr>
          <w:rFonts w:ascii="Times New Roman" w:hAnsi="Times New Roman"/>
          <w:sz w:val="20"/>
        </w:rPr>
      </w:pPr>
      <w:r>
        <w:rPr>
          <w:rFonts w:ascii="Times New Roman" w:hAnsi="Times New Roman"/>
          <w:sz w:val="20"/>
        </w:rPr>
        <w:t xml:space="preserve">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 </w:t>
      </w:r>
    </w:p>
    <w:p>
      <w:pPr>
        <w:pStyle w:val="TextBody"/>
        <w:spacing w:before="240" w:after="0"/>
        <w:jc w:val="left"/>
        <w:rPr>
          <w:rFonts w:ascii="Times New Roman" w:hAnsi="Times New Roman"/>
          <w:sz w:val="20"/>
        </w:rPr>
      </w:pPr>
      <w:r>
        <w:rPr>
          <w:rFonts w:ascii="Times New Roman" w:hAnsi="Times New Roman"/>
          <w:sz w:val="20"/>
        </w:rPr>
        <w:t xml:space="preserve">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 </w:t>
      </w:r>
    </w:p>
    <w:p>
      <w:pPr>
        <w:pStyle w:val="TextBody"/>
        <w:spacing w:before="240" w:after="0"/>
        <w:jc w:val="left"/>
        <w:rPr>
          <w:rFonts w:ascii="Times New Roman" w:hAnsi="Times New Roman"/>
          <w:sz w:val="20"/>
        </w:rPr>
      </w:pPr>
      <w:r>
        <w:rPr>
          <w:rFonts w:ascii="Times New Roman" w:hAnsi="Times New Roman"/>
          <w:sz w:val="20"/>
        </w:rPr>
        <w:t xml:space="preserve">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 </w:t>
      </w:r>
    </w:p>
    <w:p>
      <w:pPr>
        <w:pStyle w:val="TextBody"/>
        <w:spacing w:before="360" w:after="0"/>
        <w:jc w:val="left"/>
        <w:rPr>
          <w:rFonts w:ascii="Times New Roman" w:hAnsi="Times New Roman"/>
          <w:b/>
          <w:sz w:val="20"/>
        </w:rPr>
      </w:pPr>
      <w:r>
        <w:rPr>
          <w:rFonts w:ascii="Times New Roman" w:hAnsi="Times New Roman"/>
          <w:b/>
          <w:sz w:val="20"/>
        </w:rPr>
        <w:t xml:space="preserve">Risks Relating to Legal and Regulatory Compliance </w:t>
      </w:r>
    </w:p>
    <w:p>
      <w:pPr>
        <w:pStyle w:val="TextBody"/>
        <w:spacing w:before="120" w:after="0"/>
        <w:jc w:val="left"/>
        <w:rPr>
          <w:rFonts w:ascii="Times New Roman" w:hAnsi="Times New Roman"/>
          <w:b/>
          <w:i/>
          <w:sz w:val="20"/>
        </w:rPr>
      </w:pPr>
      <w:r>
        <w:rPr>
          <w:rFonts w:ascii="Times New Roman" w:hAnsi="Times New Roman"/>
          <w:b/>
          <w:i/>
          <w:sz w:val="20"/>
        </w:rPr>
        <w:t xml:space="preserve">Claims for indemnification by Rezolves directors and officers may reduce Rezolves available funds to satisfy successful third-party claims against Rezolve and may reduce the amount of money available to Rezolve. </w:t>
      </w:r>
    </w:p>
    <w:p>
      <w:pPr>
        <w:pStyle w:val="TextBody"/>
        <w:spacing w:before="120" w:after="0"/>
        <w:jc w:val="left"/>
        <w:rPr>
          <w:rFonts w:ascii="Times New Roman" w:hAnsi="Times New Roman"/>
          <w:sz w:val="20"/>
        </w:rPr>
      </w:pPr>
      <w:r>
        <w:rPr>
          <w:rFonts w:ascii="Times New Roman" w:hAnsi="Times New Roman"/>
          <w:sz w:val="20"/>
        </w:rPr>
        <w:t xml:space="preserve">Rezolves Memorandum and Articles of Association will provide that Rezolve will indemnify its directors and officers, in each case to the fullest extent permitted by English law. </w:t>
      </w:r>
    </w:p>
    <w:p>
      <w:pPr>
        <w:pStyle w:val="TextBody"/>
        <w:spacing w:before="240" w:after="0"/>
        <w:jc w:val="left"/>
        <w:rPr>
          <w:rFonts w:ascii="Times New Roman" w:hAnsi="Times New Roman"/>
          <w:sz w:val="20"/>
        </w:rPr>
      </w:pPr>
      <w:r>
        <w:rPr>
          <w:rFonts w:ascii="Times New Roman" w:hAnsi="Times New Roman"/>
          <w:sz w:val="20"/>
        </w:rPr>
        <w:t xml:space="preserve">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 </w:t>
      </w:r>
    </w:p>
    <w:p>
      <w:pPr>
        <w:pStyle w:val="TextBody"/>
        <w:spacing w:before="360" w:after="0"/>
        <w:jc w:val="left"/>
        <w:rPr>
          <w:rFonts w:ascii="Times New Roman" w:hAnsi="Times New Roman"/>
          <w:b/>
          <w:i/>
          <w:sz w:val="20"/>
        </w:rPr>
      </w:pPr>
      <w:r>
        <w:rPr>
          <w:rFonts w:ascii="Times New Roman" w:hAnsi="Times New Roman"/>
          <w:b/>
          <w:i/>
          <w:sz w:val="20"/>
        </w:rPr>
        <w:t xml:space="preserve">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 </w:t>
      </w:r>
    </w:p>
    <w:p>
      <w:pPr>
        <w:pStyle w:val="TextBody"/>
        <w:spacing w:before="120" w:after="0"/>
        <w:jc w:val="left"/>
        <w:rPr>
          <w:rFonts w:ascii="Times New Roman" w:hAnsi="Times New Roman"/>
          <w:sz w:val="20"/>
        </w:rPr>
      </w:pPr>
      <w:r>
        <w:rPr>
          <w:rFonts w:ascii="Times New Roman" w:hAnsi="Times New Roman"/>
          <w:sz w:val="20"/>
        </w:rPr>
        <w:t xml:space="preserve">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w:t>
      </w:r>
    </w:p>
    <w:p>
      <w:pPr>
        <w:pStyle w:val="TextBody"/>
        <w:spacing w:before="240" w:after="0"/>
        <w:jc w:val="left"/>
        <w:rPr>
          <w:rFonts w:ascii="Times New Roman" w:hAnsi="Times New Roman"/>
          <w:sz w:val="20"/>
        </w:rPr>
      </w:pPr>
      <w:r>
        <w:rPr>
          <w:rFonts w:ascii="Times New Roman" w:hAnsi="Times New Roman"/>
          <w:sz w:val="20"/>
        </w:rPr>
        <w:t xml:space="preserve">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 </w:t>
      </w:r>
    </w:p>
    <w:p>
      <w:pPr>
        <w:pStyle w:val="TextBody"/>
        <w:spacing w:before="240" w:after="0"/>
        <w:jc w:val="left"/>
        <w:rPr>
          <w:rFonts w:ascii="Times New Roman" w:hAnsi="Times New Roman"/>
          <w:sz w:val="20"/>
        </w:rPr>
      </w:pPr>
      <w:r>
        <w:rPr>
          <w:rFonts w:ascii="Times New Roman" w:hAnsi="Times New Roman"/>
          <w:sz w:val="20"/>
        </w:rPr>
        <w:t xml:space="preserve">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 </w:t>
      </w:r>
    </w:p>
    <w:p>
      <w:pPr>
        <w:pStyle w:val="TextBody"/>
        <w:spacing w:before="240" w:after="0"/>
        <w:jc w:val="left"/>
        <w:rPr>
          <w:rFonts w:ascii="Times New Roman" w:hAnsi="Times New Roman"/>
          <w:sz w:val="20"/>
        </w:rPr>
      </w:pPr>
      <w:r>
        <w:rPr>
          <w:rFonts w:ascii="Times New Roman" w:hAnsi="Times New Roman"/>
          <w:sz w:val="20"/>
        </w:rPr>
        <w:t xml:space="preserve">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 </w:t>
      </w:r>
    </w:p>
    <w:p>
      <w:pPr>
        <w:pStyle w:val="TextBody"/>
        <w:spacing w:before="360" w:after="0"/>
        <w:jc w:val="left"/>
        <w:rPr>
          <w:rFonts w:ascii="Times New Roman" w:hAnsi="Times New Roman"/>
          <w:b/>
          <w:i/>
          <w:sz w:val="20"/>
        </w:rPr>
      </w:pPr>
      <w:r>
        <w:rPr>
          <w:rFonts w:ascii="Times New Roman" w:hAnsi="Times New Roman"/>
          <w:b/>
          <w:i/>
          <w:sz w:val="20"/>
        </w:rPr>
        <w:t xml:space="preserve">Enhanced trade tariffs, import restrictions, export restrictions, United States regulations or other trade barriers may materially harm Rezolves business. </w:t>
      </w:r>
    </w:p>
    <w:p>
      <w:pPr>
        <w:pStyle w:val="TextBody"/>
        <w:spacing w:before="120" w:after="0"/>
        <w:jc w:val="left"/>
        <w:rPr>
          <w:rFonts w:ascii="Times New Roman" w:hAnsi="Times New Roman"/>
          <w:sz w:val="20"/>
        </w:rPr>
      </w:pPr>
      <w:r>
        <w:rPr>
          <w:rFonts w:ascii="Times New Roman" w:hAnsi="Times New Roman"/>
          <w:sz w:val="20"/>
        </w:rPr>
        <w:t xml:space="preserve">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From time to time, Rezolve may be involved in legal proceedings and commercial or contractual disputes, which could have an adverse impact on Rezolves profitability and consolidated financial position. </w:t>
      </w:r>
    </w:p>
    <w:p>
      <w:pPr>
        <w:pStyle w:val="TextBody"/>
        <w:spacing w:before="120" w:after="0"/>
        <w:jc w:val="left"/>
        <w:rPr>
          <w:rFonts w:ascii="Times New Roman" w:hAnsi="Times New Roman"/>
          <w:sz w:val="20"/>
        </w:rPr>
      </w:pPr>
      <w:r>
        <w:rPr>
          <w:rFonts w:ascii="Times New Roman" w:hAnsi="Times New Roman"/>
          <w:sz w:val="20"/>
        </w:rPr>
        <w:t xml:space="preserve">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Certain provisions of the Articles and English law could deter takeover attempts. </w:t>
      </w:r>
    </w:p>
    <w:p>
      <w:pPr>
        <w:pStyle w:val="TextBody"/>
        <w:spacing w:before="120" w:after="0"/>
        <w:jc w:val="left"/>
        <w:rPr>
          <w:rFonts w:ascii="Times New Roman" w:hAnsi="Times New Roman"/>
          <w:sz w:val="20"/>
        </w:rPr>
      </w:pPr>
      <w:r>
        <w:rPr>
          <w:rFonts w:ascii="Times New Roman" w:hAnsi="Times New Roman"/>
          <w:sz w:val="20"/>
        </w:rPr>
        <w:t xml:space="preserve">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 </w:t>
      </w:r>
    </w:p>
    <w:p>
      <w:pPr>
        <w:pStyle w:val="TextBody"/>
        <w:spacing w:before="360" w:after="0"/>
        <w:jc w:val="left"/>
        <w:rPr>
          <w:rFonts w:ascii="Times New Roman" w:hAnsi="Times New Roman"/>
          <w:b/>
          <w:sz w:val="20"/>
        </w:rPr>
      </w:pPr>
      <w:r>
        <w:rPr>
          <w:rFonts w:ascii="Times New Roman" w:hAnsi="Times New Roman"/>
          <w:b/>
          <w:sz w:val="20"/>
        </w:rPr>
        <w:t xml:space="preserve">Risks Related to Ownership of Rezolve Ordinary Shares and Rezolve Operating as a Public Company </w:t>
      </w:r>
    </w:p>
    <w:p>
      <w:pPr>
        <w:pStyle w:val="TextBody"/>
        <w:spacing w:before="120" w:after="0"/>
        <w:jc w:val="left"/>
        <w:rPr>
          <w:rFonts w:ascii="Times New Roman" w:hAnsi="Times New Roman"/>
          <w:b/>
          <w:i/>
          <w:sz w:val="20"/>
        </w:rPr>
      </w:pPr>
      <w:r>
        <w:rPr>
          <w:rFonts w:ascii="Times New Roman" w:hAnsi="Times New Roman"/>
          <w:b/>
          <w:i/>
          <w:sz w:val="20"/>
        </w:rPr>
        <w:t xml:space="preserve">The trading price of Rezolve Ordinary Shares could be volatile, and the value of Rezolve Ordinary Shares may decline. </w:t>
      </w:r>
    </w:p>
    <w:p>
      <w:pPr>
        <w:pStyle w:val="TextBody"/>
        <w:spacing w:before="120" w:after="0"/>
        <w:jc w:val="left"/>
        <w:rPr>
          <w:rFonts w:ascii="Times New Roman" w:hAnsi="Times New Roman"/>
          <w:sz w:val="20"/>
        </w:rPr>
      </w:pPr>
      <w:r>
        <w:rPr>
          <w:rFonts w:ascii="Times New Roman" w:hAnsi="Times New Roman"/>
          <w:sz w:val="20"/>
        </w:rPr>
        <w:t xml:space="preserve">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price you paid in the Transactions. Factors that could cause fluctuations in the trading price of Rezolve Ordinary Shares include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price and volume fluctuations in the overall stock market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volatility in the market prices and trading volumes of technology company stocks;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operating performance and stock market valuations of other technology companies generally, or those in Rezolves industry in particular;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sales of shares of Rezolve Ordinary Shares by shareholders;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of securities analysts to initiate or maintain coverage of Rezolve, changes in financial estimates by securities analysts who follow Rezolve, or Rezolves failure to meet these estimates or the expectations of investors;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financial projections Rezolve may provide to the public, any changes in those projections, or Rezolves failure to meet those projections;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announcements by Rezolve or its competitors of new offerings or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publics reaction to Rezolves press releases, other public announcements, and filings with the SEC;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how customers perceive the benefits of Rezolves offerings and services, and future offerings;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4"/>
        <w:gridCol w:w="9594"/>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structure of payment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rumors and market speculation involving Rezolve or other companies in the same or similar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anticipated changes in Rezolves results of operations or fluctuations in Rezolves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or anticipated developments in Rezolves business, Rezolves competitors businesses, or the competitive landscape generally;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litigation involving Rezolve, Rezolves industry or both, or investigations by regulators into Rezolves operations or those of Rezolves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developments or disputes concerning Rezolves intellectual property or other proprietary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security breach or incident involving our offerings, services or site or data stored or processed by us or on our behalf;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announced or completed acquisitions of businesses, commercial relationships, offerings, services, or technologies by Rezolve or its competitors;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new laws or regulations or new interpretations of existing laws or regulations applicable to Rezolves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adverse consequences related to the Rezolve Founder weighted voting capital structure, such as stock index providers excluding companies with weighted voting capital structures from certain indices;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significant change in Rezolves management;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conditions and slow or negative growth of Rezolves markets and war or other hostilities. </w:t>
            </w:r>
          </w:p>
        </w:tc>
      </w:tr>
    </w:tbl>
    <w:p>
      <w:pPr>
        <w:pStyle w:val="TextBody"/>
        <w:spacing w:before="240" w:after="0"/>
        <w:jc w:val="left"/>
        <w:rPr>
          <w:rFonts w:ascii="Times New Roman" w:hAnsi="Times New Roman"/>
          <w:sz w:val="20"/>
        </w:rPr>
      </w:pPr>
      <w:r>
        <w:rPr>
          <w:rFonts w:ascii="Times New Roman" w:hAnsi="Times New Roman"/>
          <w:sz w:val="20"/>
        </w:rPr>
        <w:t xml:space="preserve">In addition, if the market for technology stocks or the stock market in general experiences a loss of investor confidence, the trading price of Rezolve Ordinary Shares could decline for reasons unrelated to our business, 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A market for our securities may not develop or be sustained, which would adversely affect the liquidity and price of Rezolve Ordinary Shares. </w:t>
      </w:r>
    </w:p>
    <w:p>
      <w:pPr>
        <w:pStyle w:val="TextBody"/>
        <w:spacing w:before="120" w:after="0"/>
        <w:jc w:val="left"/>
        <w:rPr>
          <w:rFonts w:ascii="Times New Roman" w:hAnsi="Times New Roman"/>
          <w:sz w:val="20"/>
        </w:rPr>
      </w:pPr>
      <w:r>
        <w:rPr>
          <w:rFonts w:ascii="Times New Roman" w:hAnsi="Times New Roman"/>
          <w:sz w:val="20"/>
        </w:rPr>
        <w:t xml:space="preserve">Following the Closing, the price of Rezolve Ordinary Shares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 </w:t>
      </w:r>
    </w:p>
    <w:p>
      <w:pPr>
        <w:pStyle w:val="TextBody"/>
        <w:spacing w:before="360" w:after="0"/>
        <w:jc w:val="left"/>
        <w:rPr>
          <w:rFonts w:ascii="Times New Roman" w:hAnsi="Times New Roman"/>
          <w:b/>
          <w:i/>
          <w:sz w:val="20"/>
        </w:rPr>
      </w:pPr>
      <w:r>
        <w:rPr>
          <w:rFonts w:ascii="Times New Roman" w:hAnsi="Times New Roman"/>
          <w:b/>
          <w:i/>
          <w:sz w:val="20"/>
        </w:rPr>
        <w:t xml:space="preserve">Because Rezolve will become a public reporting company by means other than a traditional underwritten initial public offering, the shareholders of Rezolve may face additional risks and uncertainties. </w:t>
      </w:r>
    </w:p>
    <w:p>
      <w:pPr>
        <w:pStyle w:val="TextBody"/>
        <w:spacing w:before="120" w:after="0"/>
        <w:jc w:val="left"/>
        <w:rPr>
          <w:rFonts w:ascii="Times New Roman" w:hAnsi="Times New Roman"/>
          <w:sz w:val="20"/>
        </w:rPr>
      </w:pPr>
      <w:r>
        <w:rPr>
          <w:rFonts w:ascii="Times New Roman" w:hAnsi="Times New Roman"/>
          <w:sz w:val="20"/>
        </w:rPr>
        <w:t xml:space="preserve">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 </w:t>
      </w:r>
    </w:p>
    <w:p>
      <w:pPr>
        <w:pStyle w:val="TextBody"/>
        <w:spacing w:before="240" w:after="0"/>
        <w:jc w:val="left"/>
        <w:rPr>
          <w:rFonts w:ascii="Times New Roman" w:hAnsi="Times New Roman"/>
          <w:sz w:val="20"/>
        </w:rPr>
      </w:pPr>
      <w:r>
        <w:rPr>
          <w:rFonts w:ascii="Times New Roman" w:hAnsi="Times New Roman"/>
          <w:sz w:val="20"/>
        </w:rPr>
        <w:t xml:space="preserve">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 </w:t>
      </w:r>
    </w:p>
    <w:p>
      <w:pPr>
        <w:pStyle w:val="TextBody"/>
        <w:spacing w:before="240" w:after="0"/>
        <w:jc w:val="left"/>
        <w:rPr>
          <w:rFonts w:ascii="Times New Roman" w:hAnsi="Times New Roman"/>
          <w:sz w:val="20"/>
        </w:rPr>
      </w:pPr>
      <w:r>
        <w:rPr>
          <w:rFonts w:ascii="Times New Roman" w:hAnsi="Times New Roman"/>
          <w:sz w:val="20"/>
        </w:rPr>
        <w:t xml:space="preserve">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 </w:t>
      </w:r>
    </w:p>
    <w:p>
      <w:pPr>
        <w:pStyle w:val="TextBody"/>
        <w:spacing w:before="360" w:after="0"/>
        <w:jc w:val="left"/>
        <w:rPr>
          <w:rFonts w:ascii="Times New Roman" w:hAnsi="Times New Roman"/>
          <w:b/>
          <w:i/>
          <w:sz w:val="20"/>
        </w:rPr>
      </w:pPr>
      <w:r>
        <w:rPr>
          <w:rFonts w:ascii="Times New Roman" w:hAnsi="Times New Roman"/>
          <w:b/>
          <w:i/>
          <w:sz w:val="20"/>
        </w:rPr>
        <w:t xml:space="preserve">If securities or industry analysts publish reports that are interpreted negatively by the investment community or publish negative research reports about our business, our share price and trading volume could decline. </w:t>
      </w:r>
    </w:p>
    <w:p>
      <w:pPr>
        <w:pStyle w:val="TextBody"/>
        <w:spacing w:before="120" w:after="0"/>
        <w:jc w:val="left"/>
        <w:rPr>
          <w:rFonts w:ascii="Times New Roman" w:hAnsi="Times New Roman"/>
          <w:sz w:val="20"/>
        </w:rPr>
      </w:pPr>
      <w:r>
        <w:rPr>
          <w:rFonts w:ascii="Times New Roman" w:hAnsi="Times New Roman"/>
          <w:sz w:val="20"/>
        </w:rPr>
        <w:t xml:space="preserve">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are an emerging growth company, and our election to comply with the reduced disclosure requirements as a public company may make our Ordinary Shares less attractive to investors. </w:t>
      </w:r>
    </w:p>
    <w:p>
      <w:pPr>
        <w:pStyle w:val="TextBody"/>
        <w:spacing w:before="120" w:after="0"/>
        <w:jc w:val="left"/>
        <w:rPr>
          <w:rFonts w:ascii="Times New Roman" w:hAnsi="Times New Roman"/>
          <w:sz w:val="20"/>
        </w:rPr>
      </w:pPr>
      <w:r>
        <w:rPr>
          <w:rFonts w:ascii="Times New Roman" w:hAnsi="Times New Roman"/>
          <w:sz w:val="20"/>
        </w:rPr>
        <w:t xml:space="preserve">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w:t>
      </w:r>
    </w:p>
    <w:p>
      <w:pPr>
        <w:pStyle w:val="TextBody"/>
        <w:spacing w:before="240" w:after="0"/>
        <w:jc w:val="left"/>
        <w:rPr>
          <w:rFonts w:ascii="Times New Roman" w:hAnsi="Times New Roman"/>
          <w:sz w:val="20"/>
        </w:rPr>
      </w:pPr>
      <w:r>
        <w:rPr>
          <w:rFonts w:ascii="Times New Roman" w:hAnsi="Times New Roman"/>
          <w:sz w:val="20"/>
        </w:rPr>
        <w:t xml:space="preserve">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 </w:t>
      </w:r>
    </w:p>
    <w:p>
      <w:pPr>
        <w:pStyle w:val="TextBody"/>
        <w:spacing w:before="360" w:after="0"/>
        <w:jc w:val="left"/>
        <w:rPr>
          <w:rFonts w:ascii="Times New Roman" w:hAnsi="Times New Roman"/>
          <w:b/>
          <w:i/>
          <w:sz w:val="20"/>
        </w:rPr>
      </w:pPr>
      <w:r>
        <w:rPr>
          <w:rFonts w:ascii="Times New Roman" w:hAnsi="Times New Roman"/>
          <w:b/>
          <w:i/>
          <w:sz w:val="20"/>
        </w:rPr>
        <w:t xml:space="preserve">Rezolve will be a foreign private issuer and, as a result, we will be permitted to rely on exemptions from certain stock exchange corporate governance standards applicable to U.S. issuers. This may afford less protection to holders of Rezolve Ordinary Shares. </w:t>
      </w:r>
    </w:p>
    <w:p>
      <w:pPr>
        <w:pStyle w:val="TextBody"/>
        <w:spacing w:before="120" w:after="0"/>
        <w:jc w:val="left"/>
        <w:rPr>
          <w:rFonts w:ascii="Times New Roman" w:hAnsi="Times New Roman"/>
          <w:sz w:val="20"/>
        </w:rPr>
      </w:pPr>
      <w:r>
        <w:rPr>
          <w:rFonts w:ascii="Times New Roman" w:hAnsi="Times New Roman"/>
          <w:sz w:val="20"/>
        </w:rPr>
        <w:t xml:space="preserve">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or current reports on Form 8-K;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w:t>
            </w:r>
          </w:p>
        </w:tc>
      </w:tr>
    </w:tbl>
    <w:p>
      <w:pPr>
        <w:pStyle w:val="TextBody"/>
        <w:spacing w:before="240" w:after="0"/>
        <w:jc w:val="left"/>
        <w:rPr>
          <w:rFonts w:ascii="Times New Roman" w:hAnsi="Times New Roman"/>
          <w:sz w:val="20"/>
        </w:rPr>
      </w:pPr>
      <w:r>
        <w:rPr>
          <w:rFonts w:ascii="Times New Roman" w:hAnsi="Times New Roman"/>
          <w:sz w:val="20"/>
        </w:rPr>
        <w:t xml:space="preserve">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t>
      </w:r>
    </w:p>
    <w:p>
      <w:pPr>
        <w:pStyle w:val="TextBody"/>
        <w:spacing w:before="240" w:after="0"/>
        <w:jc w:val="left"/>
        <w:rPr>
          <w:rFonts w:ascii="Times New Roman" w:hAnsi="Times New Roman"/>
          <w:sz w:val="20"/>
        </w:rPr>
      </w:pPr>
      <w:r>
        <w:rPr>
          <w:rFonts w:ascii="Times New Roman" w:hAnsi="Times New Roman"/>
          <w:sz w:val="20"/>
        </w:rPr>
        <w:t xml:space="preserve">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 </w:t>
      </w:r>
    </w:p>
    <w:p>
      <w:pPr>
        <w:pStyle w:val="TextBody"/>
        <w:spacing w:before="240" w:after="0"/>
        <w:jc w:val="left"/>
        <w:rPr>
          <w:rFonts w:ascii="Times New Roman" w:hAnsi="Times New Roman"/>
          <w:sz w:val="20"/>
        </w:rPr>
      </w:pPr>
      <w:r>
        <w:rPr>
          <w:rFonts w:ascii="Times New Roman" w:hAnsi="Times New Roman"/>
          <w:sz w:val="20"/>
        </w:rPr>
        <w:t xml:space="preserve">Furthermore, Rezolve shares are not listed, and we do not currently intend to list Rezolve shares on any market in the United Kingdom, Rezolves country of incorporation. As a result, we are not subject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reporting and other requirements of companies listed in the United Kingdom. For more information, see </w:t>
      </w:r>
      <w:r>
        <w:rPr>
          <w:rFonts w:ascii="Times New Roman" w:hAnsi="Times New Roman"/>
          <w:i/>
          <w:sz w:val="20"/>
        </w:rPr>
        <w:t>Management Following the Business CombinationForeign Private Issuer</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 and expense. </w:t>
      </w:r>
    </w:p>
    <w:p>
      <w:pPr>
        <w:pStyle w:val="TextBody"/>
        <w:spacing w:before="120" w:after="0"/>
        <w:jc w:val="left"/>
        <w:rPr>
          <w:rFonts w:ascii="Times New Roman" w:hAnsi="Times New Roman"/>
          <w:sz w:val="20"/>
        </w:rPr>
      </w:pPr>
      <w:r>
        <w:rPr>
          <w:rFonts w:ascii="Times New Roman" w:hAnsi="Times New Roman"/>
          <w:sz w:val="20"/>
        </w:rPr>
        <w:t xml:space="preserve">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 </w:t>
      </w:r>
    </w:p>
    <w:p>
      <w:pPr>
        <w:pStyle w:val="TextBody"/>
        <w:spacing w:before="360" w:after="0"/>
        <w:jc w:val="left"/>
        <w:rPr>
          <w:rFonts w:ascii="Times New Roman" w:hAnsi="Times New Roman"/>
          <w:b/>
          <w:i/>
          <w:sz w:val="20"/>
        </w:rPr>
      </w:pPr>
      <w:r>
        <w:rPr>
          <w:rFonts w:ascii="Times New Roman" w:hAnsi="Times New Roman"/>
          <w:b/>
          <w:i/>
          <w:sz w:val="20"/>
        </w:rPr>
        <w:t xml:space="preserve">Our issuance of additional Rezolve Ordinary Shares in connection with financings, acquisitions, investments, our stock incentive plans, or otherwise will dilute all other shareholders. </w:t>
      </w:r>
    </w:p>
    <w:p>
      <w:pPr>
        <w:pStyle w:val="TextBody"/>
        <w:spacing w:before="120" w:after="0"/>
        <w:jc w:val="left"/>
        <w:rPr>
          <w:rFonts w:ascii="Times New Roman" w:hAnsi="Times New Roman"/>
          <w:sz w:val="20"/>
        </w:rPr>
      </w:pPr>
      <w:r>
        <w:rPr>
          <w:rFonts w:ascii="Times New Roman" w:hAnsi="Times New Roman"/>
          <w:sz w:val="20"/>
        </w:rPr>
        <w:t xml:space="preserve">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 </w:t>
      </w:r>
    </w:p>
    <w:p>
      <w:pPr>
        <w:pStyle w:val="TextBody"/>
        <w:spacing w:before="36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be required to devote substantial time to compliance with our public company responsibilities and corporate governance practices. </w:t>
      </w:r>
    </w:p>
    <w:p>
      <w:pPr>
        <w:pStyle w:val="TextBody"/>
        <w:spacing w:before="120" w:after="0"/>
        <w:jc w:val="left"/>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 </w:t>
      </w:r>
    </w:p>
    <w:p>
      <w:pPr>
        <w:pStyle w:val="TextBody"/>
        <w:spacing w:before="360" w:after="0"/>
        <w:jc w:val="left"/>
        <w:rPr>
          <w:rFonts w:ascii="Times New Roman" w:hAnsi="Times New Roman"/>
          <w:b/>
          <w:i/>
          <w:sz w:val="20"/>
        </w:rPr>
      </w:pPr>
      <w:r>
        <w:rPr>
          <w:rFonts w:ascii="Times New Roman" w:hAnsi="Times New Roman"/>
          <w:b/>
          <w:i/>
          <w:sz w:val="20"/>
        </w:rPr>
        <w:t xml:space="preserve">U.S. holders that directly or indirectly own 10% or more of our equity interests may be subject to adverse U.S. federal income tax consequences under rules applicable to U.S. shareholders of controlled foreign corporations. </w:t>
      </w:r>
    </w:p>
    <w:p>
      <w:pPr>
        <w:pStyle w:val="TextBody"/>
        <w:spacing w:before="120" w:after="0"/>
        <w:jc w:val="left"/>
        <w:rPr>
          <w:rFonts w:ascii="Times New Roman" w:hAnsi="Times New Roman"/>
          <w:sz w:val="20"/>
        </w:rPr>
      </w:pPr>
      <w:r>
        <w:rPr>
          <w:rFonts w:ascii="Times New Roman" w:hAnsi="Times New Roman"/>
          <w:sz w:val="20"/>
        </w:rPr>
        <w:t xml:space="preserve">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 </w:t>
      </w:r>
    </w:p>
    <w:p>
      <w:pPr>
        <w:pStyle w:val="TextBody"/>
        <w:spacing w:before="360" w:after="0"/>
        <w:jc w:val="left"/>
        <w:rPr>
          <w:rFonts w:ascii="Times New Roman" w:hAnsi="Times New Roman"/>
          <w:b/>
          <w:i/>
          <w:sz w:val="20"/>
        </w:rPr>
      </w:pPr>
      <w:r>
        <w:rPr>
          <w:rFonts w:ascii="Times New Roman" w:hAnsi="Times New Roman"/>
          <w:b/>
          <w:i/>
          <w:sz w:val="20"/>
        </w:rPr>
        <w:t xml:space="preserve">Our U.S. shareholders may suffer adverse tax consequences if we are classified as a passive foreign investment company. </w:t>
      </w:r>
    </w:p>
    <w:p>
      <w:pPr>
        <w:pStyle w:val="TextBody"/>
        <w:spacing w:before="120" w:after="0"/>
        <w:jc w:val="left"/>
        <w:rPr>
          <w:rFonts w:ascii="Times New Roman" w:hAnsi="Times New Roman"/>
          <w:sz w:val="20"/>
        </w:rPr>
      </w:pPr>
      <w:r>
        <w:rPr>
          <w:rFonts w:ascii="Times New Roman" w:hAnsi="Times New Roman"/>
          <w:sz w:val="20"/>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hAnsi="Times New Roman"/>
          <w:i/>
          <w:sz w:val="20"/>
        </w:rPr>
        <w:t>Material Tax</w:t>
      </w:r>
      <w:r>
        <w:rPr>
          <w:rFonts w:ascii="Times New Roman" w:hAnsi="Times New Roman"/>
          <w:sz w:val="20"/>
        </w:rPr>
        <w:t xml:space="preserve"> </w:t>
      </w:r>
      <w:r>
        <w:rPr>
          <w:rFonts w:ascii="Times New Roman" w:hAnsi="Times New Roman"/>
          <w:i/>
          <w:sz w:val="20"/>
        </w:rPr>
        <w:t>Considerations</w:t>
      </w:r>
      <w:r>
        <w:rPr>
          <w:rFonts w:ascii="Times New Roman" w:hAnsi="Times New Roman"/>
          <w:sz w:val="20"/>
        </w:rPr>
        <w:t>) holds our ordinary shares, certain adverse U.S. federal income tax consequences could apply to such U.S. Holder. Prospective U.S. Holders should consult their tax advisors regarding the potential application of the PFIC rules to them. See </w:t>
      </w:r>
      <w:r>
        <w:rPr>
          <w:rFonts w:ascii="Times New Roman" w:hAnsi="Times New Roman"/>
          <w:i/>
          <w:sz w:val="20"/>
        </w:rPr>
        <w:t>Material Tax Considerations </w:t>
      </w:r>
      <w:r>
        <w:rPr>
          <w:rFonts w:ascii="Times New Roman" w:hAnsi="Times New Roman"/>
          <w:sz w:val="20"/>
        </w:rPr>
        <w:t xml:space="preserve"> </w:t>
      </w:r>
      <w:r>
        <w:rPr>
          <w:rFonts w:ascii="Times New Roman" w:hAnsi="Times New Roman"/>
          <w:i/>
          <w:sz w:val="20"/>
        </w:rPr>
        <w:t>Material</w:t>
      </w:r>
      <w:r>
        <w:rPr>
          <w:rFonts w:ascii="Times New Roman" w:hAnsi="Times New Roman"/>
          <w:sz w:val="20"/>
        </w:rPr>
        <w:t> </w:t>
      </w:r>
      <w:r>
        <w:rPr>
          <w:rFonts w:ascii="Times New Roman" w:hAnsi="Times New Roman"/>
          <w:i/>
          <w:sz w:val="20"/>
        </w:rPr>
        <w:t>U.S.</w:t>
      </w:r>
      <w:r>
        <w:rPr>
          <w:rFonts w:ascii="Times New Roman" w:hAnsi="Times New Roman"/>
          <w:sz w:val="20"/>
        </w:rPr>
        <w:t> </w:t>
      </w:r>
      <w:r>
        <w:rPr>
          <w:rFonts w:ascii="Times New Roman" w:hAnsi="Times New Roman"/>
          <w:i/>
          <w:sz w:val="20"/>
        </w:rPr>
        <w:t>Federal Income Tax ConsiderationsTax Consequences to U.S. Holders of Ownership and Disposition of Rezolve Ordinary Shares and Rezolve WarrantsPassive Foreign Investment Company Rules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Internal Revenue Service may not agree that Rezolve should be treated as a non-U.S. corporation for U.S. federal income tax purposes. </w:t>
      </w:r>
    </w:p>
    <w:p>
      <w:pPr>
        <w:pStyle w:val="TextBody"/>
        <w:spacing w:before="120" w:after="0"/>
        <w:jc w:val="left"/>
        <w:rPr>
          <w:rFonts w:ascii="Times New Roman" w:hAnsi="Times New Roman"/>
          <w:sz w:val="20"/>
        </w:rPr>
      </w:pPr>
      <w:r>
        <w:rPr>
          <w:rFonts w:ascii="Times New Roman" w:hAnsi="Times New Roman"/>
          <w:sz w:val="20"/>
        </w:rPr>
        <w:t xml:space="preserve">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 </w:t>
      </w:r>
    </w:p>
    <w:p>
      <w:pPr>
        <w:pStyle w:val="TextBody"/>
        <w:spacing w:before="240" w:after="0"/>
        <w:jc w:val="left"/>
        <w:rPr>
          <w:rFonts w:ascii="Times New Roman" w:hAnsi="Times New Roman"/>
          <w:sz w:val="20"/>
        </w:rPr>
      </w:pPr>
      <w:r>
        <w:rPr>
          <w:rFonts w:ascii="Times New Roman" w:hAnsi="Times New Roman"/>
          <w:sz w:val="20"/>
        </w:rPr>
        <w:t>As more fully described in the section titled </w:t>
      </w:r>
      <w:r>
        <w:rPr>
          <w:rFonts w:ascii="Times New Roman" w:hAnsi="Times New Roman"/>
          <w:i/>
          <w:sz w:val="20"/>
        </w:rPr>
        <w:t>Material Tax Considerations  Material U.S. Federal Income Tax ConsiderationsU.S. Federal Income Tax Treatment of RezolveTax Residence of Rezolve for U.S. Federal Income Tax</w:t>
      </w:r>
      <w:r>
        <w:rPr>
          <w:rFonts w:ascii="Times New Roman" w:hAnsi="Times New Roman"/>
          <w:sz w:val="20"/>
        </w:rPr>
        <w:t> </w:t>
      </w:r>
      <w:r>
        <w:rPr>
          <w:rFonts w:ascii="Times New Roman" w:hAnsi="Times New Roman"/>
          <w:i/>
          <w:sz w:val="20"/>
        </w:rPr>
        <w:t>Purposes</w:t>
      </w:r>
      <w:r>
        <w:rPr>
          <w:rFonts w:ascii="Times New Roman" w:hAnsi="Times New Roman"/>
          <w:sz w:val="20"/>
        </w:rPr>
        <w:t xml:space="preserve">, based on the terms of the Business Combination 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 </w:t>
      </w:r>
    </w:p>
    <w:p>
      <w:pPr>
        <w:pStyle w:val="TextBody"/>
        <w:spacing w:before="240" w:after="0"/>
        <w:jc w:val="left"/>
        <w:rPr>
          <w:rFonts w:ascii="Times New Roman" w:hAnsi="Times New Roman"/>
          <w:sz w:val="20"/>
        </w:rPr>
      </w:pPr>
      <w:r>
        <w:rPr>
          <w:rFonts w:ascii="Times New Roman" w:hAnsi="Times New Roman"/>
          <w:sz w:val="20"/>
        </w:rPr>
        <w:t xml:space="preserve">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 </w:t>
      </w:r>
    </w:p>
    <w:p>
      <w:pPr>
        <w:pStyle w:val="TextBody"/>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Material Tax Considerations  Material U.S. Federal Income Tax ConsiderationsU.S. Federal Income Tax Treatment of RezolveTax Residence of Rezolve for U.S. Federal Income Tax Purposes</w:t>
      </w:r>
      <w:r>
        <w:rPr>
          <w:rFonts w:ascii="Times New Roman" w:hAnsi="Times New Roman"/>
          <w:sz w:val="20"/>
        </w:rPr>
        <w:t xml:space="preserve"> for a more detailed discussion of the application of Section 7874 of the Code to the Business Combination. Investors in Rezolve should consult their own advisors regarding the application of Section 7874 of the Code to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Section 7874 of the Code may limit the ability of Armada to use certain tax attributes following the Business Combination, increase Rezolves U.S. affiliates U.S. taxable income or have other adverse consequences to Rezolve and Rezolves shareholders. </w:t>
      </w:r>
    </w:p>
    <w:p>
      <w:pPr>
        <w:pStyle w:val="TextBody"/>
        <w:spacing w:before="120" w:after="0"/>
        <w:jc w:val="left"/>
        <w:rPr>
          <w:rFonts w:ascii="Times New Roman" w:hAnsi="Times New Roman"/>
          <w:sz w:val="20"/>
        </w:rPr>
      </w:pPr>
      <w:r>
        <w:rPr>
          <w:rFonts w:ascii="Times New Roman" w:hAnsi="Times New Roman"/>
          <w:sz w:val="20"/>
        </w:rPr>
        <w:t xml:space="preserve">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 </w:t>
      </w:r>
    </w:p>
    <w:p>
      <w:pPr>
        <w:pStyle w:val="TextBody"/>
        <w:spacing w:before="240" w:after="0"/>
        <w:jc w:val="left"/>
        <w:rPr>
          <w:rFonts w:ascii="Times New Roman" w:hAnsi="Times New Roman"/>
          <w:sz w:val="20"/>
        </w:rPr>
      </w:pPr>
      <w:r>
        <w:rPr>
          <w:rFonts w:ascii="Times New Roman" w:hAnsi="Times New Roman"/>
          <w:sz w:val="20"/>
        </w:rPr>
        <w:t xml:space="preserve">If these rules apply to the Business Combination, Rezolve and certain of Rezolves shareholders may be subject to adverse tax consequences including, but not limited to, restrictions on the use of tax attributes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 </w:t>
      </w:r>
    </w:p>
    <w:p>
      <w:pPr>
        <w:pStyle w:val="TextBody"/>
        <w:spacing w:before="240" w:after="0"/>
        <w:jc w:val="left"/>
        <w:rPr>
          <w:rFonts w:ascii="Times New Roman" w:hAnsi="Times New Roman"/>
          <w:sz w:val="20"/>
        </w:rPr>
      </w:pPr>
      <w:r>
        <w:rPr>
          <w:rFonts w:ascii="Times New Roman" w:hAnsi="Times New Roman"/>
          <w:sz w:val="20"/>
        </w:rPr>
        <w:t>As more fully described in the section titled </w:t>
      </w:r>
      <w:r>
        <w:rPr>
          <w:rFonts w:ascii="Times New Roman" w:hAnsi="Times New Roman"/>
          <w:i/>
          <w:sz w:val="20"/>
        </w:rPr>
        <w:t>Material Tax Considerations  Material U.S. Federal Income Tax ConsiderationsU.S. Federal Income Tax Treatment of Rezolve</w:t>
      </w:r>
      <w:r>
        <w:rPr>
          <w:rFonts w:ascii="Times New Roman" w:hAnsi="Times New Roman"/>
          <w:sz w:val="20"/>
        </w:rPr>
        <w:t xml:space="preserve">,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 </w:t>
      </w:r>
    </w:p>
    <w:p>
      <w:pPr>
        <w:pStyle w:val="TextBody"/>
        <w:spacing w:before="240" w:after="0"/>
        <w:jc w:val="left"/>
        <w:rPr>
          <w:rFonts w:ascii="Times New Roman" w:hAnsi="Times New Roman"/>
          <w:sz w:val="20"/>
        </w:rPr>
      </w:pPr>
      <w:r>
        <w:rPr>
          <w:rFonts w:ascii="Times New Roman" w:hAnsi="Times New Roman"/>
          <w:sz w:val="20"/>
        </w:rPr>
        <w:t xml:space="preserve">However, even if Rezolve is not subject to the above adverse consequences under Section 7874, Rezolve may be limited in using its equity to engage in future acquisitions of U.S. corporations over a 36-month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 </w:t>
      </w:r>
    </w:p>
    <w:p>
      <w:pPr>
        <w:pStyle w:val="TextBody"/>
        <w:spacing w:before="240" w:after="0"/>
        <w:jc w:val="left"/>
        <w:rPr>
          <w:rFonts w:ascii="Times New Roman" w:hAnsi="Times New Roman"/>
          <w:sz w:val="20"/>
        </w:rPr>
      </w:pPr>
      <w:r>
        <w:rPr>
          <w:rFonts w:ascii="Times New Roman" w:hAnsi="Times New Roman"/>
          <w:sz w:val="20"/>
        </w:rPr>
        <w:t>See </w:t>
      </w:r>
      <w:r>
        <w:rPr>
          <w:rFonts w:ascii="Times New Roman" w:hAnsi="Times New Roman"/>
          <w:i/>
          <w:sz w:val="20"/>
        </w:rPr>
        <w:t>Material Tax Considerations  Material U.S. Federal Income Tax ConsiderationsU.S. Federal Income Tax Treatment of Rezolve</w:t>
      </w:r>
      <w:r>
        <w:rPr>
          <w:rFonts w:ascii="Times New Roman" w:hAnsi="Times New Roman"/>
          <w:sz w:val="20"/>
        </w:rPr>
        <w:t xml:space="preserve"> for a more detailed discussion of the application of Section 7874 of the Code to the Business Combination. Investors in Rezolve should consult their own advisors regarding the application of Section 7874 of the Code to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The Business Combination may be treated as a taxable exchange to Holders of Armada Common Stock or warrants. </w:t>
      </w:r>
    </w:p>
    <w:p>
      <w:pPr>
        <w:pStyle w:val="TextBody"/>
        <w:spacing w:before="120" w:after="0"/>
        <w:jc w:val="left"/>
        <w:rPr>
          <w:rFonts w:ascii="Times New Roman" w:hAnsi="Times New Roman"/>
          <w:sz w:val="20"/>
        </w:rPr>
      </w:pPr>
      <w:r>
        <w:rPr>
          <w:rFonts w:ascii="Times New Roman" w:hAnsi="Times New Roman"/>
          <w:sz w:val="20"/>
        </w:rPr>
        <w:t xml:space="preserve">The Business Combination is intended to qualify as a reorganization under Section 368(a) of the Code, but it is uncertain under applicable law whether it can so qualify. </w:t>
      </w:r>
    </w:p>
    <w:p>
      <w:pPr>
        <w:pStyle w:val="TextBody"/>
        <w:spacing w:before="240" w:after="0"/>
        <w:jc w:val="left"/>
        <w:rPr>
          <w:rFonts w:ascii="Times New Roman" w:hAnsi="Times New Roman"/>
          <w:sz w:val="20"/>
        </w:rPr>
      </w:pPr>
      <w:r>
        <w:rPr>
          <w:rFonts w:ascii="Times New Roman" w:hAnsi="Times New Roman"/>
          <w:sz w:val="20"/>
        </w:rPr>
        <w:t xml:space="preserve">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 </w:t>
      </w:r>
    </w:p>
    <w:p>
      <w:pPr>
        <w:pStyle w:val="TextBody"/>
        <w:spacing w:before="240" w:after="0"/>
        <w:jc w:val="left"/>
        <w:rPr>
          <w:rFonts w:ascii="Times New Roman" w:hAnsi="Times New Roman"/>
          <w:sz w:val="20"/>
        </w:rPr>
      </w:pPr>
      <w:r>
        <w:rPr>
          <w:rFonts w:ascii="Times New Roman" w:hAnsi="Times New Roman"/>
          <w:sz w:val="20"/>
        </w:rPr>
        <w:t xml:space="preserve">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Excise Tax imposed by the Inflation Reduction Act could be imposed on us in connection with redemptions by us of our shares. </w:t>
      </w:r>
    </w:p>
    <w:p>
      <w:pPr>
        <w:pStyle w:val="TextBody"/>
        <w:spacing w:before="120" w:after="0"/>
        <w:jc w:val="left"/>
        <w:rPr>
          <w:rFonts w:ascii="Times New Roman" w:hAnsi="Times New Roman"/>
          <w:sz w:val="20"/>
        </w:rPr>
      </w:pPr>
      <w:r>
        <w:rPr>
          <w:rFonts w:ascii="Times New Roman" w:hAnsi="Times New Roman"/>
          <w:sz w:val="20"/>
        </w:rPr>
        <w:t xml:space="preserve">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 </w:t>
      </w:r>
    </w:p>
    <w:p>
      <w:pPr>
        <w:pStyle w:val="TextBody"/>
        <w:spacing w:before="240" w:after="0"/>
        <w:jc w:val="left"/>
        <w:rPr>
          <w:rFonts w:ascii="Times New Roman" w:hAnsi="Times New Roman"/>
          <w:sz w:val="20"/>
        </w:rPr>
      </w:pPr>
      <w:r>
        <w:rPr>
          <w:rFonts w:ascii="Times New Roman" w:hAnsi="Times New Roman"/>
          <w:sz w:val="20"/>
        </w:rPr>
        <w:t xml:space="preserve">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 </w:t>
      </w:r>
    </w:p>
    <w:p>
      <w:pPr>
        <w:pStyle w:val="TextBody"/>
        <w:spacing w:before="240" w:after="0"/>
        <w:jc w:val="left"/>
        <w:rPr>
          <w:rFonts w:ascii="Times New Roman" w:hAnsi="Times New Roman"/>
          <w:sz w:val="20"/>
        </w:rPr>
      </w:pPr>
      <w:r>
        <w:rPr>
          <w:rFonts w:ascii="Times New Roman" w:hAnsi="Times New Roman"/>
          <w:sz w:val="20"/>
        </w:rPr>
        <w:t xml:space="preserve">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x309194_11"/>
      <w:bookmarkEnd w:id="13"/>
      <w:r>
        <w:rPr>
          <w:rFonts w:ascii="Times New Roman" w:hAnsi="Times New Roman"/>
          <w:b/>
          <w:sz w:val="20"/>
        </w:rPr>
        <w:t xml:space="preserve">SELECTED FINANCIAL INFORMATION OF ARMADA </w:t>
      </w:r>
    </w:p>
    <w:p>
      <w:pPr>
        <w:pStyle w:val="TextBody"/>
        <w:spacing w:before="240" w:after="0"/>
        <w:jc w:val="left"/>
        <w:rPr>
          <w:rFonts w:ascii="Times New Roman" w:hAnsi="Times New Roman"/>
          <w:sz w:val="20"/>
        </w:rPr>
      </w:pPr>
      <w:r>
        <w:rPr>
          <w:rFonts w:ascii="Times New Roman" w:hAnsi="Times New Roman"/>
          <w:sz w:val="20"/>
        </w:rPr>
        <w:t xml:space="preserve">Armada is providing the following selected financial information to assist you in your analysis of the financial aspects of the Business Combination. The following table summarizes our financial data. We have derived the following statements of operations and statements of changes in stockholders (deficit) equity for the twelve months ended September 30, 2022 and the period from November 5, 2020 (inception) through September 30, 2021 and balance sheet data as of September 30, 2022 and September 30, 2021 from our audited financial statements included elsewhere in this proxy statement/prospectus. We have derived the following unaudited condensed statements of operations and unaudited condensed statement of changes in stockholders (deficit) equity for the six months ended March 31, 2023 and March 31, 2022 and unaudited condensed balance sheet data as of March 31, 2023 and March 31, 2022 from our unaudited interim financial statements included elsewhere in this proxy statement/prospectus. </w:t>
      </w:r>
    </w:p>
    <w:p>
      <w:pPr>
        <w:pStyle w:val="TextBody"/>
        <w:spacing w:before="240" w:after="0"/>
        <w:jc w:val="left"/>
        <w:rPr>
          <w:rFonts w:ascii="Times New Roman" w:hAnsi="Times New Roman"/>
          <w:sz w:val="20"/>
        </w:rPr>
      </w:pPr>
      <w:r>
        <w:rPr>
          <w:rFonts w:ascii="Times New Roman" w:hAnsi="Times New Roman"/>
          <w:sz w:val="20"/>
        </w:rPr>
        <w:t>The information in this section is only a summary and should be read in conjunction with each of Armadas financial statements and related notes and </w:t>
      </w:r>
      <w:r>
        <w:rPr>
          <w:rFonts w:ascii="Times New Roman" w:hAnsi="Times New Roman"/>
          <w:i/>
          <w:sz w:val="20"/>
        </w:rPr>
        <w:t>Other Information Related to Armada  Armadas Managements Discussion and Analysis of Financial Condition and Results of Operations</w:t>
      </w:r>
      <w:r>
        <w:rPr>
          <w:rFonts w:ascii="Times New Roman" w:hAnsi="Times New Roman"/>
          <w:sz w:val="20"/>
        </w:rPr>
        <w:t xml:space="preserve"> contained elsewhere herein. The historical results included below and elsewhere in this proxy statement/prospectus are not indicative of the future performance of Armada.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Armada are stated in U.S. dollars ($).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130"/>
        <w:gridCol w:w="284"/>
        <w:gridCol w:w="145"/>
        <w:gridCol w:w="1068"/>
        <w:gridCol w:w="155"/>
        <w:gridCol w:w="284"/>
        <w:gridCol w:w="145"/>
        <w:gridCol w:w="1068"/>
        <w:gridCol w:w="155"/>
        <w:gridCol w:w="283"/>
        <w:gridCol w:w="145"/>
        <w:gridCol w:w="1068"/>
        <w:gridCol w:w="155"/>
        <w:gridCol w:w="284"/>
        <w:gridCol w:w="145"/>
        <w:gridCol w:w="1017"/>
        <w:gridCol w:w="164"/>
      </w:tblGrid>
      <w:tr>
        <w:trPr/>
        <w:tc>
          <w:tcPr>
            <w:tcW w:w="313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13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2865"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Six Months Ended</w:t>
            </w:r>
            <w:r>
              <w:rPr/>
              <w:br/>
            </w:r>
            <w:r>
              <w:rPr>
                <w:b/>
              </w:rPr>
              <w:t>March 31,</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81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September 30,</w:t>
            </w:r>
          </w:p>
        </w:tc>
        <w:tc>
          <w:tcPr>
            <w:tcW w:w="164"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16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2021(1)</w:t>
            </w:r>
          </w:p>
        </w:tc>
        <w:tc>
          <w:tcPr>
            <w:tcW w:w="164" w:type="dxa"/>
            <w:tcBorders/>
            <w:shd w:fill="auto" w:val="clear"/>
            <w:vAlign w:val="bottom"/>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17"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68" w:type="dxa"/>
            <w:tcBorders/>
            <w:shd w:fill="auto" w:val="clear"/>
            <w:vAlign w:val="bottom"/>
          </w:tcPr>
          <w:p>
            <w:pPr>
              <w:pStyle w:val="TableContents"/>
              <w:spacing w:before="0" w:after="283"/>
              <w:jc w:val="right"/>
              <w:rPr/>
            </w:pPr>
            <w:r>
              <w:rPr/>
              <w:t>1,185,087</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68" w:type="dxa"/>
            <w:tcBorders/>
            <w:shd w:fill="auto" w:val="clear"/>
            <w:vAlign w:val="bottom"/>
          </w:tcPr>
          <w:p>
            <w:pPr>
              <w:pStyle w:val="TableContents"/>
              <w:spacing w:before="0" w:after="283"/>
              <w:jc w:val="right"/>
              <w:rPr/>
            </w:pPr>
            <w:r>
              <w:rPr/>
              <w:t>2,367,661</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68" w:type="dxa"/>
            <w:tcBorders/>
            <w:shd w:fill="auto" w:val="clear"/>
            <w:vAlign w:val="bottom"/>
          </w:tcPr>
          <w:p>
            <w:pPr>
              <w:pStyle w:val="TableContents"/>
              <w:spacing w:before="0" w:after="283"/>
              <w:jc w:val="right"/>
              <w:rPr/>
            </w:pPr>
            <w:r>
              <w:rPr/>
              <w:t>4,391,263</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17" w:type="dxa"/>
            <w:tcBorders/>
            <w:shd w:fill="auto" w:val="clear"/>
            <w:vAlign w:val="bottom"/>
          </w:tcPr>
          <w:p>
            <w:pPr>
              <w:pStyle w:val="TableContents"/>
              <w:spacing w:before="0" w:after="283"/>
              <w:jc w:val="right"/>
              <w:rPr/>
            </w:pPr>
            <w:r>
              <w:rPr/>
              <w:t>184,105</w:t>
            </w:r>
          </w:p>
        </w:tc>
        <w:tc>
          <w:tcPr>
            <w:tcW w:w="164" w:type="dxa"/>
            <w:tcBorders/>
            <w:shd w:fill="auto" w:val="clear"/>
            <w:vAlign w:val="bottom"/>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55,926</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55,926</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111,852</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285,846</w:t>
            </w:r>
          </w:p>
        </w:tc>
        <w:tc>
          <w:tcPr>
            <w:tcW w:w="164" w:type="dxa"/>
            <w:tcBorders/>
            <w:shd w:fill="CCEEFF" w:val="clear"/>
            <w:vAlign w:val="bottom"/>
          </w:tcPr>
          <w:p>
            <w:pPr>
              <w:pStyle w:val="TableContents"/>
              <w:spacing w:before="0" w:after="283"/>
              <w:rPr>
                <w:sz w:val="4"/>
                <w:szCs w:val="4"/>
              </w:rPr>
            </w:pPr>
            <w:r>
              <w:rPr>
                <w:sz w:val="4"/>
                <w:szCs w:val="4"/>
              </w:rPr>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(1,241,013</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(2,423,587</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(4,503,115</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(469,951</w:t>
            </w:r>
          </w:p>
        </w:tc>
        <w:tc>
          <w:tcPr>
            <w:tcW w:w="164"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loss</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68" w:type="dxa"/>
            <w:tcBorders/>
            <w:shd w:fill="CCEEFF" w:val="clear"/>
            <w:vAlign w:val="bottom"/>
          </w:tcPr>
          <w:p>
            <w:pPr>
              <w:pStyle w:val="TableContents"/>
              <w:spacing w:before="0" w:after="283"/>
              <w:jc w:val="right"/>
              <w:rPr/>
            </w:pPr>
            <w:r>
              <w:rPr/>
              <w:t>(1,241,013</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68" w:type="dxa"/>
            <w:tcBorders/>
            <w:shd w:fill="CCEEFF" w:val="clear"/>
            <w:vAlign w:val="bottom"/>
          </w:tcPr>
          <w:p>
            <w:pPr>
              <w:pStyle w:val="TableContents"/>
              <w:spacing w:before="0" w:after="283"/>
              <w:jc w:val="right"/>
              <w:rPr/>
            </w:pPr>
            <w:r>
              <w:rPr/>
              <w:t>(2,423,587</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68" w:type="dxa"/>
            <w:tcBorders/>
            <w:shd w:fill="CCEEFF" w:val="clear"/>
            <w:vAlign w:val="bottom"/>
          </w:tcPr>
          <w:p>
            <w:pPr>
              <w:pStyle w:val="TableContents"/>
              <w:spacing w:before="0" w:after="283"/>
              <w:jc w:val="right"/>
              <w:rPr/>
            </w:pPr>
            <w:r>
              <w:rPr/>
              <w:t>(4,503,115</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17" w:type="dxa"/>
            <w:tcBorders/>
            <w:shd w:fill="CCEEFF" w:val="clear"/>
            <w:vAlign w:val="bottom"/>
          </w:tcPr>
          <w:p>
            <w:pPr>
              <w:pStyle w:val="TableContents"/>
              <w:spacing w:before="0" w:after="283"/>
              <w:jc w:val="right"/>
              <w:rPr/>
            </w:pPr>
            <w:r>
              <w:rPr/>
              <w:t>(469,951</w:t>
            </w:r>
          </w:p>
        </w:tc>
        <w:tc>
          <w:tcPr>
            <w:tcW w:w="164"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Other (expense)/income:</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0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0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0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017"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(expense)/income</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2,264,081</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15,087</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1,025,942</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1,052</w:t>
            </w:r>
          </w:p>
        </w:tc>
        <w:tc>
          <w:tcPr>
            <w:tcW w:w="164" w:type="dxa"/>
            <w:tcBorders/>
            <w:shd w:fill="CCEEFF" w:val="clear"/>
            <w:vAlign w:val="bottom"/>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Other non-operating income/(expense), net</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(expenses)/income, net</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2,264,081</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15,087</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1,025,942</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1,052</w:t>
            </w:r>
          </w:p>
        </w:tc>
        <w:tc>
          <w:tcPr>
            <w:tcW w:w="164"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Loss before taxes</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1,023,068</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(2,408,500</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(3,477,173</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(468,899</w:t>
            </w:r>
          </w:p>
        </w:tc>
        <w:tc>
          <w:tcPr>
            <w:tcW w:w="164" w:type="dxa"/>
            <w:tcBorders/>
            <w:shd w:fill="auto" w:val="clear"/>
            <w:vAlign w:val="bottom"/>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(443,184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(145,621</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Net (loss) Income</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68" w:type="dxa"/>
            <w:tcBorders/>
            <w:shd w:fill="auto" w:val="clear"/>
            <w:vAlign w:val="bottom"/>
          </w:tcPr>
          <w:p>
            <w:pPr>
              <w:pStyle w:val="TableContents"/>
              <w:spacing w:before="0" w:after="283"/>
              <w:jc w:val="right"/>
              <w:rPr/>
            </w:pPr>
            <w:r>
              <w:rPr/>
              <w:t>579,884</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68" w:type="dxa"/>
            <w:tcBorders/>
            <w:shd w:fill="auto" w:val="clear"/>
            <w:vAlign w:val="bottom"/>
          </w:tcPr>
          <w:p>
            <w:pPr>
              <w:pStyle w:val="TableContents"/>
              <w:spacing w:before="0" w:after="283"/>
              <w:jc w:val="right"/>
              <w:rPr/>
            </w:pPr>
            <w:r>
              <w:rPr/>
              <w:t>(2,408,500</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68" w:type="dxa"/>
            <w:tcBorders/>
            <w:shd w:fill="auto" w:val="clear"/>
            <w:vAlign w:val="bottom"/>
          </w:tcPr>
          <w:p>
            <w:pPr>
              <w:pStyle w:val="TableContents"/>
              <w:spacing w:before="0" w:after="283"/>
              <w:jc w:val="right"/>
              <w:rPr/>
            </w:pPr>
            <w:r>
              <w:rPr/>
              <w:t>(3,622,794</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017" w:type="dxa"/>
            <w:tcBorders/>
            <w:shd w:fill="auto" w:val="clear"/>
            <w:vAlign w:val="bottom"/>
          </w:tcPr>
          <w:p>
            <w:pPr>
              <w:pStyle w:val="TableContents"/>
              <w:spacing w:before="0" w:after="283"/>
              <w:jc w:val="right"/>
              <w:rPr/>
            </w:pPr>
            <w:r>
              <w:rPr/>
              <w:t>(468,899</w:t>
            </w:r>
          </w:p>
        </w:tc>
        <w:tc>
          <w:tcPr>
            <w:tcW w:w="164"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6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6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6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17"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Loss available to common shareholder</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017"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Weighted average common shares used in computing basic and diluted net loss per common share</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3,948,530</w:t>
            </w:r>
          </w:p>
        </w:tc>
        <w:tc>
          <w:tcPr>
            <w:tcW w:w="164"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Net (loss) Income</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579,884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(2,408,500</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(3,622,794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(468,899</w:t>
            </w:r>
          </w:p>
        </w:tc>
        <w:tc>
          <w:tcPr>
            <w:tcW w:w="164" w:type="dxa"/>
            <w:tcBorders/>
            <w:shd w:fill="CCEEFF" w:val="clear"/>
            <w:vAlign w:val="bottom"/>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Other comprehensive loss, net of tax</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6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017"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Total comprehensive loss</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68" w:type="dxa"/>
            <w:tcBorders/>
            <w:shd w:fill="CCEEFF" w:val="clear"/>
            <w:vAlign w:val="bottom"/>
          </w:tcPr>
          <w:p>
            <w:pPr>
              <w:pStyle w:val="TableContents"/>
              <w:spacing w:before="0" w:after="283"/>
              <w:jc w:val="right"/>
              <w:rPr/>
            </w:pPr>
            <w:r>
              <w:rPr/>
              <w:t> </w:t>
            </w:r>
            <w:r>
              <w:rPr/>
              <w:t>579,884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68" w:type="dxa"/>
            <w:tcBorders/>
            <w:shd w:fill="CCEEFF" w:val="clear"/>
            <w:vAlign w:val="bottom"/>
          </w:tcPr>
          <w:p>
            <w:pPr>
              <w:pStyle w:val="TableContents"/>
              <w:spacing w:before="0" w:after="283"/>
              <w:jc w:val="right"/>
              <w:rPr/>
            </w:pPr>
            <w:r>
              <w:rPr/>
              <w:t>(2,408,500</w:t>
            </w:r>
          </w:p>
        </w:tc>
        <w:tc>
          <w:tcPr>
            <w:tcW w:w="155"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68" w:type="dxa"/>
            <w:tcBorders/>
            <w:shd w:fill="CCEEFF" w:val="clear"/>
            <w:vAlign w:val="bottom"/>
          </w:tcPr>
          <w:p>
            <w:pPr>
              <w:pStyle w:val="TableContents"/>
              <w:spacing w:before="0" w:after="283"/>
              <w:jc w:val="right"/>
              <w:rPr/>
            </w:pPr>
            <w:r>
              <w:rPr/>
              <w:t>(3,622,794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017" w:type="dxa"/>
            <w:tcBorders/>
            <w:shd w:fill="CCEEFF" w:val="clear"/>
            <w:vAlign w:val="bottom"/>
          </w:tcPr>
          <w:p>
            <w:pPr>
              <w:pStyle w:val="TableContents"/>
              <w:spacing w:before="0" w:after="283"/>
              <w:jc w:val="right"/>
              <w:rPr/>
            </w:pPr>
            <w:r>
              <w:rPr/>
              <w:t>(468,899</w:t>
            </w:r>
          </w:p>
        </w:tc>
        <w:tc>
          <w:tcPr>
            <w:tcW w:w="164" w:type="dxa"/>
            <w:tcBorders/>
            <w:shd w:fill="CCEEFF" w:val="clear"/>
            <w:vAlign w:val="bottom"/>
          </w:tcPr>
          <w:p>
            <w:pPr>
              <w:pStyle w:val="TableContents"/>
              <w:spacing w:before="0" w:after="283"/>
              <w:rPr/>
            </w:pPr>
            <w:r>
              <w:rPr/>
              <w:t>) </w:t>
            </w:r>
          </w:p>
        </w:tc>
      </w:tr>
      <w:tr>
        <w:trPr/>
        <w:tc>
          <w:tcPr>
            <w:tcW w:w="3130"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6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6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6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017"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(1)</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4200" w:type="pct"/>
        <w:jc w:val="center"/>
        <w:tblInd w:w="0" w:type="dxa"/>
        <w:tblCellMar>
          <w:top w:w="0" w:type="dxa"/>
          <w:left w:w="0" w:type="dxa"/>
          <w:bottom w:w="0" w:type="dxa"/>
          <w:right w:w="0" w:type="dxa"/>
        </w:tblCellMar>
      </w:tblPr>
      <w:tblGrid>
        <w:gridCol w:w="3052"/>
        <w:gridCol w:w="401"/>
        <w:gridCol w:w="140"/>
        <w:gridCol w:w="1117"/>
        <w:gridCol w:w="157"/>
        <w:gridCol w:w="401"/>
        <w:gridCol w:w="155"/>
        <w:gridCol w:w="1325"/>
        <w:gridCol w:w="157"/>
        <w:gridCol w:w="401"/>
        <w:gridCol w:w="155"/>
        <w:gridCol w:w="1325"/>
        <w:gridCol w:w="66"/>
      </w:tblGrid>
      <w:tr>
        <w:trPr/>
        <w:tc>
          <w:tcPr>
            <w:tcW w:w="3052"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3052"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March 31,</w:t>
            </w:r>
            <w:r>
              <w:rPr/>
              <w:br/>
            </w:r>
            <w:r>
              <w:rPr>
                <w:b/>
              </w:rPr>
              <w:t>2023</w:t>
            </w:r>
            <w:r>
              <w:rPr/>
              <w:br/>
            </w:r>
            <w:r>
              <w:rPr>
                <w:b/>
              </w:rPr>
              <w:t>(Unaudited)</w:t>
            </w:r>
          </w:p>
        </w:tc>
        <w:tc>
          <w:tcPr>
            <w:tcW w:w="15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September 30,</w:t>
            </w:r>
            <w:r>
              <w:rPr/>
              <w:br/>
            </w:r>
            <w:r>
              <w:rPr>
                <w:b/>
              </w:rPr>
              <w:t>2022</w:t>
            </w:r>
            <w:r>
              <w:rPr/>
              <w:br/>
            </w:r>
            <w:r>
              <w:rPr>
                <w:b/>
              </w:rPr>
              <w:t>(Audited)</w:t>
            </w:r>
          </w:p>
        </w:tc>
        <w:tc>
          <w:tcPr>
            <w:tcW w:w="15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September 30,</w:t>
            </w:r>
            <w:r>
              <w:rPr/>
              <w:br/>
            </w:r>
            <w:r>
              <w:rPr>
                <w:b/>
              </w:rPr>
              <w:t>2021(1)</w:t>
            </w:r>
            <w:r>
              <w:rPr/>
              <w:br/>
            </w:r>
            <w:r>
              <w:rPr>
                <w:b/>
              </w:rPr>
              <w:t>(Audited)</w:t>
            </w:r>
          </w:p>
        </w:tc>
        <w:tc>
          <w:tcPr>
            <w:tcW w:w="66" w:type="dxa"/>
            <w:tcBorders/>
            <w:shd w:fill="auto" w:val="clear"/>
            <w:vAlign w:val="bottom"/>
          </w:tcPr>
          <w:p>
            <w:pPr>
              <w:pStyle w:val="TableContents"/>
              <w:spacing w:before="0" w:after="283"/>
              <w:rPr/>
            </w:pPr>
            <w:r>
              <w:rPr/>
              <w:t> </w:t>
            </w:r>
          </w:p>
        </w:tc>
      </w:tr>
      <w:tr>
        <w:trPr/>
        <w:tc>
          <w:tcPr>
            <w:tcW w:w="3052" w:type="dxa"/>
            <w:tcBorders/>
            <w:shd w:fill="CCEEFF" w:val="clear"/>
          </w:tcPr>
          <w:p>
            <w:pPr>
              <w:pStyle w:val="TableContents"/>
              <w:spacing w:before="0" w:after="0"/>
              <w:rPr>
                <w:rFonts w:ascii="Times New Roman" w:hAnsi="Times New Roman"/>
                <w:sz w:val="20"/>
              </w:rPr>
            </w:pPr>
            <w:r>
              <w:rPr>
                <w:rFonts w:ascii="Times New Roman" w:hAnsi="Times New Roman"/>
                <w:sz w:val="20"/>
              </w:rPr>
              <w:t>Balance Sheet Data:</w:t>
            </w:r>
          </w:p>
        </w:tc>
        <w:tc>
          <w:tcPr>
            <w:tcW w:w="4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17"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40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25"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40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25"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3052"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4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7" w:type="dxa"/>
            <w:tcBorders/>
            <w:shd w:fill="auto" w:val="clear"/>
            <w:vAlign w:val="bottom"/>
          </w:tcPr>
          <w:p>
            <w:pPr>
              <w:pStyle w:val="TableContents"/>
              <w:spacing w:before="0" w:after="283"/>
              <w:jc w:val="right"/>
              <w:rPr/>
            </w:pPr>
            <w:r>
              <w:rPr/>
              <w:t> </w:t>
            </w:r>
            <w:r>
              <w:rPr/>
              <w:t>235,949</w:t>
            </w:r>
          </w:p>
        </w:tc>
        <w:tc>
          <w:tcPr>
            <w:tcW w:w="15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25" w:type="dxa"/>
            <w:tcBorders/>
            <w:shd w:fill="auto" w:val="clear"/>
            <w:vAlign w:val="bottom"/>
          </w:tcPr>
          <w:p>
            <w:pPr>
              <w:pStyle w:val="TableContents"/>
              <w:spacing w:before="0" w:after="283"/>
              <w:jc w:val="right"/>
              <w:rPr/>
            </w:pPr>
            <w:r>
              <w:rPr/>
              <w:t> </w:t>
            </w:r>
            <w:r>
              <w:rPr/>
              <w:t>177,578</w:t>
            </w:r>
          </w:p>
        </w:tc>
        <w:tc>
          <w:tcPr>
            <w:tcW w:w="15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25" w:type="dxa"/>
            <w:tcBorders/>
            <w:shd w:fill="auto" w:val="clear"/>
            <w:vAlign w:val="bottom"/>
          </w:tcPr>
          <w:p>
            <w:pPr>
              <w:pStyle w:val="TableContents"/>
              <w:spacing w:before="0" w:after="283"/>
              <w:jc w:val="right"/>
              <w:rPr/>
            </w:pPr>
            <w:r>
              <w:rPr/>
              <w:t> </w:t>
            </w:r>
            <w:r>
              <w:rPr/>
              <w:t>657,590</w:t>
            </w:r>
          </w:p>
        </w:tc>
        <w:tc>
          <w:tcPr>
            <w:tcW w:w="66" w:type="dxa"/>
            <w:tcBorders/>
            <w:shd w:fill="auto" w:val="clear"/>
            <w:vAlign w:val="bottom"/>
          </w:tcPr>
          <w:p>
            <w:pPr>
              <w:pStyle w:val="TableContents"/>
              <w:spacing w:before="0" w:after="283"/>
              <w:rPr/>
            </w:pPr>
            <w:r>
              <w:rPr/>
              <w:t> </w:t>
            </w:r>
          </w:p>
        </w:tc>
      </w:tr>
      <w:tr>
        <w:trPr/>
        <w:tc>
          <w:tcPr>
            <w:tcW w:w="3052"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4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36,964,740</w:t>
            </w:r>
          </w:p>
        </w:tc>
        <w:tc>
          <w:tcPr>
            <w:tcW w:w="157"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25" w:type="dxa"/>
            <w:tcBorders/>
            <w:shd w:fill="CCEEFF" w:val="clear"/>
            <w:vAlign w:val="bottom"/>
          </w:tcPr>
          <w:p>
            <w:pPr>
              <w:pStyle w:val="TableContents"/>
              <w:spacing w:before="0" w:after="283"/>
              <w:jc w:val="right"/>
              <w:rPr/>
            </w:pPr>
            <w:r>
              <w:rPr/>
              <w:t>151,084,445</w:t>
            </w:r>
          </w:p>
        </w:tc>
        <w:tc>
          <w:tcPr>
            <w:tcW w:w="157"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25" w:type="dxa"/>
            <w:tcBorders/>
            <w:shd w:fill="CCEEFF" w:val="clear"/>
            <w:vAlign w:val="bottom"/>
          </w:tcPr>
          <w:p>
            <w:pPr>
              <w:pStyle w:val="TableContents"/>
              <w:spacing w:before="0" w:after="283"/>
              <w:jc w:val="right"/>
              <w:rPr/>
            </w:pPr>
            <w:r>
              <w:rPr/>
              <w:t>151,119,504</w:t>
            </w:r>
          </w:p>
        </w:tc>
        <w:tc>
          <w:tcPr>
            <w:tcW w:w="66" w:type="dxa"/>
            <w:tcBorders/>
            <w:shd w:fill="CCEEFF" w:val="clear"/>
            <w:vAlign w:val="bottom"/>
          </w:tcPr>
          <w:p>
            <w:pPr>
              <w:pStyle w:val="TableContents"/>
              <w:spacing w:before="0" w:after="283"/>
              <w:rPr/>
            </w:pPr>
            <w:r>
              <w:rPr/>
              <w:t> </w:t>
            </w:r>
          </w:p>
        </w:tc>
      </w:tr>
      <w:tr>
        <w:trPr/>
        <w:tc>
          <w:tcPr>
            <w:tcW w:w="3052"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4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7,180,073</w:t>
            </w:r>
          </w:p>
        </w:tc>
        <w:tc>
          <w:tcPr>
            <w:tcW w:w="15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25" w:type="dxa"/>
            <w:tcBorders/>
            <w:shd w:fill="auto" w:val="clear"/>
            <w:vAlign w:val="bottom"/>
          </w:tcPr>
          <w:p>
            <w:pPr>
              <w:pStyle w:val="TableContents"/>
              <w:spacing w:before="0" w:after="283"/>
              <w:jc w:val="right"/>
              <w:rPr/>
            </w:pPr>
            <w:r>
              <w:rPr/>
              <w:t>3,684,910</w:t>
            </w:r>
          </w:p>
        </w:tc>
        <w:tc>
          <w:tcPr>
            <w:tcW w:w="157"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25" w:type="dxa"/>
            <w:tcBorders/>
            <w:shd w:fill="auto" w:val="clear"/>
            <w:vAlign w:val="bottom"/>
          </w:tcPr>
          <w:p>
            <w:pPr>
              <w:pStyle w:val="TableContents"/>
              <w:spacing w:before="0" w:after="283"/>
              <w:jc w:val="right"/>
              <w:rPr/>
            </w:pPr>
            <w:r>
              <w:rPr/>
              <w:t>209,027</w:t>
            </w:r>
          </w:p>
        </w:tc>
        <w:tc>
          <w:tcPr>
            <w:tcW w:w="66" w:type="dxa"/>
            <w:tcBorders/>
            <w:shd w:fill="auto" w:val="clear"/>
            <w:vAlign w:val="bottom"/>
          </w:tcPr>
          <w:p>
            <w:pPr>
              <w:pStyle w:val="TableContents"/>
              <w:spacing w:before="0" w:after="283"/>
              <w:rPr/>
            </w:pPr>
            <w:r>
              <w:rPr/>
              <w:t> </w:t>
            </w:r>
          </w:p>
        </w:tc>
      </w:tr>
      <w:tr>
        <w:trPr/>
        <w:tc>
          <w:tcPr>
            <w:tcW w:w="3052" w:type="dxa"/>
            <w:tcBorders/>
            <w:shd w:fill="CCEEFF" w:val="clear"/>
          </w:tcPr>
          <w:p>
            <w:pPr>
              <w:pStyle w:val="TableContents"/>
              <w:spacing w:before="0" w:after="0"/>
              <w:rPr>
                <w:rFonts w:ascii="Times New Roman" w:hAnsi="Times New Roman"/>
                <w:sz w:val="20"/>
              </w:rPr>
            </w:pPr>
            <w:r>
              <w:rPr>
                <w:rFonts w:ascii="Times New Roman" w:hAnsi="Times New Roman"/>
                <w:sz w:val="20"/>
              </w:rPr>
              <w:t>Total stockholders (deficit) equity</w:t>
            </w:r>
          </w:p>
        </w:tc>
        <w:tc>
          <w:tcPr>
            <w:tcW w:w="4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(6,832,733</w:t>
            </w:r>
          </w:p>
        </w:tc>
        <w:tc>
          <w:tcPr>
            <w:tcW w:w="157"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25" w:type="dxa"/>
            <w:tcBorders/>
            <w:shd w:fill="CCEEFF" w:val="clear"/>
            <w:vAlign w:val="bottom"/>
          </w:tcPr>
          <w:p>
            <w:pPr>
              <w:pStyle w:val="TableContents"/>
              <w:spacing w:before="0" w:after="283"/>
              <w:jc w:val="right"/>
              <w:rPr/>
            </w:pPr>
            <w:r>
              <w:rPr/>
              <w:t>(3,149,327</w:t>
            </w:r>
          </w:p>
        </w:tc>
        <w:tc>
          <w:tcPr>
            <w:tcW w:w="157" w:type="dxa"/>
            <w:tcBorders/>
            <w:shd w:fill="CCEEFF" w:val="clear"/>
            <w:vAlign w:val="bottom"/>
          </w:tcPr>
          <w:p>
            <w:pPr>
              <w:pStyle w:val="TableContents"/>
              <w:spacing w:before="0" w:after="283"/>
              <w:rPr/>
            </w:pPr>
            <w:r>
              <w:rPr/>
              <w:t>) </w:t>
            </w:r>
          </w:p>
        </w:tc>
        <w:tc>
          <w:tcPr>
            <w:tcW w:w="401"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25" w:type="dxa"/>
            <w:tcBorders/>
            <w:shd w:fill="CCEEFF" w:val="clear"/>
            <w:vAlign w:val="bottom"/>
          </w:tcPr>
          <w:p>
            <w:pPr>
              <w:pStyle w:val="TableContents"/>
              <w:spacing w:before="0" w:after="283"/>
              <w:jc w:val="right"/>
              <w:rPr/>
            </w:pPr>
            <w:r>
              <w:rPr/>
              <w:t> </w:t>
            </w:r>
            <w:r>
              <w:rPr/>
              <w:t>910,477</w:t>
            </w:r>
          </w:p>
        </w:tc>
        <w:tc>
          <w:tcPr>
            <w:tcW w:w="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pPr>
            <w:r>
              <w:rPr/>
              <w:t>(1)</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Armada was formed on November 5, 2020.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x309194_12"/>
      <w:bookmarkEnd w:id="14"/>
      <w:r>
        <w:rPr>
          <w:rFonts w:ascii="Times New Roman" w:hAnsi="Times New Roman"/>
          <w:b/>
          <w:sz w:val="20"/>
        </w:rPr>
        <w:t xml:space="preserve">SELECTED FINANCIAL INFORMATION OF REZOLVE </w:t>
      </w:r>
    </w:p>
    <w:p>
      <w:pPr>
        <w:pStyle w:val="TextBody"/>
        <w:spacing w:before="240" w:after="0"/>
        <w:jc w:val="left"/>
        <w:rPr>
          <w:rFonts w:ascii="Times New Roman" w:hAnsi="Times New Roman"/>
          <w:sz w:val="20"/>
        </w:rPr>
      </w:pPr>
      <w:r>
        <w:rPr>
          <w:rFonts w:ascii="Times New Roman" w:hAnsi="Times New Roman"/>
          <w:sz w:val="20"/>
        </w:rPr>
        <w:t>The following table summarizes our financial data. We have derived the following statements of operations and comprehensive loss for the years ended December 31, 2022 and 2021 and balance sheet data as of December 31, 2022 from the Rezolve Financial Statements included elsewhere in this proxy statement/prospectus. Our historical results are not necessarily indicative of the results that may be expected in the future. The following summary financial data should be read in conjunction with </w:t>
      </w:r>
      <w:r>
        <w:rPr>
          <w:rFonts w:ascii="Times New Roman" w:hAnsi="Times New Roman"/>
          <w:i/>
          <w:sz w:val="20"/>
        </w:rPr>
        <w:t>Managements Discussion and Analysis of Financial Condition and Results of Operations</w:t>
      </w:r>
      <w:r>
        <w:rPr>
          <w:rFonts w:ascii="Times New Roman" w:hAnsi="Times New Roman"/>
          <w:sz w:val="20"/>
        </w:rPr>
        <w:t xml:space="preserve"> and the Rezolve Financial Statements and related notes included elsewhere in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The Rezolve Financial Statements included elsewhere in this proxy statement/prospectus were prepared in accordance with U.S. GAAP.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79"/>
        <w:gridCol w:w="376"/>
        <w:gridCol w:w="146"/>
        <w:gridCol w:w="1485"/>
        <w:gridCol w:w="156"/>
        <w:gridCol w:w="376"/>
        <w:gridCol w:w="146"/>
        <w:gridCol w:w="1384"/>
        <w:gridCol w:w="161"/>
      </w:tblGrid>
      <w:tr>
        <w:trPr/>
        <w:tc>
          <w:tcPr>
            <w:tcW w:w="377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779"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369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w:t>
            </w:r>
          </w:p>
        </w:tc>
        <w:tc>
          <w:tcPr>
            <w:tcW w:w="161" w:type="dxa"/>
            <w:tcBorders/>
            <w:shd w:fill="auto"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6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1" w:type="dxa"/>
            <w:tcBorders/>
            <w:shd w:fill="auto" w:val="clear"/>
            <w:vAlign w:val="bottom"/>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485" w:type="dxa"/>
            <w:tcBorders/>
            <w:shd w:fill="CCEEFF" w:val="clear"/>
            <w:vAlign w:val="bottom"/>
          </w:tcPr>
          <w:p>
            <w:pPr>
              <w:pStyle w:val="TableContents"/>
              <w:spacing w:before="0" w:after="283"/>
              <w:jc w:val="right"/>
              <w:rPr/>
            </w:pPr>
            <w:r>
              <w:rPr/>
              <w:t>12,325,753</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384" w:type="dxa"/>
            <w:tcBorders/>
            <w:shd w:fill="CCEEFF" w:val="clear"/>
            <w:vAlign w:val="bottom"/>
          </w:tcPr>
          <w:p>
            <w:pPr>
              <w:pStyle w:val="TableContents"/>
              <w:spacing w:before="0" w:after="283"/>
              <w:jc w:val="right"/>
              <w:rPr/>
            </w:pPr>
            <w:r>
              <w:rPr/>
              <w:t>3,904,574</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b/>
                <w:sz w:val="20"/>
              </w:rPr>
            </w:pPr>
            <w:r>
              <w:rPr>
                <w:rFonts w:ascii="Times New Roman" w:hAnsi="Times New Roman"/>
                <w:b/>
                <w:sz w:val="20"/>
              </w:rPr>
              <w:t>Operating expenses:</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485"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38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Cost of revenues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5,318,599</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1,741,022</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Employee costs(1)</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10,666,299</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18,418,778</w:t>
            </w:r>
          </w:p>
        </w:tc>
        <w:tc>
          <w:tcPr>
            <w:tcW w:w="161" w:type="dxa"/>
            <w:tcBorders/>
            <w:shd w:fill="auto" w:val="clear"/>
            <w:vAlign w:val="bottom"/>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Consultancy expenses(2)</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67,681,543</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8,599,630</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Sales and marketing expense</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3,123,820</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387,085</w:t>
            </w:r>
          </w:p>
        </w:tc>
        <w:tc>
          <w:tcPr>
            <w:tcW w:w="161" w:type="dxa"/>
            <w:tcBorders/>
            <w:shd w:fill="auto" w:val="clear"/>
            <w:vAlign w:val="bottom"/>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Business and development expenses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7,136,168</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5,207,046</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9,823,776</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5,324,468</w:t>
            </w:r>
          </w:p>
        </w:tc>
        <w:tc>
          <w:tcPr>
            <w:tcW w:w="161" w:type="dxa"/>
            <w:tcBorders/>
            <w:shd w:fill="auto" w:val="clear"/>
            <w:vAlign w:val="bottom"/>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 expenses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742,113</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460,491</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7,418,302</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operating expenses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b/>
              </w:rPr>
            </w:pPr>
            <w:r>
              <w:rPr>
                <w:b/>
              </w:rPr>
              <w:t>111,910,620</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b/>
              </w:rPr>
            </w:pPr>
            <w:r>
              <w:rPr>
                <w:b/>
              </w:rPr>
              <w:t>40,138,520</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Operating loss</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b/>
              </w:rPr>
            </w:pPr>
            <w:r>
              <w:rPr>
                <w:b/>
              </w:rPr>
              <w:t>(99,584,867</w:t>
            </w:r>
          </w:p>
        </w:tc>
        <w:tc>
          <w:tcPr>
            <w:tcW w:w="156" w:type="dxa"/>
            <w:tcBorders/>
            <w:shd w:fill="auto" w:val="clear"/>
            <w:vAlign w:val="bottom"/>
          </w:tcPr>
          <w:p>
            <w:pPr>
              <w:pStyle w:val="TableContents"/>
              <w:spacing w:before="0" w:after="283"/>
              <w:rPr>
                <w:b/>
              </w:rPr>
            </w:pPr>
            <w:r>
              <w:rPr>
                <w:b/>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b/>
              </w:rPr>
            </w:pPr>
            <w:r>
              <w:rPr>
                <w:b/>
              </w:rPr>
              <w:t>(36,233,946</w:t>
            </w:r>
          </w:p>
        </w:tc>
        <w:tc>
          <w:tcPr>
            <w:tcW w:w="161" w:type="dxa"/>
            <w:tcBorders/>
            <w:shd w:fill="auto" w:val="clear"/>
            <w:vAlign w:val="bottom"/>
          </w:tcPr>
          <w:p>
            <w:pPr>
              <w:pStyle w:val="TableContents"/>
              <w:spacing w:before="0" w:after="283"/>
              <w:rPr>
                <w:b/>
              </w:rPr>
            </w:pPr>
            <w:r>
              <w:rPr>
                <w:b/>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expenses: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485"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384"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(3,884,698</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(301,594</w:t>
            </w:r>
          </w:p>
        </w:tc>
        <w:tc>
          <w:tcPr>
            <w:tcW w:w="161" w:type="dxa"/>
            <w:tcBorders/>
            <w:shd w:fill="auto" w:val="clear"/>
            <w:vAlign w:val="bottom"/>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Other non-operating expense, net</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(751,320</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(1,210,690</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other (expenses) / income, net</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b/>
              </w:rPr>
            </w:pPr>
            <w:r>
              <w:rPr>
                <w:b/>
              </w:rPr>
              <w:t>(4,636,018</w:t>
            </w:r>
          </w:p>
        </w:tc>
        <w:tc>
          <w:tcPr>
            <w:tcW w:w="156" w:type="dxa"/>
            <w:tcBorders/>
            <w:shd w:fill="auto" w:val="clear"/>
            <w:vAlign w:val="bottom"/>
          </w:tcPr>
          <w:p>
            <w:pPr>
              <w:pStyle w:val="TableContents"/>
              <w:spacing w:before="0" w:after="283"/>
              <w:rPr>
                <w:b/>
              </w:rPr>
            </w:pPr>
            <w:r>
              <w:rPr>
                <w:b/>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b/>
              </w:rPr>
            </w:pPr>
            <w:r>
              <w:rPr>
                <w:b/>
              </w:rPr>
              <w:t>(1,512,284</w:t>
            </w:r>
          </w:p>
        </w:tc>
        <w:tc>
          <w:tcPr>
            <w:tcW w:w="161" w:type="dxa"/>
            <w:tcBorders/>
            <w:shd w:fill="auto" w:val="clear"/>
            <w:vAlign w:val="bottom"/>
          </w:tcPr>
          <w:p>
            <w:pPr>
              <w:pStyle w:val="TableContents"/>
              <w:spacing w:before="0" w:after="283"/>
              <w:rPr>
                <w:b/>
              </w:rPr>
            </w:pPr>
            <w:r>
              <w:rPr>
                <w:b/>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Loss before taxes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b/>
              </w:rPr>
            </w:pPr>
            <w:r>
              <w:rPr>
                <w:b/>
              </w:rPr>
              <w:t>(104,220,885</w:t>
            </w:r>
          </w:p>
        </w:tc>
        <w:tc>
          <w:tcPr>
            <w:tcW w:w="156" w:type="dxa"/>
            <w:tcBorders/>
            <w:shd w:fill="CCEEFF" w:val="clear"/>
            <w:vAlign w:val="bottom"/>
          </w:tcPr>
          <w:p>
            <w:pPr>
              <w:pStyle w:val="TableContents"/>
              <w:spacing w:before="0" w:after="283"/>
              <w:rPr>
                <w:b/>
              </w:rPr>
            </w:pPr>
            <w:r>
              <w:rPr>
                <w:b/>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b/>
              </w:rPr>
            </w:pPr>
            <w:r>
              <w:rPr>
                <w:b/>
              </w:rPr>
              <w:t>(37,746,230</w:t>
            </w:r>
          </w:p>
        </w:tc>
        <w:tc>
          <w:tcPr>
            <w:tcW w:w="161" w:type="dxa"/>
            <w:tcBorders/>
            <w:shd w:fill="CCEEFF" w:val="clear"/>
            <w:vAlign w:val="bottom"/>
          </w:tcPr>
          <w:p>
            <w:pPr>
              <w:pStyle w:val="TableContents"/>
              <w:spacing w:before="0" w:after="283"/>
              <w:rPr>
                <w:b/>
              </w:rPr>
            </w:pPr>
            <w:r>
              <w:rPr>
                <w:b/>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Income tax benefit</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115,447</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26,755</w:t>
            </w:r>
          </w:p>
        </w:tc>
        <w:tc>
          <w:tcPr>
            <w:tcW w:w="161" w:type="dxa"/>
            <w:tcBorders/>
            <w:shd w:fill="auto"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loss for the year</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485" w:type="dxa"/>
            <w:tcBorders/>
            <w:shd w:fill="CCEEFF" w:val="clear"/>
            <w:vAlign w:val="bottom"/>
          </w:tcPr>
          <w:p>
            <w:pPr>
              <w:pStyle w:val="TableContents"/>
              <w:spacing w:before="0" w:after="283"/>
              <w:jc w:val="right"/>
              <w:rPr>
                <w:b/>
              </w:rPr>
            </w:pPr>
            <w:r>
              <w:rPr>
                <w:b/>
              </w:rPr>
              <w:t>(104,105,438</w:t>
            </w:r>
          </w:p>
        </w:tc>
        <w:tc>
          <w:tcPr>
            <w:tcW w:w="156" w:type="dxa"/>
            <w:tcBorders/>
            <w:shd w:fill="CCEEFF" w:val="clear"/>
            <w:vAlign w:val="bottom"/>
          </w:tcPr>
          <w:p>
            <w:pPr>
              <w:pStyle w:val="TableContents"/>
              <w:spacing w:before="0" w:after="283"/>
              <w:rPr>
                <w:b/>
              </w:rPr>
            </w:pPr>
            <w:r>
              <w:rPr>
                <w:b/>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384" w:type="dxa"/>
            <w:tcBorders/>
            <w:shd w:fill="CCEEFF" w:val="clear"/>
            <w:vAlign w:val="bottom"/>
          </w:tcPr>
          <w:p>
            <w:pPr>
              <w:pStyle w:val="TableContents"/>
              <w:spacing w:before="0" w:after="283"/>
              <w:jc w:val="right"/>
              <w:rPr>
                <w:b/>
              </w:rPr>
            </w:pPr>
            <w:r>
              <w:rPr>
                <w:b/>
              </w:rPr>
              <w:t>(37,719,475</w:t>
            </w:r>
          </w:p>
        </w:tc>
        <w:tc>
          <w:tcPr>
            <w:tcW w:w="161" w:type="dxa"/>
            <w:tcBorders/>
            <w:shd w:fill="CCEEFF" w:val="clear"/>
            <w:vAlign w:val="bottom"/>
          </w:tcPr>
          <w:p>
            <w:pPr>
              <w:pStyle w:val="TableContents"/>
              <w:spacing w:before="0" w:after="283"/>
              <w:rPr>
                <w:b/>
              </w:rPr>
            </w:pPr>
            <w:r>
              <w:rPr>
                <w:b/>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48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384"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auto" w:val="clear"/>
          </w:tcPr>
          <w:p>
            <w:pPr>
              <w:pStyle w:val="TableContents"/>
              <w:spacing w:before="0" w:after="0"/>
              <w:rPr>
                <w:rFonts w:ascii="Times New Roman" w:hAnsi="Times New Roman"/>
                <w:b/>
                <w:sz w:val="20"/>
              </w:rPr>
            </w:pPr>
            <w:r>
              <w:rPr>
                <w:rFonts w:ascii="Times New Roman" w:hAnsi="Times New Roman"/>
                <w:b/>
                <w:sz w:val="20"/>
              </w:rPr>
              <w:t>Net loss per share  Basic and diluted</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485" w:type="dxa"/>
            <w:tcBorders/>
            <w:shd w:fill="auto" w:val="clear"/>
            <w:vAlign w:val="bottom"/>
          </w:tcPr>
          <w:p>
            <w:pPr>
              <w:pStyle w:val="TableContents"/>
              <w:spacing w:before="0" w:after="283"/>
              <w:jc w:val="right"/>
              <w:rPr/>
            </w:pPr>
            <w:r>
              <w:rPr/>
              <w:t>(0.11</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384" w:type="dxa"/>
            <w:tcBorders/>
            <w:shd w:fill="auto" w:val="clear"/>
            <w:vAlign w:val="bottom"/>
          </w:tcPr>
          <w:p>
            <w:pPr>
              <w:pStyle w:val="TableContents"/>
              <w:spacing w:before="0" w:after="283"/>
              <w:jc w:val="right"/>
              <w:rPr/>
            </w:pPr>
            <w:r>
              <w:rPr/>
              <w:t>(0.04</w:t>
            </w:r>
          </w:p>
        </w:tc>
        <w:tc>
          <w:tcPr>
            <w:tcW w:w="161" w:type="dxa"/>
            <w:tcBorders/>
            <w:shd w:fill="auto"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Weighted average number of shares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913,109,577</w:t>
            </w:r>
          </w:p>
        </w:tc>
        <w:tc>
          <w:tcPr>
            <w:tcW w:w="156"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84" w:type="dxa"/>
            <w:tcBorders/>
            <w:shd w:fill="CCEEFF" w:val="clear"/>
            <w:vAlign w:val="bottom"/>
          </w:tcPr>
          <w:p>
            <w:pPr>
              <w:pStyle w:val="TableContents"/>
              <w:spacing w:before="0" w:after="283"/>
              <w:jc w:val="right"/>
              <w:rPr/>
            </w:pPr>
            <w:r>
              <w:rPr/>
              <w:t>881,342,508</w:t>
            </w:r>
          </w:p>
        </w:tc>
        <w:tc>
          <w:tcPr>
            <w:tcW w:w="161" w:type="dxa"/>
            <w:tcBorders/>
            <w:shd w:fill="CCEEFF"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loss</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b/>
              </w:rPr>
            </w:pPr>
            <w:r>
              <w:rPr>
                <w:b/>
              </w:rPr>
              <w:t>$</w:t>
            </w:r>
          </w:p>
        </w:tc>
        <w:tc>
          <w:tcPr>
            <w:tcW w:w="1485" w:type="dxa"/>
            <w:tcBorders/>
            <w:shd w:fill="auto" w:val="clear"/>
            <w:vAlign w:val="bottom"/>
          </w:tcPr>
          <w:p>
            <w:pPr>
              <w:pStyle w:val="TableContents"/>
              <w:spacing w:before="0" w:after="283"/>
              <w:jc w:val="right"/>
              <w:rPr>
                <w:b/>
              </w:rPr>
            </w:pPr>
            <w:r>
              <w:rPr>
                <w:b/>
              </w:rPr>
              <w:t>(104,105,438</w:t>
            </w:r>
          </w:p>
        </w:tc>
        <w:tc>
          <w:tcPr>
            <w:tcW w:w="156" w:type="dxa"/>
            <w:tcBorders/>
            <w:shd w:fill="auto" w:val="clear"/>
            <w:vAlign w:val="bottom"/>
          </w:tcPr>
          <w:p>
            <w:pPr>
              <w:pStyle w:val="TableContents"/>
              <w:spacing w:before="0" w:after="283"/>
              <w:rPr>
                <w:b/>
              </w:rPr>
            </w:pPr>
            <w:r>
              <w:rPr>
                <w:b/>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b/>
              </w:rPr>
            </w:pPr>
            <w:r>
              <w:rPr>
                <w:b/>
              </w:rPr>
              <w:t>$</w:t>
            </w:r>
          </w:p>
        </w:tc>
        <w:tc>
          <w:tcPr>
            <w:tcW w:w="1384" w:type="dxa"/>
            <w:tcBorders/>
            <w:shd w:fill="auto" w:val="clear"/>
            <w:vAlign w:val="bottom"/>
          </w:tcPr>
          <w:p>
            <w:pPr>
              <w:pStyle w:val="TableContents"/>
              <w:spacing w:before="0" w:after="283"/>
              <w:jc w:val="right"/>
              <w:rPr>
                <w:b/>
              </w:rPr>
            </w:pPr>
            <w:r>
              <w:rPr>
                <w:b/>
              </w:rPr>
              <w:t>(37,719,475</w:t>
            </w:r>
          </w:p>
        </w:tc>
        <w:tc>
          <w:tcPr>
            <w:tcW w:w="161" w:type="dxa"/>
            <w:tcBorders/>
            <w:shd w:fill="auto" w:val="clear"/>
            <w:vAlign w:val="bottom"/>
          </w:tcPr>
          <w:p>
            <w:pPr>
              <w:pStyle w:val="TableContents"/>
              <w:spacing w:before="0" w:after="283"/>
              <w:rPr>
                <w:b/>
              </w:rPr>
            </w:pPr>
            <w:r>
              <w:rPr>
                <w:b/>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8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tcPr>
          <w:p>
            <w:pPr>
              <w:pStyle w:val="TableContents"/>
              <w:spacing w:before="0" w:after="0"/>
              <w:rPr>
                <w:rFonts w:ascii="Times New Roman" w:hAnsi="Times New Roman"/>
                <w:sz w:val="20"/>
              </w:rPr>
            </w:pPr>
            <w:r>
              <w:rPr>
                <w:rFonts w:ascii="Times New Roman" w:hAnsi="Times New Roman"/>
                <w:sz w:val="20"/>
              </w:rPr>
              <w:t>Other comprehensive loss, net of tax</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485"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384"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779" w:type="dxa"/>
            <w:tcBorders/>
            <w:shd w:fill="auto" w:val="clear"/>
          </w:tcPr>
          <w:p>
            <w:pPr>
              <w:pStyle w:val="TableContents"/>
              <w:spacing w:before="0" w:after="0"/>
              <w:rPr>
                <w:rFonts w:ascii="Times New Roman" w:hAnsi="Times New Roman"/>
                <w:sz w:val="20"/>
              </w:rPr>
            </w:pPr>
            <w:r>
              <w:rPr>
                <w:rFonts w:ascii="Times New Roman" w:hAnsi="Times New Roman"/>
                <w:sz w:val="20"/>
              </w:rPr>
              <w:t>Foreign currency translation (loss)</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(757,356</w:t>
            </w:r>
          </w:p>
        </w:tc>
        <w:tc>
          <w:tcPr>
            <w:tcW w:w="156"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84" w:type="dxa"/>
            <w:tcBorders/>
            <w:shd w:fill="auto" w:val="clear"/>
            <w:vAlign w:val="bottom"/>
          </w:tcPr>
          <w:p>
            <w:pPr>
              <w:pStyle w:val="TableContents"/>
              <w:spacing w:before="0" w:after="283"/>
              <w:jc w:val="right"/>
              <w:rPr/>
            </w:pPr>
            <w:r>
              <w:rPr/>
              <w:t>(501,130</w:t>
            </w:r>
          </w:p>
        </w:tc>
        <w:tc>
          <w:tcPr>
            <w:tcW w:w="161" w:type="dxa"/>
            <w:tcBorders/>
            <w:shd w:fill="auto" w:val="clear"/>
            <w:vAlign w:val="bottom"/>
          </w:tcPr>
          <w:p>
            <w:pPr>
              <w:pStyle w:val="TableContents"/>
              <w:spacing w:before="0" w:after="283"/>
              <w:rPr/>
            </w:pPr>
            <w:r>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48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384"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77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485" w:type="dxa"/>
            <w:tcBorders/>
            <w:shd w:fill="CCEEFF" w:val="clear"/>
            <w:vAlign w:val="bottom"/>
          </w:tcPr>
          <w:p>
            <w:pPr>
              <w:pStyle w:val="TableContents"/>
              <w:spacing w:before="0" w:after="283"/>
              <w:jc w:val="right"/>
              <w:rPr>
                <w:b/>
              </w:rPr>
            </w:pPr>
            <w:r>
              <w:rPr>
                <w:b/>
              </w:rPr>
              <w:t>(104,862,794</w:t>
            </w:r>
          </w:p>
        </w:tc>
        <w:tc>
          <w:tcPr>
            <w:tcW w:w="156" w:type="dxa"/>
            <w:tcBorders/>
            <w:shd w:fill="CCEEFF" w:val="clear"/>
            <w:vAlign w:val="bottom"/>
          </w:tcPr>
          <w:p>
            <w:pPr>
              <w:pStyle w:val="TableContents"/>
              <w:spacing w:before="0" w:after="283"/>
              <w:rPr>
                <w:b/>
              </w:rPr>
            </w:pPr>
            <w:r>
              <w:rPr>
                <w:b/>
              </w:rPr>
              <w:t>) </w:t>
            </w:r>
          </w:p>
        </w:tc>
        <w:tc>
          <w:tcPr>
            <w:tcW w:w="376"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384" w:type="dxa"/>
            <w:tcBorders/>
            <w:shd w:fill="CCEEFF" w:val="clear"/>
            <w:vAlign w:val="bottom"/>
          </w:tcPr>
          <w:p>
            <w:pPr>
              <w:pStyle w:val="TableContents"/>
              <w:spacing w:before="0" w:after="283"/>
              <w:jc w:val="right"/>
              <w:rPr>
                <w:b/>
              </w:rPr>
            </w:pPr>
            <w:r>
              <w:rPr>
                <w:b/>
              </w:rPr>
              <w:t>(38,220,605</w:t>
            </w:r>
          </w:p>
        </w:tc>
        <w:tc>
          <w:tcPr>
            <w:tcW w:w="161" w:type="dxa"/>
            <w:tcBorders/>
            <w:shd w:fill="CCEEFF" w:val="clear"/>
            <w:vAlign w:val="bottom"/>
          </w:tcPr>
          <w:p>
            <w:pPr>
              <w:pStyle w:val="TableContents"/>
              <w:spacing w:before="0" w:after="283"/>
              <w:rPr>
                <w:b/>
              </w:rPr>
            </w:pPr>
            <w:r>
              <w:rPr>
                <w:b/>
              </w:rPr>
              <w:t>) </w:t>
            </w:r>
          </w:p>
        </w:tc>
      </w:tr>
      <w:tr>
        <w:trPr/>
        <w:tc>
          <w:tcPr>
            <w:tcW w:w="377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48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384"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(1)</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related party transactions of $1,195,279 and $13,779,406 for the years ended December 31, 2022 and 2021 respectively.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(2)</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related party transactions of $41,174,589 and $1,303,329 for the years ended December 31, 2022 and 2021 respectively.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3800" w:type="pct"/>
        <w:jc w:val="center"/>
        <w:tblInd w:w="0" w:type="dxa"/>
        <w:tblCellMar>
          <w:top w:w="0" w:type="dxa"/>
          <w:left w:w="0" w:type="dxa"/>
          <w:bottom w:w="0" w:type="dxa"/>
          <w:right w:w="0" w:type="dxa"/>
        </w:tblCellMar>
      </w:tblPr>
      <w:tblGrid>
        <w:gridCol w:w="3877"/>
        <w:gridCol w:w="376"/>
        <w:gridCol w:w="154"/>
        <w:gridCol w:w="1376"/>
        <w:gridCol w:w="157"/>
        <w:gridCol w:w="376"/>
        <w:gridCol w:w="160"/>
        <w:gridCol w:w="1370"/>
        <w:gridCol w:w="163"/>
      </w:tblGrid>
      <w:tr>
        <w:trPr/>
        <w:tc>
          <w:tcPr>
            <w:tcW w:w="387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7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December 31,</w:t>
            </w:r>
            <w:r>
              <w:rPr/>
              <w:br/>
            </w:r>
            <w:r>
              <w:rPr>
                <w:b/>
              </w:rPr>
              <w:t>2022</w:t>
            </w:r>
          </w:p>
        </w:tc>
        <w:tc>
          <w:tcPr>
            <w:tcW w:w="15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5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December 31,</w:t>
            </w:r>
            <w:r>
              <w:rPr/>
              <w:br/>
            </w:r>
            <w:r>
              <w:rPr>
                <w:b/>
              </w:rPr>
              <w:t>2021</w:t>
            </w:r>
          </w:p>
        </w:tc>
        <w:tc>
          <w:tcPr>
            <w:tcW w:w="163"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20"/>
              </w:rPr>
            </w:pPr>
            <w:r>
              <w:rPr>
                <w:rFonts w:ascii="Times New Roman" w:hAnsi="Times New Roman"/>
                <w:sz w:val="20"/>
              </w:rPr>
              <w:t>Balance Sheet Data:</w:t>
            </w:r>
          </w:p>
        </w:tc>
        <w:tc>
          <w:tcPr>
            <w:tcW w:w="3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1376"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c>
          <w:tcPr>
            <w:tcW w:w="3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1370"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877" w:type="dxa"/>
            <w:tcBorders/>
            <w:shd w:fill="auto" w:val="clear"/>
          </w:tcPr>
          <w:p>
            <w:pPr>
              <w:pStyle w:val="TableContents"/>
              <w:spacing w:before="0" w:after="0"/>
              <w:rPr>
                <w:rFonts w:ascii="Times New Roman" w:hAnsi="Times New Roman"/>
                <w:sz w:val="20"/>
              </w:rPr>
            </w:pPr>
            <w:r>
              <w:rPr>
                <w:rFonts w:ascii="Times New Roman" w:hAnsi="Times New Roman"/>
                <w:sz w:val="20"/>
              </w:rPr>
              <w:t>Cash</w:t>
            </w:r>
          </w:p>
        </w:tc>
        <w:tc>
          <w:tcPr>
            <w:tcW w:w="3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w:t>
            </w:r>
          </w:p>
        </w:tc>
        <w:tc>
          <w:tcPr>
            <w:tcW w:w="1376" w:type="dxa"/>
            <w:tcBorders/>
            <w:shd w:fill="auto" w:val="clear"/>
            <w:vAlign w:val="bottom"/>
          </w:tcPr>
          <w:p>
            <w:pPr>
              <w:pStyle w:val="TableContents"/>
              <w:spacing w:before="0" w:after="283"/>
              <w:jc w:val="right"/>
              <w:rPr/>
            </w:pPr>
            <w:r>
              <w:rPr/>
              <w:t> </w:t>
            </w:r>
            <w:r>
              <w:rPr/>
              <w:t>41,709</w:t>
            </w:r>
          </w:p>
        </w:tc>
        <w:tc>
          <w:tcPr>
            <w:tcW w:w="15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w:t>
            </w:r>
          </w:p>
        </w:tc>
        <w:tc>
          <w:tcPr>
            <w:tcW w:w="1370" w:type="dxa"/>
            <w:tcBorders/>
            <w:shd w:fill="auto" w:val="clear"/>
            <w:vAlign w:val="bottom"/>
          </w:tcPr>
          <w:p>
            <w:pPr>
              <w:pStyle w:val="TableContents"/>
              <w:spacing w:before="0" w:after="283"/>
              <w:jc w:val="right"/>
              <w:rPr/>
            </w:pPr>
            <w:r>
              <w:rPr/>
              <w:t> </w:t>
            </w:r>
            <w:r>
              <w:rPr/>
              <w:t>2,690,024</w:t>
            </w:r>
          </w:p>
        </w:tc>
        <w:tc>
          <w:tcPr>
            <w:tcW w:w="163"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20"/>
              </w:rPr>
            </w:pPr>
            <w:r>
              <w:rPr>
                <w:rFonts w:ascii="Times New Roman" w:hAnsi="Times New Roman"/>
                <w:sz w:val="20"/>
              </w:rPr>
              <w:t>Total assets</w:t>
            </w:r>
          </w:p>
        </w:tc>
        <w:tc>
          <w:tcPr>
            <w:tcW w:w="3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6" w:type="dxa"/>
            <w:tcBorders/>
            <w:shd w:fill="CCEEFF" w:val="clear"/>
            <w:vAlign w:val="bottom"/>
          </w:tcPr>
          <w:p>
            <w:pPr>
              <w:pStyle w:val="TableContents"/>
              <w:spacing w:before="0" w:after="283"/>
              <w:jc w:val="right"/>
              <w:rPr/>
            </w:pPr>
            <w:r>
              <w:rPr/>
              <w:t>9,365,521</w:t>
            </w:r>
          </w:p>
        </w:tc>
        <w:tc>
          <w:tcPr>
            <w:tcW w:w="157"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370" w:type="dxa"/>
            <w:tcBorders/>
            <w:shd w:fill="CCEEFF" w:val="clear"/>
            <w:vAlign w:val="bottom"/>
          </w:tcPr>
          <w:p>
            <w:pPr>
              <w:pStyle w:val="TableContents"/>
              <w:spacing w:before="0" w:after="283"/>
              <w:jc w:val="right"/>
              <w:rPr/>
            </w:pPr>
            <w:r>
              <w:rPr/>
              <w:t>22,373,970</w:t>
            </w:r>
          </w:p>
        </w:tc>
        <w:tc>
          <w:tcPr>
            <w:tcW w:w="163" w:type="dxa"/>
            <w:tcBorders/>
            <w:shd w:fill="CCEEFF" w:val="clear"/>
            <w:vAlign w:val="bottom"/>
          </w:tcPr>
          <w:p>
            <w:pPr>
              <w:pStyle w:val="TableContents"/>
              <w:spacing w:before="0" w:after="283"/>
              <w:rPr/>
            </w:pPr>
            <w:r>
              <w:rPr/>
              <w:t> </w:t>
            </w:r>
          </w:p>
        </w:tc>
      </w:tr>
      <w:tr>
        <w:trPr/>
        <w:tc>
          <w:tcPr>
            <w:tcW w:w="3877" w:type="dxa"/>
            <w:tcBorders/>
            <w:shd w:fill="auto" w:val="clear"/>
          </w:tcPr>
          <w:p>
            <w:pPr>
              <w:pStyle w:val="TableContents"/>
              <w:spacing w:before="0" w:after="0"/>
              <w:rPr>
                <w:rFonts w:ascii="Times New Roman" w:hAnsi="Times New Roman"/>
                <w:sz w:val="20"/>
              </w:rPr>
            </w:pPr>
            <w:r>
              <w:rPr>
                <w:rFonts w:ascii="Times New Roman" w:hAnsi="Times New Roman"/>
                <w:sz w:val="20"/>
              </w:rPr>
              <w:t>Total non-current liabilities</w:t>
            </w:r>
          </w:p>
        </w:tc>
        <w:tc>
          <w:tcPr>
            <w:tcW w:w="37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76" w:type="dxa"/>
            <w:tcBorders/>
            <w:shd w:fill="auto" w:val="clear"/>
            <w:vAlign w:val="bottom"/>
          </w:tcPr>
          <w:p>
            <w:pPr>
              <w:pStyle w:val="TableContents"/>
              <w:spacing w:before="0" w:after="283"/>
              <w:jc w:val="right"/>
              <w:rPr/>
            </w:pPr>
            <w:r>
              <w:rPr/>
              <w:t>28,006,947</w:t>
            </w:r>
          </w:p>
        </w:tc>
        <w:tc>
          <w:tcPr>
            <w:tcW w:w="157"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right"/>
              <w:rPr/>
            </w:pPr>
            <w:r>
              <w:rPr/>
              <w:t>5,376,189</w:t>
            </w:r>
          </w:p>
        </w:tc>
        <w:tc>
          <w:tcPr>
            <w:tcW w:w="163" w:type="dxa"/>
            <w:tcBorders/>
            <w:shd w:fill="auto" w:val="clear"/>
            <w:vAlign w:val="bottom"/>
          </w:tcPr>
          <w:p>
            <w:pPr>
              <w:pStyle w:val="TableContents"/>
              <w:spacing w:before="0" w:after="283"/>
              <w:rPr/>
            </w:pPr>
            <w:r>
              <w:rPr/>
              <w:t> </w:t>
            </w:r>
          </w:p>
        </w:tc>
      </w:tr>
      <w:tr>
        <w:trPr/>
        <w:tc>
          <w:tcPr>
            <w:tcW w:w="3877" w:type="dxa"/>
            <w:tcBorders/>
            <w:shd w:fill="CCEEFF" w:val="clear"/>
          </w:tcPr>
          <w:p>
            <w:pPr>
              <w:pStyle w:val="TableContents"/>
              <w:spacing w:before="0" w:after="0"/>
              <w:rPr>
                <w:rFonts w:ascii="Times New Roman" w:hAnsi="Times New Roman"/>
                <w:sz w:val="20"/>
              </w:rPr>
            </w:pPr>
            <w:r>
              <w:rPr>
                <w:rFonts w:ascii="Times New Roman" w:hAnsi="Times New Roman"/>
                <w:sz w:val="20"/>
              </w:rPr>
              <w:t>Total shareholders equity (deficit)</w:t>
            </w:r>
          </w:p>
        </w:tc>
        <w:tc>
          <w:tcPr>
            <w:tcW w:w="376"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w:t>
            </w:r>
          </w:p>
        </w:tc>
        <w:tc>
          <w:tcPr>
            <w:tcW w:w="1376" w:type="dxa"/>
            <w:tcBorders/>
            <w:shd w:fill="CCEEFF" w:val="clear"/>
            <w:vAlign w:val="bottom"/>
          </w:tcPr>
          <w:p>
            <w:pPr>
              <w:pStyle w:val="TableContents"/>
              <w:spacing w:before="0" w:after="283"/>
              <w:jc w:val="right"/>
              <w:rPr/>
            </w:pPr>
            <w:r>
              <w:rPr/>
              <w:t>(27,314,998</w:t>
            </w:r>
          </w:p>
        </w:tc>
        <w:tc>
          <w:tcPr>
            <w:tcW w:w="157"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w:t>
            </w:r>
          </w:p>
        </w:tc>
        <w:tc>
          <w:tcPr>
            <w:tcW w:w="1370" w:type="dxa"/>
            <w:tcBorders/>
            <w:shd w:fill="CCEEFF" w:val="clear"/>
            <w:vAlign w:val="bottom"/>
          </w:tcPr>
          <w:p>
            <w:pPr>
              <w:pStyle w:val="TableContents"/>
              <w:spacing w:before="0" w:after="283"/>
              <w:jc w:val="right"/>
              <w:rPr/>
            </w:pPr>
            <w:r>
              <w:rPr/>
              <w:t>(1,925,941</w:t>
            </w:r>
          </w:p>
        </w:tc>
        <w:tc>
          <w:tcPr>
            <w:tcW w:w="163"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309194_13"/>
      <w:bookmarkEnd w:id="15"/>
      <w:r>
        <w:rPr>
          <w:rFonts w:ascii="Times New Roman" w:hAnsi="Times New Roman"/>
          <w:b/>
          <w:sz w:val="20"/>
        </w:rPr>
        <w:t xml:space="preserve">UNAUDITED PRO FORMA CONDENSED COMBINED FINANCIAL INFORMATION </w:t>
      </w:r>
    </w:p>
    <w:p>
      <w:pPr>
        <w:pStyle w:val="TextBody"/>
        <w:spacing w:before="240" w:after="0"/>
        <w:jc w:val="left"/>
        <w:rPr>
          <w:rFonts w:ascii="Times New Roman" w:hAnsi="Times New Roman"/>
          <w:b/>
          <w:sz w:val="20"/>
        </w:rPr>
      </w:pPr>
      <w:r>
        <w:rPr>
          <w:rFonts w:ascii="Times New Roman" w:hAnsi="Times New Roman"/>
          <w:b/>
          <w:sz w:val="20"/>
        </w:rPr>
        <w:t xml:space="preserve">Introduction </w:t>
      </w:r>
    </w:p>
    <w:p>
      <w:pPr>
        <w:pStyle w:val="TextBody"/>
        <w:spacing w:before="120" w:after="0"/>
        <w:jc w:val="left"/>
        <w:rPr>
          <w:rFonts w:ascii="Times New Roman" w:hAnsi="Times New Roman"/>
          <w:sz w:val="20"/>
        </w:rPr>
      </w:pPr>
      <w:r>
        <w:rPr>
          <w:rFonts w:ascii="Times New Roman" w:hAnsi="Times New Roman"/>
          <w:sz w:val="20"/>
        </w:rPr>
        <w:t xml:space="preserve">Armada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 as amended by the final rule, Release No. 33-10786 Amendments to Financial Disclosures about Acquired and Disposed Businesses.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2022 combines the historical balance sheet of Armada and the carve-out consolidated balance sheet of Rezolve on a pro forma basis as if the Business Combination and related transactions, summarized below, had been consummated on December 31, 2022. The unaudited pro forma condensed combined statement of operations for the year ended December 31, 2022 combines the historical statements of operations of Armada and Rezolve on a pro forma basis as if the Business Combination and related transactions, summarized below, had been consummated on January 1, 2022, the beginning of the earliest period presented. </w:t>
      </w:r>
    </w:p>
    <w:p>
      <w:pPr>
        <w:pStyle w:val="TextBody"/>
        <w:spacing w:before="240" w:after="0"/>
        <w:jc w:val="left"/>
        <w:rPr>
          <w:rFonts w:ascii="Times New Roman" w:hAnsi="Times New Roman"/>
          <w:sz w:val="20"/>
        </w:rPr>
      </w:pPr>
      <w:r>
        <w:rPr>
          <w:rFonts w:ascii="Times New Roman" w:hAnsi="Times New Roman"/>
          <w:sz w:val="20"/>
        </w:rPr>
        <w:t xml:space="preserve">A summary of the Business Combination and related transactions is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the Business Combination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6"/>
        <w:gridCol w:w="420"/>
        <w:gridCol w:w="9173"/>
      </w:tblGrid>
      <w:tr>
        <w:trPr/>
        <w:tc>
          <w:tcPr>
            <w:tcW w:w="946"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(ii)</w:t>
            </w:r>
          </w:p>
        </w:tc>
        <w:tc>
          <w:tcPr>
            <w:tcW w:w="91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Warrants that will entitle the holder to purchase one Rezolve Ordinary Share in lieu of one share of Armada Common Stock and otherwise on substantially the same terms and conditions as the Armada Warrants.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unaudited pro forma condensed combined balance sheet does not purport to represent, and is not necessarily indicative of, what the actual financial condition of the Combined Company would have been had the Business Combination taken place on December 31, 2022,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2022, nor are they indicative of the results of operations of the Combined Company for any future period. The unaudited pro forma condensed combined financial information should be read in conjunction with: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audited financial statements of Armada as of, and for the year ended, September 30, 2022, included elsewhere in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unaudited financial statements for Armada as of and for the quarter ended December 31, 2022, included elsewhere in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audited carve-out financial statements of Rezolve as of, and for the year ended, December 31, 2022, included elsewhere in this proxy statement/prospectus;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sections entitled </w:t>
            </w:r>
            <w:r>
              <w:rPr>
                <w:rFonts w:ascii="Times New Roman" w:hAnsi="Times New Roman"/>
                <w:i/>
                <w:sz w:val="20"/>
              </w:rPr>
              <w:t>Managements Discussion and Analysis of Financial Condition and Results of Operations of Armada</w:t>
            </w:r>
            <w:r>
              <w:rPr>
                <w:rFonts w:ascii="Times New Roman" w:hAnsi="Times New Roman"/>
                <w:sz w:val="20"/>
              </w:rPr>
              <w:t> and </w:t>
            </w:r>
            <w:r>
              <w:rPr>
                <w:rFonts w:ascii="Times New Roman" w:hAnsi="Times New Roman"/>
                <w:i/>
                <w:sz w:val="20"/>
              </w:rPr>
              <w:t>Managements Discussion and Analysis of Financial Condition and Results of Operations of Rezolve</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w:t>
      </w:r>
    </w:p>
    <w:p>
      <w:pPr>
        <w:pStyle w:val="TextBody"/>
        <w:spacing w:before="0" w:after="0"/>
        <w:jc w:val="left"/>
        <w:rPr>
          <w:rFonts w:ascii="Times New Roman" w:hAnsi="Times New Roman"/>
          <w:sz w:val="20"/>
        </w:rPr>
      </w:pPr>
      <w:r>
        <w:rPr>
          <w:rFonts w:ascii="Times New Roman" w:hAnsi="Times New Roman"/>
          <w:sz w:val="20"/>
        </w:rPr>
        <w:t xml:space="preserve">adjustments will differ from the pro forma adjustments and it is possible the difference may be material. Armada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 </w:t>
      </w:r>
    </w:p>
    <w:p>
      <w:pPr>
        <w:pStyle w:val="TextBody"/>
        <w:spacing w:before="360" w:after="0"/>
        <w:jc w:val="left"/>
        <w:rPr>
          <w:rFonts w:ascii="Times New Roman" w:hAnsi="Times New Roman"/>
          <w:b/>
          <w:sz w:val="20"/>
        </w:rPr>
      </w:pPr>
      <w:r>
        <w:rPr>
          <w:rFonts w:ascii="Times New Roman" w:hAnsi="Times New Roman"/>
          <w:b/>
          <w:sz w:val="20"/>
        </w:rPr>
        <w:t xml:space="preserve">Accounting for the Business Combination </w:t>
      </w:r>
    </w:p>
    <w:p>
      <w:pPr>
        <w:pStyle w:val="TextBody"/>
        <w:spacing w:before="120" w:after="0"/>
        <w:jc w:val="left"/>
        <w:rPr>
          <w:rFonts w:ascii="Times New Roman" w:hAnsi="Times New Roman"/>
          <w:sz w:val="20"/>
        </w:rPr>
      </w:pPr>
      <w:r>
        <w:rPr>
          <w:rFonts w:ascii="Times New Roman" w:hAnsi="Times New Roman"/>
          <w:sz w:val="20"/>
        </w:rPr>
        <w:t xml:space="preserve">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w:t>
      </w:r>
    </w:p>
    <w:p>
      <w:pPr>
        <w:pStyle w:val="TextBody"/>
        <w:spacing w:before="240" w:after="0"/>
        <w:jc w:val="left"/>
        <w:rPr>
          <w:rFonts w:ascii="Times New Roman" w:hAnsi="Times New Roman"/>
          <w:sz w:val="20"/>
        </w:rPr>
      </w:pPr>
      <w:r>
        <w:rPr>
          <w:rFonts w:ascii="Times New Roman" w:hAnsi="Times New Roman"/>
          <w:sz w:val="20"/>
        </w:rPr>
        <w:t xml:space="preserve">Rezolve has been determined to be the accounting acquirer based on evaluation of the following facts and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shareholders will have majority of the voting power under both the minimum redemption and maximum redemption scenarios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4"/>
        <w:gridCol w:w="9594"/>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will appoint majority of the directors of Rezolve PLC;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existing management will comprise the management of Rezolve PLC;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Rezolves operations will comprise the ongoing operations of Rezolve PLC;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is the larger entity based on historical revenues and business operations;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PLC will assume Rezolves name and will assume Rezolves headquarters. </w:t>
            </w:r>
          </w:p>
        </w:tc>
      </w:tr>
    </w:tbl>
    <w:p>
      <w:pPr>
        <w:pStyle w:val="TextBody"/>
        <w:spacing w:before="360" w:after="0"/>
        <w:jc w:val="left"/>
        <w:rPr>
          <w:rFonts w:ascii="Times New Roman" w:hAnsi="Times New Roman"/>
          <w:b/>
          <w:sz w:val="20"/>
        </w:rPr>
      </w:pPr>
      <w:r>
        <w:rPr>
          <w:rFonts w:ascii="Times New Roman" w:hAnsi="Times New Roman"/>
          <w:b/>
          <w:sz w:val="20"/>
        </w:rPr>
        <w:t xml:space="preserve">Basis of Pro Forma Presentation </w:t>
      </w:r>
    </w:p>
    <w:p>
      <w:pPr>
        <w:pStyle w:val="TextBody"/>
        <w:spacing w:before="120" w:after="0"/>
        <w:jc w:val="left"/>
        <w:rPr>
          <w:rFonts w:ascii="Times New Roman" w:hAnsi="Times New Roman"/>
          <w:sz w:val="20"/>
        </w:rPr>
      </w:pPr>
      <w:r>
        <w:rPr>
          <w:rFonts w:ascii="Times New Roman" w:hAnsi="Times New Roman"/>
          <w:sz w:val="20"/>
        </w:rPr>
        <w:t xml:space="preserve">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Assuming Minimum Redemptions: </w:t>
            </w:r>
            <w:r>
              <w:rPr>
                <w:rFonts w:ascii="Times New Roman" w:hAnsi="Times New Roman"/>
                <w:sz w:val="20"/>
              </w:rPr>
              <w:t xml:space="preserve">This scenario gives effect to Armada Share Redemptions of 11,491,148 shares of Armada common stock for aggregate redemption payments of $117 million at a redemption price of approximately $10.00 per share based on the investments held in the Trust Account. This scenario also assumes that the following conditions to closing of the Business Combination under the Business Combination Agreement are satisfied or, if not satisfied, waived: (i) the Net Tangible Assets Condition and, (ii) the approval for listing on Nasdaq (subject to official notice of issuance) of the Rezolve Ordinary Shares held by the existing Rezolve Shareholders and those to be issued in connection with the Merger. Armada cannot assure you that the Net Tangible Assets Condition or the Nasdaq Closing Condition will be satisfied without additional third-party financing, which may involve dilutive equity issuances or the incurrence of indebtedness at higher-than-desirable levels. Even if the Net Tangible Assets Condition is waived by Rezolve Limited, the Armada Charter would prohibit Armada from closing the Business Combination if its net tangible assets would be less than $5,000,001, unless Armada seeks to amend its charter prior to closing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Assuming Maximum Redemptions: </w:t>
            </w:r>
            <w:r>
              <w:rPr>
                <w:rFonts w:ascii="Times New Roman" w:hAnsi="Times New Roman"/>
                <w:sz w:val="20"/>
              </w:rPr>
              <w:t xml:space="preserve">This scenario assumes that all shares of Armada common stock are redeemed for their pro rata share of the cash in the Trust Account in connection with the Armada Share Redemptions. This scenario gives effect to Armada Share Redemptions of 15,000,000 shares of Armada common stock for aggregate redemption payments of $150,000,000 at a redemption price of approximately $10.00 per share based on the investments held in the Trust Account. This scenario also assumes that the following conditions to closing of the Business Combination under the Business Combination Agreement are satisfied or, if not satisfied, waived: (i) the Net Tangible Assets Condition and, (ii) the approval for listing on Nasdaq (subject to official notice of issuance) of the Rezolve Ordinary Shares held by the existing Rezolve Shareholders and those to be issued in connection with the Merger. Armada cannot assure you that the Net Tangible Assets Condition or the Nasdaq Closing Condition will be satisfied without additional third-party financing, which may involve dilutive equity issuances or the incurrence of indebtedness at higher-than-desirable levels. Even if the Net Tangible Assets Condition is waived by Rezolve Limited, the Armada Charter would prohibit Armada from closing the Business Combination if its net tangible assets would be less than $5,000,001, unless Armada seeks to amend its charter prior to closing of the Business Combination.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summarizes the pro forma shares of Rezolve AI PLC common stock issued and outstanding immediately after the Closing, presenting the two redemption scenarios: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33"/>
        <w:gridCol w:w="233"/>
        <w:gridCol w:w="63"/>
        <w:gridCol w:w="1485"/>
        <w:gridCol w:w="155"/>
        <w:gridCol w:w="233"/>
        <w:gridCol w:w="63"/>
        <w:gridCol w:w="1485"/>
        <w:gridCol w:w="159"/>
      </w:tblGrid>
      <w:tr>
        <w:trPr/>
        <w:tc>
          <w:tcPr>
            <w:tcW w:w="41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133"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5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Minimum</w:t>
              <w:br/>
              <w:t>Redemptions</w:t>
            </w:r>
          </w:p>
        </w:tc>
        <w:tc>
          <w:tcPr>
            <w:tcW w:w="15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5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Assuming</w:t>
              <w:br/>
              <w:t>Maximum</w:t>
              <w:br/>
              <w:t>Redemptions</w:t>
            </w:r>
          </w:p>
        </w:tc>
        <w:tc>
          <w:tcPr>
            <w:tcW w:w="159" w:type="dxa"/>
            <w:tcBorders/>
            <w:shd w:fill="auto" w:val="clear"/>
            <w:vAlign w:val="bottom"/>
          </w:tcPr>
          <w:p>
            <w:pPr>
              <w:pStyle w:val="TableContents"/>
              <w:spacing w:before="0" w:after="283"/>
              <w:rPr/>
            </w:pPr>
            <w:r>
              <w:rPr/>
              <w:t> </w:t>
            </w:r>
          </w:p>
        </w:tc>
      </w:tr>
      <w:tr>
        <w:trPr/>
        <w:tc>
          <w:tcPr>
            <w:tcW w:w="4133" w:type="dxa"/>
            <w:tcBorders/>
            <w:shd w:fill="CCEEFF" w:val="clear"/>
          </w:tcPr>
          <w:p>
            <w:pPr>
              <w:pStyle w:val="TableContents"/>
              <w:spacing w:before="0" w:after="0"/>
              <w:rPr>
                <w:rFonts w:ascii="Times New Roman" w:hAnsi="Times New Roman"/>
                <w:sz w:val="20"/>
              </w:rPr>
            </w:pPr>
            <w:r>
              <w:rPr>
                <w:rFonts w:ascii="Times New Roman" w:hAnsi="Times New Roman"/>
                <w:sz w:val="20"/>
              </w:rPr>
              <w:t>Rezolve Equityholders</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180,454,151</w:t>
            </w:r>
          </w:p>
        </w:tc>
        <w:tc>
          <w:tcPr>
            <w:tcW w:w="15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180,454,151</w:t>
            </w:r>
          </w:p>
        </w:tc>
        <w:tc>
          <w:tcPr>
            <w:tcW w:w="159" w:type="dxa"/>
            <w:tcBorders/>
            <w:shd w:fill="CCEEFF" w:val="clear"/>
            <w:vAlign w:val="bottom"/>
          </w:tcPr>
          <w:p>
            <w:pPr>
              <w:pStyle w:val="TableContents"/>
              <w:spacing w:before="0" w:after="283"/>
              <w:rPr/>
            </w:pPr>
            <w:r>
              <w:rPr/>
              <w:t> </w:t>
            </w:r>
          </w:p>
        </w:tc>
      </w:tr>
      <w:tr>
        <w:trPr/>
        <w:tc>
          <w:tcPr>
            <w:tcW w:w="4133" w:type="dxa"/>
            <w:tcBorders/>
            <w:shd w:fill="auto" w:val="clear"/>
          </w:tcPr>
          <w:p>
            <w:pPr>
              <w:pStyle w:val="TableContents"/>
              <w:spacing w:before="0" w:after="0"/>
              <w:rPr>
                <w:rFonts w:ascii="Times New Roman" w:hAnsi="Times New Roman"/>
                <w:sz w:val="20"/>
              </w:rPr>
            </w:pPr>
            <w:r>
              <w:rPr>
                <w:rFonts w:ascii="Times New Roman" w:hAnsi="Times New Roman"/>
                <w:sz w:val="20"/>
              </w:rPr>
              <w:t>Public Stockholders</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3,508,852</w:t>
            </w:r>
          </w:p>
        </w:tc>
        <w:tc>
          <w:tcPr>
            <w:tcW w:w="15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133" w:type="dxa"/>
            <w:tcBorders/>
            <w:shd w:fill="CCEEFF" w:val="clear"/>
          </w:tcPr>
          <w:p>
            <w:pPr>
              <w:pStyle w:val="TableContents"/>
              <w:spacing w:before="0" w:after="0"/>
              <w:rPr>
                <w:rFonts w:ascii="Times New Roman" w:hAnsi="Times New Roman"/>
                <w:sz w:val="20"/>
              </w:rPr>
            </w:pPr>
            <w:r>
              <w:rPr>
                <w:rFonts w:ascii="Times New Roman" w:hAnsi="Times New Roman"/>
                <w:sz w:val="20"/>
              </w:rPr>
              <w:t>Founder and Private Placement Shares</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5,709,500</w:t>
            </w:r>
          </w:p>
        </w:tc>
        <w:tc>
          <w:tcPr>
            <w:tcW w:w="15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5,709,500</w:t>
            </w:r>
          </w:p>
        </w:tc>
        <w:tc>
          <w:tcPr>
            <w:tcW w:w="159" w:type="dxa"/>
            <w:tcBorders/>
            <w:shd w:fill="CCEEFF" w:val="clear"/>
            <w:vAlign w:val="bottom"/>
          </w:tcPr>
          <w:p>
            <w:pPr>
              <w:pStyle w:val="TableContents"/>
              <w:spacing w:before="0" w:after="283"/>
              <w:rPr/>
            </w:pPr>
            <w:r>
              <w:rPr/>
              <w:t> </w:t>
            </w:r>
          </w:p>
        </w:tc>
      </w:tr>
      <w:tr>
        <w:trPr/>
        <w:tc>
          <w:tcPr>
            <w:tcW w:w="4133" w:type="dxa"/>
            <w:tcBorders/>
            <w:shd w:fill="auto" w:val="clear"/>
          </w:tcPr>
          <w:p>
            <w:pPr>
              <w:pStyle w:val="TableContents"/>
              <w:spacing w:before="0" w:after="0"/>
              <w:rPr>
                <w:rFonts w:ascii="Times New Roman" w:hAnsi="Times New Roman"/>
                <w:sz w:val="20"/>
              </w:rPr>
            </w:pPr>
            <w:r>
              <w:rPr>
                <w:rFonts w:ascii="Times New Roman" w:hAnsi="Times New Roman"/>
                <w:sz w:val="20"/>
              </w:rPr>
              <w:t>Reclassification to Deferred Shares</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(6,953,008</w:t>
            </w:r>
          </w:p>
        </w:tc>
        <w:tc>
          <w:tcPr>
            <w:tcW w:w="15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(6,953,008</w:t>
            </w:r>
          </w:p>
        </w:tc>
        <w:tc>
          <w:tcPr>
            <w:tcW w:w="159" w:type="dxa"/>
            <w:tcBorders/>
            <w:shd w:fill="auto" w:val="clear"/>
            <w:vAlign w:val="bottom"/>
          </w:tcPr>
          <w:p>
            <w:pPr>
              <w:pStyle w:val="TableContents"/>
              <w:spacing w:before="0" w:after="283"/>
              <w:rPr/>
            </w:pPr>
            <w:r>
              <w:rPr/>
              <w:t>) </w:t>
            </w:r>
          </w:p>
        </w:tc>
      </w:tr>
      <w:tr>
        <w:trPr/>
        <w:tc>
          <w:tcPr>
            <w:tcW w:w="4133" w:type="dxa"/>
            <w:tcBorders/>
            <w:shd w:fill="CCEEFF" w:val="clear"/>
          </w:tcPr>
          <w:p>
            <w:pPr>
              <w:pStyle w:val="TableContents"/>
              <w:spacing w:before="0" w:after="0"/>
              <w:rPr>
                <w:rFonts w:ascii="Times New Roman" w:hAnsi="Times New Roman"/>
                <w:sz w:val="20"/>
              </w:rPr>
            </w:pPr>
            <w:r>
              <w:rPr>
                <w:rFonts w:ascii="Times New Roman" w:hAnsi="Times New Roman"/>
                <w:sz w:val="20"/>
              </w:rPr>
              <w:t>Employee share options</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2,500,000</w:t>
            </w:r>
          </w:p>
        </w:tc>
        <w:tc>
          <w:tcPr>
            <w:tcW w:w="15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2,500,000</w:t>
            </w:r>
          </w:p>
        </w:tc>
        <w:tc>
          <w:tcPr>
            <w:tcW w:w="159" w:type="dxa"/>
            <w:tcBorders/>
            <w:shd w:fill="CCEEFF" w:val="clear"/>
            <w:vAlign w:val="bottom"/>
          </w:tcPr>
          <w:p>
            <w:pPr>
              <w:pStyle w:val="TableContents"/>
              <w:spacing w:before="0" w:after="283"/>
              <w:rPr/>
            </w:pPr>
            <w:r>
              <w:rPr/>
              <w:t> </w:t>
            </w:r>
          </w:p>
        </w:tc>
      </w:tr>
      <w:tr>
        <w:trPr/>
        <w:tc>
          <w:tcPr>
            <w:tcW w:w="4133" w:type="dxa"/>
            <w:tcBorders/>
            <w:shd w:fill="auto" w:val="clear"/>
          </w:tcPr>
          <w:p>
            <w:pPr>
              <w:pStyle w:val="TableContents"/>
              <w:spacing w:before="0" w:after="0"/>
              <w:rPr>
                <w:rFonts w:ascii="Times New Roman" w:hAnsi="Times New Roman"/>
                <w:sz w:val="20"/>
              </w:rPr>
            </w:pPr>
            <w:r>
              <w:rPr>
                <w:rFonts w:ascii="Times New Roman" w:hAnsi="Times New Roman"/>
                <w:sz w:val="20"/>
              </w:rPr>
              <w:t>Convertible notes</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3,428,671</w:t>
            </w:r>
          </w:p>
        </w:tc>
        <w:tc>
          <w:tcPr>
            <w:tcW w:w="15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5" w:type="dxa"/>
            <w:tcBorders/>
            <w:shd w:fill="auto" w:val="clear"/>
            <w:vAlign w:val="bottom"/>
          </w:tcPr>
          <w:p>
            <w:pPr>
              <w:pStyle w:val="TableContents"/>
              <w:spacing w:before="0" w:after="283"/>
              <w:jc w:val="right"/>
              <w:rPr/>
            </w:pPr>
            <w:r>
              <w:rPr/>
              <w:t>3,428,571</w:t>
            </w:r>
          </w:p>
        </w:tc>
        <w:tc>
          <w:tcPr>
            <w:tcW w:w="159" w:type="dxa"/>
            <w:tcBorders/>
            <w:shd w:fill="auto" w:val="clear"/>
            <w:vAlign w:val="bottom"/>
          </w:tcPr>
          <w:p>
            <w:pPr>
              <w:pStyle w:val="TableContents"/>
              <w:spacing w:before="0" w:after="283"/>
              <w:rPr/>
            </w:pPr>
            <w:r>
              <w:rPr/>
              <w:t> </w:t>
            </w:r>
          </w:p>
        </w:tc>
      </w:tr>
      <w:tr>
        <w:trPr/>
        <w:tc>
          <w:tcPr>
            <w:tcW w:w="4133"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single" w:sz="2" w:space="1" w:color="000000"/>
              </w:pBdr>
              <w:spacing w:before="0" w:after="0"/>
              <w:rPr/>
            </w:pPr>
            <w:r>
              <w:rPr/>
              <w:t> </w:t>
            </w:r>
          </w:p>
        </w:tc>
        <w:tc>
          <w:tcPr>
            <w:tcW w:w="148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13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Shares</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188,648,066</w:t>
            </w:r>
          </w:p>
        </w:tc>
        <w:tc>
          <w:tcPr>
            <w:tcW w:w="15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5" w:type="dxa"/>
            <w:tcBorders/>
            <w:shd w:fill="CCEEFF" w:val="clear"/>
            <w:vAlign w:val="bottom"/>
          </w:tcPr>
          <w:p>
            <w:pPr>
              <w:pStyle w:val="TableContents"/>
              <w:spacing w:before="0" w:after="283"/>
              <w:jc w:val="right"/>
              <w:rPr/>
            </w:pPr>
            <w:r>
              <w:rPr/>
              <w:t>185,139,214</w:t>
            </w:r>
          </w:p>
        </w:tc>
        <w:tc>
          <w:tcPr>
            <w:tcW w:w="159" w:type="dxa"/>
            <w:tcBorders/>
            <w:shd w:fill="CCEEFF" w:val="clear"/>
            <w:vAlign w:val="bottom"/>
          </w:tcPr>
          <w:p>
            <w:pPr>
              <w:pStyle w:val="TableContents"/>
              <w:spacing w:before="0" w:after="283"/>
              <w:rPr/>
            </w:pPr>
            <w:r>
              <w:rPr/>
              <w:t> </w:t>
            </w:r>
          </w:p>
        </w:tc>
      </w:tr>
      <w:tr>
        <w:trPr/>
        <w:tc>
          <w:tcPr>
            <w:tcW w:w="4133"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double" w:sz="6" w:space="1" w:color="000000"/>
              </w:pBdr>
              <w:spacing w:before="0" w:after="0"/>
              <w:rPr/>
            </w:pPr>
            <w:r>
              <w:rPr/>
              <w:t> </w:t>
            </w:r>
          </w:p>
        </w:tc>
        <w:tc>
          <w:tcPr>
            <w:tcW w:w="148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pBdr>
                <w:top w:val="double" w:sz="6" w:space="1" w:color="000000"/>
              </w:pBdr>
              <w:spacing w:before="0" w:after="0"/>
              <w:rPr/>
            </w:pPr>
            <w:r>
              <w:rPr/>
              <w:t> </w:t>
            </w:r>
          </w:p>
        </w:tc>
        <w:tc>
          <w:tcPr>
            <w:tcW w:w="148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If these assumptions are ultimately incorrect, the amounts and shares outstanding in the unaudited pro forma condensed combined financial information will be different and such differences could be material. Additionally, the number of Employee Share Ownerships Plans and their accounting impact are not considered for the purposes of these pro forma condensed combined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spacing w:before="0" w:after="0"/>
        <w:jc w:val="center"/>
        <w:rPr>
          <w:rFonts w:ascii="Times New Roman" w:hAnsi="Times New Roman"/>
          <w:b/>
          <w:sz w:val="20"/>
        </w:rPr>
      </w:pPr>
      <w:r>
        <w:rPr>
          <w:rFonts w:ascii="Times New Roman" w:hAnsi="Times New Roman"/>
          <w:b/>
          <w:sz w:val="20"/>
        </w:rPr>
        <w:t xml:space="preserve">AS OF DECEMBER 31, 2022 </w:t>
      </w:r>
    </w:p>
    <w:p>
      <w:pPr>
        <w:pStyle w:val="TextBody"/>
        <w:spacing w:before="0" w:after="0"/>
        <w:jc w:val="left"/>
        <w:rPr/>
      </w:pPr>
      <w:r>
        <w:rPr/>
        <w:t> </w:t>
      </w:r>
    </w:p>
    <w:tbl>
      <w:tblPr>
        <w:tblW w:w="11395" w:type="dxa"/>
        <w:jc w:val="center"/>
        <w:tblInd w:w="0" w:type="dxa"/>
        <w:tblCellMar>
          <w:top w:w="0" w:type="dxa"/>
          <w:left w:w="0" w:type="dxa"/>
          <w:bottom w:w="0" w:type="dxa"/>
          <w:right w:w="0" w:type="dxa"/>
        </w:tblCellMar>
      </w:tblPr>
      <w:tblGrid>
        <w:gridCol w:w="1205"/>
        <w:gridCol w:w="60"/>
        <w:gridCol w:w="151"/>
        <w:gridCol w:w="1189"/>
        <w:gridCol w:w="60"/>
        <w:gridCol w:w="120"/>
        <w:gridCol w:w="140"/>
        <w:gridCol w:w="1220"/>
        <w:gridCol w:w="60"/>
        <w:gridCol w:w="120"/>
        <w:gridCol w:w="140"/>
        <w:gridCol w:w="1295"/>
        <w:gridCol w:w="155"/>
        <w:gridCol w:w="60"/>
        <w:gridCol w:w="290"/>
        <w:gridCol w:w="120"/>
        <w:gridCol w:w="140"/>
        <w:gridCol w:w="1100"/>
        <w:gridCol w:w="60"/>
        <w:gridCol w:w="120"/>
        <w:gridCol w:w="155"/>
        <w:gridCol w:w="1304"/>
        <w:gridCol w:w="172"/>
        <w:gridCol w:w="66"/>
        <w:gridCol w:w="321"/>
        <w:gridCol w:w="133"/>
        <w:gridCol w:w="155"/>
        <w:gridCol w:w="1224"/>
        <w:gridCol w:w="60"/>
      </w:tblGrid>
      <w:tr>
        <w:trPr/>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34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Rezolve AI</w:t>
              <w:br/>
              <w:t>Limited and</w:t>
              <w:br/>
              <w:t>Subsidiaries</w:t>
              <w:br/>
              <w:t>(Historical as</w:t>
              <w:br/>
              <w:t>of 12/31/2022)</w:t>
            </w:r>
          </w:p>
        </w:tc>
        <w:tc>
          <w:tcPr>
            <w:tcW w:w="60" w:type="dxa"/>
            <w:vMerge w:val="restart"/>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36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Armada</w:t>
              <w:br/>
              <w:t>Acquisition</w:t>
              <w:br/>
              <w:t>Corp. I</w:t>
              <w:br/>
              <w:t>(Historical</w:t>
              <w:br/>
              <w:t>as of</w:t>
              <w:br/>
              <w:t>12/31/2022)</w:t>
            </w:r>
          </w:p>
        </w:tc>
        <w:tc>
          <w:tcPr>
            <w:tcW w:w="60" w:type="dxa"/>
            <w:vMerge w:val="restart"/>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30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Minimum Redemptions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53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 Redemptions</w:t>
            </w:r>
          </w:p>
        </w:tc>
        <w:tc>
          <w:tcPr>
            <w:tcW w:w="60" w:type="dxa"/>
            <w:tcBorders/>
            <w:shd w:fill="auto" w:val="clear"/>
            <w:vAlign w:val="bottom"/>
          </w:tcPr>
          <w:p>
            <w:pPr>
              <w:pStyle w:val="TableContents"/>
              <w:spacing w:before="0" w:after="283"/>
              <w:rPr/>
            </w:pPr>
            <w:r>
              <w:rPr/>
              <w:t> </w:t>
            </w:r>
          </w:p>
        </w:tc>
      </w:tr>
      <w:tr>
        <w:trPr/>
        <w:tc>
          <w:tcPr>
            <w:tcW w:w="120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34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136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2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3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b/>
                <w:sz w:val="19"/>
              </w:rPr>
            </w:pPr>
            <w:r>
              <w:rPr>
                <w:rFonts w:ascii="Times New Roman" w:hAnsi="Times New Roman"/>
                <w:b/>
                <w:sz w:val="19"/>
              </w:rPr>
              <w:t>Assets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Current assets: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Cash and cash equivalents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189" w:type="dxa"/>
            <w:tcBorders/>
            <w:shd w:fill="CCEEFF" w:val="clear"/>
            <w:vAlign w:val="bottom"/>
          </w:tcPr>
          <w:p>
            <w:pPr>
              <w:pStyle w:val="TableContents"/>
              <w:spacing w:before="0" w:after="283"/>
              <w:jc w:val="right"/>
              <w:rPr/>
            </w:pPr>
            <w:r>
              <w:rPr/>
              <w:t>41,709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363,247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(22,658,482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(a)</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04" w:type="dxa"/>
            <w:tcBorders/>
            <w:shd w:fill="CCEEFF" w:val="clear"/>
            <w:vAlign w:val="bottom"/>
          </w:tcPr>
          <w:p>
            <w:pPr>
              <w:pStyle w:val="TableContents"/>
              <w:spacing w:before="0" w:after="283"/>
              <w:jc w:val="right"/>
              <w:rPr/>
            </w:pPr>
            <w:r>
              <w:rPr/>
              <w:t>(35,949,116</w:t>
            </w:r>
          </w:p>
        </w:tc>
        <w:tc>
          <w:tcPr>
            <w:tcW w:w="17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center"/>
              <w:rPr/>
            </w:pPr>
            <w:r>
              <w:rPr/>
              <w:t>(n)</w:t>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2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36,555,509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(b)</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35,949,116</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center"/>
              <w:rPr/>
            </w:pPr>
            <w:r>
              <w:rPr/>
              <w:t>(o)</w:t>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20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(3,161,878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(c)</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(1,776,751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(d)</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20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(2,201,754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(7,161,600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(f)</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Accounts receivable, net</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682,474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682,474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682,474</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Prepaid expenses and other current assets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1,202,572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6,264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1,208,836</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1,208,836</w:t>
            </w:r>
          </w:p>
        </w:tc>
        <w:tc>
          <w:tcPr>
            <w:tcW w:w="60" w:type="dxa"/>
            <w:tcBorders/>
            <w:shd w:fill="auto" w:val="clear"/>
            <w:vAlign w:val="bottom"/>
          </w:tcPr>
          <w:p>
            <w:pPr>
              <w:pStyle w:val="TableContents"/>
              <w:spacing w:before="0" w:after="283"/>
              <w:rPr/>
            </w:pPr>
            <w:r>
              <w:rPr/>
              <w:t> </w:t>
            </w:r>
          </w:p>
        </w:tc>
      </w:tr>
      <w:tr>
        <w:trPr/>
        <w:tc>
          <w:tcPr>
            <w:tcW w:w="1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1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Total current assets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1,926,755</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369,511</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(404,956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1,891,310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1,891,310</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Property and equipment, net</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139,560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139,560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139,560</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Goodwill and Intangible assets, net</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7,299,206</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7,299,206</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7,299,206</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Investment and investment held in trust account, net</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153,634,598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(36,555,509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(b)</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(117,079,089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(g)</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1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Total assets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1189" w:type="dxa"/>
            <w:tcBorders/>
            <w:shd w:fill="auto" w:val="clear"/>
            <w:vAlign w:val="bottom"/>
          </w:tcPr>
          <w:p>
            <w:pPr>
              <w:pStyle w:val="TableContents"/>
              <w:spacing w:before="0" w:after="283"/>
              <w:jc w:val="right"/>
              <w:rPr/>
            </w:pPr>
            <w:r>
              <w:rPr/>
              <w:t>9,365,521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154,004,109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(154,039,554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9,330,076</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9,330,076</w:t>
            </w:r>
          </w:p>
        </w:tc>
        <w:tc>
          <w:tcPr>
            <w:tcW w:w="60" w:type="dxa"/>
            <w:tcBorders/>
            <w:shd w:fill="auto" w:val="clear"/>
            <w:vAlign w:val="bottom"/>
          </w:tcPr>
          <w:p>
            <w:pPr>
              <w:pStyle w:val="TableContents"/>
              <w:spacing w:before="0" w:after="283"/>
              <w:rPr/>
            </w:pPr>
            <w:r>
              <w:rPr/>
              <w:t> </w:t>
            </w:r>
          </w:p>
        </w:tc>
      </w:tr>
      <w:tr>
        <w:trPr/>
        <w:tc>
          <w:tcPr>
            <w:tcW w:w="1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0"/>
              <w:rPr/>
            </w:pPr>
            <w:r>
              <w:rPr/>
              <w:t> </w:t>
            </w:r>
          </w:p>
        </w:tc>
        <w:tc>
          <w:tcPr>
            <w:tcW w:w="118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2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304" w:type="dxa"/>
            <w:tcBorders/>
            <w:shd w:fill="auto" w:val="clear"/>
            <w:vAlign w:val="bottom"/>
          </w:tcPr>
          <w:p>
            <w:pPr>
              <w:pStyle w:val="TableContents"/>
              <w:pBdr>
                <w:top w:val="double" w:sz="6"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double" w:sz="6" w:space="1" w:color="000000"/>
              </w:pBdr>
              <w:spacing w:before="0" w:after="0"/>
              <w:rPr/>
            </w:pPr>
            <w:r>
              <w:rPr/>
              <w:t> </w:t>
            </w:r>
          </w:p>
        </w:tc>
        <w:tc>
          <w:tcPr>
            <w:tcW w:w="122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b/>
                <w:sz w:val="19"/>
              </w:rPr>
            </w:pPr>
            <w:r>
              <w:rPr>
                <w:rFonts w:ascii="Times New Roman" w:hAnsi="Times New Roman"/>
                <w:b/>
                <w:sz w:val="19"/>
              </w:rPr>
              <w:t>Liabilities and Equity</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Current liabilities: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Short-term loan</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18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10,971,518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(a)</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10,971,518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304" w:type="dxa"/>
            <w:tcBorders/>
            <w:shd w:fill="CCEEFF" w:val="clear"/>
            <w:vAlign w:val="bottom"/>
          </w:tcPr>
          <w:p>
            <w:pPr>
              <w:pStyle w:val="TableContents"/>
              <w:spacing w:before="0" w:after="283"/>
              <w:jc w:val="right"/>
              <w:rPr/>
            </w:pPr>
            <w:r>
              <w:rPr/>
              <w:t>35,949,116</w:t>
            </w:r>
          </w:p>
        </w:tc>
        <w:tc>
          <w:tcPr>
            <w:tcW w:w="17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center"/>
              <w:rPr/>
            </w:pPr>
            <w:r>
              <w:rPr/>
              <w:t>(o)</w:t>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w:t>
            </w:r>
          </w:p>
        </w:tc>
        <w:tc>
          <w:tcPr>
            <w:tcW w:w="1224" w:type="dxa"/>
            <w:tcBorders/>
            <w:shd w:fill="CCEEFF" w:val="clear"/>
            <w:vAlign w:val="bottom"/>
          </w:tcPr>
          <w:p>
            <w:pPr>
              <w:pStyle w:val="TableContents"/>
              <w:spacing w:before="0" w:after="283"/>
              <w:jc w:val="right"/>
              <w:rPr/>
            </w:pPr>
            <w:r>
              <w:rPr/>
              <w:t>47,280,125</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359,491</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center"/>
              <w:rPr/>
            </w:pPr>
            <w:r>
              <w:rPr/>
              <w:t>(q)</w:t>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2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Short term debtrelated party</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697,067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697,067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697,067</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Accounts payable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4,262,476</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3,161,878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(3,161,878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(c)</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4,262,476</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4,262,476</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Related party payable</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225,120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225,120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225,120</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Taxes payable</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605,952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1,170,799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(d)</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359,491</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jc w:val="center"/>
              <w:rPr/>
            </w:pPr>
            <w:r>
              <w:rPr/>
              <w:t>(p)</w:t>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(1,776,751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(d)</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(359,491</w:t>
            </w:r>
          </w:p>
        </w:tc>
        <w:tc>
          <w:tcPr>
            <w:tcW w:w="17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jc w:val="center"/>
              <w:rPr/>
            </w:pPr>
            <w:r>
              <w:rPr/>
              <w:t>(q)</w:t>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Promissory Notes-Related Party</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2,201,754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(2,201,754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(e)</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Accrued expenses and other payables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3,488,909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3,488,909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3,488,909</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1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Total current liabilities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8,673,572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5,969,584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5,001,934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19,645,090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36,308,607</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55,953,697</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Long-term convertible debt, net of debt issuance costs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25,302,709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(25,302,709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(h)</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Share-based payment liability</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1,177,616</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1,177,616</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1,177,616</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sz w:val="19"/>
              </w:rPr>
            </w:pPr>
            <w:r>
              <w:rPr>
                <w:rFonts w:ascii="Times New Roman" w:hAnsi="Times New Roman"/>
                <w:sz w:val="19"/>
              </w:rPr>
              <w:t>Deferred tax liability</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1,526,622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1,526,622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1,526,622</w:t>
            </w:r>
          </w:p>
        </w:tc>
        <w:tc>
          <w:tcPr>
            <w:tcW w:w="60" w:type="dxa"/>
            <w:tcBorders/>
            <w:shd w:fill="CCEEFF" w:val="clear"/>
            <w:vAlign w:val="bottom"/>
          </w:tcPr>
          <w:p>
            <w:pPr>
              <w:pStyle w:val="TableContents"/>
              <w:spacing w:before="0" w:after="283"/>
              <w:rPr/>
            </w:pPr>
            <w:r>
              <w:rPr/>
              <w:t> </w:t>
            </w:r>
          </w:p>
        </w:tc>
      </w:tr>
      <w:tr>
        <w:trPr/>
        <w:tc>
          <w:tcPr>
            <w:tcW w:w="1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1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Total liabilities</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1189" w:type="dxa"/>
            <w:tcBorders/>
            <w:shd w:fill="auto" w:val="clear"/>
            <w:vAlign w:val="bottom"/>
          </w:tcPr>
          <w:p>
            <w:pPr>
              <w:pStyle w:val="TableContents"/>
              <w:spacing w:before="0" w:after="283"/>
              <w:jc w:val="right"/>
              <w:rPr/>
            </w:pPr>
            <w:r>
              <w:rPr/>
              <w:t>36,680,519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5,969,584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(20,300,775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22,349,328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36,308,607</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58,657,935</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0"/>
              <w:rPr>
                <w:rFonts w:ascii="Times New Roman" w:hAnsi="Times New Roman"/>
                <w:b/>
                <w:sz w:val="19"/>
              </w:rPr>
            </w:pPr>
            <w:r>
              <w:rPr>
                <w:rFonts w:ascii="Times New Roman" w:hAnsi="Times New Roman"/>
                <w:b/>
                <w:sz w:val="19"/>
              </w:rPr>
              <w:t>Commitments and Contingencies</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tcPr>
          <w:p>
            <w:pPr>
              <w:pStyle w:val="TableContents"/>
              <w:spacing w:before="0" w:after="0"/>
              <w:rPr>
                <w:rFonts w:ascii="Times New Roman" w:hAnsi="Times New Roman"/>
                <w:sz w:val="19"/>
              </w:rPr>
            </w:pPr>
            <w:r>
              <w:rPr>
                <w:rFonts w:ascii="Times New Roman" w:hAnsi="Times New Roman"/>
                <w:sz w:val="19"/>
              </w:rPr>
              <w:t>Common stock subject to possible redemption, 15,000,000 shares at redemption value of $10.20 per share at December 31, 2022</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153,028,205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(117,079,089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(g)</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sz w:val="4"/>
                <w:szCs w:val="4"/>
              </w:rPr>
            </w:pPr>
            <w:r>
              <w:rPr>
                <w:sz w:val="4"/>
                <w:szCs w:val="4"/>
              </w:rPr>
            </w:r>
          </w:p>
        </w:tc>
        <w:tc>
          <w:tcPr>
            <w:tcW w:w="130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120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(35,949,116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(k)</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pPr>
            <w:r>
              <w:rPr/>
              <w:t> </w:t>
            </w:r>
          </w:p>
        </w:tc>
        <w:tc>
          <w:tcPr>
            <w:tcW w:w="321"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sz w:val="4"/>
                <w:szCs w:val="4"/>
              </w:rPr>
            </w:pPr>
            <w:r>
              <w:rPr>
                <w:sz w:val="4"/>
                <w:szCs w:val="4"/>
              </w:rPr>
            </w:r>
          </w:p>
        </w:tc>
        <w:tc>
          <w:tcPr>
            <w:tcW w:w="12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12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1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172" w:type="dxa"/>
            <w:tcBorders/>
            <w:shd w:fill="auto" w:val="clear"/>
            <w:vAlign w:val="center"/>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20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153,028,205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(153,028,205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pPr>
            <w:r>
              <w:rPr/>
              <w:t>  </w:t>
            </w:r>
          </w:p>
        </w:tc>
        <w:tc>
          <w:tcPr>
            <w:tcW w:w="17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2240" w:type="dxa"/>
        <w:jc w:val="center"/>
        <w:tblInd w:w="0" w:type="dxa"/>
        <w:tblCellMar>
          <w:top w:w="0" w:type="dxa"/>
          <w:left w:w="0" w:type="dxa"/>
          <w:bottom w:w="0" w:type="dxa"/>
          <w:right w:w="0" w:type="dxa"/>
        </w:tblCellMar>
      </w:tblPr>
      <w:tblGrid>
        <w:gridCol w:w="1325"/>
        <w:gridCol w:w="60"/>
        <w:gridCol w:w="140"/>
        <w:gridCol w:w="1295"/>
        <w:gridCol w:w="155"/>
        <w:gridCol w:w="60"/>
        <w:gridCol w:w="140"/>
        <w:gridCol w:w="1220"/>
        <w:gridCol w:w="155"/>
        <w:gridCol w:w="60"/>
        <w:gridCol w:w="140"/>
        <w:gridCol w:w="1295"/>
        <w:gridCol w:w="155"/>
        <w:gridCol w:w="60"/>
        <w:gridCol w:w="350"/>
        <w:gridCol w:w="120"/>
        <w:gridCol w:w="140"/>
        <w:gridCol w:w="1295"/>
        <w:gridCol w:w="155"/>
        <w:gridCol w:w="60"/>
        <w:gridCol w:w="140"/>
        <w:gridCol w:w="1175"/>
        <w:gridCol w:w="485"/>
        <w:gridCol w:w="60"/>
        <w:gridCol w:w="290"/>
        <w:gridCol w:w="120"/>
        <w:gridCol w:w="140"/>
        <w:gridCol w:w="1295"/>
        <w:gridCol w:w="155"/>
      </w:tblGrid>
      <w:tr>
        <w:trPr/>
        <w:tc>
          <w:tcPr>
            <w:tcW w:w="13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4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Rezolve AI</w:t>
              <w:br/>
              <w:t>Limited and</w:t>
              <w:br/>
              <w:t>Subsidiaries</w:t>
              <w:br/>
              <w:t>(Historical as</w:t>
              <w:br/>
              <w:t>of 12/31/2022)</w:t>
            </w:r>
          </w:p>
        </w:tc>
        <w:tc>
          <w:tcPr>
            <w:tcW w:w="15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36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Armada</w:t>
              <w:br/>
              <w:t>Acquisition</w:t>
              <w:br/>
              <w:t>Corp. I</w:t>
              <w:br/>
              <w:t>(Historical</w:t>
              <w:br/>
              <w:t>as of</w:t>
              <w:br/>
              <w:t>12/31/2022)</w:t>
            </w:r>
          </w:p>
        </w:tc>
        <w:tc>
          <w:tcPr>
            <w:tcW w:w="15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55"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Minimum 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05"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 Redemptions</w:t>
            </w:r>
          </w:p>
        </w:tc>
        <w:tc>
          <w:tcPr>
            <w:tcW w:w="155" w:type="dxa"/>
            <w:tcBorders/>
            <w:shd w:fill="auto" w:val="clear"/>
            <w:vAlign w:val="bottom"/>
          </w:tcPr>
          <w:p>
            <w:pPr>
              <w:pStyle w:val="TableContents"/>
              <w:spacing w:before="0" w:after="283"/>
              <w:rPr/>
            </w:pPr>
            <w:r>
              <w:rPr/>
              <w:t> </w:t>
            </w:r>
          </w:p>
        </w:tc>
      </w:tr>
      <w:tr>
        <w:trPr/>
        <w:tc>
          <w:tcPr>
            <w:tcW w:w="132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435"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360"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4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Combined</w:t>
            </w:r>
          </w:p>
        </w:tc>
        <w:tc>
          <w:tcPr>
            <w:tcW w:w="155" w:type="dxa"/>
            <w:tcBorders/>
            <w:shd w:fill="auto" w:val="clear"/>
            <w:vAlign w:val="bottom"/>
          </w:tcPr>
          <w:p>
            <w:pPr>
              <w:pStyle w:val="TableContents"/>
              <w:spacing w:before="0" w:after="283"/>
              <w:rPr/>
            </w:pPr>
            <w:r>
              <w:rPr/>
              <w:t> </w:t>
            </w:r>
          </w:p>
        </w:tc>
      </w:tr>
      <w:tr>
        <w:trPr/>
        <w:tc>
          <w:tcPr>
            <w:tcW w:w="1325" w:type="dxa"/>
            <w:tcBorders/>
            <w:shd w:fill="CCEEFF" w:val="clear"/>
          </w:tcPr>
          <w:p>
            <w:pPr>
              <w:pStyle w:val="TableContents"/>
              <w:spacing w:before="0" w:after="0"/>
              <w:rPr>
                <w:rFonts w:ascii="Times New Roman" w:hAnsi="Times New Roman"/>
                <w:b/>
                <w:sz w:val="19"/>
              </w:rPr>
            </w:pPr>
            <w:r>
              <w:rPr>
                <w:rFonts w:ascii="Times New Roman" w:hAnsi="Times New Roman"/>
                <w:b/>
                <w:sz w:val="19"/>
              </w:rPr>
              <w:t>Shareholders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0"/>
              <w:rPr>
                <w:rFonts w:ascii="Times New Roman" w:hAnsi="Times New Roman"/>
                <w:sz w:val="19"/>
              </w:rPr>
            </w:pPr>
            <w:r>
              <w:rPr>
                <w:rFonts w:ascii="Times New Roman" w:hAnsi="Times New Roman"/>
                <w:sz w:val="19"/>
              </w:rPr>
              <w:t>Ordinary shares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Shares issued and outstanding as of December 31, 2022 - 927,806,159; as of December 31, 2021 - 891,818,882 at par value £ 0.0001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126,677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415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(h)</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130,886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(425</w:t>
            </w:r>
          </w:p>
        </w:tc>
        <w:tc>
          <w:tcPr>
            <w:tcW w:w="4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(n)</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130,461</w:t>
            </w:r>
          </w:p>
        </w:tc>
        <w:tc>
          <w:tcPr>
            <w:tcW w:w="155" w:type="dxa"/>
            <w:tcBorders/>
            <w:shd w:fill="CCEEFF" w:val="clear"/>
            <w:vAlign w:val="bottom"/>
          </w:tcPr>
          <w:p>
            <w:pPr>
              <w:pStyle w:val="TableContents"/>
              <w:spacing w:before="0" w:after="283"/>
              <w:rPr/>
            </w:pPr>
            <w:r>
              <w:rPr/>
              <w:t> </w:t>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(i)</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3,868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(j)</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425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(k)</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303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(l)</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(841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(f)</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Deferred shares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0"/>
              <w:rPr>
                <w:rFonts w:ascii="Times New Roman" w:hAnsi="Times New Roman"/>
                <w:sz w:val="19"/>
              </w:rPr>
            </w:pPr>
            <w:r>
              <w:rPr>
                <w:rFonts w:ascii="Times New Roman" w:hAnsi="Times New Roman"/>
                <w:sz w:val="19"/>
              </w:rPr>
              <w:t>Shares issued and outstanding as of December 31, 2022 - 14,427,185; as of December 31, 2021 - nil at par value £0.0001</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1,993</w:t>
            </w:r>
          </w:p>
        </w:tc>
        <w:tc>
          <w:tcPr>
            <w:tcW w:w="155" w:type="dxa"/>
            <w:tcBorders/>
            <w:shd w:fill="auto" w:val="clear"/>
            <w:vAlign w:val="bottom"/>
          </w:tcPr>
          <w:p>
            <w:pPr>
              <w:pStyle w:val="TableContents"/>
              <w:spacing w:before="0" w:after="283"/>
              <w:rPr/>
            </w:pPr>
            <w:r>
              <w:rPr/>
              <w:t> </w:t>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Series A shares as of December 31, 2022 and 2021 as of December 31, 2021 - nil at par value £0.0001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3,868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(3,868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(j)</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1325" w:type="dxa"/>
            <w:tcBorders/>
            <w:shd w:fill="auto" w:val="clear"/>
          </w:tcPr>
          <w:p>
            <w:pPr>
              <w:pStyle w:val="TableContents"/>
              <w:spacing w:before="0" w:after="0"/>
              <w:rPr>
                <w:rFonts w:ascii="Times New Roman" w:hAnsi="Times New Roman"/>
                <w:sz w:val="19"/>
              </w:rPr>
            </w:pPr>
            <w:r>
              <w:rPr>
                <w:rFonts w:ascii="Times New Roman" w:hAnsi="Times New Roman"/>
                <w:sz w:val="19"/>
              </w:rPr>
              <w:t>Common stock, $0.0001 par value; 100,000,000 shares authorized; 5,709,500 shares issued and outstanding</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570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(570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(i)</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Additional paid-in capital</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163,163,090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969,759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(31,530,000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(a)</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183,791,794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(35,948,691</w:t>
            </w:r>
          </w:p>
        </w:tc>
        <w:tc>
          <w:tcPr>
            <w:tcW w:w="4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(n)</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147,843,103</w:t>
            </w:r>
          </w:p>
        </w:tc>
        <w:tc>
          <w:tcPr>
            <w:tcW w:w="155" w:type="dxa"/>
            <w:tcBorders/>
            <w:shd w:fill="CCEEFF" w:val="clear"/>
            <w:vAlign w:val="bottom"/>
          </w:tcPr>
          <w:p>
            <w:pPr>
              <w:pStyle w:val="TableContents"/>
              <w:spacing w:before="0" w:after="283"/>
              <w:rPr/>
            </w:pPr>
            <w:r>
              <w:rPr/>
              <w:t> </w:t>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(7,160,759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(f)</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25,302,294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(h)</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531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(i)</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35,948,691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(k)</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3,062,197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(l)</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(5,964,009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(m)</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0"/>
              <w:rPr>
                <w:rFonts w:ascii="Times New Roman" w:hAnsi="Times New Roman"/>
                <w:sz w:val="19"/>
              </w:rPr>
            </w:pPr>
            <w:r>
              <w:rPr>
                <w:rFonts w:ascii="Times New Roman" w:hAnsi="Times New Roman"/>
                <w:sz w:val="19"/>
              </w:rPr>
              <w:t>Stock subscription receivable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(178,720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(178,720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(178,720</w:t>
            </w:r>
          </w:p>
        </w:tc>
        <w:tc>
          <w:tcPr>
            <w:tcW w:w="155" w:type="dxa"/>
            <w:tcBorders/>
            <w:shd w:fill="auto" w:val="clear"/>
            <w:vAlign w:val="bottom"/>
          </w:tcPr>
          <w:p>
            <w:pPr>
              <w:pStyle w:val="TableContents"/>
              <w:spacing w:before="0" w:after="283"/>
              <w:rPr/>
            </w:pPr>
            <w:r>
              <w:rPr/>
              <w:t>) </w:t>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Accumulated deficit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(189,171,542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(5,964,009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(2,100,000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(a)</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(195,504,841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(359,491</w:t>
            </w:r>
          </w:p>
        </w:tc>
        <w:tc>
          <w:tcPr>
            <w:tcW w:w="485" w:type="dxa"/>
            <w:tcBorders/>
            <w:shd w:fill="CCEEFF" w:val="clear"/>
            <w:vAlign w:val="bottom"/>
          </w:tcPr>
          <w:p>
            <w:pPr>
              <w:pStyle w:val="TableContents"/>
              <w:spacing w:before="0" w:after="283"/>
              <w:rPr/>
            </w:pPr>
            <w:r>
              <w:rPr/>
              <w:t>) (p)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(195,864,332</w:t>
            </w:r>
          </w:p>
        </w:tc>
        <w:tc>
          <w:tcPr>
            <w:tcW w:w="155" w:type="dxa"/>
            <w:tcBorders/>
            <w:shd w:fill="CCEEFF" w:val="clear"/>
            <w:vAlign w:val="bottom"/>
          </w:tcPr>
          <w:p>
            <w:pPr>
              <w:pStyle w:val="TableContents"/>
              <w:spacing w:before="0" w:after="283"/>
              <w:rPr/>
            </w:pPr>
            <w:r>
              <w:rPr/>
              <w:t>) </w:t>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(1,170,799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(d)</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2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(3,062,500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center"/>
              <w:rPr/>
            </w:pPr>
            <w:r>
              <w:rPr/>
              <w:t>(j)</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5,964,009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center"/>
              <w:rPr/>
            </w:pPr>
            <w:r>
              <w:rPr/>
              <w:t>(m)</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Accumulated other comprehensive loss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(1,260,364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(1,260,364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(1,260,364</w:t>
            </w:r>
          </w:p>
        </w:tc>
        <w:tc>
          <w:tcPr>
            <w:tcW w:w="155" w:type="dxa"/>
            <w:tcBorders/>
            <w:shd w:fill="CCEEFF" w:val="clear"/>
            <w:vAlign w:val="bottom"/>
          </w:tcPr>
          <w:p>
            <w:pPr>
              <w:pStyle w:val="TableContents"/>
              <w:spacing w:before="0" w:after="283"/>
              <w:rPr/>
            </w:pPr>
            <w:r>
              <w:rPr/>
              <w:t>) </w:t>
            </w:r>
          </w:p>
        </w:tc>
      </w:tr>
      <w:tr>
        <w:trPr/>
        <w:tc>
          <w:tcPr>
            <w:tcW w:w="13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48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25" w:type="dxa"/>
            <w:tcBorders/>
            <w:shd w:fill="auto" w:val="clear"/>
          </w:tcPr>
          <w:p>
            <w:pPr>
              <w:pStyle w:val="TableContents"/>
              <w:spacing w:before="0" w:after="0"/>
              <w:rPr>
                <w:rFonts w:ascii="Times New Roman" w:hAnsi="Times New Roman"/>
                <w:sz w:val="19"/>
              </w:rPr>
            </w:pPr>
            <w:r>
              <w:rPr>
                <w:rFonts w:ascii="Times New Roman" w:hAnsi="Times New Roman"/>
                <w:sz w:val="19"/>
              </w:rPr>
              <w:t>Total shareholders equity (deficit)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(27,314,998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0" w:type="dxa"/>
            <w:tcBorders/>
            <w:shd w:fill="auto" w:val="clear"/>
            <w:vAlign w:val="bottom"/>
          </w:tcPr>
          <w:p>
            <w:pPr>
              <w:pStyle w:val="TableContents"/>
              <w:spacing w:before="0" w:after="283"/>
              <w:jc w:val="right"/>
              <w:rPr/>
            </w:pPr>
            <w:r>
              <w:rPr/>
              <w:t>(4,993,680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19,289,426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(13,019,252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75" w:type="dxa"/>
            <w:tcBorders/>
            <w:shd w:fill="auto" w:val="clear"/>
            <w:vAlign w:val="bottom"/>
          </w:tcPr>
          <w:p>
            <w:pPr>
              <w:pStyle w:val="TableContents"/>
              <w:spacing w:before="0" w:after="283"/>
              <w:jc w:val="right"/>
              <w:rPr/>
            </w:pPr>
            <w:r>
              <w:rPr/>
              <w:t>(36,308,607</w:t>
            </w:r>
          </w:p>
        </w:tc>
        <w:tc>
          <w:tcPr>
            <w:tcW w:w="4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(49,327,859</w:t>
            </w:r>
          </w:p>
        </w:tc>
        <w:tc>
          <w:tcPr>
            <w:tcW w:w="155" w:type="dxa"/>
            <w:tcBorders/>
            <w:shd w:fill="auto" w:val="clear"/>
            <w:vAlign w:val="bottom"/>
          </w:tcPr>
          <w:p>
            <w:pPr>
              <w:pStyle w:val="TableContents"/>
              <w:spacing w:before="0" w:after="283"/>
              <w:rPr/>
            </w:pPr>
            <w:r>
              <w:rPr/>
              <w:t>) </w:t>
            </w:r>
          </w:p>
        </w:tc>
      </w:tr>
      <w:tr>
        <w:trPr/>
        <w:tc>
          <w:tcPr>
            <w:tcW w:w="13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48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325" w:type="dxa"/>
            <w:tcBorders/>
            <w:shd w:fill="CCEEFF" w:val="clear"/>
          </w:tcPr>
          <w:p>
            <w:pPr>
              <w:pStyle w:val="TableContents"/>
              <w:spacing w:before="0" w:after="0"/>
              <w:rPr>
                <w:rFonts w:ascii="Times New Roman" w:hAnsi="Times New Roman"/>
                <w:sz w:val="19"/>
              </w:rPr>
            </w:pPr>
            <w:r>
              <w:rPr>
                <w:rFonts w:ascii="Times New Roman" w:hAnsi="Times New Roman"/>
                <w:sz w:val="19"/>
              </w:rPr>
              <w:t>Total liabilities and shareholders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9,365,521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20" w:type="dxa"/>
            <w:tcBorders/>
            <w:shd w:fill="CCEEFF" w:val="clear"/>
            <w:vAlign w:val="bottom"/>
          </w:tcPr>
          <w:p>
            <w:pPr>
              <w:pStyle w:val="TableContents"/>
              <w:spacing w:before="0" w:after="283"/>
              <w:jc w:val="right"/>
              <w:rPr/>
            </w:pPr>
            <w:r>
              <w:rPr/>
              <w:t>154,004,109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(154,039,554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9,330,076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75" w:type="dxa"/>
            <w:tcBorders/>
            <w:shd w:fill="CCEEFF" w:val="clear"/>
            <w:vAlign w:val="bottom"/>
          </w:tcPr>
          <w:p>
            <w:pPr>
              <w:pStyle w:val="TableContents"/>
              <w:spacing w:before="0" w:after="283"/>
              <w:jc w:val="right"/>
              <w:rPr/>
            </w:pPr>
            <w:r>
              <w:rPr/>
              <w:t>  </w:t>
            </w:r>
          </w:p>
        </w:tc>
        <w:tc>
          <w:tcPr>
            <w:tcW w:w="4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9,330,076</w:t>
            </w:r>
          </w:p>
        </w:tc>
        <w:tc>
          <w:tcPr>
            <w:tcW w:w="155" w:type="dxa"/>
            <w:tcBorders/>
            <w:shd w:fill="CCEEFF" w:val="clear"/>
            <w:vAlign w:val="bottom"/>
          </w:tcPr>
          <w:p>
            <w:pPr>
              <w:pStyle w:val="TableContents"/>
              <w:spacing w:before="0" w:after="283"/>
              <w:rPr/>
            </w:pPr>
            <w:r>
              <w:rPr/>
              <w:t> </w:t>
            </w:r>
          </w:p>
        </w:tc>
      </w:tr>
      <w:tr>
        <w:trPr/>
        <w:tc>
          <w:tcPr>
            <w:tcW w:w="132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2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75" w:type="dxa"/>
            <w:tcBorders/>
            <w:shd w:fill="auto" w:val="clear"/>
            <w:vAlign w:val="bottom"/>
          </w:tcPr>
          <w:p>
            <w:pPr>
              <w:pStyle w:val="TableContents"/>
              <w:pBdr>
                <w:top w:val="double" w:sz="6" w:space="1" w:color="000000"/>
              </w:pBdr>
              <w:spacing w:before="0" w:after="0"/>
              <w:rPr/>
            </w:pPr>
            <w:r>
              <w:rPr/>
              <w:t> </w:t>
            </w:r>
          </w:p>
        </w:tc>
        <w:tc>
          <w:tcPr>
            <w:tcW w:w="48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spacing w:before="0" w:after="0"/>
        <w:jc w:val="center"/>
        <w:rPr>
          <w:rFonts w:ascii="Times New Roman" w:hAnsi="Times New Roman"/>
          <w:b/>
          <w:sz w:val="20"/>
        </w:rPr>
      </w:pPr>
      <w:r>
        <w:rPr>
          <w:rFonts w:ascii="Times New Roman" w:hAnsi="Times New Roman"/>
          <w:b/>
          <w:sz w:val="20"/>
        </w:rPr>
        <w:t xml:space="preserve">FOR THE YEAR ENDED DECEMBER 31, 2022 </w:t>
      </w:r>
    </w:p>
    <w:p>
      <w:pPr>
        <w:pStyle w:val="TextBody"/>
        <w:spacing w:before="0" w:after="0"/>
        <w:jc w:val="left"/>
        <w:rPr/>
      </w:pPr>
      <w:r>
        <w:rPr/>
        <w:t> </w:t>
      </w:r>
    </w:p>
    <w:tbl>
      <w:tblPr>
        <w:tblW w:w="11957" w:type="dxa"/>
        <w:jc w:val="center"/>
        <w:tblInd w:w="0" w:type="dxa"/>
        <w:tblCellMar>
          <w:top w:w="0" w:type="dxa"/>
          <w:left w:w="0" w:type="dxa"/>
          <w:bottom w:w="0" w:type="dxa"/>
          <w:right w:w="0" w:type="dxa"/>
        </w:tblCellMar>
      </w:tblPr>
      <w:tblGrid>
        <w:gridCol w:w="1010"/>
        <w:gridCol w:w="120"/>
        <w:gridCol w:w="140"/>
        <w:gridCol w:w="1295"/>
        <w:gridCol w:w="155"/>
        <w:gridCol w:w="60"/>
        <w:gridCol w:w="159"/>
        <w:gridCol w:w="1256"/>
        <w:gridCol w:w="155"/>
        <w:gridCol w:w="60"/>
        <w:gridCol w:w="153"/>
        <w:gridCol w:w="1157"/>
        <w:gridCol w:w="155"/>
        <w:gridCol w:w="60"/>
        <w:gridCol w:w="410"/>
        <w:gridCol w:w="120"/>
        <w:gridCol w:w="140"/>
        <w:gridCol w:w="1295"/>
        <w:gridCol w:w="155"/>
        <w:gridCol w:w="60"/>
        <w:gridCol w:w="180"/>
        <w:gridCol w:w="1130"/>
        <w:gridCol w:w="176"/>
        <w:gridCol w:w="68"/>
        <w:gridCol w:w="363"/>
        <w:gridCol w:w="136"/>
        <w:gridCol w:w="159"/>
        <w:gridCol w:w="1475"/>
        <w:gridCol w:w="15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010" w:type="dxa"/>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4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Rezolve AI</w:t>
              <w:br/>
              <w:t>Limited and</w:t>
              <w:br/>
              <w:t>Subsidiaries</w:t>
              <w:br/>
              <w:t>(Year ended</w:t>
              <w:br/>
              <w:t>December 31,</w:t>
              <w:br/>
              <w:t>2022)</w:t>
            </w:r>
          </w:p>
        </w:tc>
        <w:tc>
          <w:tcPr>
            <w:tcW w:w="15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41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Armada</w:t>
              <w:br/>
              <w:t>Acquisition</w:t>
              <w:br/>
              <w:t>Corp. I</w:t>
              <w:br/>
              <w:t>(Year ended</w:t>
              <w:br/>
              <w:t>December 31,</w:t>
              <w:br/>
              <w:t>2022)</w:t>
            </w:r>
          </w:p>
        </w:tc>
        <w:tc>
          <w:tcPr>
            <w:tcW w:w="15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90"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No Redemptions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87"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Assuming Maximum Redemptions</w:t>
            </w:r>
          </w:p>
        </w:tc>
        <w:tc>
          <w:tcPr>
            <w:tcW w:w="155" w:type="dxa"/>
            <w:tcBorders/>
            <w:shd w:fill="auto" w:val="clear"/>
            <w:vAlign w:val="bottom"/>
          </w:tcPr>
          <w:p>
            <w:pPr>
              <w:pStyle w:val="TableContents"/>
              <w:spacing w:before="0" w:after="283"/>
              <w:rPr/>
            </w:pPr>
            <w:r>
              <w:rPr/>
              <w:t> </w:t>
            </w:r>
          </w:p>
        </w:tc>
      </w:tr>
      <w:tr>
        <w:trPr/>
        <w:tc>
          <w:tcPr>
            <w:tcW w:w="1010" w:type="dxa"/>
            <w:tcBorders/>
            <w:shd w:fill="auto" w:val="clear"/>
            <w:vAlign w:val="bottom"/>
          </w:tcPr>
          <w:p>
            <w:pPr>
              <w:pStyle w:val="TableContents"/>
              <w:spacing w:before="0" w:after="283"/>
              <w:rPr/>
            </w:pPr>
            <w:r>
              <w:rPr/>
              <w:t> </w:t>
            </w:r>
          </w:p>
        </w:tc>
        <w:tc>
          <w:tcPr>
            <w:tcW w:w="120" w:type="dxa"/>
            <w:vMerge w:val="continue"/>
            <w:tcBorders/>
            <w:shd w:fill="auto" w:val="clear"/>
            <w:vAlign w:val="bottom"/>
          </w:tcPr>
          <w:p>
            <w:pPr>
              <w:pStyle w:val="Normal"/>
              <w:rPr/>
            </w:pPr>
            <w:r>
              <w:rPr/>
            </w:r>
          </w:p>
        </w:tc>
        <w:tc>
          <w:tcPr>
            <w:tcW w:w="1435"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415"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Consolidated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Transaction</w:t>
              <w:br/>
              <w:t>Accounting</w:t>
              <w:br/>
              <w:t>Adjustments</w:t>
            </w:r>
          </w:p>
        </w:tc>
        <w:tc>
          <w:tcPr>
            <w:tcW w:w="17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63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Consolidated</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b/>
                <w:sz w:val="17"/>
              </w:rPr>
            </w:pPr>
            <w:r>
              <w:rPr>
                <w:rFonts w:ascii="Times New Roman" w:hAnsi="Times New Roman"/>
                <w:b/>
                <w:sz w:val="17"/>
              </w:rPr>
              <w:t>Revenues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12,325,753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12,325,753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475" w:type="dxa"/>
            <w:tcBorders/>
            <w:shd w:fill="CCEEFF" w:val="clear"/>
            <w:vAlign w:val="bottom"/>
          </w:tcPr>
          <w:p>
            <w:pPr>
              <w:pStyle w:val="TableContents"/>
              <w:spacing w:before="0" w:after="283"/>
              <w:jc w:val="right"/>
              <w:rPr/>
            </w:pPr>
            <w:r>
              <w:rPr/>
              <w:t>12,325,753</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b/>
                <w:sz w:val="17"/>
              </w:rPr>
            </w:pPr>
            <w:r>
              <w:rPr>
                <w:rFonts w:ascii="Times New Roman" w:hAnsi="Times New Roman"/>
                <w:b/>
                <w:sz w:val="17"/>
              </w:rPr>
              <w:t>Operating expenses</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5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4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Cost of revenues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5,318,599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5,318,599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5,318,599</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Employee benefit expenses</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10,666,299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111,852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3,062,500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center"/>
              <w:rPr/>
            </w:pPr>
            <w:r>
              <w:rPr/>
              <w:t>(aa)</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13,840,651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13,840,651</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Consultancy expenses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67,681,543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67,681,543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67,681,543</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Sales and marketing expense</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3,123,820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3,123,820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3,123,820</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General and administrative expenses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9,823,776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9,823,776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9,823,776</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Business development expenses</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7,136,168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7,136,168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7,136,168</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Formation cost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2,774,620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2,774,620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2,774,620</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Depreciation and amortization expenses</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742,113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742,113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742,113</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Impairment of goodwill</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7,418,302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7,418,302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7,418,302</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5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0"/>
              <w:rPr/>
            </w:pPr>
            <w:r>
              <w:rPr/>
              <w:t> </w:t>
            </w:r>
          </w:p>
        </w:tc>
        <w:tc>
          <w:tcPr>
            <w:tcW w:w="11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pBdr>
                <w:top w:val="single" w:sz="2" w:space="1" w:color="000000"/>
              </w:pBdr>
              <w:spacing w:before="0" w:after="0"/>
              <w:rPr/>
            </w:pPr>
            <w:r>
              <w:rPr/>
              <w:t> </w:t>
            </w:r>
          </w:p>
        </w:tc>
        <w:tc>
          <w:tcPr>
            <w:tcW w:w="1130"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4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operating expenses</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111,910,620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2,886,472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3,062,500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117,859,592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117,859,592</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b/>
                <w:sz w:val="17"/>
              </w:rPr>
            </w:pPr>
            <w:r>
              <w:rPr>
                <w:rFonts w:ascii="Times New Roman" w:hAnsi="Times New Roman"/>
                <w:b/>
                <w:sz w:val="17"/>
              </w:rPr>
              <w:t>Loss from operations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(99,584,867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56" w:type="dxa"/>
            <w:tcBorders/>
            <w:shd w:fill="CCEEFF" w:val="clear"/>
            <w:vAlign w:val="bottom"/>
          </w:tcPr>
          <w:p>
            <w:pPr>
              <w:pStyle w:val="TableContents"/>
              <w:spacing w:before="0" w:after="283"/>
              <w:jc w:val="right"/>
              <w:rPr/>
            </w:pPr>
            <w:r>
              <w:rPr/>
              <w:t>(2,886,472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1157" w:type="dxa"/>
            <w:tcBorders/>
            <w:shd w:fill="CCEEFF" w:val="clear"/>
            <w:vAlign w:val="bottom"/>
          </w:tcPr>
          <w:p>
            <w:pPr>
              <w:pStyle w:val="TableContents"/>
              <w:spacing w:before="0" w:after="283"/>
              <w:jc w:val="right"/>
              <w:rPr/>
            </w:pPr>
            <w:r>
              <w:rPr/>
              <w:t>(3,062,500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95" w:type="dxa"/>
            <w:tcBorders/>
            <w:shd w:fill="CCEEFF" w:val="clear"/>
            <w:vAlign w:val="bottom"/>
          </w:tcPr>
          <w:p>
            <w:pPr>
              <w:pStyle w:val="TableContents"/>
              <w:spacing w:before="0" w:after="283"/>
              <w:jc w:val="right"/>
              <w:rPr/>
            </w:pPr>
            <w:r>
              <w:rPr/>
              <w:t>(105,533,839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w:t>
            </w:r>
          </w:p>
        </w:tc>
        <w:tc>
          <w:tcPr>
            <w:tcW w:w="113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475" w:type="dxa"/>
            <w:tcBorders/>
            <w:shd w:fill="CCEEFF" w:val="clear"/>
            <w:vAlign w:val="bottom"/>
          </w:tcPr>
          <w:p>
            <w:pPr>
              <w:pStyle w:val="TableContents"/>
              <w:spacing w:before="0" w:after="283"/>
              <w:jc w:val="right"/>
              <w:rPr/>
            </w:pPr>
            <w:r>
              <w:rPr/>
              <w:t>(105,533,839</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125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0"/>
              <w:rPr/>
            </w:pPr>
            <w:r>
              <w:rPr/>
              <w:t> </w:t>
            </w:r>
          </w:p>
        </w:tc>
        <w:tc>
          <w:tcPr>
            <w:tcW w:w="115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pBdr>
                <w:top w:val="double" w:sz="6" w:space="1" w:color="000000"/>
              </w:pBdr>
              <w:spacing w:before="0" w:after="0"/>
              <w:rPr/>
            </w:pPr>
            <w:r>
              <w:rPr/>
              <w:t> </w:t>
            </w:r>
          </w:p>
        </w:tc>
        <w:tc>
          <w:tcPr>
            <w:tcW w:w="1130" w:type="dxa"/>
            <w:tcBorders/>
            <w:shd w:fill="auto" w:val="clear"/>
            <w:vAlign w:val="bottom"/>
          </w:tcPr>
          <w:p>
            <w:pPr>
              <w:pStyle w:val="TableContents"/>
              <w:pBdr>
                <w:top w:val="double" w:sz="6"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147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(expense) income</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5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4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(3,884,698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(3,884,698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(3,884,698</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Interest income</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2,312,771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(2,312,771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center"/>
              <w:rPr/>
            </w:pPr>
            <w:r>
              <w:rPr/>
              <w:t>(bb)</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Other non-operating expense, net</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(751,320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(2,100,000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center"/>
              <w:rPr/>
            </w:pPr>
            <w:r>
              <w:rPr/>
              <w:t>(cc)</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(2,851,320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(2,851,320</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5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0"/>
              <w:rPr/>
            </w:pPr>
            <w:r>
              <w:rPr/>
              <w:t> </w:t>
            </w:r>
          </w:p>
        </w:tc>
        <w:tc>
          <w:tcPr>
            <w:tcW w:w="11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pBdr>
                <w:top w:val="single" w:sz="2" w:space="1" w:color="000000"/>
              </w:pBdr>
              <w:spacing w:before="0" w:after="0"/>
              <w:rPr/>
            </w:pPr>
            <w:r>
              <w:rPr/>
              <w:t> </w:t>
            </w:r>
          </w:p>
        </w:tc>
        <w:tc>
          <w:tcPr>
            <w:tcW w:w="1130"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4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other (expenses) / income, net</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(4,636,018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2,312,771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(4,412,771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(6,736,018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(6,736,018</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before taxes</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(104,220,885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(573,701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(7,475,271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(112,269,857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13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(112,269,857</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115,447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(405,952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405,952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center"/>
              <w:rPr/>
            </w:pPr>
            <w:r>
              <w:rPr/>
              <w:t>(dd)</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(1,055,352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right"/>
              <w:rPr/>
            </w:pPr>
            <w:r>
              <w:rPr/>
              <w:t>(359,491</w:t>
            </w:r>
          </w:p>
        </w:tc>
        <w:tc>
          <w:tcPr>
            <w:tcW w:w="17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center"/>
              <w:rPr/>
            </w:pPr>
            <w:r>
              <w:rPr/>
              <w:t>(ff)</w:t>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(1,414,843</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5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(1,170,799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center"/>
              <w:rPr/>
            </w:pPr>
            <w:r>
              <w:rPr/>
              <w:t>(ee)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4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5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0"/>
              <w:rPr/>
            </w:pPr>
            <w:r>
              <w:rPr/>
              <w:t> </w:t>
            </w:r>
          </w:p>
        </w:tc>
        <w:tc>
          <w:tcPr>
            <w:tcW w:w="115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9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pBdr>
                <w:top w:val="single" w:sz="2" w:space="1" w:color="000000"/>
              </w:pBdr>
              <w:spacing w:before="0" w:after="0"/>
              <w:rPr/>
            </w:pPr>
            <w:r>
              <w:rPr/>
              <w:t> </w:t>
            </w:r>
          </w:p>
        </w:tc>
        <w:tc>
          <w:tcPr>
            <w:tcW w:w="1130" w:type="dxa"/>
            <w:tcBorders/>
            <w:shd w:fill="auto" w:val="clear"/>
            <w:vAlign w:val="bottom"/>
          </w:tcPr>
          <w:p>
            <w:pPr>
              <w:pStyle w:val="TableContents"/>
              <w:pBdr>
                <w:top w:val="single" w:sz="2"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47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b/>
                <w:sz w:val="17"/>
              </w:rPr>
            </w:pPr>
            <w:r>
              <w:rPr>
                <w:rFonts w:ascii="Times New Roman" w:hAnsi="Times New Roman"/>
                <w:b/>
                <w:sz w:val="17"/>
              </w:rPr>
              <w:t>Net (loss) income</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(104,105,438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w:t>
            </w:r>
          </w:p>
        </w:tc>
        <w:tc>
          <w:tcPr>
            <w:tcW w:w="1256" w:type="dxa"/>
            <w:tcBorders/>
            <w:shd w:fill="auto" w:val="clear"/>
            <w:vAlign w:val="bottom"/>
          </w:tcPr>
          <w:p>
            <w:pPr>
              <w:pStyle w:val="TableContents"/>
              <w:spacing w:before="0" w:after="283"/>
              <w:jc w:val="right"/>
              <w:rPr/>
            </w:pPr>
            <w:r>
              <w:rPr/>
              <w:t>(979,653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157" w:type="dxa"/>
            <w:tcBorders/>
            <w:shd w:fill="auto" w:val="clear"/>
            <w:vAlign w:val="bottom"/>
          </w:tcPr>
          <w:p>
            <w:pPr>
              <w:pStyle w:val="TableContents"/>
              <w:spacing w:before="0" w:after="283"/>
              <w:jc w:val="right"/>
              <w:rPr/>
            </w:pPr>
            <w:r>
              <w:rPr/>
              <w:t>(8,646,070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95" w:type="dxa"/>
            <w:tcBorders/>
            <w:shd w:fill="auto" w:val="clear"/>
            <w:vAlign w:val="bottom"/>
          </w:tcPr>
          <w:p>
            <w:pPr>
              <w:pStyle w:val="TableContents"/>
              <w:spacing w:before="0" w:after="283"/>
              <w:jc w:val="right"/>
              <w:rPr/>
            </w:pPr>
            <w:r>
              <w:rPr/>
              <w:t>(113,325,209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w:t>
            </w:r>
          </w:p>
        </w:tc>
        <w:tc>
          <w:tcPr>
            <w:tcW w:w="1130" w:type="dxa"/>
            <w:tcBorders/>
            <w:shd w:fill="auto" w:val="clear"/>
            <w:vAlign w:val="bottom"/>
          </w:tcPr>
          <w:p>
            <w:pPr>
              <w:pStyle w:val="TableContents"/>
              <w:spacing w:before="0" w:after="283"/>
              <w:jc w:val="right"/>
              <w:rPr/>
            </w:pPr>
            <w:r>
              <w:rPr/>
              <w:t>(359,491</w:t>
            </w:r>
          </w:p>
        </w:tc>
        <w:tc>
          <w:tcPr>
            <w:tcW w:w="176"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w:t>
            </w:r>
          </w:p>
        </w:tc>
        <w:tc>
          <w:tcPr>
            <w:tcW w:w="1475" w:type="dxa"/>
            <w:tcBorders/>
            <w:shd w:fill="auto" w:val="clear"/>
            <w:vAlign w:val="bottom"/>
          </w:tcPr>
          <w:p>
            <w:pPr>
              <w:pStyle w:val="TableContents"/>
              <w:spacing w:before="0" w:after="283"/>
              <w:jc w:val="right"/>
              <w:rPr/>
            </w:pPr>
            <w:r>
              <w:rPr/>
              <w:t>(113,684,700</w:t>
            </w:r>
          </w:p>
        </w:tc>
        <w:tc>
          <w:tcPr>
            <w:tcW w:w="155" w:type="dxa"/>
            <w:tcBorders/>
            <w:shd w:fill="auto" w:val="clear"/>
            <w:vAlign w:val="bottom"/>
          </w:tcPr>
          <w:p>
            <w:pPr>
              <w:pStyle w:val="TableContents"/>
              <w:spacing w:before="0" w:after="283"/>
              <w:rPr/>
            </w:pPr>
            <w:r>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125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0"/>
              <w:rPr/>
            </w:pPr>
            <w:r>
              <w:rPr/>
              <w:t> </w:t>
            </w:r>
          </w:p>
        </w:tc>
        <w:tc>
          <w:tcPr>
            <w:tcW w:w="115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9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pBdr>
                <w:top w:val="double" w:sz="6" w:space="1" w:color="000000"/>
              </w:pBdr>
              <w:spacing w:before="0" w:after="0"/>
              <w:rPr/>
            </w:pPr>
            <w:r>
              <w:rPr/>
              <w:t> </w:t>
            </w:r>
          </w:p>
        </w:tc>
        <w:tc>
          <w:tcPr>
            <w:tcW w:w="1130" w:type="dxa"/>
            <w:tcBorders/>
            <w:shd w:fill="auto" w:val="clear"/>
            <w:vAlign w:val="bottom"/>
          </w:tcPr>
          <w:p>
            <w:pPr>
              <w:pStyle w:val="TableContents"/>
              <w:pBdr>
                <w:top w:val="double" w:sz="6" w:space="1" w:color="000000"/>
              </w:pBdr>
              <w:spacing w:before="0" w:after="0"/>
              <w:rPr/>
            </w:pPr>
            <w:r>
              <w:rPr/>
              <w:t> </w:t>
            </w:r>
          </w:p>
        </w:tc>
        <w:tc>
          <w:tcPr>
            <w:tcW w:w="176" w:type="dxa"/>
            <w:tcBorders/>
            <w:shd w:fill="auto" w:val="clear"/>
            <w:vAlign w:val="center"/>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147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b/>
                <w:sz w:val="17"/>
              </w:rPr>
            </w:pPr>
            <w:r>
              <w:rPr>
                <w:rFonts w:ascii="Times New Roman" w:hAnsi="Times New Roman"/>
                <w:b/>
                <w:sz w:val="17"/>
              </w:rPr>
              <w:t>Earnings Per Share</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5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4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Weighted average shares of Rezolve common stock used in computing net loss per share, basic and diluted</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913,109,577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5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4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Basic and diluted weighted average shares outstanding</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(0.11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5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4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Basic and diluted weighted average shares outstanding, common stock subject to possible redemption</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15,000,000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188,648,066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475" w:type="dxa"/>
            <w:tcBorders/>
            <w:shd w:fill="auto" w:val="clear"/>
            <w:vAlign w:val="bottom"/>
          </w:tcPr>
          <w:p>
            <w:pPr>
              <w:pStyle w:val="TableContents"/>
              <w:spacing w:before="0" w:after="283"/>
              <w:jc w:val="right"/>
              <w:rPr/>
            </w:pPr>
            <w:r>
              <w:rPr/>
              <w:t>185,139,214</w:t>
            </w:r>
          </w:p>
        </w:tc>
        <w:tc>
          <w:tcPr>
            <w:tcW w:w="15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Net loss per share, basic and diluted</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(0.05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(0.60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475" w:type="dxa"/>
            <w:tcBorders/>
            <w:shd w:fill="CCEEFF" w:val="clear"/>
            <w:vAlign w:val="bottom"/>
          </w:tcPr>
          <w:p>
            <w:pPr>
              <w:pStyle w:val="TableContents"/>
              <w:spacing w:before="0" w:after="283"/>
              <w:jc w:val="right"/>
              <w:rPr/>
            </w:pPr>
            <w:r>
              <w:rPr/>
              <w:t>(0.61</w:t>
            </w:r>
          </w:p>
        </w:tc>
        <w:tc>
          <w:tcPr>
            <w:tcW w:w="15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7"/>
              </w:rPr>
            </w:pPr>
            <w:r>
              <w:rPr>
                <w:rFonts w:ascii="Times New Roman" w:hAnsi="Times New Roman"/>
                <w:sz w:val="17"/>
              </w:rPr>
              <w:t>Basic and diluted weighted average shares outstanding, common stock subject to possible redemption</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2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sz w:val="4"/>
                <w:szCs w:val="4"/>
              </w:rPr>
            </w:pPr>
            <w:r>
              <w:rPr>
                <w:sz w:val="4"/>
                <w:szCs w:val="4"/>
              </w:rPr>
            </w:r>
          </w:p>
        </w:tc>
        <w:tc>
          <w:tcPr>
            <w:tcW w:w="113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4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0"/>
              <w:rPr>
                <w:rFonts w:ascii="Times New Roman" w:hAnsi="Times New Roman"/>
                <w:sz w:val="17"/>
              </w:rPr>
            </w:pPr>
            <w:r>
              <w:rPr>
                <w:rFonts w:ascii="Times New Roman" w:hAnsi="Times New Roman"/>
                <w:sz w:val="17"/>
              </w:rPr>
              <w:t>Net loss per share, basic and diluted</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(0.05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15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2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sz w:val="4"/>
                <w:szCs w:val="4"/>
              </w:rPr>
            </w:pPr>
            <w:r>
              <w:rPr>
                <w:sz w:val="4"/>
                <w:szCs w:val="4"/>
              </w:rPr>
            </w:r>
          </w:p>
        </w:tc>
        <w:tc>
          <w:tcPr>
            <w:tcW w:w="1130" w:type="dxa"/>
            <w:tcBorders/>
            <w:shd w:fill="CCEEFF" w:val="clear"/>
            <w:vAlign w:val="bottom"/>
          </w:tcPr>
          <w:p>
            <w:pPr>
              <w:pStyle w:val="TableContents"/>
              <w:spacing w:before="0" w:after="283"/>
              <w:rPr>
                <w:sz w:val="4"/>
                <w:szCs w:val="4"/>
              </w:rPr>
            </w:pPr>
            <w:r>
              <w:rPr>
                <w:sz w:val="4"/>
                <w:szCs w:val="4"/>
              </w:rPr>
            </w:r>
          </w:p>
        </w:tc>
        <w:tc>
          <w:tcPr>
            <w:tcW w:w="176"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pPr>
            <w:r>
              <w:rPr/>
              <w:t> </w:t>
            </w:r>
          </w:p>
        </w:tc>
        <w:tc>
          <w:tcPr>
            <w:tcW w:w="363"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4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financial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16"/>
        </w:rPr>
      </w:pPr>
      <w:r>
        <w:rPr>
          <w:rFonts w:ascii="Times New Roman" w:hAnsi="Times New Roman"/>
          <w:b/>
          <w:sz w:val="16"/>
        </w:rPr>
        <w:t xml:space="preserve">Rezolve       </w:t>
      </w:r>
    </w:p>
    <w:p>
      <w:pPr>
        <w:pStyle w:val="TextBody"/>
        <w:spacing w:before="0" w:after="0"/>
        <w:jc w:val="right"/>
        <w:rPr>
          <w:rFonts w:ascii="Times New Roman" w:hAnsi="Times New Roman"/>
          <w:b/>
          <w:sz w:val="16"/>
        </w:rPr>
      </w:pPr>
      <w:r>
        <w:rPr>
          <w:rFonts w:ascii="Times New Roman" w:hAnsi="Times New Roman"/>
          <w:b/>
          <w:sz w:val="16"/>
        </w:rPr>
        <w:t xml:space="preserve">AI Limited and </w:t>
      </w:r>
    </w:p>
    <w:p>
      <w:pPr>
        <w:pStyle w:val="TextBody"/>
        <w:spacing w:before="0" w:after="0"/>
        <w:jc w:val="right"/>
        <w:rPr>
          <w:rFonts w:ascii="Times New Roman" w:hAnsi="Times New Roman"/>
          <w:b/>
          <w:sz w:val="16"/>
        </w:rPr>
      </w:pPr>
      <w:r>
        <w:rPr>
          <w:rFonts w:ascii="Times New Roman" w:hAnsi="Times New Roman"/>
          <w:b/>
          <w:sz w:val="16"/>
        </w:rPr>
        <w:t xml:space="preserve">Subsidiaries    </w:t>
      </w:r>
    </w:p>
    <w:p>
      <w:pPr>
        <w:pStyle w:val="TextBody"/>
        <w:spacing w:before="240" w:after="0"/>
        <w:jc w:val="center"/>
        <w:rPr>
          <w:rFonts w:ascii="Times New Roman" w:hAnsi="Times New Roman"/>
          <w:b/>
          <w:sz w:val="20"/>
        </w:rPr>
      </w:pPr>
      <w:r>
        <w:rPr>
          <w:rFonts w:ascii="Times New Roman" w:hAnsi="Times New Roman"/>
          <w:b/>
          <w:sz w:val="20"/>
        </w:rPr>
        <w:t xml:space="preserve">NOTES TO UNAUDITED PRO FORMA CONDENSED COMBINED </w:t>
      </w:r>
    </w:p>
    <w:p>
      <w:pPr>
        <w:pStyle w:val="TextBody"/>
        <w:spacing w:before="240" w:after="0"/>
        <w:jc w:val="left"/>
        <w:rPr>
          <w:rFonts w:ascii="Times New Roman" w:hAnsi="Times New Roman"/>
          <w:b/>
          <w:sz w:val="20"/>
        </w:rPr>
      </w:pPr>
      <w:r>
        <w:rPr>
          <w:rFonts w:ascii="Times New Roman" w:hAnsi="Times New Roman"/>
          <w:b/>
          <w:sz w:val="20"/>
        </w:rPr>
        <w:t xml:space="preserve">Note 1Basis of Presentation </w:t>
      </w:r>
    </w:p>
    <w:p>
      <w:pPr>
        <w:pStyle w:val="TextBody"/>
        <w:spacing w:before="120" w:after="0"/>
        <w:jc w:val="left"/>
        <w:rPr>
          <w:rFonts w:ascii="Times New Roman" w:hAnsi="Times New Roman"/>
          <w:sz w:val="20"/>
        </w:rPr>
      </w:pPr>
      <w:r>
        <w:rPr>
          <w:rFonts w:ascii="Times New Roman" w:hAnsi="Times New Roman"/>
          <w:sz w:val="20"/>
        </w:rPr>
        <w:t xml:space="preserve">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PLC; (iii) Rezolves existing management will comprise the management of Rezolve PLC; (iv) Rezolve will comprise the ongoing operations of Rezolve PLC; (v) Rezolve is the larger entity based on historical revenues and business operations; and (vi) Rezolve PLC will assume Rezolves name and will assume Rezolves headquarters.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balance sheet as of December 31, 2022 presents the pro forma effect of the Business Combination and related transactions as if they had occurred on December 31, 2022. The unaudited pro forma condensed combined statements of operations for the year ended December 31, 2022 presents the pro forma effect of the Business Combination and related transactions as if they had been completed on January 1, 2022. These periods are presented on the basis of Rezolve as the accounting acquirer.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should be read in conjunction with: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audited financial statements of Armada as of and for the year ended September 30, 2022, included elsewhere in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unaudited financial statements for Armada as of and for the quarter ended December 31, 2022, included elsewhere in this proxy statement/prospectus;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audited carve-out financial statements of Rezolve as of, and for the year ended, December 31, 2022, included elsewhere in this proxy statement/prospectus;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sections entitled </w:t>
            </w:r>
            <w:r>
              <w:rPr>
                <w:rFonts w:ascii="Times New Roman" w:hAnsi="Times New Roman"/>
                <w:i/>
                <w:sz w:val="20"/>
              </w:rPr>
              <w:t>Managements Discussion and Analysis of Financial Condition and Results of Operations of Armada</w:t>
            </w:r>
            <w:r>
              <w:rPr>
                <w:rFonts w:ascii="Times New Roman" w:hAnsi="Times New Roman"/>
                <w:sz w:val="20"/>
              </w:rPr>
              <w:t> and </w:t>
            </w:r>
            <w:r>
              <w:rPr>
                <w:rFonts w:ascii="Times New Roman" w:hAnsi="Times New Roman"/>
                <w:i/>
                <w:sz w:val="20"/>
              </w:rPr>
              <w:t>Managements Discussion and Analysis of Financial Condition and Results of Operations of Rezolve</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 </w:t>
      </w:r>
    </w:p>
    <w:p>
      <w:pPr>
        <w:pStyle w:val="TextBody"/>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w:t>
      </w:r>
    </w:p>
    <w:p>
      <w:pPr>
        <w:pStyle w:val="TextBody"/>
        <w:spacing w:before="0" w:after="0"/>
        <w:jc w:val="left"/>
        <w:rPr>
          <w:rFonts w:ascii="Times New Roman" w:hAnsi="Times New Roman"/>
          <w:sz w:val="20"/>
        </w:rPr>
      </w:pPr>
      <w:r>
        <w:rPr>
          <w:rFonts w:ascii="Times New Roman" w:hAnsi="Times New Roman"/>
          <w:sz w:val="20"/>
        </w:rPr>
        <w:t xml:space="preserve">financial condition and results of operations as if the Business Combination was completed. Therefore, it is likely that the actual adjustments will differ from the pro forma adjustments and it is possible the difference may be material. Armada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anticipated synergies, operating efficiencies, tax savings, or cost savings that may be associated with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unaudited condensed pro forma adjustments, which are described in the accompanying notes, may be revised as additional information becomes available and is evaluated. </w:t>
      </w:r>
    </w:p>
    <w:p>
      <w:pPr>
        <w:pStyle w:val="TextBody"/>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Note 2Unaudited pro forma condensed combined balance sheet adjustments </w:t>
      </w:r>
    </w:p>
    <w:p>
      <w:pPr>
        <w:pStyle w:val="TextBody"/>
        <w:spacing w:before="120" w:after="0"/>
        <w:jc w:val="left"/>
        <w:rPr>
          <w:rFonts w:ascii="Times New Roman" w:hAnsi="Times New Roman"/>
          <w:sz w:val="20"/>
        </w:rPr>
      </w:pPr>
      <w:r>
        <w:rPr>
          <w:rFonts w:ascii="Times New Roman" w:hAnsi="Times New Roman"/>
          <w:sz w:val="20"/>
        </w:rPr>
        <w:t xml:space="preserve">The pro forma adjustments to the unaudited pro forma condensed combined balance sheet as of December 31, 2022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(a)</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estimated transaction costs incurred including, but not limited to advisory fees, legal fees and demerger costs that will be paid in connection with the consummation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(b)</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Represents cash equivalents that will be released from the Trust Account and relieved of restrictions regarding use upon consummation of the Business Combination, assuming minimum redemptions. Armada will not be able to consummate an initial business combination unless it has net tangible assets of at least $5,000,001 immediately prior to or upon consummation of its initial business combination. There are insufficient funds in the Trust Account at Closing to satisfy the requirement for $5,000,001 of net tangible assets under the Business Combination Agreement (the Net Tangible Assets Condition). Armada may need to seek to arrange for additional third-party financing to be able to satisfy the Net Tangible Assets Condition (or such lower amount designated by Rezolve if Rezolve waives the condition). If Rezolve waives the Net Tangible Assets Condition, Rezolves ability to operate its business and execute its plans to meet its projections post-Closing of the Business Combination may be adversely affected. Furthermore, if Rezolve waives the Net Tangible Assets Condition in order to complete the Business Combination, Rezolve may need to raise a substantial amount of capital in order to be able to continue its operations, which capital may not be available due to the business conditions created as a result of Rezolves waiver of the Net Tangible Assets Condition. For additional information, see </w:t>
            </w:r>
            <w:r>
              <w:rPr>
                <w:rFonts w:ascii="Times New Roman" w:hAnsi="Times New Roman"/>
                <w:i/>
                <w:sz w:val="20"/>
              </w:rPr>
              <w:t>Risk FactorsRisks Relating to RedemptionsThe ability of Armadas stockholders to exercise their redemption rights with respect to a large number of our shares could increase the probability that the Business Combination would be unsuccessful and that you would have to wait for liquidation in order to redeem your shares.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i/>
              </w:rPr>
            </w:pPr>
            <w:r>
              <w:rPr>
                <w:i/>
              </w:rPr>
              <w:t>(c)</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settlement of Accounts Payable of Armada primarily due to legal costs of the Business Combinations.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(d)</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Payment of taxes payable using interest earned on cash held in trust. Further excise taxes payable has been accrued to reflect the redemptions which occurred to March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(e)</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repayment of the Promissory note in Armada.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(f)</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payment of cash and the reclassification of ordinary shares to deferred shares to settle the renegotiation of ANY. 4,854,368 ordinary shares will be cancelled in exchange for $5,000,000, and $2,161,600 will be paid to acquire 2,098,640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(g)</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withdrawals of cash from the trust for redemptions to March 31,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(h)</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conversion of convertible debt at the close of the Business Combination at $1 per loan note to a discount of 0.7 to the pre-IPO share price of the Combined Companys ordinary shares. A corresponding increase in Rezolves ordinary shares (at the nominal share value of £0.0001 per share), is reflected, with the remainder captured in Rezolves additional paid-in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(i)</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exchange of Armada Common Stock having a nominal value of $0.0001 per share into the Combined Companys ordinary shares of £0.0001 per share, with the remainder captured in Rezolves additional paid-in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i/>
              </w:rPr>
            </w:pPr>
            <w:r>
              <w:rPr>
                <w:i/>
              </w:rPr>
              <w:t>(j)</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(k)</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conversion of Armada redeemable stock into Rezolve ordinary shares under the minimum redemption scenarios.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(l)</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issuance of 2.5 million ordinary shares at a valuation of $1.23 for employee shares options that vest immediately upon close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(m)</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Elimination of historical retained earnings of Armada as part of the acquisition accounting.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i/>
              </w:rPr>
            </w:pPr>
            <w:r>
              <w:rPr>
                <w:i/>
              </w:rPr>
              <w:t>(n)</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return of Armada redeemable stock under the maximum redemption scenarios.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i/>
              </w:rPr>
            </w:pPr>
            <w:r>
              <w:rPr>
                <w:i/>
              </w:rPr>
              <w:t>(o)</w:t>
            </w:r>
          </w:p>
        </w:tc>
        <w:tc>
          <w:tcPr>
            <w:tcW w:w="1012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short-term loan to fund transaction costs in the maximum redemption scenario.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(p)</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adjustment to accrue excise taxes payable on the maximum redemptions scenario.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(q)</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cash paid for additional excise taxes triggered by redemptions under the maximum redemptions scenario. </w:t>
            </w:r>
          </w:p>
        </w:tc>
      </w:tr>
    </w:tbl>
    <w:p>
      <w:pPr>
        <w:pStyle w:val="TextBody"/>
        <w:spacing w:before="360" w:after="0"/>
        <w:jc w:val="left"/>
        <w:rPr>
          <w:rFonts w:ascii="Times New Roman" w:hAnsi="Times New Roman"/>
          <w:b/>
          <w:sz w:val="20"/>
        </w:rPr>
      </w:pPr>
      <w:r>
        <w:rPr>
          <w:rFonts w:ascii="Times New Roman" w:hAnsi="Times New Roman"/>
          <w:b/>
          <w:sz w:val="20"/>
        </w:rPr>
        <w:t xml:space="preserve">Note 3Unaudited pro forma condensed combined statements of operations adjustments </w:t>
      </w:r>
    </w:p>
    <w:p>
      <w:pPr>
        <w:pStyle w:val="TextBody"/>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 of operations for the year ended December 31, 2022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(aa)</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issuance of 2.5 million ordinary shares at a valuation of $1.23 for employee shares options that vest immediately upon close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(bb)</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adjustment to eliminate the interest income earned assuming the Business Combination completed on January 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i/>
              </w:rPr>
            </w:pPr>
            <w:r>
              <w:rPr>
                <w:i/>
              </w:rPr>
              <w:t>(cc)</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estimated costs of the Pre-Closing Demerger that will be paid in connection with the consummation of the Business Combination. This is a non-recurring item.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(dd)</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adjustment to eliminate the taxes payable on interest income that would have not been incurred given the Business Combination completed on January 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(ee)</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adjustment to accrue excise taxes payable on the redemptions that occurred in the three months ending March 31,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i/>
              </w:rPr>
            </w:pPr>
            <w:r>
              <w:rPr>
                <w:i/>
              </w:rPr>
              <w:t>(ff)</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the adjustment to accrue excise taxes payable on the maximum redemptions scenario.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4Earnings per Share </w:t>
      </w:r>
    </w:p>
    <w:p>
      <w:pPr>
        <w:pStyle w:val="TextBody"/>
        <w:spacing w:before="120" w:after="0"/>
        <w:jc w:val="left"/>
        <w:rPr>
          <w:rFonts w:ascii="Times New Roman" w:hAnsi="Times New Roman"/>
          <w:sz w:val="20"/>
        </w:rPr>
      </w:pPr>
      <w:r>
        <w:rPr>
          <w:rFonts w:ascii="Times New Roman" w:hAnsi="Times New Roman"/>
          <w:sz w:val="20"/>
        </w:rPr>
        <w:t xml:space="preserve">Represents the net earnings per share calculated using the historical weighted average shares outstanding, and the issuance of additional shares in connection with the Business Combination, assuming the shares were outstanding since January 1, 2022.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309194_14"/>
      <w:bookmarkEnd w:id="16"/>
      <w:r>
        <w:rPr>
          <w:rFonts w:ascii="Times New Roman" w:hAnsi="Times New Roman"/>
          <w:b/>
          <w:sz w:val="20"/>
        </w:rPr>
        <w:t xml:space="preserve">SPECIAL MEETING OF ARMADA STOCKHOLDERS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This proxy statement/prospectus is being provided to Armada stockholders as part of a solicitation of proxies by the Board for use at the Special Meeting of Stockholders to be held on                , 2023,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Times New Roman" w:hAnsi="Times New Roman"/>
          <w:b/>
          <w:sz w:val="20"/>
        </w:rPr>
        <w:t>You will not be able to attend the Special Meeting in person.</w:t>
      </w:r>
      <w:r>
        <w:rPr>
          <w:rFonts w:ascii="Times New Roman" w:hAnsi="Times New Roman"/>
          <w:sz w:val="20"/>
        </w:rPr>
        <w:t xml:space="preserve"> The access information for the virtual Special Meeting is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75"/>
        <w:gridCol w:w="210"/>
        <w:gridCol w:w="4954"/>
      </w:tblGrid>
      <w:tr>
        <w:trPr/>
        <w:tc>
          <w:tcPr>
            <w:tcW w:w="537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283"/>
              <w:rPr/>
            </w:pPr>
            <w:r>
              <w:rPr/>
              <w:t>Telephone Access (listen-only):</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pPr>
            <w:r>
              <w:rPr/>
              <w:t>+1 (877) 770-3647 (U.S. and Canada); or</w:t>
            </w:r>
          </w:p>
        </w:tc>
      </w:tr>
      <w:tr>
        <w:trPr/>
        <w:tc>
          <w:tcPr>
            <w:tcW w:w="5375"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pPr>
            <w:r>
              <w:rPr/>
              <w:t>+1 (312) 780-0854 (outside of the U.S. or Canada)</w:t>
            </w:r>
          </w:p>
        </w:tc>
      </w:tr>
      <w:tr>
        <w:trPr/>
        <w:tc>
          <w:tcPr>
            <w:tcW w:w="5375" w:type="dxa"/>
            <w:tcBorders/>
            <w:shd w:fill="auto" w:val="clear"/>
          </w:tcPr>
          <w:p>
            <w:pPr>
              <w:pStyle w:val="TableContents"/>
              <w:spacing w:before="0" w:after="283"/>
              <w:rPr/>
            </w:pPr>
            <w:r>
              <w:rPr/>
              <w:t>Passcode for Telephone Access:</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pPr>
            <w:r>
              <w:rPr/>
              <w:t>95865097#</w:t>
            </w:r>
          </w:p>
        </w:tc>
      </w:tr>
      <w:tr>
        <w:trPr/>
        <w:tc>
          <w:tcPr>
            <w:tcW w:w="5375" w:type="dxa"/>
            <w:tcBorders/>
            <w:shd w:fill="auto" w:val="clear"/>
          </w:tcPr>
          <w:p>
            <w:pPr>
              <w:pStyle w:val="TableContents"/>
              <w:spacing w:before="0" w:after="283"/>
              <w:rPr/>
            </w:pPr>
            <w:r>
              <w:rPr/>
              <w:t>Webcast Access:</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i/>
              </w:rPr>
            </w:pPr>
            <w:r>
              <w:rPr>
                <w:i/>
              </w:rPr>
              <w:t>http://www.cstproxy.com/armadaacquisition/2023</w:t>
            </w:r>
          </w:p>
        </w:tc>
      </w:tr>
    </w:tbl>
    <w:p>
      <w:pPr>
        <w:pStyle w:val="TextBody"/>
        <w:spacing w:before="240" w:after="0"/>
        <w:jc w:val="left"/>
        <w:rPr>
          <w:rFonts w:ascii="Times New Roman" w:hAnsi="Times New Roman"/>
          <w:sz w:val="20"/>
        </w:rPr>
      </w:pPr>
      <w:r>
        <w:rPr>
          <w:rFonts w:ascii="Times New Roman" w:hAnsi="Times New Roman"/>
          <w:sz w:val="20"/>
        </w:rPr>
        <w:t xml:space="preserve">This proxy statement/prospectus is being first mailed on or about                 , 2023 to all stockholders of record of Armada as of                 , the record date for the Special Meeting. Stockholders of record who owned Armada Common Stock at the close of business on the record date are entitled to receive notice of, attend and vote at the Special Meeting. On the record date, there were                  shares of Armada Common Stock and Founder Shares outstanding and entitled to vote at the Special Meeting. </w:t>
      </w:r>
    </w:p>
    <w:p>
      <w:pPr>
        <w:pStyle w:val="TextBody"/>
        <w:spacing w:before="360" w:after="0"/>
        <w:jc w:val="left"/>
        <w:rPr>
          <w:rFonts w:ascii="Times New Roman" w:hAnsi="Times New Roman"/>
          <w:b/>
          <w:sz w:val="20"/>
        </w:rPr>
      </w:pPr>
      <w:r>
        <w:rPr>
          <w:rFonts w:ascii="Times New Roman" w:hAnsi="Times New Roman"/>
          <w:b/>
          <w:sz w:val="20"/>
        </w:rPr>
        <w:t xml:space="preserve">Date, Time and Place </w:t>
      </w:r>
    </w:p>
    <w:p>
      <w:pPr>
        <w:pStyle w:val="TextBody"/>
        <w:spacing w:before="120" w:after="0"/>
        <w:jc w:val="left"/>
        <w:rPr>
          <w:rFonts w:ascii="Times New Roman" w:hAnsi="Times New Roman"/>
          <w:sz w:val="20"/>
        </w:rPr>
      </w:pPr>
      <w:r>
        <w:rPr>
          <w:rFonts w:ascii="Times New Roman" w:hAnsi="Times New Roman"/>
          <w:sz w:val="20"/>
        </w:rPr>
        <w:t xml:space="preserve">The Special Meeting will be held on                 , 2023, at                 , Eastern Time, via webcast at </w:t>
      </w:r>
      <w:r>
        <w:rPr>
          <w:rFonts w:ascii="Times New Roman" w:hAnsi="Times New Roman"/>
          <w:i/>
          <w:sz w:val="20"/>
        </w:rPr>
        <w:t>http://www.cstproxy.com/armadaacquisition/2023</w:t>
      </w:r>
      <w:r>
        <w:rPr>
          <w:rFonts w:ascii="Times New Roman" w:hAnsi="Times New Roman"/>
          <w:sz w:val="20"/>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Times New Roman" w:hAnsi="Times New Roman"/>
          <w:i/>
          <w:sz w:val="20"/>
        </w:rPr>
        <w:t>http://www.cstproxy.com/armadaacquisition/2023</w:t>
      </w:r>
      <w:r>
        <w:rPr>
          <w:rFonts w:ascii="Times New Roman" w:hAnsi="Times New Roman"/>
          <w:sz w:val="20"/>
        </w:rPr>
        <w:t xml:space="preserve"> and entering your 12-digit control number, which is either included on the proxy card you received or obtained through Continental Stock Transfer &amp; Trust Company. </w:t>
      </w:r>
    </w:p>
    <w:p>
      <w:pPr>
        <w:pStyle w:val="TextBody"/>
        <w:spacing w:before="360" w:after="0"/>
        <w:jc w:val="left"/>
        <w:rPr>
          <w:rFonts w:ascii="Times New Roman" w:hAnsi="Times New Roman"/>
          <w:b/>
          <w:sz w:val="20"/>
        </w:rPr>
      </w:pPr>
      <w:r>
        <w:rPr>
          <w:rFonts w:ascii="Times New Roman" w:hAnsi="Times New Roman"/>
          <w:b/>
          <w:sz w:val="20"/>
        </w:rPr>
        <w:t xml:space="preserve">Registering for the Special Meeting </w:t>
      </w:r>
    </w:p>
    <w:p>
      <w:pPr>
        <w:pStyle w:val="TextBody"/>
        <w:spacing w:before="120" w:after="0"/>
        <w:jc w:val="left"/>
        <w:rPr>
          <w:rFonts w:ascii="Times New Roman" w:hAnsi="Times New Roman"/>
          <w:sz w:val="20"/>
        </w:rPr>
      </w:pPr>
      <w:r>
        <w:rPr>
          <w:rFonts w:ascii="Times New Roman" w:hAnsi="Times New Roman"/>
          <w:sz w:val="20"/>
        </w:rPr>
        <w:t xml:space="preserve">Any stockholder wishing to attend the virtual meeting should register for the meeting by                 , 2023. To vote upon the proposals included in this proxy statement/prospectus, please follow these instructions as applicable to the nature of your ownership of Armada Common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using the proxy card, simply complete, sign, date and return the proxy card pursuant to the instructions on the card. If you return your signed proxy card before the Special Meeting, we will vote your shares as directed.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the company number and control number from the Notice. Your telephone vote must be received by 11:59 p.m. Eastern Time on                 , 2023 to be counted.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through the Internet before the meeting, go to </w:t>
            </w:r>
            <w:r>
              <w:rPr>
                <w:rFonts w:ascii="Times New Roman" w:hAnsi="Times New Roman"/>
                <w:i/>
                <w:sz w:val="20"/>
              </w:rPr>
              <w:t>http://www.cstproxy.com/armadaacquisition/2023</w:t>
            </w:r>
            <w:r>
              <w:rPr>
                <w:rFonts w:ascii="Times New Roman" w:hAnsi="Times New Roman"/>
                <w:sz w:val="20"/>
              </w:rPr>
              <w:t xml:space="preserve"> and follow the on-screen instructions. Your Internet vote must be received by 11:59 p.m., Eastern Time                 , 2023 to be counted.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vote through the Internet during the meeting, please visit </w:t>
            </w:r>
            <w:r>
              <w:rPr>
                <w:rFonts w:ascii="Times New Roman" w:hAnsi="Times New Roman"/>
                <w:i/>
                <w:sz w:val="20"/>
              </w:rPr>
              <w:t>http://www.cstproxy.com/armadaacquisition/2023</w:t>
            </w:r>
            <w:r>
              <w:rPr>
                <w:rFonts w:ascii="Times New Roman" w:hAnsi="Times New Roman"/>
                <w:sz w:val="20"/>
              </w:rPr>
              <w:t xml:space="preserve"> and have available the 12-digit control number included in your Notice, on your proxy card or on the instructions that accompanied your proxy materials.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Purpose of the Armada Special Meeting </w:t>
      </w:r>
    </w:p>
    <w:p>
      <w:pPr>
        <w:pStyle w:val="TextBody"/>
        <w:spacing w:before="120" w:after="0"/>
        <w:jc w:val="left"/>
        <w:rPr>
          <w:rFonts w:ascii="Times New Roman" w:hAnsi="Times New Roman"/>
          <w:sz w:val="20"/>
        </w:rPr>
      </w:pPr>
      <w:r>
        <w:rPr>
          <w:rFonts w:ascii="Times New Roman" w:hAnsi="Times New Roman"/>
          <w:sz w:val="20"/>
        </w:rPr>
        <w:t xml:space="preserve">At the Special Meeting, Company stockholders will vote on the following proposals: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1  The Business Combination Proposal</w:t>
            </w:r>
            <w:r>
              <w:rPr>
                <w:rFonts w:ascii="Times New Roman" w:hAnsi="Times New Roman"/>
                <w:sz w:val="20"/>
              </w:rPr>
              <w:t xml:space="preserve">  To consider and vote upon a proposal to adopt and approve the business combination described in this proxy statement/prospectus (the Business Combination and such proposal, the Business Combination Proposal), including the Business Combination Agreement, dated as of December 17, 2021 (as amended on November 10, 2022 and as further amended and restated on June 16, 2023, and as the same may be further amended, supplemented or otherwise modified from time to time, the Business Combination Agreement), by and among Armada, Rezolve Limited, a private limited liability company incorporated under the laws of England and Wales, Rezolve AI Limited, a private limited liability company incorporated under the laws of England and Wales (and prior to Closing, Rezolve AI Limited will re-register as Rezolve AI PLC, a public limited company ) (Rezolve), and Rezolve Merger Sub, Inc., a Delaware corporation (Rezolve Merger Sub), pursuant to which Armada, Rezolve and Rezolve Merger Sub will effect a series of transactions including, among other things: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6"/>
        <w:gridCol w:w="420"/>
        <w:gridCol w:w="9173"/>
      </w:tblGrid>
      <w:tr>
        <w:trPr/>
        <w:tc>
          <w:tcPr>
            <w:tcW w:w="946"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(ii)</w:t>
            </w:r>
          </w:p>
        </w:tc>
        <w:tc>
          <w:tcPr>
            <w:tcW w:w="917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2  The Nasdaq Proposal</w:t>
            </w:r>
            <w:r>
              <w:rPr>
                <w:rFonts w:ascii="Times New Roman" w:hAnsi="Times New Roman"/>
                <w:sz w:val="20"/>
              </w:rPr>
              <w:t xml:space="preserve">  to consider and vote upon a proposal to adopt and approve, for the purposes of complying 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3  The Incentive Equity Plan Proposal</w:t>
            </w:r>
            <w:r>
              <w:rPr>
                <w:rFonts w:ascii="Times New Roman" w:hAnsi="Times New Roman"/>
                <w:sz w:val="20"/>
              </w:rPr>
              <w:t xml:space="preserve">  to consider and vote upon a proposal to adopt and approve, the Rezolve Incentive Equity Plan (the Rezolve Incentive Equity Plan), which will become effective on or before the Closing Date and will be used by Rezolve following the Closing (the Incentive Equity Plan Proposal);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4  Adjournment Proposal</w:t>
            </w:r>
            <w:r>
              <w:rPr>
                <w:rFonts w:ascii="Times New Roman" w:hAnsi="Times New Roman"/>
                <w:sz w:val="20"/>
              </w:rPr>
              <w:t xml:space="preserve">  To approve, if necessary, the adjournment of the Special Meeting to a later date or dates to permit further solicitation and votes of proxies in the event that there are insufficient votes for, or otherwise in connection with, the approval of the Business Combination Proposal, the Nasdaq Proposal or the Incentive Equity Plan Proposal. This proposal will only be presented at the Special Meeting if there are not sufficient votes to approve the Business Combination Proposal, the Nasdaq Proposal or the Incentive Equity Plan Proposal. </w:t>
            </w:r>
          </w:p>
        </w:tc>
      </w:tr>
    </w:tbl>
    <w:p>
      <w:pPr>
        <w:pStyle w:val="TextBody"/>
        <w:spacing w:before="360" w:after="0"/>
        <w:jc w:val="left"/>
        <w:rPr>
          <w:rFonts w:ascii="Times New Roman" w:hAnsi="Times New Roman"/>
          <w:b/>
          <w:sz w:val="20"/>
        </w:rPr>
      </w:pPr>
      <w:r>
        <w:rPr>
          <w:rFonts w:ascii="Times New Roman" w:hAnsi="Times New Roman"/>
          <w:b/>
          <w:sz w:val="20"/>
        </w:rPr>
        <w:t xml:space="preserve">Recommendation of the Armada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 </w:t>
      </w:r>
    </w:p>
    <w:p>
      <w:pPr>
        <w:pStyle w:val="TextBody"/>
        <w:spacing w:before="240" w:after="0"/>
        <w:jc w:val="left"/>
        <w:rPr>
          <w:rFonts w:ascii="Times New Roman" w:hAnsi="Times New Roman"/>
          <w:sz w:val="20"/>
        </w:rPr>
      </w:pPr>
      <w:r>
        <w:rPr>
          <w:rFonts w:ascii="Times New Roman" w:hAnsi="Times New Roman"/>
          <w:sz w:val="2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These interests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the board of directors of Rezolve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spacing w:before="240" w:after="0"/>
        <w:jc w:val="left"/>
        <w:rPr>
          <w:rFonts w:ascii="Times New Roman" w:hAnsi="Times New Roman"/>
          <w:sz w:val="20"/>
        </w:rPr>
      </w:pPr>
      <w:r>
        <w:rPr>
          <w:rFonts w:ascii="Times New Roman" w:hAnsi="Times New Roman"/>
          <w:sz w:val="20"/>
        </w:rPr>
        <w:t xml:space="preserve">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may have influenced their motivation in identifying and selecting Rezolve, completing a business combination with Rezolve and may influence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operation of the post-combination company following the Business Combination. This risk may become more acute as the deadline for completing an initial business combination nears. </w:t>
      </w:r>
    </w:p>
    <w:p>
      <w:pPr>
        <w:pStyle w:val="TextBody"/>
        <w:spacing w:before="360" w:after="0"/>
        <w:jc w:val="left"/>
        <w:rPr>
          <w:rFonts w:ascii="Times New Roman" w:hAnsi="Times New Roman"/>
          <w:b/>
          <w:sz w:val="20"/>
        </w:rPr>
      </w:pPr>
      <w:r>
        <w:rPr>
          <w:rFonts w:ascii="Times New Roman" w:hAnsi="Times New Roman"/>
          <w:b/>
          <w:sz w:val="20"/>
        </w:rPr>
        <w:t xml:space="preserve">Record Date; Outstanding Shares; Shareholders Entitled to Vote </w:t>
      </w:r>
    </w:p>
    <w:p>
      <w:pPr>
        <w:pStyle w:val="TextBody"/>
        <w:spacing w:before="120" w:after="0"/>
        <w:jc w:val="left"/>
        <w:rPr>
          <w:rFonts w:ascii="Times New Roman" w:hAnsi="Times New Roman"/>
          <w:sz w:val="20"/>
        </w:rPr>
      </w:pPr>
      <w:r>
        <w:rPr>
          <w:rFonts w:ascii="Times New Roman" w:hAnsi="Times New Roman"/>
          <w:sz w:val="20"/>
        </w:rPr>
        <w:t xml:space="preserve">Armada has fixed the close of business on                 , 2023,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 the close of business on the record date, there were                  shares of Armada Common Stock and Founder Shares outstanding and entitled to vote, of which                  are public shares,                  are Private Placement Shares held by our Sponsor, and                  are Founder Shares held by our Sponsor. </w:t>
      </w:r>
    </w:p>
    <w:p>
      <w:pPr>
        <w:pStyle w:val="TextBody"/>
        <w:spacing w:before="360" w:after="0"/>
        <w:jc w:val="left"/>
        <w:rPr>
          <w:rFonts w:ascii="Times New Roman" w:hAnsi="Times New Roman"/>
          <w:b/>
          <w:sz w:val="20"/>
        </w:rPr>
      </w:pPr>
      <w:r>
        <w:rPr>
          <w:rFonts w:ascii="Times New Roman" w:hAnsi="Times New Roman"/>
          <w:b/>
          <w:sz w:val="20"/>
        </w:rPr>
        <w:t xml:space="preserve">Quorum and Required Vote for Proposals for the Special Meeting </w:t>
      </w:r>
    </w:p>
    <w:p>
      <w:pPr>
        <w:pStyle w:val="TextBody"/>
        <w:spacing w:before="120" w:after="0"/>
        <w:jc w:val="left"/>
        <w:rPr>
          <w:rFonts w:ascii="Times New Roman" w:hAnsi="Times New Roman"/>
          <w:sz w:val="20"/>
        </w:rPr>
      </w:pPr>
      <w:r>
        <w:rPr>
          <w:rFonts w:ascii="Times New Roman" w:hAnsi="Times New Roman"/>
          <w:sz w:val="20"/>
        </w:rPr>
        <w:t xml:space="preserve">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 </w:t>
      </w:r>
    </w:p>
    <w:p>
      <w:pPr>
        <w:pStyle w:val="TextBody"/>
        <w:spacing w:before="240" w:after="0"/>
        <w:jc w:val="left"/>
        <w:rPr>
          <w:rFonts w:ascii="Times New Roman" w:hAnsi="Times New Roman"/>
          <w:sz w:val="20"/>
        </w:rPr>
      </w:pPr>
      <w:r>
        <w:rPr>
          <w:rFonts w:ascii="Times New Roman" w:hAnsi="Times New Roman"/>
          <w:sz w:val="20"/>
        </w:rPr>
        <w:t xml:space="preserve">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 </w:t>
      </w:r>
    </w:p>
    <w:p>
      <w:pPr>
        <w:pStyle w:val="TextBody"/>
        <w:spacing w:before="240" w:after="0"/>
        <w:jc w:val="left"/>
        <w:rPr>
          <w:rFonts w:ascii="Times New Roman" w:hAnsi="Times New Roman"/>
          <w:sz w:val="20"/>
        </w:rPr>
      </w:pPr>
      <w:r>
        <w:rPr>
          <w:rFonts w:ascii="Times New Roman" w:hAnsi="Times New Roman"/>
          <w:sz w:val="20"/>
        </w:rPr>
        <w:t xml:space="preserve">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 </w:t>
      </w:r>
    </w:p>
    <w:p>
      <w:pPr>
        <w:pStyle w:val="TextBody"/>
        <w:spacing w:before="360" w:after="0"/>
        <w:jc w:val="left"/>
        <w:rPr>
          <w:rFonts w:ascii="Times New Roman" w:hAnsi="Times New Roman"/>
          <w:b/>
          <w:i/>
          <w:sz w:val="20"/>
        </w:rPr>
      </w:pPr>
      <w:r>
        <w:rPr>
          <w:rFonts w:ascii="Times New Roman" w:hAnsi="Times New Roman"/>
          <w:b/>
          <w:i/>
          <w:sz w:val="20"/>
        </w:rPr>
        <w:t xml:space="preserve">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 </w:t>
      </w:r>
    </w:p>
    <w:p>
      <w:pPr>
        <w:pStyle w:val="TextBody"/>
        <w:spacing w:before="240" w:after="0"/>
        <w:jc w:val="left"/>
        <w:rPr>
          <w:rFonts w:ascii="Times New Roman" w:hAnsi="Times New Roman"/>
          <w:b/>
          <w:sz w:val="20"/>
        </w:rPr>
      </w:pPr>
      <w:r>
        <w:rPr>
          <w:rFonts w:ascii="Times New Roman" w:hAnsi="Times New Roman"/>
          <w:b/>
          <w:sz w:val="20"/>
        </w:rPr>
        <w:t xml:space="preserve">Abstentions and Broker Non-Votes </w:t>
      </w:r>
    </w:p>
    <w:p>
      <w:pPr>
        <w:pStyle w:val="TextBody"/>
        <w:spacing w:before="120" w:after="0"/>
        <w:jc w:val="left"/>
        <w:rPr>
          <w:rFonts w:ascii="Times New Roman" w:hAnsi="Times New Roman"/>
          <w:sz w:val="20"/>
        </w:rPr>
      </w:pPr>
      <w:r>
        <w:rPr>
          <w:rFonts w:ascii="Times New Roman" w:hAnsi="Times New Roman"/>
          <w:sz w:val="20"/>
        </w:rPr>
        <w:t xml:space="preserve">Abstentions are considered present for the purposes of establishing a quorum. Abstentions will have no effect on the Business Combination Proposal, the Nasdaq Proposal, the Incentive Equity Plan Proposal and the Adjournment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 w:hAnsi="Times New Roman"/>
          <w:b/>
          <w:sz w:val="20"/>
        </w:rPr>
        <w:t xml:space="preserve">None of the proposals at the Special Meeting are routine matters. As such, without your voting instructions, your brokerage firm cannot vote your shares on any proposal to be voted on at the Special Meeting. </w:t>
      </w:r>
      <w:r>
        <w:rPr>
          <w:rFonts w:ascii="Times New Roman" w:hAnsi="Times New Roman"/>
          <w:sz w:val="20"/>
        </w:rPr>
        <w:t xml:space="preserve">Broker non-votes will not have any effect on the outcome of any Proposals. </w:t>
      </w:r>
    </w:p>
    <w:p>
      <w:pPr>
        <w:pStyle w:val="TextBody"/>
        <w:spacing w:before="360" w:after="0"/>
        <w:jc w:val="left"/>
        <w:rPr>
          <w:rFonts w:ascii="Times New Roman" w:hAnsi="Times New Roman"/>
          <w:b/>
          <w:sz w:val="20"/>
        </w:rPr>
      </w:pPr>
      <w:r>
        <w:rPr>
          <w:rFonts w:ascii="Times New Roman" w:hAnsi="Times New Roman"/>
          <w:b/>
          <w:sz w:val="20"/>
        </w:rPr>
        <w:t xml:space="preserve">Voting Your Shares  Stockholders of Record </w:t>
      </w:r>
    </w:p>
    <w:p>
      <w:pPr>
        <w:pStyle w:val="TextBody"/>
        <w:spacing w:before="120" w:after="0"/>
        <w:jc w:val="left"/>
        <w:rPr>
          <w:rFonts w:ascii="Times New Roman" w:hAnsi="Times New Roman"/>
          <w:sz w:val="20"/>
        </w:rPr>
      </w:pPr>
      <w:r>
        <w:rPr>
          <w:rFonts w:ascii="Times New Roman" w:hAnsi="Times New Roman"/>
          <w:sz w:val="20"/>
        </w:rPr>
        <w:t xml:space="preserve">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 </w:t>
      </w:r>
    </w:p>
    <w:p>
      <w:pPr>
        <w:pStyle w:val="TextBody"/>
        <w:spacing w:before="240" w:after="0"/>
        <w:jc w:val="left"/>
        <w:rPr>
          <w:rFonts w:ascii="Times New Roman" w:hAnsi="Times New Roman"/>
          <w:sz w:val="20"/>
        </w:rPr>
      </w:pPr>
      <w:r>
        <w:rPr>
          <w:rFonts w:ascii="Times New Roman" w:hAnsi="Times New Roman"/>
          <w:b/>
          <w:sz w:val="20"/>
        </w:rPr>
        <w:t>Voting by Mail.</w:t>
      </w:r>
      <w:r>
        <w:rPr>
          <w:rFonts w:ascii="Times New Roman" w:hAnsi="Times New Roman"/>
          <w:sz w:val="20"/>
        </w:rPr>
        <w:t>    You can vote your shares by completing, signing, dating and returning the enclosed proxy card in the postage-paid envelope 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Times New Roman" w:hAnsi="Times New Roman"/>
          <w:b/>
          <w:sz w:val="20"/>
        </w:rPr>
        <w:t>FOR</w:t>
      </w:r>
      <w:r>
        <w:rPr>
          <w:rFonts w:ascii="Times New Roman" w:hAnsi="Times New Roman"/>
          <w:sz w:val="20"/>
        </w:rPr>
        <w:t> the Business Combination Proposal, </w:t>
      </w:r>
      <w:r>
        <w:rPr>
          <w:rFonts w:ascii="Times New Roman" w:hAnsi="Times New Roman"/>
          <w:b/>
          <w:sz w:val="20"/>
        </w:rPr>
        <w:t>FOR</w:t>
      </w:r>
      <w:r>
        <w:rPr>
          <w:rFonts w:ascii="Times New Roman" w:hAnsi="Times New Roman"/>
          <w:sz w:val="20"/>
        </w:rPr>
        <w:t> the Nasdaq Proposal, </w:t>
      </w:r>
      <w:r>
        <w:rPr>
          <w:rFonts w:ascii="Times New Roman" w:hAnsi="Times New Roman"/>
          <w:b/>
          <w:sz w:val="20"/>
        </w:rPr>
        <w:t>FOR</w:t>
      </w:r>
      <w:r>
        <w:rPr>
          <w:rFonts w:ascii="Times New Roman" w:hAnsi="Times New Roman"/>
          <w:sz w:val="20"/>
        </w:rPr>
        <w:t> the Incentive Equity Plan Proposal and </w:t>
      </w:r>
      <w:r>
        <w:rPr>
          <w:rFonts w:ascii="Times New Roman" w:hAnsi="Times New Roman"/>
          <w:b/>
          <w:sz w:val="20"/>
        </w:rPr>
        <w:t>FOR</w:t>
      </w:r>
      <w:r>
        <w:rPr>
          <w:rFonts w:ascii="Times New Roman" w:hAnsi="Times New Roman"/>
          <w:sz w:val="20"/>
        </w:rPr>
        <w:t xml:space="preserve"> the Adjournment Proposal. Votes submitted by mail must be received by                 , Eastern Time, on                 , 2023. </w:t>
      </w:r>
    </w:p>
    <w:p>
      <w:pPr>
        <w:pStyle w:val="TextBody"/>
        <w:spacing w:before="240" w:after="0"/>
        <w:jc w:val="left"/>
        <w:rPr>
          <w:rFonts w:ascii="Times New Roman" w:hAnsi="Times New Roman"/>
          <w:sz w:val="20"/>
        </w:rPr>
      </w:pPr>
      <w:r>
        <w:rPr>
          <w:rFonts w:ascii="Times New Roman" w:hAnsi="Times New Roman"/>
          <w:b/>
          <w:sz w:val="20"/>
        </w:rPr>
        <w:t xml:space="preserve">Voting at the Meeting </w:t>
      </w:r>
      <w:r>
        <w:rPr>
          <w:rFonts w:ascii="Times New Roman" w:hAnsi="Times New Roman"/>
          <w:sz w:val="20"/>
        </w:rPr>
        <w:t xml:space="preserve"> We will be hosting the Special Meeting via live webcast. If you attend the Special Meeting, you may submit your vote at the Special Meeting online at </w:t>
      </w:r>
      <w:r>
        <w:rPr>
          <w:rFonts w:ascii="Times New Roman" w:hAnsi="Times New Roman"/>
          <w:i/>
          <w:sz w:val="20"/>
        </w:rPr>
        <w:t>http://www.cstproxy.com/armadaacquisition/2023</w:t>
      </w:r>
      <w:r>
        <w:rPr>
          <w:rFonts w:ascii="Times New Roman" w:hAnsi="Times New Roman"/>
          <w:sz w:val="20"/>
        </w:rPr>
        <w:t>, in which case any votes that you previously submitted will be superseded by the vote that you cast at the Special Meeting. See </w:t>
      </w:r>
      <w:r>
        <w:rPr>
          <w:rFonts w:ascii="Times New Roman" w:hAnsi="Times New Roman"/>
          <w:i/>
          <w:sz w:val="20"/>
        </w:rPr>
        <w:t>Registering for the Special Meeting</w:t>
      </w:r>
      <w:r>
        <w:rPr>
          <w:rFonts w:ascii="Times New Roman" w:hAnsi="Times New Roman"/>
          <w:sz w:val="20"/>
        </w:rPr>
        <w:t xml:space="preserve"> above for further details on how to attend the Special Meeting. </w:t>
      </w:r>
    </w:p>
    <w:p>
      <w:pPr>
        <w:pStyle w:val="TextBody"/>
        <w:spacing w:before="360" w:after="0"/>
        <w:jc w:val="left"/>
        <w:rPr>
          <w:rFonts w:ascii="Times New Roman" w:hAnsi="Times New Roman"/>
          <w:sz w:val="20"/>
        </w:rPr>
      </w:pPr>
      <w:r>
        <w:rPr>
          <w:rFonts w:ascii="Times New Roman" w:hAnsi="Times New Roman"/>
          <w:b/>
          <w:sz w:val="20"/>
        </w:rPr>
        <w:t xml:space="preserve">Voting Your Shares </w:t>
      </w:r>
      <w:r>
        <w:rPr>
          <w:rFonts w:ascii="Times New Roman" w:hAnsi="Times New Roman"/>
          <w:sz w:val="20"/>
        </w:rPr>
        <w:t xml:space="preserve"> </w:t>
      </w:r>
      <w:r>
        <w:rPr>
          <w:rFonts w:ascii="Times New Roman" w:hAnsi="Times New Roman"/>
          <w:b/>
          <w:sz w:val="20"/>
        </w:rPr>
        <w:t>Beneficial Owners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Times New Roman" w:hAnsi="Times New Roman"/>
          <w:i/>
          <w:sz w:val="20"/>
        </w:rPr>
        <w:t>Attending the Special Meeting</w:t>
      </w:r>
      <w:r>
        <w:rPr>
          <w:rFonts w:ascii="Times New Roman" w:hAnsi="Times New Roman"/>
          <w:sz w:val="20"/>
        </w:rPr>
        <w:t xml:space="preserve"> below for more details. </w:t>
      </w:r>
    </w:p>
    <w:p>
      <w:pPr>
        <w:pStyle w:val="TextBody"/>
        <w:spacing w:before="360" w:after="0"/>
        <w:jc w:val="left"/>
        <w:rPr>
          <w:rFonts w:ascii="Times New Roman" w:hAnsi="Times New Roman"/>
          <w:b/>
          <w:sz w:val="20"/>
        </w:rPr>
      </w:pPr>
      <w:r>
        <w:rPr>
          <w:rFonts w:ascii="Times New Roman" w:hAnsi="Times New Roman"/>
          <w:b/>
          <w:sz w:val="20"/>
        </w:rPr>
        <w:t xml:space="preserve">Share Ownership of and Voting by Armada Directors and Officers </w:t>
      </w:r>
    </w:p>
    <w:p>
      <w:pPr>
        <w:pStyle w:val="TextBody"/>
        <w:spacing w:before="120" w:after="0"/>
        <w:jc w:val="left"/>
        <w:rPr>
          <w:rFonts w:ascii="Times New Roman" w:hAnsi="Times New Roman"/>
          <w:sz w:val="20"/>
        </w:rPr>
      </w:pPr>
      <w:r>
        <w:rPr>
          <w:rFonts w:ascii="Times New Roman" w:hAnsi="Times New Roman"/>
          <w:sz w:val="20"/>
        </w:rPr>
        <w:t>As of the Record Date, Armadas directors and officers and their affiliates had the right to vote approximately                  shares of Armada Common Stock, representing approximately    % of the shares of Armada Common Stock then outstanding and entitled to vote at the Special Meeting. Armada Initial Shareholders entered into a Transaction Support Agreement with Armada to vote </w:t>
      </w:r>
      <w:r>
        <w:rPr>
          <w:rFonts w:ascii="Times New Roman" w:hAnsi="Times New Roman"/>
          <w:b/>
          <w:sz w:val="20"/>
        </w:rPr>
        <w:t>FOR</w:t>
      </w:r>
      <w:r>
        <w:rPr>
          <w:rFonts w:ascii="Times New Roman" w:hAnsi="Times New Roman"/>
          <w:sz w:val="20"/>
        </w:rPr>
        <w:t xml:space="preserve"> the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Combination Proposal, </w:t>
      </w:r>
      <w:r>
        <w:rPr>
          <w:rFonts w:ascii="Times New Roman" w:hAnsi="Times New Roman"/>
          <w:b/>
          <w:sz w:val="20"/>
        </w:rPr>
        <w:t>FOR</w:t>
      </w:r>
      <w:r>
        <w:rPr>
          <w:rFonts w:ascii="Times New Roman" w:hAnsi="Times New Roman"/>
          <w:sz w:val="20"/>
        </w:rPr>
        <w:t> the Nasdaq Proposal, </w:t>
      </w:r>
      <w:r>
        <w:rPr>
          <w:rFonts w:ascii="Times New Roman" w:hAnsi="Times New Roman"/>
          <w:b/>
          <w:sz w:val="20"/>
        </w:rPr>
        <w:t>FOR</w:t>
      </w:r>
      <w:r>
        <w:rPr>
          <w:rFonts w:ascii="Times New Roman" w:hAnsi="Times New Roman"/>
          <w:sz w:val="20"/>
        </w:rPr>
        <w:t> the Incentive Equity Plan Proposal and </w:t>
      </w:r>
      <w:r>
        <w:rPr>
          <w:rFonts w:ascii="Times New Roman" w:hAnsi="Times New Roman"/>
          <w:b/>
          <w:sz w:val="20"/>
        </w:rPr>
        <w:t>FOR</w:t>
      </w:r>
      <w:r>
        <w:rPr>
          <w:rFonts w:ascii="Times New Roman" w:hAnsi="Times New Roman"/>
          <w:sz w:val="20"/>
        </w:rPr>
        <w:t xml:space="preserve"> the Adjournment Proposal. </w:t>
      </w:r>
    </w:p>
    <w:p>
      <w:pPr>
        <w:pStyle w:val="TextBody"/>
        <w:spacing w:before="360" w:after="0"/>
        <w:jc w:val="left"/>
        <w:rPr>
          <w:rFonts w:ascii="Times New Roman" w:hAnsi="Times New Roman"/>
          <w:b/>
          <w:sz w:val="20"/>
        </w:rPr>
      </w:pPr>
      <w:r>
        <w:rPr>
          <w:rFonts w:ascii="Times New Roman" w:hAnsi="Times New Roman"/>
          <w:b/>
          <w:sz w:val="20"/>
        </w:rPr>
        <w:t xml:space="preserve">Revoking Your Proxy </w:t>
      </w:r>
    </w:p>
    <w:p>
      <w:pPr>
        <w:pStyle w:val="TextBody"/>
        <w:spacing w:before="120" w:after="0"/>
        <w:jc w:val="left"/>
        <w:rPr>
          <w:rFonts w:ascii="Times New Roman" w:hAnsi="Times New Roman"/>
          <w:sz w:val="20"/>
        </w:rPr>
      </w:pPr>
      <w:r>
        <w:rPr>
          <w:rFonts w:ascii="Times New Roman" w:hAnsi="Times New Roman"/>
          <w:sz w:val="20"/>
        </w:rPr>
        <w:t xml:space="preserve">If you give a proxy, you may revoke it at any time before the Special Meeting or at the Special Meeting by doing any one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send another proxy card with a later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notify the Companys Secretary in writing to c/o Armada Acquisition Corp. I, 2005 Market Street, Suite 3120, Philadelphia, PA 19103, Attn: Secretary, before the Special Meeting that you have revoked your proxy;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may attend the Special Meeting, revoke your proxy, and vote in person, as indicated above. </w:t>
            </w:r>
          </w:p>
        </w:tc>
      </w:tr>
    </w:tbl>
    <w:p>
      <w:pPr>
        <w:pStyle w:val="TextBody"/>
        <w:spacing w:before="360" w:after="0"/>
        <w:jc w:val="left"/>
        <w:rPr>
          <w:rFonts w:ascii="Times New Roman" w:hAnsi="Times New Roman"/>
          <w:b/>
          <w:sz w:val="20"/>
        </w:rPr>
      </w:pPr>
      <w:r>
        <w:rPr>
          <w:rFonts w:ascii="Times New Roman" w:hAnsi="Times New Roman"/>
          <w:b/>
          <w:sz w:val="20"/>
        </w:rPr>
        <w:t xml:space="preserve">No Additional Matters </w:t>
      </w:r>
    </w:p>
    <w:p>
      <w:pPr>
        <w:pStyle w:val="TextBody"/>
        <w:spacing w:before="120" w:after="0"/>
        <w:jc w:val="left"/>
        <w:rPr>
          <w:rFonts w:ascii="Times New Roman" w:hAnsi="Times New Roman"/>
          <w:sz w:val="20"/>
        </w:rPr>
      </w:pPr>
      <w:r>
        <w:rPr>
          <w:rFonts w:ascii="Times New Roman" w:hAnsi="Times New Roman"/>
          <w:sz w:val="20"/>
        </w:rPr>
        <w:t xml:space="preserve">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 </w:t>
      </w:r>
    </w:p>
    <w:p>
      <w:pPr>
        <w:pStyle w:val="TextBody"/>
        <w:spacing w:before="360" w:after="0"/>
        <w:jc w:val="left"/>
        <w:rPr>
          <w:rFonts w:ascii="Times New Roman" w:hAnsi="Times New Roman"/>
          <w:b/>
          <w:sz w:val="20"/>
        </w:rPr>
      </w:pPr>
      <w:r>
        <w:rPr>
          <w:rFonts w:ascii="Times New Roman" w:hAnsi="Times New Roman"/>
          <w:b/>
          <w:sz w:val="20"/>
        </w:rPr>
        <w:t xml:space="preserve">Who Can Answer Your Questions About Voting Your Shares </w:t>
      </w:r>
    </w:p>
    <w:p>
      <w:pPr>
        <w:pStyle w:val="TextBody"/>
        <w:spacing w:before="120" w:after="0"/>
        <w:jc w:val="left"/>
        <w:rPr>
          <w:rFonts w:ascii="Times New Roman" w:hAnsi="Times New Roman"/>
          <w:sz w:val="20"/>
        </w:rPr>
      </w:pPr>
      <w:r>
        <w:rPr>
          <w:rFonts w:ascii="Times New Roman" w:hAnsi="Times New Roman"/>
          <w:sz w:val="20"/>
        </w:rPr>
        <w:t xml:space="preserve">If you have any questions about how to vote or direct a vote in respect of your shares of Armada Common Stock, you may contact                 , our proxy solicitor, at                 (call collect),                 (call toll-free), or by sending an e-mail to                 . </w:t>
      </w:r>
    </w:p>
    <w:p>
      <w:pPr>
        <w:pStyle w:val="TextBody"/>
        <w:spacing w:before="360" w:after="0"/>
        <w:jc w:val="left"/>
        <w:rPr>
          <w:rFonts w:ascii="Times New Roman" w:hAnsi="Times New Roman"/>
          <w:b/>
          <w:sz w:val="20"/>
        </w:rPr>
      </w:pPr>
      <w:r>
        <w:rPr>
          <w:rFonts w:ascii="Times New Roman" w:hAnsi="Times New Roman"/>
          <w:b/>
          <w:sz w:val="20"/>
        </w:rPr>
        <w:t xml:space="preserve">Redemption rights </w:t>
      </w:r>
    </w:p>
    <w:p>
      <w:pPr>
        <w:pStyle w:val="TextBody"/>
        <w:spacing w:before="120" w:after="0"/>
        <w:jc w:val="left"/>
        <w:rPr>
          <w:rFonts w:ascii="Times New Roman" w:hAnsi="Times New Roman"/>
          <w:sz w:val="20"/>
        </w:rPr>
      </w:pPr>
      <w:r>
        <w:rPr>
          <w:rFonts w:ascii="Times New Roman" w:hAnsi="Times New Roman"/>
          <w:sz w:val="20"/>
        </w:rPr>
        <w:t xml:space="preserve">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 value of marketable securities held in the Trust Account of approximately $                 as of                 , 2023, the estimated per share redemption price would have been approximately $                 on such date. </w:t>
      </w:r>
      <w:r>
        <w:rPr>
          <w:rFonts w:ascii="Times New Roman" w:hAnsi="Times New Roman"/>
          <w:b/>
          <w:sz w:val="20"/>
          <w:u w:val="single"/>
        </w:rPr>
        <w:t>Public stockholders may elect to redeem their shares even if they vote for the Business Combination</w:t>
      </w:r>
      <w:r>
        <w:rPr>
          <w:rFonts w:ascii="Times New Roman" w:hAnsi="Times New Roman"/>
          <w:sz w:val="20"/>
        </w:rPr>
        <w:t xml:space="preserve">. Any request to redeem public shares, once 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w:t>
      </w:r>
    </w:p>
    <w:p>
      <w:pPr>
        <w:pStyle w:val="TextBody"/>
        <w:spacing w:before="240" w:after="0"/>
        <w:jc w:val="left"/>
        <w:rPr>
          <w:rFonts w:ascii="Times New Roman" w:hAnsi="Times New Roman"/>
          <w:sz w:val="20"/>
        </w:rPr>
      </w:pPr>
      <w:r>
        <w:rPr>
          <w:rFonts w:ascii="Times New Roman" w:hAnsi="Times New Roman"/>
          <w:sz w:val="20"/>
        </w:rPr>
        <w:t xml:space="preserve">In order to exercise your Redemption Rights, you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hold public units, separate the underlying public shares and public warrants;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5:00 p.m., Eastern Time, on                 , 2023 (two business days before the Special Meeting), tender your shares physically or electronically and submit a request in writing that we redeem your public shares for cash to Continental Stock Transfer &amp; Trust Company, our Transfer Agent, at the following address: </w:t>
            </w:r>
          </w:p>
        </w:tc>
      </w:tr>
    </w:tbl>
    <w:p>
      <w:pPr>
        <w:pStyle w:val="TextBody"/>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0" w:after="0"/>
        <w:jc w:val="center"/>
        <w:rPr>
          <w:rFonts w:ascii="Times New Roman" w:hAnsi="Times New Roman"/>
          <w:sz w:val="20"/>
        </w:rPr>
      </w:pPr>
      <w:r>
        <w:rPr>
          <w:rFonts w:ascii="Times New Roman" w:hAnsi="Times New Roman"/>
          <w:sz w:val="20"/>
        </w:rPr>
        <w:t xml:space="preserve">1 State Street  30th Floor </w:t>
      </w:r>
    </w:p>
    <w:p>
      <w:pPr>
        <w:pStyle w:val="TextBody"/>
        <w:spacing w:before="0" w:after="0"/>
        <w:jc w:val="center"/>
        <w:rPr>
          <w:rFonts w:ascii="Times New Roman" w:hAnsi="Times New Roman"/>
          <w:sz w:val="20"/>
        </w:rPr>
      </w:pPr>
      <w:r>
        <w:rPr>
          <w:rFonts w:ascii="Times New Roman" w:hAnsi="Times New Roman"/>
          <w:sz w:val="20"/>
        </w:rPr>
        <w:t xml:space="preserve">New York, New York 10004 </w:t>
      </w:r>
    </w:p>
    <w:p>
      <w:pPr>
        <w:pStyle w:val="TextBody"/>
        <w:spacing w:before="0" w:after="0"/>
        <w:jc w:val="center"/>
        <w:rPr>
          <w:rFonts w:ascii="Times New Roman" w:hAnsi="Times New Roman"/>
          <w:sz w:val="20"/>
        </w:rPr>
      </w:pPr>
      <w:r>
        <w:rPr>
          <w:rFonts w:ascii="Times New Roman" w:hAnsi="Times New Roman"/>
          <w:sz w:val="20"/>
        </w:rPr>
        <w:t xml:space="preserve">Attention:                                               </w:t>
      </w:r>
    </w:p>
    <w:p>
      <w:pPr>
        <w:pStyle w:val="TextBody"/>
        <w:spacing w:before="0" w:after="0"/>
        <w:jc w:val="center"/>
        <w:rPr>
          <w:rFonts w:ascii="Times New Roman" w:hAnsi="Times New Roman"/>
          <w:sz w:val="20"/>
        </w:rPr>
      </w:pPr>
      <w:r>
        <w:rPr>
          <w:rFonts w:ascii="Times New Roman" w:hAnsi="Times New Roman"/>
          <w:sz w:val="20"/>
        </w:rPr>
        <w:t xml:space="preserve">E-mail: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 </w:t>
            </w:r>
          </w:p>
        </w:tc>
      </w:tr>
    </w:tbl>
    <w:p>
      <w:pPr>
        <w:pStyle w:val="TextBody"/>
        <w:spacing w:before="240" w:after="0"/>
        <w:jc w:val="left"/>
        <w:rPr>
          <w:rFonts w:ascii="Times New Roman" w:hAnsi="Times New Roman"/>
          <w:sz w:val="20"/>
        </w:rPr>
      </w:pPr>
      <w:r>
        <w:rPr>
          <w:rFonts w:ascii="Times New Roman" w:hAnsi="Times New Roman"/>
          <w:sz w:val="20"/>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DTCs DWAC system, at such stockholders option. </w:t>
      </w:r>
      <w:r>
        <w:rPr>
          <w:rFonts w:ascii="Times New Roman" w:hAnsi="Times New Roman"/>
          <w:b/>
          <w:sz w:val="20"/>
          <w:u w:val="single"/>
        </w:rPr>
        <w:t>The requirement for physical or electronic delivery prior to the Special Meeting ensures that a redeeming stockholders election to redeem is irrevocable once the Business Combination is approved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 </w:t>
      </w:r>
    </w:p>
    <w:p>
      <w:pPr>
        <w:pStyle w:val="TextBody"/>
        <w:spacing w:before="240" w:after="0"/>
        <w:jc w:val="left"/>
        <w:rPr>
          <w:rFonts w:ascii="Times New Roman" w:hAnsi="Times New Roman"/>
          <w:sz w:val="20"/>
        </w:rPr>
      </w:pPr>
      <w:r>
        <w:rPr>
          <w:rFonts w:ascii="Times New Roman" w:hAnsi="Times New Roman"/>
          <w:sz w:val="20"/>
        </w:rPr>
        <w:t xml:space="preserve">Holders of outstanding public units must separate the underlying public shares and public warrants prior to exercising Redemption Rights with respect to the public shares. </w:t>
      </w:r>
    </w:p>
    <w:p>
      <w:pPr>
        <w:pStyle w:val="TextBody"/>
        <w:spacing w:before="240" w:after="0"/>
        <w:jc w:val="left"/>
        <w:rPr>
          <w:rFonts w:ascii="Times New Roman" w:hAnsi="Times New Roman"/>
          <w:sz w:val="20"/>
        </w:rPr>
      </w:pPr>
      <w:r>
        <w:rPr>
          <w:rFonts w:ascii="Times New Roman" w:hAnsi="Times New Roman"/>
          <w:sz w:val="20"/>
        </w:rPr>
        <w:t xml:space="preserve">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 </w:t>
      </w:r>
    </w:p>
    <w:p>
      <w:pPr>
        <w:pStyle w:val="TextBody"/>
        <w:spacing w:before="240" w:after="0"/>
        <w:jc w:val="left"/>
        <w:rPr>
          <w:rFonts w:ascii="Times New Roman" w:hAnsi="Times New Roman"/>
          <w:sz w:val="20"/>
        </w:rPr>
      </w:pPr>
      <w:r>
        <w:rPr>
          <w:rFonts w:ascii="Times New Roman" w:hAnsi="Times New Roman"/>
          <w:sz w:val="20"/>
        </w:rPr>
        <w:t xml:space="preserve">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w:t>
      </w:r>
    </w:p>
    <w:p>
      <w:pPr>
        <w:pStyle w:val="TextBody"/>
        <w:spacing w:before="240" w:after="0"/>
        <w:jc w:val="left"/>
        <w:rPr>
          <w:rFonts w:ascii="Times New Roman" w:hAnsi="Times New Roman"/>
          <w:sz w:val="20"/>
        </w:rPr>
      </w:pPr>
      <w:r>
        <w:rPr>
          <w:rFonts w:ascii="Times New Roman" w:hAnsi="Times New Roman"/>
          <w:sz w:val="20"/>
        </w:rPr>
        <w:t xml:space="preserve">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Armada seeks to amend its charter prior to closing of the Business Combination. Holders of our outstanding public warrants do not have redemption rights for such public warrants in connection with the Business Combination. </w:t>
      </w:r>
    </w:p>
    <w:p>
      <w:pPr>
        <w:pStyle w:val="TextBody"/>
        <w:spacing w:before="240" w:after="0"/>
        <w:jc w:val="left"/>
        <w:rPr>
          <w:rFonts w:ascii="Times New Roman" w:hAnsi="Times New Roman"/>
          <w:sz w:val="20"/>
        </w:rPr>
      </w:pPr>
      <w:r>
        <w:rPr>
          <w:rFonts w:ascii="Times New Roman" w:hAnsi="Times New Roman"/>
          <w:sz w:val="20"/>
        </w:rPr>
        <w:t xml:space="preserve">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 </w:t>
      </w:r>
    </w:p>
    <w:p>
      <w:pPr>
        <w:pStyle w:val="TextBody"/>
        <w:spacing w:before="240" w:after="0"/>
        <w:jc w:val="left"/>
        <w:rPr>
          <w:rFonts w:ascii="Times New Roman" w:hAnsi="Times New Roman"/>
          <w:b/>
          <w:sz w:val="20"/>
        </w:rPr>
      </w:pPr>
      <w:r>
        <w:rPr>
          <w:rFonts w:ascii="Times New Roman" w:hAnsi="Times New Roman"/>
          <w:b/>
          <w:sz w:val="20"/>
        </w:rPr>
        <w:t xml:space="preserve">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 </w:t>
      </w:r>
    </w:p>
    <w:p>
      <w:pPr>
        <w:pStyle w:val="TextBody"/>
        <w:spacing w:before="240" w:after="0"/>
        <w:jc w:val="left"/>
        <w:rPr>
          <w:rFonts w:ascii="Times New Roman" w:hAnsi="Times New Roman"/>
          <w:sz w:val="20"/>
        </w:rPr>
      </w:pPr>
      <w:r>
        <w:rPr>
          <w:rFonts w:ascii="Times New Roman" w:hAnsi="Times New Roman"/>
          <w:sz w:val="20"/>
        </w:rPr>
        <w:t xml:space="preserve">If the Business Combination is not approved and we do not consummate an initial business combination by August 17, 2023, unless we amend our certificate of incorporation to extend the time that we have to consummate a business combination, we will be required to dissolve and liquidate our Trust Account by returning the then remaining funds in such account to the public stockholders and our warrants will expire worthless. </w:t>
      </w:r>
    </w:p>
    <w:p>
      <w:pPr>
        <w:pStyle w:val="TextBody"/>
        <w:spacing w:before="360" w:after="0"/>
        <w:jc w:val="left"/>
        <w:rPr>
          <w:rFonts w:ascii="Times New Roman" w:hAnsi="Times New Roman"/>
          <w:b/>
          <w:sz w:val="20"/>
        </w:rPr>
      </w:pPr>
      <w:r>
        <w:rPr>
          <w:rFonts w:ascii="Times New Roman" w:hAnsi="Times New Roman"/>
          <w:b/>
          <w:sz w:val="20"/>
        </w:rPr>
        <w:t xml:space="preserve">Appraisal Rights </w:t>
      </w:r>
    </w:p>
    <w:p>
      <w:pPr>
        <w:pStyle w:val="TextBody"/>
        <w:spacing w:before="120" w:after="0"/>
        <w:jc w:val="left"/>
        <w:rPr>
          <w:rFonts w:ascii="Times New Roman" w:hAnsi="Times New Roman"/>
          <w:sz w:val="20"/>
        </w:rPr>
      </w:pPr>
      <w:r>
        <w:rPr>
          <w:rFonts w:ascii="Times New Roman" w:hAnsi="Times New Roman"/>
          <w:sz w:val="20"/>
        </w:rPr>
        <w:t xml:space="preserve">Appraisal rights are not available to holders of shares of Armada Common Stock in connection with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Proxy Solicitation Costs </w:t>
      </w:r>
    </w:p>
    <w:p>
      <w:pPr>
        <w:pStyle w:val="TextBody"/>
        <w:spacing w:before="120" w:after="0"/>
        <w:jc w:val="left"/>
        <w:rPr>
          <w:rFonts w:ascii="Times New Roman" w:hAnsi="Times New Roman"/>
          <w:sz w:val="20"/>
        </w:rPr>
      </w:pPr>
      <w:r>
        <w:rPr>
          <w:rFonts w:ascii="Times New Roman" w:hAnsi="Times New Roman"/>
          <w:sz w:val="20"/>
        </w:rPr>
        <w:t xml:space="preserve">Armada is soliciting proxies on behalf of its Board. This proxy solicitation is being made by mail, but also may be made by telephone or in person. The Company has engaged                 to assist in the solicitation of proxies for the Special Meeting. Armada and its directors, officers and employees may also solicit proxies in person. Armada will ask banks, brokers and other institutions, nominees and fiduciaries to forward the proxy materials to their principals and to obtain their authority to execute proxies and voting instructions. </w:t>
      </w:r>
    </w:p>
    <w:p>
      <w:pPr>
        <w:pStyle w:val="TextBody"/>
        <w:spacing w:before="240" w:after="0"/>
        <w:jc w:val="left"/>
        <w:rPr>
          <w:rFonts w:ascii="Times New Roman" w:hAnsi="Times New Roman"/>
          <w:sz w:val="20"/>
        </w:rPr>
      </w:pPr>
      <w:r>
        <w:rPr>
          <w:rFonts w:ascii="Times New Roman" w:hAnsi="Times New Roman"/>
          <w:sz w:val="20"/>
        </w:rPr>
        <w:t xml:space="preserve">Armada will bear the entire cost of the proxy solicitation, including the preparation, assembly, printing, mailing and distribution of the proxy materials. Armada will pay                 a fee of $                , plus disbursements, reimburse                 for its reasonable out-of-pocket expenses and indemnify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309194_15"/>
      <w:bookmarkEnd w:id="17"/>
      <w:r>
        <w:rPr>
          <w:rFonts w:ascii="Times New Roman" w:hAnsi="Times New Roman"/>
          <w:b/>
          <w:sz w:val="20"/>
        </w:rPr>
        <w:t xml:space="preserve">THE BUSINESS COMBINATION PROPOSAL </w:t>
      </w:r>
    </w:p>
    <w:p>
      <w:pPr>
        <w:pStyle w:val="TextBody"/>
        <w:spacing w:before="240" w:after="0"/>
        <w:jc w:val="left"/>
        <w:rPr>
          <w:rFonts w:ascii="Times New Roman" w:hAnsi="Times New Roman"/>
          <w:b/>
          <w:sz w:val="20"/>
        </w:rPr>
      </w:pPr>
      <w:r>
        <w:rPr>
          <w:rFonts w:ascii="Times New Roman" w:hAnsi="Times New Roman"/>
          <w:b/>
          <w:sz w:val="20"/>
        </w:rPr>
        <w:t xml:space="preserve">The 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Pursuant to the terms of the Business Combination Agreement, Armada, Rezolve and Rezolve Merger Sub will effect a series of transactions, pursuant to which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(ii)</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(iii)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240" w:after="0"/>
        <w:jc w:val="left"/>
        <w:rPr>
          <w:rFonts w:ascii="Times New Roman" w:hAnsi="Times New Roman"/>
          <w:sz w:val="20"/>
        </w:rPr>
      </w:pPr>
      <w:r>
        <w:rPr>
          <w:rFonts w:ascii="Times New Roman" w:hAnsi="Times New Roman"/>
          <w:sz w:val="20"/>
        </w:rPr>
        <w:t xml:space="preserve">As a result of the Company Reorganization and the Business Combination the shareholders of Rezolve will hold a number of Rezolve Ordinary Shares equal to the quotient obtained by dividing (x) $1,600,000,000 by (y) $10.00. They will also hold                  shares issued since December 17, 2021. </w:t>
      </w:r>
    </w:p>
    <w:p>
      <w:pPr>
        <w:pStyle w:val="TextBody"/>
        <w:spacing w:before="240" w:after="0"/>
        <w:jc w:val="left"/>
        <w:rPr>
          <w:rFonts w:ascii="Times New Roman" w:hAnsi="Times New Roman"/>
          <w:sz w:val="20"/>
        </w:rPr>
      </w:pPr>
      <w:r>
        <w:rPr>
          <w:rFonts w:ascii="Times New Roman" w:hAnsi="Times New Roman"/>
          <w:sz w:val="20"/>
        </w:rPr>
        <w:t xml:space="preserve">Upon the closing of the transactions, it is expected that Rezolve PLC will be listed on The Nasdaq Stock Market LLC under the new ticker symbol                 . </w:t>
      </w:r>
    </w:p>
    <w:p>
      <w:pPr>
        <w:pStyle w:val="TextBody"/>
        <w:spacing w:before="360" w:after="0"/>
        <w:jc w:val="left"/>
        <w:rPr>
          <w:rFonts w:ascii="Times New Roman" w:hAnsi="Times New Roman"/>
          <w:b/>
          <w:i/>
          <w:sz w:val="20"/>
        </w:rPr>
      </w:pPr>
      <w:r>
        <w:rPr>
          <w:rFonts w:ascii="Times New Roman" w:hAnsi="Times New Roman"/>
          <w:b/>
          <w:i/>
          <w:sz w:val="20"/>
        </w:rPr>
        <w:t xml:space="preserve">Structure of the Merger; Merger Consideration </w:t>
      </w:r>
    </w:p>
    <w:p>
      <w:pPr>
        <w:pStyle w:val="TextBody"/>
        <w:spacing w:before="120" w:after="0"/>
        <w:jc w:val="left"/>
        <w:rPr>
          <w:rFonts w:ascii="Times New Roman" w:hAnsi="Times New Roman"/>
          <w:sz w:val="20"/>
        </w:rPr>
      </w:pPr>
      <w:r>
        <w:rPr>
          <w:rFonts w:ascii="Times New Roman" w:hAnsi="Times New Roman"/>
          <w:sz w:val="20"/>
        </w:rPr>
        <w:t xml:space="preserve">Each of Rezolves board of directors and the Board has approved the Business Combination Agreement, which provides for the Merger of Rezolve Merger Sub, a wholly-owned subsidiary of Rezolve, with and into Armada. Armada will be the surviving entity in the Merger and will become a wholly-owned subsidiary of Rezolve. As a result of the Merger, each of the outstanding shares of Armada Common Stock held by the shareholders of Armada will be exchanged for one Ordinary Share of Rezolve. </w:t>
      </w:r>
    </w:p>
    <w:p>
      <w:pPr>
        <w:pStyle w:val="TextBody"/>
        <w:spacing w:before="360" w:after="0"/>
        <w:jc w:val="left"/>
        <w:rPr>
          <w:rFonts w:ascii="Times New Roman" w:hAnsi="Times New Roman"/>
          <w:b/>
          <w:i/>
          <w:sz w:val="20"/>
        </w:rPr>
      </w:pPr>
      <w:r>
        <w:rPr>
          <w:rFonts w:ascii="Times New Roman" w:hAnsi="Times New Roman"/>
          <w:b/>
          <w:i/>
          <w:sz w:val="20"/>
        </w:rPr>
        <w:t xml:space="preserve">Treatment of Armada Warrants </w:t>
      </w:r>
    </w:p>
    <w:p>
      <w:pPr>
        <w:pStyle w:val="TextBody"/>
        <w:spacing w:before="120" w:after="0"/>
        <w:jc w:val="left"/>
        <w:rPr>
          <w:rFonts w:ascii="Times New Roman" w:hAnsi="Times New Roman"/>
          <w:sz w:val="20"/>
        </w:rPr>
      </w:pPr>
      <w:r>
        <w:rPr>
          <w:rFonts w:ascii="Times New Roman" w:hAnsi="Times New Roman"/>
          <w:sz w:val="20"/>
        </w:rPr>
        <w:t xml:space="preserve">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Representations and Warranties </w:t>
      </w:r>
    </w:p>
    <w:p>
      <w:pPr>
        <w:pStyle w:val="TextBody"/>
        <w:spacing w:before="120" w:after="0"/>
        <w:jc w:val="left"/>
        <w:rPr>
          <w:rFonts w:ascii="Times New Roman" w:hAnsi="Times New Roman"/>
          <w:sz w:val="20"/>
        </w:rPr>
      </w:pPr>
      <w:r>
        <w:rPr>
          <w:rFonts w:ascii="Times New Roman" w:hAnsi="Times New Roman"/>
          <w:sz w:val="20"/>
        </w:rPr>
        <w:t xml:space="preserve">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 (xi) employee plans, (xii) environmental matters, (xiii) intellectual property, (xiv) labor matters, (xv) insurance, (xvi) tax matters, (xvii) brokers, (xviii) real and personal property, (xix) transactions with affiliates, (xx) data privacy and security, (xxi) compliance with international trade and anti-corruption laws, (xxii) information supplied, and (xxiii) regulatory compliance. </w:t>
      </w:r>
    </w:p>
    <w:p>
      <w:pPr>
        <w:pStyle w:val="TextBody"/>
        <w:spacing w:before="360" w:after="0"/>
        <w:jc w:val="left"/>
        <w:rPr>
          <w:rFonts w:ascii="Times New Roman" w:hAnsi="Times New Roman"/>
          <w:b/>
          <w:i/>
          <w:sz w:val="20"/>
        </w:rPr>
      </w:pPr>
      <w:r>
        <w:rPr>
          <w:rFonts w:ascii="Times New Roman" w:hAnsi="Times New Roman"/>
          <w:b/>
          <w:i/>
          <w:sz w:val="20"/>
        </w:rPr>
        <w:t xml:space="preserve">Material Adverse Effect </w:t>
      </w:r>
    </w:p>
    <w:p>
      <w:pPr>
        <w:pStyle w:val="TextBody"/>
        <w:spacing w:before="120" w:after="0"/>
        <w:jc w:val="left"/>
        <w:rPr>
          <w:rFonts w:ascii="Times New Roman" w:hAnsi="Times New Roman"/>
          <w:sz w:val="20"/>
        </w:rPr>
      </w:pPr>
      <w:r>
        <w:rPr>
          <w:rFonts w:ascii="Times New Roman" w:hAnsi="Times New Roman"/>
          <w:sz w:val="20"/>
        </w:rPr>
        <w:t xml:space="preserve">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 </w:t>
      </w:r>
    </w:p>
    <w:p>
      <w:pPr>
        <w:pStyle w:val="TextBody"/>
        <w:spacing w:before="360" w:after="0"/>
        <w:jc w:val="left"/>
        <w:rPr>
          <w:rFonts w:ascii="Times New Roman" w:hAnsi="Times New Roman"/>
          <w:b/>
          <w:i/>
          <w:sz w:val="20"/>
        </w:rPr>
      </w:pPr>
      <w:r>
        <w:rPr>
          <w:rFonts w:ascii="Times New Roman" w:hAnsi="Times New Roman"/>
          <w:b/>
          <w:i/>
          <w:sz w:val="20"/>
        </w:rPr>
        <w:t xml:space="preserve">Covenants and Agreements </w:t>
      </w:r>
    </w:p>
    <w:p>
      <w:pPr>
        <w:pStyle w:val="TextBody"/>
        <w:spacing w:before="120" w:after="0"/>
        <w:jc w:val="left"/>
        <w:rPr>
          <w:rFonts w:ascii="Times New Roman" w:hAnsi="Times New Roman"/>
          <w:sz w:val="20"/>
        </w:rPr>
      </w:pPr>
      <w:r>
        <w:rPr>
          <w:rFonts w:ascii="Times New Roman" w:hAnsi="Times New Roman"/>
          <w:sz w:val="20"/>
        </w:rPr>
        <w:t xml:space="preserve">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 </w:t>
      </w:r>
    </w:p>
    <w:p>
      <w:pPr>
        <w:pStyle w:val="TextBody"/>
        <w:spacing w:before="360" w:after="0"/>
        <w:jc w:val="left"/>
        <w:rPr>
          <w:rFonts w:ascii="Times New Roman" w:hAnsi="Times New Roman"/>
          <w:b/>
          <w:i/>
          <w:sz w:val="20"/>
        </w:rPr>
      </w:pPr>
      <w:r>
        <w:rPr>
          <w:rFonts w:ascii="Times New Roman" w:hAnsi="Times New Roman"/>
          <w:b/>
          <w:i/>
          <w:sz w:val="20"/>
        </w:rPr>
        <w:t xml:space="preserve">Closing Conditions </w:t>
      </w:r>
    </w:p>
    <w:p>
      <w:pPr>
        <w:pStyle w:val="TextBody"/>
        <w:spacing w:before="120" w:after="0"/>
        <w:jc w:val="left"/>
        <w:rPr>
          <w:rFonts w:ascii="Times New Roman" w:hAnsi="Times New Roman"/>
          <w:sz w:val="20"/>
        </w:rPr>
      </w:pPr>
      <w:r>
        <w:rPr>
          <w:rFonts w:ascii="Times New Roman" w:hAnsi="Times New Roman"/>
          <w:sz w:val="20"/>
        </w:rPr>
        <w:t xml:space="preserve">The Company Reorganization is to occur on the first business day following the satisfaction of the specified conditions and following the Company Reorganization Date, the Merger Closing is to take place. </w:t>
      </w:r>
    </w:p>
    <w:p>
      <w:pPr>
        <w:pStyle w:val="TextBody"/>
        <w:spacing w:before="240" w:after="0"/>
        <w:jc w:val="left"/>
        <w:rPr>
          <w:rFonts w:ascii="Times New Roman" w:hAnsi="Times New Roman"/>
          <w:sz w:val="20"/>
        </w:rPr>
      </w:pPr>
      <w:r>
        <w:rPr>
          <w:rFonts w:ascii="Times New Roman" w:hAnsi="Times New Roman"/>
          <w:sz w:val="20"/>
        </w:rPr>
        <w:t xml:space="preserve">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 (g) the Ordinary Shares of Rezolve being listed on The Nasdaq Stock Market LLC or other applicable national exchange as of the Closing Date; (h) upon the closing, and after giving effect to the Company Reorganization the Merger and the Promissory Note, Armada shall have net tangible assets of at least $5,000,001; (i) the Rezolve Incentive Equity Plan shall have been adopted and (j) the parties shall have become parties to the Investor Rights Agreement. Even if the Net Tangible Assets Condition is waived by Rezolve, the Armada Charter would prohibit Armada from closing the Business Combination if its net tangible assets would be less than $5,000,001, unless Armada seeks to amend its charter prior to closing of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Termination; Effectiveness </w:t>
      </w:r>
    </w:p>
    <w:p>
      <w:pPr>
        <w:pStyle w:val="TextBody"/>
        <w:spacing w:before="120" w:after="0"/>
        <w:jc w:val="left"/>
        <w:rPr>
          <w:rFonts w:ascii="Times New Roman" w:hAnsi="Times New Roman"/>
          <w:sz w:val="20"/>
        </w:rPr>
      </w:pPr>
      <w:r>
        <w:rPr>
          <w:rFonts w:ascii="Times New Roman" w:hAnsi="Times New Roman"/>
          <w:sz w:val="20"/>
        </w:rPr>
        <w:t xml:space="preserve">The Business Combination Agreement allows the parties to terminate such agreements if certain conditions described therein are satisfied, including as follows: </w:t>
      </w:r>
    </w:p>
    <w:p>
      <w:pPr>
        <w:pStyle w:val="TextBody"/>
        <w:spacing w:before="240" w:after="0"/>
        <w:jc w:val="left"/>
        <w:rPr>
          <w:rFonts w:ascii="Times New Roman" w:hAnsi="Times New Roman"/>
          <w:sz w:val="20"/>
        </w:rPr>
      </w:pPr>
      <w:r>
        <w:rPr>
          <w:rFonts w:ascii="Times New Roman" w:hAnsi="Times New Roman"/>
          <w:sz w:val="20"/>
        </w:rPr>
        <w:t xml:space="preserve">The Business Combination Agreement may be terminated: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mutual written consent of Armada and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either Armada or Rezolve if the Business Combination is not consummated on or before August 2, 2023 (the </w:t>
            </w:r>
            <w:r>
              <w:rPr>
                <w:rFonts w:ascii="Times New Roman" w:hAnsi="Times New Roman"/>
                <w:i/>
                <w:sz w:val="20"/>
              </w:rPr>
              <w:t>Termination Date</w:t>
            </w:r>
            <w:r>
              <w:rPr>
                <w:rFonts w:ascii="Times New Roman" w:hAnsi="Times New Roman"/>
                <w:sz w:val="20"/>
              </w:rPr>
              <w:t xml:space="preserv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either Armada or Rezolve if the Armada shareholder approval has not been obtained;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Armada if Rezolve does not deliver, or cause to be delivered, the written consent of Rezolves shareholders within twenty-four (24) hours after Armada notifies Rezolve of the effectiveness of the Registration Statement;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Armada if the PCAOB financial statements are not delivered to Armada by Rezolve on or before the date that is sixty (60) days from the date of the Business Combination Agreement. </w:t>
            </w:r>
          </w:p>
        </w:tc>
      </w:tr>
    </w:tbl>
    <w:p>
      <w:pPr>
        <w:pStyle w:val="TextBody"/>
        <w:spacing w:before="360" w:after="0"/>
        <w:jc w:val="left"/>
        <w:rPr>
          <w:rFonts w:ascii="Times New Roman" w:hAnsi="Times New Roman"/>
          <w:b/>
          <w:i/>
          <w:sz w:val="20"/>
        </w:rPr>
      </w:pPr>
      <w:r>
        <w:rPr>
          <w:rFonts w:ascii="Times New Roman" w:hAnsi="Times New Roman"/>
          <w:b/>
          <w:i/>
          <w:sz w:val="20"/>
        </w:rPr>
        <w:t xml:space="preserve">Fees and Expenses </w:t>
      </w:r>
    </w:p>
    <w:p>
      <w:pPr>
        <w:pStyle w:val="TextBody"/>
        <w:spacing w:before="120" w:after="0"/>
        <w:jc w:val="left"/>
        <w:rPr>
          <w:rFonts w:ascii="Times New Roman" w:hAnsi="Times New Roman"/>
          <w:sz w:val="20"/>
        </w:rPr>
      </w:pPr>
      <w:r>
        <w:rPr>
          <w:rFonts w:ascii="Times New Roman" w:hAnsi="Times New Roman"/>
          <w:sz w:val="20"/>
        </w:rPr>
        <w:t xml:space="preserve">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 </w:t>
      </w:r>
    </w:p>
    <w:p>
      <w:pPr>
        <w:pStyle w:val="TextBody"/>
        <w:spacing w:before="360" w:after="0"/>
        <w:jc w:val="left"/>
        <w:rPr>
          <w:rFonts w:ascii="Times New Roman" w:hAnsi="Times New Roman"/>
          <w:b/>
          <w:sz w:val="20"/>
        </w:rPr>
      </w:pPr>
      <w:r>
        <w:rPr>
          <w:rFonts w:ascii="Times New Roman" w:hAnsi="Times New Roman"/>
          <w:b/>
          <w:sz w:val="20"/>
        </w:rPr>
        <w:t xml:space="preserve">Ancillary Agreements </w:t>
      </w:r>
    </w:p>
    <w:p>
      <w:pPr>
        <w:pStyle w:val="TextBody"/>
        <w:spacing w:before="120" w:after="0"/>
        <w:jc w:val="left"/>
        <w:rPr>
          <w:rFonts w:ascii="Times New Roman" w:hAnsi="Times New Roman"/>
          <w:i/>
          <w:sz w:val="20"/>
        </w:rPr>
      </w:pPr>
      <w:r>
        <w:rPr>
          <w:rFonts w:ascii="Times New Roman" w:hAnsi="Times New Roman"/>
          <w:i/>
          <w:sz w:val="20"/>
        </w:rPr>
        <w:t xml:space="preserve">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Rezolve Incentive Equity Plan </w:t>
      </w:r>
    </w:p>
    <w:p>
      <w:pPr>
        <w:pStyle w:val="TextBody"/>
        <w:spacing w:before="120" w:after="0"/>
        <w:jc w:val="left"/>
        <w:rPr>
          <w:rFonts w:ascii="Times New Roman" w:hAnsi="Times New Roman"/>
          <w:sz w:val="20"/>
        </w:rPr>
      </w:pPr>
      <w:r>
        <w:rPr>
          <w:rFonts w:ascii="Times New Roman" w:hAnsi="Times New Roman"/>
          <w:sz w:val="20"/>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Times New Roman" w:hAnsi="Times New Roman"/>
          <w:i/>
          <w:sz w:val="20"/>
        </w:rPr>
        <w:t>The</w:t>
      </w:r>
      <w:r>
        <w:rPr>
          <w:rFonts w:ascii="Times New Roman" w:hAnsi="Times New Roman"/>
          <w:sz w:val="20"/>
        </w:rPr>
        <w:t> </w:t>
      </w:r>
      <w:r>
        <w:rPr>
          <w:rFonts w:ascii="Times New Roman" w:hAnsi="Times New Roman"/>
          <w:i/>
          <w:sz w:val="20"/>
        </w:rPr>
        <w:t>Incentive Equity Plan Proposal</w:t>
      </w:r>
      <w:r>
        <w:rPr>
          <w:rFonts w:ascii="Times New Roman" w:hAnsi="Times New Roman"/>
          <w:sz w:val="20"/>
        </w:rPr>
        <w:t xml:space="preserve"> in this proxy statement/prospectus. </w:t>
      </w:r>
    </w:p>
    <w:p>
      <w:pPr>
        <w:pStyle w:val="TextBody"/>
        <w:spacing w:before="360" w:after="0"/>
        <w:jc w:val="left"/>
        <w:rPr>
          <w:rFonts w:ascii="Times New Roman" w:hAnsi="Times New Roman"/>
          <w:b/>
          <w:i/>
          <w:sz w:val="20"/>
        </w:rPr>
      </w:pPr>
      <w:r>
        <w:rPr>
          <w:rFonts w:ascii="Times New Roman" w:hAnsi="Times New Roman"/>
          <w:b/>
          <w:i/>
          <w:sz w:val="20"/>
        </w:rPr>
        <w:t xml:space="preserve">Transaction Support Agreements </w:t>
      </w:r>
    </w:p>
    <w:p>
      <w:pPr>
        <w:pStyle w:val="TextBody"/>
        <w:spacing w:before="120" w:after="0"/>
        <w:jc w:val="left"/>
        <w:rPr>
          <w:rFonts w:ascii="Times New Roman" w:hAnsi="Times New Roman"/>
          <w:sz w:val="20"/>
        </w:rPr>
      </w:pPr>
      <w:r>
        <w:rPr>
          <w:rFonts w:ascii="Times New Roman" w:hAnsi="Times New Roman"/>
          <w:sz w:val="20"/>
        </w:rPr>
        <w:t xml:space="preserve">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 </w:t>
      </w:r>
    </w:p>
    <w:p>
      <w:pPr>
        <w:pStyle w:val="TextBody"/>
        <w:spacing w:before="360" w:after="0"/>
        <w:jc w:val="left"/>
        <w:rPr>
          <w:rFonts w:ascii="Times New Roman" w:hAnsi="Times New Roman"/>
          <w:b/>
          <w:i/>
          <w:sz w:val="20"/>
        </w:rPr>
      </w:pPr>
      <w:r>
        <w:rPr>
          <w:rFonts w:ascii="Times New Roman" w:hAnsi="Times New Roman"/>
          <w:b/>
          <w:i/>
          <w:sz w:val="20"/>
        </w:rPr>
        <w:t xml:space="preserve">Investor Rights Agreement </w:t>
      </w:r>
    </w:p>
    <w:p>
      <w:pPr>
        <w:pStyle w:val="TextBody"/>
        <w:spacing w:before="120" w:after="0"/>
        <w:jc w:val="left"/>
        <w:rPr>
          <w:rFonts w:ascii="Times New Roman" w:hAnsi="Times New Roman"/>
          <w:sz w:val="20"/>
        </w:rPr>
      </w:pPr>
      <w:r>
        <w:rPr>
          <w:rFonts w:ascii="Times New Roman" w:hAnsi="Times New Roman"/>
          <w:sz w:val="20"/>
        </w:rPr>
        <w:t xml:space="preserve">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 </w:t>
      </w:r>
    </w:p>
    <w:p>
      <w:pPr>
        <w:pStyle w:val="TextBody"/>
        <w:spacing w:before="240" w:after="0"/>
        <w:jc w:val="left"/>
        <w:rPr>
          <w:rFonts w:ascii="Times New Roman" w:hAnsi="Times New Roman"/>
          <w:sz w:val="20"/>
        </w:rPr>
      </w:pPr>
      <w:r>
        <w:rPr>
          <w:rFonts w:ascii="Times New Roman" w:hAnsi="Times New Roman"/>
          <w:sz w:val="20"/>
        </w:rPr>
        <w:t xml:space="preserve">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 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 </w:t>
      </w:r>
    </w:p>
    <w:p>
      <w:pPr>
        <w:pStyle w:val="TextBody"/>
        <w:spacing w:before="240" w:after="0"/>
        <w:jc w:val="left"/>
        <w:rPr>
          <w:rFonts w:ascii="Times New Roman" w:hAnsi="Times New Roman"/>
          <w:sz w:val="20"/>
        </w:rPr>
      </w:pPr>
      <w:r>
        <w:rPr>
          <w:rFonts w:ascii="Times New Roman" w:hAnsi="Times New Roman"/>
          <w:sz w:val="20"/>
        </w:rPr>
        <w:t xml:space="preserve">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 size of the Board is eight (8) members, at least                      of those members (and if the size of the Board is nine (9) or ten (10) members, at least                      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 </w:t>
            </w:r>
          </w:p>
        </w:tc>
      </w:tr>
    </w:tbl>
    <w:p>
      <w:pPr>
        <w:pStyle w:val="TextBody"/>
        <w:spacing w:before="240" w:after="0"/>
        <w:jc w:val="left"/>
        <w:rPr>
          <w:rFonts w:ascii="Times New Roman" w:hAnsi="Times New Roman"/>
          <w:sz w:val="20"/>
        </w:rPr>
      </w:pPr>
      <w:r>
        <w:rPr>
          <w:rFonts w:ascii="Times New Roman" w:hAnsi="Times New Roman"/>
          <w:sz w:val="20"/>
        </w:rPr>
        <w:t xml:space="preserve">In connection with the execution of the Investor Rights Agreement, the registration rights agreement dated August 12, 2021 between Armada and the Sponsor will be terminated. </w:t>
      </w:r>
    </w:p>
    <w:p>
      <w:pPr>
        <w:pStyle w:val="TextBody"/>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$39,625,000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 </w:t>
      </w:r>
    </w:p>
    <w:p>
      <w:pPr>
        <w:pStyle w:val="TextBody"/>
        <w:spacing w:before="240" w:after="0"/>
        <w:jc w:val="left"/>
        <w:rPr>
          <w:rFonts w:ascii="Times New Roman" w:hAnsi="Times New Roman"/>
          <w:sz w:val="20"/>
        </w:rPr>
      </w:pPr>
      <w:r>
        <w:rPr>
          <w:rFonts w:ascii="Times New Roman" w:hAnsi="Times New Roman"/>
          <w:sz w:val="20"/>
        </w:rPr>
        <w:t xml:space="preserve">Under the terms of the Loan Note Instrument, Rezolve Limited (or after the Pre-Closing Demerger, Rezolve) has given certain covenants to the noteholders which remain in force while the Convertible Notes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 </w:t>
      </w:r>
    </w:p>
    <w:p>
      <w:pPr>
        <w:pStyle w:val="TextBody"/>
        <w:spacing w:before="240" w:after="0"/>
        <w:jc w:val="left"/>
        <w:rPr>
          <w:rFonts w:ascii="Times New Roman" w:hAnsi="Times New Roman"/>
          <w:sz w:val="20"/>
        </w:rPr>
      </w:pPr>
      <w:r>
        <w:rPr>
          <w:rFonts w:ascii="Times New Roman" w:hAnsi="Times New Roman"/>
          <w:sz w:val="20"/>
        </w:rPr>
        <w:t xml:space="preserve">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 </w:t>
      </w:r>
    </w:p>
    <w:p>
      <w:pPr>
        <w:pStyle w:val="TextBody"/>
        <w:spacing w:before="240" w:after="0"/>
        <w:jc w:val="left"/>
        <w:rPr>
          <w:rFonts w:ascii="Times New Roman" w:hAnsi="Times New Roman"/>
          <w:sz w:val="20"/>
        </w:rPr>
      </w:pPr>
      <w:r>
        <w:rPr>
          <w:rFonts w:ascii="Times New Roman" w:hAnsi="Times New Roman"/>
          <w:sz w:val="20"/>
        </w:rPr>
        <w:t xml:space="preserve">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 </w:t>
      </w:r>
    </w:p>
    <w:p>
      <w:pPr>
        <w:pStyle w:val="TextBody"/>
        <w:spacing w:before="360" w:after="0"/>
        <w:jc w:val="left"/>
        <w:rPr>
          <w:rFonts w:ascii="Times New Roman" w:hAnsi="Times New Roman"/>
          <w:b/>
          <w:sz w:val="20"/>
        </w:rPr>
      </w:pPr>
      <w:r>
        <w:rPr>
          <w:rFonts w:ascii="Times New Roman" w:hAnsi="Times New Roman"/>
          <w:b/>
          <w:sz w:val="20"/>
        </w:rPr>
        <w:t xml:space="preserve">Background of the Business Combination </w:t>
      </w:r>
    </w:p>
    <w:p>
      <w:pPr>
        <w:pStyle w:val="TextBody"/>
        <w:spacing w:before="120" w:after="0"/>
        <w:jc w:val="left"/>
        <w:rPr>
          <w:rFonts w:ascii="Times New Roman" w:hAnsi="Times New Roman"/>
          <w:sz w:val="20"/>
        </w:rPr>
      </w:pPr>
      <w:r>
        <w:rPr>
          <w:rFonts w:ascii="Times New Roman" w:hAnsi="Times New Roman"/>
          <w:sz w:val="20"/>
        </w:rPr>
        <w:t xml:space="preserve">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 </w:t>
      </w:r>
    </w:p>
    <w:p>
      <w:pPr>
        <w:pStyle w:val="TextBody"/>
        <w:spacing w:before="240" w:after="0"/>
        <w:jc w:val="left"/>
        <w:rPr>
          <w:rFonts w:ascii="Times New Roman" w:hAnsi="Times New Roman"/>
          <w:sz w:val="20"/>
        </w:rPr>
      </w:pPr>
      <w:r>
        <w:rPr>
          <w:rFonts w:ascii="Times New Roman" w:hAnsi="Times New Roman"/>
          <w:sz w:val="20"/>
        </w:rPr>
        <w:t xml:space="preserve">The terms of the Business Combination are the result of arms-length negotiations among the representatives of Armada and Rezolve. The following is a brief description of the background of these negotiations and the resulting Business Combination. </w:t>
      </w:r>
    </w:p>
    <w:p>
      <w:pPr>
        <w:pStyle w:val="TextBody"/>
        <w:spacing w:before="240" w:after="0"/>
        <w:jc w:val="left"/>
        <w:rPr>
          <w:rFonts w:ascii="Times New Roman" w:hAnsi="Times New Roman"/>
          <w:sz w:val="20"/>
        </w:rPr>
      </w:pPr>
      <w:r>
        <w:rPr>
          <w:rFonts w:ascii="Times New Roman" w:hAnsi="Times New Roman"/>
          <w:sz w:val="20"/>
        </w:rPr>
        <w:t xml:space="preserve">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potential acquisition targets. The first set of potential acquisition targets comprised 7 FinTech companies (the FinTech Target List), all of which fit within its acquisition criteria, but only one of which Armadas management 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 </w:t>
      </w:r>
    </w:p>
    <w:p>
      <w:pPr>
        <w:pStyle w:val="TextBody"/>
        <w:spacing w:before="240" w:after="0"/>
        <w:jc w:val="left"/>
        <w:rPr>
          <w:rFonts w:ascii="Times New Roman" w:hAnsi="Times New Roman"/>
          <w:sz w:val="20"/>
        </w:rPr>
      </w:pPr>
      <w:r>
        <w:rPr>
          <w:rFonts w:ascii="Times New Roman" w:hAnsi="Times New Roman"/>
          <w:sz w:val="20"/>
        </w:rPr>
        <w:t xml:space="preserve">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 </w:t>
      </w:r>
    </w:p>
    <w:p>
      <w:pPr>
        <w:pStyle w:val="TextBody"/>
        <w:spacing w:before="240" w:after="0"/>
        <w:jc w:val="left"/>
        <w:rPr>
          <w:rFonts w:ascii="Times New Roman" w:hAnsi="Times New Roman"/>
          <w:sz w:val="20"/>
        </w:rPr>
      </w:pPr>
      <w:r>
        <w:rPr>
          <w:rFonts w:ascii="Times New Roman" w:hAnsi="Times New Roman"/>
          <w:sz w:val="20"/>
        </w:rPr>
        <w:t xml:space="preserve">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 </w:t>
      </w:r>
    </w:p>
    <w:p>
      <w:pPr>
        <w:pStyle w:val="TextBody"/>
        <w:spacing w:before="240" w:after="0"/>
        <w:jc w:val="left"/>
        <w:rPr>
          <w:rFonts w:ascii="Times New Roman" w:hAnsi="Times New Roman"/>
          <w:sz w:val="20"/>
        </w:rPr>
      </w:pPr>
      <w:r>
        <w:rPr>
          <w:rFonts w:ascii="Times New Roman" w:hAnsi="Times New Roman"/>
          <w:sz w:val="20"/>
        </w:rPr>
        <w:t xml:space="preserve">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Following the execution of the non-disclosure agreement with Armada, Rezolve provided access to its curated data room to Armadas management team and certain of its advisors on August 30, 2021. </w:t>
      </w:r>
    </w:p>
    <w:p>
      <w:pPr>
        <w:pStyle w:val="TextBody"/>
        <w:spacing w:before="240" w:after="0"/>
        <w:jc w:val="left"/>
        <w:rPr>
          <w:rFonts w:ascii="Times New Roman" w:hAnsi="Times New Roman"/>
          <w:sz w:val="20"/>
        </w:rPr>
      </w:pPr>
      <w:r>
        <w:rPr>
          <w:rFonts w:ascii="Times New Roman" w:hAnsi="Times New Roman"/>
          <w:sz w:val="20"/>
        </w:rPr>
        <w:t xml:space="preserve">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 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 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 </w:t>
      </w:r>
    </w:p>
    <w:p>
      <w:pPr>
        <w:pStyle w:val="TextBody"/>
        <w:spacing w:before="240" w:after="0"/>
        <w:jc w:val="left"/>
        <w:rPr>
          <w:rFonts w:ascii="Times New Roman" w:hAnsi="Times New Roman"/>
          <w:sz w:val="20"/>
        </w:rPr>
      </w:pPr>
      <w:r>
        <w:rPr>
          <w:rFonts w:ascii="Times New Roman" w:hAnsi="Times New Roman"/>
          <w:sz w:val="20"/>
        </w:rPr>
        <w:t xml:space="preserve">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 interests of CCM and Cantor, Armadas management selected these firms based upon the sophistication and extensive experience of CCM and Cantor with fundraising for special purpose acquisition business combination transactions, such as the proposed Business Combination with Rezolve. </w:t>
      </w:r>
    </w:p>
    <w:p>
      <w:pPr>
        <w:pStyle w:val="TextBody"/>
        <w:spacing w:before="240" w:after="0"/>
        <w:jc w:val="left"/>
        <w:rPr>
          <w:rFonts w:ascii="Times New Roman" w:hAnsi="Times New Roman"/>
          <w:sz w:val="20"/>
        </w:rPr>
      </w:pPr>
      <w:r>
        <w:rPr>
          <w:rFonts w:ascii="Times New Roman" w:hAnsi="Times New Roman"/>
          <w:sz w:val="20"/>
        </w:rPr>
        <w:t xml:space="preserve">As a result of multiple business affiliations, Armadas officers and directors may have legal obligations relating to presenting business opportunities to multiple entities. These include Mr. Lurios service as a director 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Armadas amended and restated certificate of incorporation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 </w:t>
      </w:r>
    </w:p>
    <w:p>
      <w:pPr>
        <w:pStyle w:val="TextBody"/>
        <w:spacing w:before="240" w:after="0"/>
        <w:jc w:val="left"/>
        <w:rPr>
          <w:rFonts w:ascii="Times New Roman" w:hAnsi="Times New Roman"/>
          <w:sz w:val="20"/>
        </w:rPr>
      </w:pPr>
      <w:r>
        <w:rPr>
          <w:rFonts w:ascii="Times New Roman" w:hAnsi="Times New Roman"/>
          <w:sz w:val="20"/>
        </w:rPr>
        <w:t xml:space="preserve">Armada determined to enter into a letter of intent with Rezolve and to pursue a potential Business Combination with Rezolve, rather than Company A or not at all, due to, among other things, Rezolves expressed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interest and pursuit of a potential business combination with a special purpose acquisition company, and the fact 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 </w:t>
      </w:r>
    </w:p>
    <w:p>
      <w:pPr>
        <w:pStyle w:val="TextBody"/>
        <w:spacing w:before="240" w:after="0"/>
        <w:jc w:val="left"/>
        <w:rPr>
          <w:rFonts w:ascii="Times New Roman" w:hAnsi="Times New Roman"/>
          <w:sz w:val="20"/>
        </w:rPr>
      </w:pPr>
      <w:r>
        <w:rPr>
          <w:rFonts w:ascii="Times New Roman" w:hAnsi="Times New Roman"/>
          <w:sz w:val="20"/>
        </w:rPr>
        <w:t xml:space="preserve">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 </w:t>
      </w:r>
    </w:p>
    <w:p>
      <w:pPr>
        <w:pStyle w:val="TextBody"/>
        <w:spacing w:before="240" w:after="0"/>
        <w:jc w:val="left"/>
        <w:rPr>
          <w:rFonts w:ascii="Times New Roman" w:hAnsi="Times New Roman"/>
          <w:sz w:val="20"/>
        </w:rPr>
      </w:pPr>
      <w:r>
        <w:rPr>
          <w:rFonts w:ascii="Times New Roman" w:hAnsi="Times New Roman"/>
          <w:sz w:val="20"/>
        </w:rPr>
        <w:t xml:space="preserve">On September 24, 2021, Armadas management met with Armadas board of directors following an audit committee meeting to update the board of directors on the status of the proposed Business Combination with Rezolve and the due diligence review by its advisors, DLA Piper and KPMG. </w:t>
      </w:r>
    </w:p>
    <w:p>
      <w:pPr>
        <w:pStyle w:val="TextBody"/>
        <w:spacing w:before="240" w:after="0"/>
        <w:jc w:val="left"/>
        <w:rPr>
          <w:rFonts w:ascii="Times New Roman" w:hAnsi="Times New Roman"/>
          <w:sz w:val="20"/>
        </w:rPr>
      </w:pPr>
      <w:r>
        <w:rPr>
          <w:rFonts w:ascii="Times New Roman" w:hAnsi="Times New Roman"/>
          <w:sz w:val="20"/>
        </w:rPr>
        <w:t xml:space="preserve">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 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 </w:t>
      </w:r>
    </w:p>
    <w:p>
      <w:pPr>
        <w:pStyle w:val="TextBody"/>
        <w:spacing w:before="240" w:after="0"/>
        <w:jc w:val="left"/>
        <w:rPr>
          <w:rFonts w:ascii="Times New Roman" w:hAnsi="Times New Roman"/>
          <w:sz w:val="20"/>
        </w:rPr>
      </w:pPr>
      <w:r>
        <w:rPr>
          <w:rFonts w:ascii="Times New Roman" w:hAnsi="Times New Roman"/>
          <w:sz w:val="20"/>
        </w:rPr>
        <w:t xml:space="preserve">Based on the tax-related due diligence conducted by the parties, Rezolve and Armada agreed to explore structuring the proposed Business Combination through the use of a newly-formed Cayman Islands exempted company (Cayman NewCo). As a result, on or about October 22, 2021, Armada engaged Ogier as its counsel in the Cayman Islands to assist with the formation of Cayman NewCo and related matters. Rezolve engaged Harneys Westwood &amp; Riegels LP as its counsel in the Cayman Islands. </w:t>
      </w:r>
    </w:p>
    <w:p>
      <w:pPr>
        <w:pStyle w:val="TextBody"/>
        <w:spacing w:before="240" w:after="0"/>
        <w:jc w:val="left"/>
        <w:rPr>
          <w:rFonts w:ascii="Times New Roman" w:hAnsi="Times New Roman"/>
          <w:sz w:val="20"/>
        </w:rPr>
      </w:pPr>
      <w:r>
        <w:rPr>
          <w:rFonts w:ascii="Times New Roman" w:hAnsi="Times New Roman"/>
          <w:sz w:val="20"/>
        </w:rPr>
        <w:t xml:space="preserve">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 discussed a potential amendment to the terms of the letter of intent with Rezolve to seek a termination fee to cover Armadas expenses if a business combination agreement was not executed by the parties and authorized Armadas management to negotiate such an amendment with Rezolve. </w:t>
      </w:r>
    </w:p>
    <w:p>
      <w:pPr>
        <w:pStyle w:val="TextBody"/>
        <w:spacing w:before="240" w:after="0"/>
        <w:jc w:val="left"/>
        <w:rPr>
          <w:rFonts w:ascii="Times New Roman" w:hAnsi="Times New Roman"/>
          <w:sz w:val="20"/>
        </w:rPr>
      </w:pPr>
      <w:r>
        <w:rPr>
          <w:rFonts w:ascii="Times New Roman" w:hAnsi="Times New Roman"/>
          <w:sz w:val="20"/>
        </w:rPr>
        <w:t xml:space="preserve">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comments provided to the draft by WSGR on November 26, 2021. Also on November 24, 2021, representatives of Taylor Wessing provided materials responsive to certain open due diligence requests regarding various corporate, contractual and intellectual property matters. </w:t>
      </w:r>
    </w:p>
    <w:p>
      <w:pPr>
        <w:pStyle w:val="TextBody"/>
        <w:spacing w:before="240" w:after="0"/>
        <w:jc w:val="left"/>
        <w:rPr>
          <w:rFonts w:ascii="Times New Roman" w:hAnsi="Times New Roman"/>
          <w:sz w:val="20"/>
        </w:rPr>
      </w:pPr>
      <w:r>
        <w:rPr>
          <w:rFonts w:ascii="Times New Roman" w:hAnsi="Times New Roman"/>
          <w:sz w:val="20"/>
        </w:rPr>
        <w:t xml:space="preserve">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 </w:t>
      </w:r>
    </w:p>
    <w:p>
      <w:pPr>
        <w:pStyle w:val="TextBody"/>
        <w:spacing w:before="240" w:after="0"/>
        <w:jc w:val="left"/>
        <w:rPr>
          <w:rFonts w:ascii="Times New Roman" w:hAnsi="Times New Roman"/>
          <w:sz w:val="20"/>
        </w:rPr>
      </w:pPr>
      <w:r>
        <w:rPr>
          <w:rFonts w:ascii="Times New Roman" w:hAnsi="Times New Roman"/>
          <w:sz w:val="20"/>
        </w:rPr>
        <w:t xml:space="preserve">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 </w:t>
      </w:r>
    </w:p>
    <w:p>
      <w:pPr>
        <w:pStyle w:val="TextBody"/>
        <w:spacing w:before="240" w:after="0"/>
        <w:jc w:val="left"/>
        <w:rPr>
          <w:rFonts w:ascii="Times New Roman" w:hAnsi="Times New Roman"/>
          <w:sz w:val="20"/>
        </w:rPr>
      </w:pPr>
      <w:r>
        <w:rPr>
          <w:rFonts w:ascii="Times New Roman" w:hAnsi="Times New Roman"/>
          <w:sz w:val="20"/>
        </w:rPr>
        <w:t xml:space="preserve">On or about November 29, 2021, representatives of Taylor Wessing provided to representatives of DLA Piper proposed documentation for the formation of Cayman NewCo. </w:t>
      </w:r>
    </w:p>
    <w:p>
      <w:pPr>
        <w:pStyle w:val="TextBody"/>
        <w:spacing w:before="240" w:after="0"/>
        <w:jc w:val="left"/>
        <w:rPr>
          <w:rFonts w:ascii="Times New Roman" w:hAnsi="Times New Roman"/>
          <w:sz w:val="20"/>
        </w:rPr>
      </w:pPr>
      <w:r>
        <w:rPr>
          <w:rFonts w:ascii="Times New Roman" w:hAnsi="Times New Roman"/>
          <w:sz w:val="20"/>
        </w:rPr>
        <w:t xml:space="preserve">Between November 29, 2021 and December 2, 2021, Rezolve, Barclays, Cantor, Armada and CCM engaged in due diligence and prepared and negotiated a subscription agreement related to financing the Business Combination through investments in Rezolve and Cayman NewCo. </w:t>
      </w:r>
    </w:p>
    <w:p>
      <w:pPr>
        <w:pStyle w:val="TextBody"/>
        <w:spacing w:before="240" w:after="0"/>
        <w:jc w:val="left"/>
        <w:rPr>
          <w:rFonts w:ascii="Times New Roman" w:hAnsi="Times New Roman"/>
          <w:sz w:val="20"/>
        </w:rPr>
      </w:pPr>
      <w:r>
        <w:rPr>
          <w:rFonts w:ascii="Times New Roman" w:hAnsi="Times New Roman"/>
          <w:sz w:val="20"/>
        </w:rPr>
        <w:t xml:space="preserve">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 </w:t>
      </w:r>
    </w:p>
    <w:p>
      <w:pPr>
        <w:pStyle w:val="TextBody"/>
        <w:spacing w:before="240" w:after="0"/>
        <w:jc w:val="left"/>
        <w:rPr>
          <w:rFonts w:ascii="Times New Roman" w:hAnsi="Times New Roman"/>
          <w:sz w:val="20"/>
        </w:rPr>
      </w:pPr>
      <w:r>
        <w:rPr>
          <w:rFonts w:ascii="Times New Roman" w:hAnsi="Times New Roman"/>
          <w:sz w:val="20"/>
        </w:rPr>
        <w:t xml:space="preserve">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 </w:t>
      </w:r>
    </w:p>
    <w:p>
      <w:pPr>
        <w:pStyle w:val="TextBody"/>
        <w:spacing w:before="240" w:after="0"/>
        <w:jc w:val="left"/>
        <w:rPr>
          <w:rFonts w:ascii="Times New Roman" w:hAnsi="Times New Roman"/>
          <w:sz w:val="20"/>
        </w:rPr>
      </w:pPr>
      <w:r>
        <w:rPr>
          <w:rFonts w:ascii="Times New Roman" w:hAnsi="Times New Roman"/>
          <w:sz w:val="20"/>
        </w:rPr>
        <w:t xml:space="preserve">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 </w:t>
      </w:r>
    </w:p>
    <w:p>
      <w:pPr>
        <w:pStyle w:val="TextBody"/>
        <w:spacing w:before="240" w:after="0"/>
        <w:jc w:val="left"/>
        <w:rPr>
          <w:rFonts w:ascii="Times New Roman" w:hAnsi="Times New Roman"/>
          <w:sz w:val="20"/>
        </w:rPr>
      </w:pPr>
      <w:r>
        <w:rPr>
          <w:rFonts w:ascii="Times New Roman" w:hAnsi="Times New Roman"/>
          <w:sz w:val="20"/>
        </w:rPr>
        <w:t xml:space="preserve">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 </w:t>
      </w:r>
    </w:p>
    <w:p>
      <w:pPr>
        <w:pStyle w:val="TextBody"/>
        <w:spacing w:before="240" w:after="0"/>
        <w:jc w:val="left"/>
        <w:rPr>
          <w:rFonts w:ascii="Times New Roman" w:hAnsi="Times New Roman"/>
          <w:sz w:val="20"/>
        </w:rPr>
      </w:pPr>
      <w:r>
        <w:rPr>
          <w:rFonts w:ascii="Times New Roman" w:hAnsi="Times New Roman"/>
          <w:sz w:val="20"/>
        </w:rPr>
        <w:t xml:space="preserve">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Between December 14, 2021 and the signing of the Original Business Combination Agreement on December 17, 2021, representatives of DLA Piper and Taylor Wessing and WSGR, on behalf of their respective clients, as well as King &amp; Spalding, on behalf of CCM, continued to negotiate the subscription agreement and related documentation for the financing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 </w:t>
      </w:r>
    </w:p>
    <w:p>
      <w:pPr>
        <w:pStyle w:val="TextBody"/>
        <w:spacing w:before="240" w:after="0"/>
        <w:jc w:val="left"/>
        <w:rPr>
          <w:rFonts w:ascii="Times New Roman" w:hAnsi="Times New Roman"/>
          <w:sz w:val="20"/>
        </w:rPr>
      </w:pPr>
      <w:r>
        <w:rPr>
          <w:rFonts w:ascii="Times New Roman" w:hAnsi="Times New Roman"/>
          <w:sz w:val="20"/>
        </w:rPr>
        <w:t xml:space="preserve">On December 6, 2021, Armadas board of directors entered into an engagement letter with Northland to render a fairness opinion with respect to (i) 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 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As a result of the foregoing, Armadas board of directors concluded Northland was already familiar with Rezolve and the prospective Business Combination and, accordingly, was willing and able to prepare and provide Armadas board of directors with a fairness opinion on a timely and thorough basis. </w:t>
      </w:r>
    </w:p>
    <w:p>
      <w:pPr>
        <w:pStyle w:val="TextBody"/>
        <w:spacing w:before="240" w:after="0"/>
        <w:jc w:val="left"/>
        <w:rPr>
          <w:rFonts w:ascii="Times New Roman" w:hAnsi="Times New Roman"/>
          <w:sz w:val="20"/>
        </w:rPr>
      </w:pPr>
      <w:r>
        <w:rPr>
          <w:rFonts w:ascii="Times New Roman" w:hAnsi="Times New Roman"/>
          <w:sz w:val="20"/>
        </w:rPr>
        <w:t xml:space="preserve">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 </w:t>
      </w:r>
    </w:p>
    <w:p>
      <w:pPr>
        <w:pStyle w:val="TextBody"/>
        <w:spacing w:before="240" w:after="0"/>
        <w:jc w:val="left"/>
        <w:rPr>
          <w:rFonts w:ascii="Times New Roman" w:hAnsi="Times New Roman"/>
          <w:sz w:val="20"/>
        </w:rPr>
      </w:pPr>
      <w:r>
        <w:rPr>
          <w:rFonts w:ascii="Times New Roman" w:hAnsi="Times New Roman"/>
          <w:sz w:val="20"/>
        </w:rPr>
        <w:t xml:space="preserve">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through 2024 (the Pre-Demerger Projections). As discussed further herein, on June 16, 2023, Armada and Rezolve agreed to amend and restate the Business Combination Agreement to reflect, among other things, (a) the 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Times New Roman" w:hAnsi="Times New Roman"/>
          <w:i/>
          <w:sz w:val="20"/>
        </w:rPr>
        <w:t>Opinion of Northland</w:t>
      </w:r>
      <w:r>
        <w:rPr>
          <w:rFonts w:ascii="Times New Roman" w:hAnsi="Times New Roman"/>
          <w:sz w:val="20"/>
        </w:rPr>
        <w:t>. Instead, certain projections relating to Rezolves anticipated business after giving effect to the Pre-Closing Demerger were considered by Armadas board of directors and are discussed under the caption </w:t>
      </w:r>
      <w:r>
        <w:rPr>
          <w:rFonts w:ascii="Times New Roman" w:hAnsi="Times New Roman"/>
          <w:i/>
          <w:sz w:val="20"/>
        </w:rPr>
        <w:t>Opinion of</w:t>
      </w:r>
      <w:r>
        <w:rPr>
          <w:rFonts w:ascii="Times New Roman" w:hAnsi="Times New Roman"/>
          <w:sz w:val="20"/>
        </w:rPr>
        <w:t xml:space="preserve"> </w:t>
      </w:r>
      <w:r>
        <w:rPr>
          <w:rFonts w:ascii="Times New Roman" w:hAnsi="Times New Roman"/>
          <w:i/>
          <w:sz w:val="20"/>
        </w:rPr>
        <w:t>Marshall &amp; Stevens</w:t>
      </w:r>
      <w:r>
        <w:rPr>
          <w:rFonts w:ascii="Times New Roman" w:hAnsi="Times New Roman"/>
          <w:sz w:val="20"/>
        </w:rPr>
        <w:t>. Additionally, Northland delivered an oral opinion, subsequently confirmed by delivery of a written opinion to the Board, to the 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Times New Roman" w:hAnsi="Times New Roman"/>
          <w:i/>
          <w:sz w:val="20"/>
        </w:rPr>
        <w:t>The Business Combination Proposal  Opinion of Northland</w:t>
      </w:r>
      <w:r>
        <w:rPr>
          <w:rFonts w:ascii="Times New Roman" w:hAnsi="Times New Roman"/>
          <w:sz w:val="20"/>
        </w:rPr>
        <w:t xml:space="preserve">.). Following this discussion, the Board unanimously approved the Original Business Combination Agreement and the Business Combination and the related agreements, and recommended that Armadas stockholders approve the Original Business Combination Agreement and the Business Combination. </w:t>
      </w:r>
    </w:p>
    <w:p>
      <w:pPr>
        <w:pStyle w:val="TextBody"/>
        <w:spacing w:before="240" w:after="0"/>
        <w:jc w:val="left"/>
        <w:rPr>
          <w:rFonts w:ascii="Times New Roman" w:hAnsi="Times New Roman"/>
          <w:sz w:val="20"/>
        </w:rPr>
      </w:pPr>
      <w:r>
        <w:rPr>
          <w:rFonts w:ascii="Times New Roman" w:hAnsi="Times New Roman"/>
          <w:sz w:val="20"/>
        </w:rPr>
        <w:t xml:space="preserve">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 </w:t>
      </w:r>
    </w:p>
    <w:p>
      <w:pPr>
        <w:pStyle w:val="TextBody"/>
        <w:spacing w:before="240" w:after="0"/>
        <w:jc w:val="left"/>
        <w:rPr>
          <w:rFonts w:ascii="Times New Roman" w:hAnsi="Times New Roman"/>
          <w:sz w:val="20"/>
        </w:rPr>
      </w:pPr>
      <w:r>
        <w:rPr>
          <w:rFonts w:ascii="Times New Roman" w:hAnsi="Times New Roman"/>
          <w:sz w:val="20"/>
        </w:rPr>
        <w:t xml:space="preserve">Before market open in the U.S. on December 17, 2021, the parties announced the Business Combination together with the execution of the Original Business Combination Agreement, the Sponsor Support Agreement and the Stockholder Support Agreements. </w:t>
      </w:r>
    </w:p>
    <w:p>
      <w:pPr>
        <w:pStyle w:val="TextBody"/>
        <w:spacing w:before="240" w:after="0"/>
        <w:jc w:val="left"/>
        <w:rPr>
          <w:rFonts w:ascii="Times New Roman" w:hAnsi="Times New Roman"/>
          <w:sz w:val="20"/>
        </w:rPr>
      </w:pPr>
      <w:r>
        <w:rPr>
          <w:rFonts w:ascii="Times New Roman" w:hAnsi="Times New Roman"/>
          <w:sz w:val="20"/>
        </w:rPr>
        <w:t xml:space="preserve">Subsequent to the announcement of the Business Combination and the Original Business Combination Agreement on December 17, 2021, Rezolve and Armada began negotiations to restructure the Business 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payable) and based on the assumptions made, procedures followed, matters considered, limitations of the review undertaken and qualifications contained in such opinion, (i) the Aggregate Stock Consideration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hAnsi="Times New Roman"/>
          <w:i/>
          <w:sz w:val="20"/>
        </w:rPr>
        <w:t>The Business Combination Proposal  Opinion of Northland. The</w:t>
      </w:r>
      <w:r>
        <w:rPr>
          <w:rFonts w:ascii="Times New Roman" w:hAnsi="Times New Roman"/>
          <w:sz w:val="20"/>
        </w:rPr>
        <w:t xml:space="preserve"> full text of Northlands written opinion is attached as Annex                  to this proxy statement/prospectus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 listed entity upon the Closing, which the parties determined to be a more tax-efficient structure for effecting the Business Combination. Additionally, the Amendment extended the Termination Date to the later of (i) 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 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$117,079,089 was removed from the 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w:t>
      </w:r>
    </w:p>
    <w:p>
      <w:pPr>
        <w:pStyle w:val="TextBody"/>
        <w:spacing w:before="240" w:after="0"/>
        <w:jc w:val="left"/>
        <w:rPr>
          <w:rFonts w:ascii="Times New Roman" w:hAnsi="Times New Roman"/>
          <w:sz w:val="20"/>
        </w:rPr>
      </w:pPr>
      <w:r>
        <w:rPr>
          <w:rFonts w:ascii="Times New Roman" w:hAnsi="Times New Roman"/>
          <w:sz w:val="20"/>
        </w:rPr>
        <w:t xml:space="preserve">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 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 </w:t>
      </w:r>
    </w:p>
    <w:p>
      <w:pPr>
        <w:pStyle w:val="TextBody"/>
        <w:spacing w:before="240" w:after="0"/>
        <w:jc w:val="left"/>
        <w:rPr>
          <w:rFonts w:ascii="Times New Roman" w:hAnsi="Times New Roman"/>
          <w:sz w:val="20"/>
        </w:rPr>
      </w:pPr>
      <w:r>
        <w:rPr>
          <w:rFonts w:ascii="Times New Roman" w:hAnsi="Times New Roman"/>
          <w:sz w:val="20"/>
        </w:rPr>
        <w:t xml:space="preserve">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reorganization (described below) and additional due diligence to be performed by Armadas management and advisors. </w:t>
      </w:r>
    </w:p>
    <w:p>
      <w:pPr>
        <w:pStyle w:val="TextBody"/>
        <w:spacing w:before="240" w:after="0"/>
        <w:jc w:val="left"/>
        <w:rPr>
          <w:rFonts w:ascii="Times New Roman" w:hAnsi="Times New Roman"/>
          <w:sz w:val="20"/>
        </w:rPr>
      </w:pPr>
      <w:r>
        <w:rPr>
          <w:rFonts w:ascii="Times New Roman" w:hAnsi="Times New Roman"/>
          <w:sz w:val="20"/>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Times New Roman" w:hAnsi="Times New Roman"/>
          <w:i/>
          <w:sz w:val="20"/>
        </w:rPr>
        <w:t>Summary of the Material Terms of the Business Combination</w:t>
      </w:r>
      <w:r>
        <w:rPr>
          <w:rFonts w:ascii="Times New Roman" w:hAnsi="Times New Roman"/>
          <w:sz w:val="20"/>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StevensProspective Financial Information</w:t>
      </w:r>
      <w:r>
        <w:rPr>
          <w:rFonts w:ascii="Times New Roman" w:hAnsi="Times New Roman"/>
          <w:sz w:val="20"/>
        </w:rPr>
        <w:t xml:space="preserve">. Following this presentation, Messrs. Wagner and Burchill, as well as representatives of Cohen &amp; Company Capital Markets, were excused from the meeting. The representative of Marshall &amp; Stevens then proceeded to provide Armadas board of directors with an update on the fairness opinion analysis and process. </w:t>
      </w:r>
    </w:p>
    <w:p>
      <w:pPr>
        <w:pStyle w:val="TextBody"/>
        <w:spacing w:before="240" w:after="0"/>
        <w:jc w:val="left"/>
        <w:rPr>
          <w:rFonts w:ascii="Times New Roman" w:hAnsi="Times New Roman"/>
          <w:sz w:val="20"/>
        </w:rPr>
      </w:pPr>
      <w:r>
        <w:rPr>
          <w:rFonts w:ascii="Times New Roman" w:hAnsi="Times New Roman"/>
          <w:sz w:val="20"/>
        </w:rPr>
        <w:t xml:space="preserve">On June 1, 2023, Armadas board of directors held a meeting at which representatives of Armadas capital markets advisors, CCM, and Armadas legal counsel, DLA Piper, participated. During the meeting, Armadas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board of directors reviewed Rezolves financial model and engaged in discussion with representatives of CCM, the key items of which are discussed below under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StevensProspective Financial Information</w:t>
      </w:r>
      <w:r>
        <w:rPr>
          <w:rFonts w:ascii="Times New Roman" w:hAnsi="Times New Roman"/>
          <w:sz w:val="20"/>
        </w:rPr>
        <w:t xml:space="preserve">. The discussion included certain risks and uncertainties inherent in the financial model, as well as the material drivers for Rezolves financial performance and where Rezolves financial performance would be likely to out- 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 </w:t>
      </w:r>
    </w:p>
    <w:p>
      <w:pPr>
        <w:pStyle w:val="TextBody"/>
        <w:spacing w:before="240" w:after="0"/>
        <w:jc w:val="left"/>
        <w:rPr>
          <w:rFonts w:ascii="Times New Roman" w:hAnsi="Times New Roman"/>
          <w:sz w:val="20"/>
        </w:rPr>
      </w:pPr>
      <w:r>
        <w:rPr>
          <w:rFonts w:ascii="Times New Roman" w:hAnsi="Times New Roman"/>
          <w:sz w:val="20"/>
        </w:rPr>
        <w:t xml:space="preserve">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 </w:t>
      </w:r>
    </w:p>
    <w:p>
      <w:pPr>
        <w:pStyle w:val="TextBody"/>
        <w:spacing w:before="240" w:after="0"/>
        <w:jc w:val="left"/>
        <w:rPr>
          <w:rFonts w:ascii="Times New Roman" w:hAnsi="Times New Roman"/>
          <w:sz w:val="20"/>
        </w:rPr>
      </w:pPr>
      <w:r>
        <w:rPr>
          <w:rFonts w:ascii="Times New Roman" w:hAnsi="Times New Roman"/>
          <w:sz w:val="20"/>
        </w:rPr>
        <w:t>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 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and the written opinion of Marshall &amp; Stevens attached as </w:t>
      </w:r>
      <w:r>
        <w:rPr>
          <w:rFonts w:ascii="Times New Roman" w:hAnsi="Times New Roman"/>
          <w:i/>
          <w:sz w:val="20"/>
        </w:rPr>
        <w:t xml:space="preserve">Annex </w:t>
      </w:r>
      <w:r>
        <w:rPr>
          <w:rFonts w:ascii="Times New Roman" w:hAnsi="Times New Roman"/>
          <w:sz w:val="20"/>
        </w:rPr>
        <w:t xml:space="preserve">                 hereto. Representatives of Armadas capital markets advisor, 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 </w:t>
      </w:r>
    </w:p>
    <w:p>
      <w:pPr>
        <w:pStyle w:val="TextBody"/>
        <w:spacing w:before="240" w:after="0"/>
        <w:jc w:val="left"/>
        <w:rPr>
          <w:rFonts w:ascii="Times New Roman" w:hAnsi="Times New Roman"/>
          <w:sz w:val="20"/>
        </w:rPr>
      </w:pPr>
      <w:r>
        <w:rPr>
          <w:rFonts w:ascii="Times New Roman" w:hAnsi="Times New Roman"/>
          <w:sz w:val="20"/>
        </w:rPr>
        <w:t xml:space="preserve">On June 12, 2023, the board of directors of Armada adopted by unanimous consent resolutions approving the Business Combination Agreement and the proxy statement/prospectus. </w:t>
      </w:r>
    </w:p>
    <w:p>
      <w:pPr>
        <w:pStyle w:val="TextBody"/>
        <w:spacing w:before="240" w:after="0"/>
        <w:jc w:val="left"/>
        <w:rPr>
          <w:rFonts w:ascii="Times New Roman" w:hAnsi="Times New Roman"/>
          <w:sz w:val="20"/>
        </w:rPr>
      </w:pPr>
      <w:r>
        <w:rPr>
          <w:rFonts w:ascii="Times New Roman" w:hAnsi="Times New Roman"/>
          <w:sz w:val="20"/>
        </w:rPr>
        <w:t xml:space="preserve">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 </w:t>
      </w:r>
    </w:p>
    <w:p>
      <w:pPr>
        <w:pStyle w:val="TextBody"/>
        <w:spacing w:before="240" w:after="0"/>
        <w:jc w:val="left"/>
        <w:rPr>
          <w:rFonts w:ascii="Times New Roman" w:hAnsi="Times New Roman"/>
          <w:sz w:val="20"/>
        </w:rPr>
      </w:pPr>
      <w:r>
        <w:rPr>
          <w:rFonts w:ascii="Times New Roman" w:hAnsi="Times New Roman"/>
          <w:sz w:val="20"/>
        </w:rPr>
        <w:t xml:space="preserve">Before market open in the U.S. on June                , 2023, the parties announced the amendment and restatement of the Business Combination Agreement together with amendments and restatements of the Sponsor Support Agreement and the Stockholder Support Agreements.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Armada Board of Directors Reasons for the Approval of the Business Combination </w:t>
      </w:r>
    </w:p>
    <w:p>
      <w:pPr>
        <w:pStyle w:val="TextBody"/>
        <w:spacing w:before="120" w:after="0"/>
        <w:jc w:val="left"/>
        <w:rPr>
          <w:rFonts w:ascii="Times New Roman" w:hAnsi="Times New Roman"/>
          <w:sz w:val="20"/>
        </w:rPr>
      </w:pPr>
      <w:r>
        <w:rPr>
          <w:rFonts w:ascii="Times New Roman" w:hAnsi="Times New Roman"/>
          <w:sz w:val="20"/>
        </w:rPr>
        <w:t xml:space="preserve">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 </w:t>
      </w:r>
    </w:p>
    <w:p>
      <w:pPr>
        <w:pStyle w:val="TextBody"/>
        <w:spacing w:before="240" w:after="0"/>
        <w:jc w:val="left"/>
        <w:rPr>
          <w:rFonts w:ascii="Times New Roman" w:hAnsi="Times New Roman"/>
          <w:sz w:val="20"/>
        </w:rPr>
      </w:pPr>
      <w:r>
        <w:rPr>
          <w:rFonts w:ascii="Times New Roman" w:hAnsi="Times New Roman"/>
          <w:sz w:val="20"/>
        </w:rPr>
        <w:t xml:space="preserve">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 </w:t>
      </w:r>
    </w:p>
    <w:p>
      <w:pPr>
        <w:pStyle w:val="TextBody"/>
        <w:spacing w:before="240" w:after="0"/>
        <w:jc w:val="left"/>
        <w:rPr>
          <w:rFonts w:ascii="Times New Roman" w:hAnsi="Times New Roman"/>
          <w:sz w:val="20"/>
        </w:rPr>
      </w:pPr>
      <w:r>
        <w:rPr>
          <w:rFonts w:ascii="Times New Roman" w:hAnsi="Times New Roman"/>
          <w:sz w:val="20"/>
        </w:rPr>
        <w:t>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 board of directors approval of the Business Combination, and all other information presented in this section, is forward-looking in nature and, therefore, should be read in light of the factors discussed in the section entitled </w:t>
      </w:r>
      <w:r>
        <w:rPr>
          <w:rFonts w:ascii="Times New Roman" w:hAnsi="Times New Roman"/>
          <w:i/>
          <w:sz w:val="20"/>
        </w:rPr>
        <w:t>Cautionary Note Regarding Forward-Looking</w:t>
      </w:r>
      <w:r>
        <w:rPr>
          <w:rFonts w:ascii="Times New Roman" w:hAnsi="Times New Roman"/>
          <w:sz w:val="20"/>
        </w:rPr>
        <w:t> </w:t>
      </w:r>
      <w:r>
        <w:rPr>
          <w:rFonts w:ascii="Times New Roman" w:hAnsi="Times New Roman"/>
          <w:i/>
          <w:sz w:val="20"/>
        </w:rPr>
        <w:t>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 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the Companys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Times New Roman" w:hAnsi="Times New Roman"/>
          <w:i/>
          <w:sz w:val="20"/>
        </w:rPr>
        <w:t>Other Information Related to Armada  Our Management Team</w:t>
      </w:r>
      <w:r>
        <w:rPr>
          <w:rFonts w:ascii="Times New Roman" w:hAnsi="Times New Roman"/>
          <w:sz w:val="20"/>
        </w:rPr>
        <w:t xml:space="preserve">. The due diligence conducted by Armadas management team and/or legal, financial and other advisors included: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Meetings and calls with Armadas third-party advisors and Rezolves management and accounting teams regarding Rezolves software, operations, customers and forecasts, including demonstrations of Rezolves offerings;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of Rezolves material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of Rezolves software and intellectual property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of financial, tax, legal, and accounting due diligence, including a review of Rezolves finance and accounting staff and staffing needs;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consultation with legal, financial and accounting advisors;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historical financial statements of Rezolve and the Projections. </w:t>
            </w:r>
          </w:p>
        </w:tc>
      </w:tr>
    </w:tbl>
    <w:p>
      <w:pPr>
        <w:pStyle w:val="TextBody"/>
        <w:spacing w:before="240" w:after="0"/>
        <w:jc w:val="left"/>
        <w:rPr>
          <w:rFonts w:ascii="Times New Roman" w:hAnsi="Times New Roman"/>
          <w:sz w:val="20"/>
        </w:rPr>
      </w:pPr>
      <w:r>
        <w:rPr>
          <w:rFonts w:ascii="Times New Roman" w:hAnsi="Times New Roman"/>
          <w:sz w:val="20"/>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Times New Roman" w:hAnsi="Times New Roman"/>
          <w:i/>
          <w:sz w:val="20"/>
        </w:rPr>
        <w:t>The Business Combination Proposal  Opinion of Northland</w:t>
      </w:r>
      <w:r>
        <w:rPr>
          <w:rFonts w:ascii="Times New Roman" w:hAnsi="Times New Roman"/>
          <w:sz w:val="20"/>
        </w:rPr>
        <w:t xml:space="preserve">. The full text of Northlands written opinion is attached as Annex                  to this proxy statement/prospectus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account Rezolves focus on mobile consumer engagement platforms, and ecommerce and loyalty solutions, the board of directors determined that Rezolve met the criteria in Armadas prospectus for its initial public offering. </w:t>
      </w:r>
    </w:p>
    <w:p>
      <w:pPr>
        <w:pStyle w:val="TextBody"/>
        <w:spacing w:before="240" w:after="0"/>
        <w:jc w:val="left"/>
        <w:rPr>
          <w:rFonts w:ascii="Times New Roman" w:hAnsi="Times New Roman"/>
          <w:sz w:val="20"/>
        </w:rPr>
      </w:pPr>
      <w:r>
        <w:rPr>
          <w:rFonts w:ascii="Times New Roman" w:hAnsi="Times New Roman"/>
          <w:sz w:val="20"/>
        </w:rPr>
        <w:t xml:space="preserve">In approving the Business Combination, the board of directors considered the factors that include, but are not limited to, those set forth above as well as the following positive factors, several of which are based upon our due diligence: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Innovative Mobile Solution that Creates Value for Rezolve Customers.</w:t>
            </w:r>
            <w:r>
              <w:rPr>
                <w:rFonts w:ascii="Times New Roman" w:hAnsi="Times New Roman"/>
                <w:sz w:val="20"/>
              </w:rPr>
              <w:t xml:space="preserve"> Rezolve provides a bridge between offline and online commerce by leveraging a mobile devices camera, microphone and location awareness to allow any kind of product or media to trigger an instant, highly relevant, contextual engagement between consumer and advertiser or merchants. Rezolve opens new channels of engagement opportunity and revenue for customers.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Platform and Business Model.</w:t>
            </w:r>
            <w:r>
              <w:rPr>
                <w:rFonts w:ascii="Times New Roman" w:hAnsi="Times New Roman"/>
                <w:sz w:val="20"/>
              </w:rPr>
              <w:t xml:space="preserve"> Rezolves forecast of $281 million in revenues by 2024, $831 million in revenues by 2025 and $1.45 billion in revenues in 2026, represented substantial year over year growth, with additional potential revenue streams and agreements providing further opportunity for scaling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Strong Operating Leverage and Other Key Financial Metrics.</w:t>
            </w:r>
            <w:r>
              <w:rPr>
                <w:rFonts w:ascii="Times New Roman" w:hAnsi="Times New Roman"/>
                <w:sz w:val="20"/>
              </w:rPr>
              <w:t xml:space="preserve"> Rezolves estimated gross profit margin is 78% for 2024, and 86% for 2025 and 2026; and EBITDA margin for 2025 is estimated to be $76 million in 2024, $233 million in 2025, and $436 million in 2026.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Proprietary Technology Provides a High Barrier to Entry.</w:t>
            </w:r>
            <w:r>
              <w:rPr>
                <w:rFonts w:ascii="Times New Roman" w:hAnsi="Times New Roman"/>
                <w:sz w:val="20"/>
              </w:rPr>
              <w:t xml:space="preserve"> Rezolve has significant market momentum backed by sophisticated e-Commerce and mobile technology stack.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Due Diligence</w:t>
            </w:r>
            <w:r>
              <w:rPr>
                <w:rFonts w:ascii="Times New Roman" w:hAnsi="Times New Roman"/>
                <w:sz w:val="20"/>
              </w:rPr>
              <w:t xml:space="preserve">. Due diligence examinations of Rezolve by Company management, as well as the Companys legal, financial and other advisors, and discussions with its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Negotiated Transaction</w:t>
            </w:r>
            <w:r>
              <w:rPr>
                <w:rFonts w:ascii="Times New Roman" w:hAnsi="Times New Roman"/>
                <w:sz w:val="20"/>
              </w:rPr>
              <w:t xml:space="preserve">. The financial and other terms of the Business Combination Agreement and the related agreements, including the fact that such terms and conditions are reasonable and were the product of arms length negotiations between Armada and Rezolve. </w:t>
            </w:r>
          </w:p>
        </w:tc>
      </w:tr>
    </w:tbl>
    <w:p>
      <w:pPr>
        <w:pStyle w:val="TextBody"/>
        <w:spacing w:before="240" w:after="0"/>
        <w:jc w:val="left"/>
        <w:rPr>
          <w:rFonts w:ascii="Times New Roman" w:hAnsi="Times New Roman"/>
          <w:sz w:val="20"/>
        </w:rPr>
      </w:pPr>
      <w:r>
        <w:rPr>
          <w:rFonts w:ascii="Times New Roman" w:hAnsi="Times New Roman"/>
          <w:sz w:val="20"/>
        </w:rPr>
        <w:t xml:space="preserve">In the course of its deliberations, the board of directors also considered a variety of uncertainties, risks and other potentially negative factors relevant to the Business Combination,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Public Company Risk</w:t>
            </w:r>
            <w:r>
              <w:rPr>
                <w:rFonts w:ascii="Times New Roman" w:hAnsi="Times New Roman"/>
                <w:i/>
                <w:sz w:val="20"/>
              </w:rPr>
              <w:t>.</w:t>
            </w:r>
            <w:r>
              <w:rPr>
                <w:rFonts w:ascii="Times New Roman" w:hAnsi="Times New Roman"/>
                <w:sz w:val="20"/>
              </w:rPr>
              <w:t xml:space="preserve"> The risks that are associated with being a publicly traded company that is in its early, developmental stage with a management team with limited to no experience operating a public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Execution Risk.</w:t>
            </w:r>
            <w:r>
              <w:rPr>
                <w:rFonts w:ascii="Times New Roman" w:hAnsi="Times New Roman"/>
                <w:sz w:val="20"/>
              </w:rPr>
              <w:t xml:space="preserve"> The risk that Rezolve will not be able to execute on its growth-oriented business plan by adding additional revenue streams, including through the addition of new merchants, reduction of merchant attribution and increasing the number of products utilizing the Rezolve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Redemption Risk</w:t>
            </w:r>
            <w:r>
              <w:rPr>
                <w:rFonts w:ascii="Times New Roman" w:hAnsi="Times New Roman"/>
                <w:sz w:val="20"/>
              </w:rPr>
              <w:t xml:space="preserve">. The risk that a significant number of Armada stockholders elect to redeem their shares prior to the consummation of the 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Stockholder Vote Risk</w:t>
            </w:r>
            <w:r>
              <w:rPr>
                <w:rFonts w:ascii="Times New Roman" w:hAnsi="Times New Roman"/>
                <w:i/>
                <w:sz w:val="20"/>
              </w:rPr>
              <w:t>.</w:t>
            </w:r>
            <w:r>
              <w:rPr>
                <w:rFonts w:ascii="Times New Roman" w:hAnsi="Times New Roman"/>
                <w:sz w:val="20"/>
              </w:rPr>
              <w:t xml:space="preserve"> The risk that Armadas stockholders may fail to provide the votes necessary to effect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Closing Conditions Risk</w:t>
            </w:r>
            <w:r>
              <w:rPr>
                <w:rFonts w:ascii="Times New Roman" w:hAnsi="Times New Roman"/>
                <w:i/>
                <w:sz w:val="20"/>
              </w:rPr>
              <w:t>.</w:t>
            </w:r>
            <w:r>
              <w:rPr>
                <w:rFonts w:ascii="Times New Roman" w:hAnsi="Times New Roman"/>
                <w:sz w:val="20"/>
              </w:rPr>
              <w:t xml:space="preserve"> The risk that completion of the Business Combination is conditioned on the satisfaction of certain closing conditions that are not within Armadas control, including the risk that Rezolve will not be able complete the Pre-Closing Demerger timely.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Benefits May Not Be Achieved Risk</w:t>
            </w:r>
            <w:r>
              <w:rPr>
                <w:rFonts w:ascii="Times New Roman" w:hAnsi="Times New Roman"/>
                <w:i/>
                <w:sz w:val="20"/>
              </w:rPr>
              <w:t>.</w:t>
            </w:r>
            <w:r>
              <w:rPr>
                <w:rFonts w:ascii="Times New Roman" w:hAnsi="Times New Roman"/>
                <w:sz w:val="20"/>
              </w:rPr>
              <w:t xml:space="preserve"> The risk that the potential benefits of the Business Combination may not be fully achieved or may not be achieved within the expected timeframe.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Litigation Risk</w:t>
            </w:r>
            <w:r>
              <w:rPr>
                <w:rFonts w:ascii="Times New Roman" w:hAnsi="Times New Roman"/>
                <w:sz w:val="20"/>
              </w:rPr>
              <w:t xml:space="preserve">. The risk of the possibility of litigation challenging the Business Combination or that an adverse judgment granting permanent injunctive relief could indefinitely enjoin consummation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Armada Stockholders Receiving a Minority Positions Risk</w:t>
            </w:r>
            <w:r>
              <w:rPr>
                <w:rFonts w:ascii="Times New Roman" w:hAnsi="Times New Roman"/>
                <w:sz w:val="20"/>
              </w:rPr>
              <w:t xml:space="preserve">. The risk that Armada stockholders will hold a minority position in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Fees, Expenses and Time Risk</w:t>
            </w:r>
            <w:r>
              <w:rPr>
                <w:rFonts w:ascii="Times New Roman" w:hAnsi="Times New Roman"/>
                <w:i/>
                <w:sz w:val="20"/>
              </w:rPr>
              <w:t>.</w:t>
            </w:r>
            <w:r>
              <w:rPr>
                <w:rFonts w:ascii="Times New Roman" w:hAnsi="Times New Roman"/>
                <w:sz w:val="20"/>
              </w:rPr>
              <w:t xml:space="preserve"> The risk of incurring significant fees and expenses associated with completing the Business Combination and the substantial time and effort of management required to complete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b/>
                <w:i/>
                <w:sz w:val="20"/>
              </w:rPr>
              <w:t>Other Risk Factors</w:t>
            </w:r>
            <w:r>
              <w:rPr>
                <w:rFonts w:ascii="Times New Roman" w:hAnsi="Times New Roman"/>
                <w:sz w:val="20"/>
              </w:rPr>
              <w:t>. Various other risk factors associated with Rezolves business, as described in the section entitled </w:t>
            </w:r>
            <w:r>
              <w:rPr>
                <w:rFonts w:ascii="Times New Roman" w:hAnsi="Times New Roman"/>
                <w:i/>
                <w:sz w:val="20"/>
              </w:rPr>
              <w:t>Risk Factors</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 more information, see the section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 xml:space="preserve">1 </w:t>
      </w:r>
      <w:r>
        <w:rPr>
          <w:rFonts w:ascii="Times New Roman" w:hAnsi="Times New Roman"/>
          <w:sz w:val="20"/>
        </w:rPr>
        <w:t> </w:t>
      </w:r>
      <w:r>
        <w:rPr>
          <w:rFonts w:ascii="Times New Roman" w:hAnsi="Times New Roman"/>
          <w:i/>
          <w:sz w:val="20"/>
        </w:rPr>
        <w:t>Approval of the Business Combination  Interests of Armadas Directors and Officers in the Business Combination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 </w:t>
      </w:r>
    </w:p>
    <w:p>
      <w:pPr>
        <w:pStyle w:val="TextBody"/>
        <w:spacing w:before="240" w:after="0"/>
        <w:jc w:val="left"/>
        <w:rPr>
          <w:rFonts w:ascii="Times New Roman" w:hAnsi="Times New Roman"/>
          <w:sz w:val="20"/>
        </w:rPr>
      </w:pPr>
      <w:r>
        <w:rPr>
          <w:rFonts w:ascii="Times New Roman" w:hAnsi="Times New Roman"/>
          <w:sz w:val="20"/>
        </w:rPr>
        <w:t xml:space="preserve">The above discussion of the material factors considered by the board of directors is not intended to be exhaustive but does set forth the principal factors considered by the board of directors. </w:t>
      </w:r>
    </w:p>
    <w:p>
      <w:pPr>
        <w:pStyle w:val="TextBody"/>
        <w:spacing w:before="360" w:after="0"/>
        <w:jc w:val="left"/>
        <w:rPr>
          <w:rFonts w:ascii="Times New Roman" w:hAnsi="Times New Roman"/>
          <w:b/>
          <w:sz w:val="20"/>
        </w:rPr>
      </w:pPr>
      <w:r>
        <w:rPr>
          <w:rFonts w:ascii="Times New Roman" w:hAnsi="Times New Roman"/>
          <w:b/>
          <w:sz w:val="20"/>
        </w:rPr>
        <w:t xml:space="preserve">Interests of Armadas Directors and Officers in the Business Combination </w:t>
      </w:r>
    </w:p>
    <w:p>
      <w:pPr>
        <w:pStyle w:val="TextBody"/>
        <w:spacing w:before="120" w:after="0"/>
        <w:jc w:val="left"/>
        <w:rPr>
          <w:rFonts w:ascii="Times New Roman" w:hAnsi="Times New Roman"/>
          <w:sz w:val="20"/>
        </w:rPr>
      </w:pPr>
      <w:r>
        <w:rPr>
          <w:rFonts w:ascii="Times New Roman" w:hAnsi="Times New Roman"/>
          <w:sz w:val="20"/>
        </w:rPr>
        <w:t xml:space="preserve">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These interests include,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not to redeem any of the Founder Shares in connection with a stockholder vote to approve the Business Combination, as provided in the Armada Letter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continued indemnification of Armadas existing directors and officers and the continuation of Armadas directors and officers liability insurance after the Business Combination;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Stephen Herbert and Douglas Lurio will be appointed as board members of Rezolve after the Business Combination and shall be entitled to receive compensation for serving on the board of directors of Rezolve after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 </w:t>
            </w:r>
          </w:p>
        </w:tc>
      </w:tr>
    </w:tbl>
    <w:p>
      <w:pPr>
        <w:pStyle w:val="TextBody"/>
        <w:spacing w:before="240" w:after="0"/>
        <w:jc w:val="left"/>
        <w:rPr>
          <w:rFonts w:ascii="Times New Roman" w:hAnsi="Times New Roman"/>
          <w:sz w:val="20"/>
        </w:rPr>
      </w:pPr>
      <w:r>
        <w:rPr>
          <w:rFonts w:ascii="Times New Roman" w:hAnsi="Times New Roman"/>
          <w:sz w:val="20"/>
        </w:rPr>
        <w:t xml:space="preserve">Armadas Sponsor holds in the aggregate approximately                 % of the total shares outstanding as of the date of this proxy statement/prospectus. The Founder Shares will likely be worthless if Armada does not complete a business combination by the applicable deadline. </w:t>
      </w:r>
    </w:p>
    <w:p>
      <w:pPr>
        <w:pStyle w:val="TextBody"/>
        <w:spacing w:before="240" w:after="0"/>
        <w:jc w:val="left"/>
        <w:rPr>
          <w:rFonts w:ascii="Times New Roman" w:hAnsi="Times New Roman"/>
          <w:sz w:val="20"/>
        </w:rPr>
      </w:pPr>
      <w:r>
        <w:rPr>
          <w:rFonts w:ascii="Times New Roman" w:hAnsi="Times New Roman"/>
          <w:sz w:val="20"/>
        </w:rPr>
        <w:t xml:space="preserve">The Founder Shares are identical to the shares of Common Stock included in the public units, except that: (i) the Founder Shares are subject to certain transfer restrictions; (ii) Armadas Sponsor, officers and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personal and financial interests of Armadas officers and directors described above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 </w:t>
      </w:r>
    </w:p>
    <w:p>
      <w:pPr>
        <w:pStyle w:val="TextBody"/>
        <w:spacing w:before="360" w:after="0"/>
        <w:jc w:val="left"/>
        <w:rPr>
          <w:rFonts w:ascii="Times New Roman" w:hAnsi="Times New Roman"/>
          <w:b/>
          <w:sz w:val="20"/>
        </w:rPr>
      </w:pPr>
      <w:r>
        <w:rPr>
          <w:rFonts w:ascii="Times New Roman" w:hAnsi="Times New Roman"/>
          <w:b/>
          <w:sz w:val="20"/>
        </w:rPr>
        <w:t xml:space="preserve">Amended and Restated Rezolve Memorandum and Articles of Association </w:t>
      </w:r>
    </w:p>
    <w:p>
      <w:pPr>
        <w:pStyle w:val="TextBody"/>
        <w:spacing w:before="120" w:after="0"/>
        <w:jc w:val="left"/>
        <w:rPr>
          <w:rFonts w:ascii="Times New Roman" w:hAnsi="Times New Roman"/>
          <w:sz w:val="20"/>
        </w:rPr>
      </w:pPr>
      <w:r>
        <w:rPr>
          <w:rFonts w:ascii="Times New Roman" w:hAnsi="Times New Roman"/>
          <w:sz w:val="20"/>
        </w:rPr>
        <w:t xml:space="preserve">Pursuant to the Business Combination Agreement, prior to the consummation of the Business Combination, Rezolves memorandum and articles of association will be amended and restated promptly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 necessary changes for a company listed on Nasdaq (for a summary of the memorandum and articles of association to be amended please see </w:t>
            </w:r>
            <w:r>
              <w:rPr>
                <w:rFonts w:ascii="Times New Roman" w:hAnsi="Times New Roman"/>
                <w:i/>
                <w:sz w:val="20"/>
              </w:rPr>
              <w:t>Description Of Rezolve Ordinary Shares, Articles Of Association And Certain Legal Considerations</w:t>
            </w:r>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certain other changes that Rezolves board of directors deems appropriate for a public company. </w:t>
            </w:r>
          </w:p>
        </w:tc>
      </w:tr>
    </w:tbl>
    <w:p>
      <w:pPr>
        <w:pStyle w:val="TextBody"/>
        <w:spacing w:before="360" w:after="0"/>
        <w:jc w:val="left"/>
        <w:rPr>
          <w:rFonts w:ascii="Times New Roman" w:hAnsi="Times New Roman"/>
          <w:b/>
          <w:sz w:val="20"/>
        </w:rPr>
      </w:pPr>
      <w:r>
        <w:rPr>
          <w:rFonts w:ascii="Times New Roman" w:hAnsi="Times New Roman"/>
          <w:b/>
          <w:sz w:val="20"/>
        </w:rPr>
        <w:t xml:space="preserve">Headquarters; Stock Symbols </w:t>
      </w:r>
    </w:p>
    <w:p>
      <w:pPr>
        <w:pStyle w:val="TextBody"/>
        <w:spacing w:before="120" w:after="0"/>
        <w:jc w:val="left"/>
        <w:rPr>
          <w:rFonts w:ascii="Times New Roman" w:hAnsi="Times New Roman"/>
          <w:sz w:val="20"/>
        </w:rPr>
      </w:pPr>
      <w:r>
        <w:rPr>
          <w:rFonts w:ascii="Times New Roman" w:hAnsi="Times New Roman"/>
          <w:sz w:val="20"/>
        </w:rPr>
        <w:t xml:space="preserve">After completion of the transactions contemplated by the Business Combination Agreement: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corporate headquarters and principal executive offices of Rezolve will be located at 3rd Floor, 80 New Bond Street, London, W1S 1SB, United Kingdom;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6"/>
        <w:gridCol w:w="9591"/>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Rezolves applications for listing are approved, Rezolves Ordinary Shares and warrants will be traded on the Nasdaq under the symbols                  and                 , respectively. </w:t>
            </w:r>
          </w:p>
        </w:tc>
      </w:tr>
    </w:tbl>
    <w:p>
      <w:pPr>
        <w:pStyle w:val="TextBody"/>
        <w:spacing w:before="360" w:after="0"/>
        <w:jc w:val="left"/>
        <w:rPr>
          <w:rFonts w:ascii="Times New Roman" w:hAnsi="Times New Roman"/>
          <w:b/>
          <w:sz w:val="20"/>
        </w:rPr>
      </w:pPr>
      <w:r>
        <w:rPr>
          <w:rFonts w:ascii="Times New Roman" w:hAnsi="Times New Roman"/>
          <w:b/>
          <w:sz w:val="20"/>
        </w:rPr>
        <w:t xml:space="preserve">Opinion of Marshall &amp; Stevens </w:t>
      </w:r>
    </w:p>
    <w:p>
      <w:pPr>
        <w:pStyle w:val="TextBody"/>
        <w:spacing w:before="120" w:after="0"/>
        <w:jc w:val="left"/>
        <w:rPr>
          <w:rFonts w:ascii="Times New Roman" w:hAnsi="Times New Roman"/>
          <w:sz w:val="20"/>
        </w:rPr>
      </w:pPr>
      <w:r>
        <w:rPr>
          <w:rFonts w:ascii="Times New Roman" w:hAnsi="Times New Roman"/>
          <w:sz w:val="20"/>
        </w:rPr>
        <w:t xml:space="preserve">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The full text of the M&amp;S Opinion, which sets forth, among other things, the assumptions made, matters considered and limitations on the scope of review undertaken by Marshall &amp; Stevens in rendering its opinion, is attached as Annex                 </w:t>
      </w:r>
      <w:r>
        <w:rPr>
          <w:rFonts w:ascii="Times New Roman" w:hAnsi="Times New Roman"/>
          <w:sz w:val="20"/>
        </w:rPr>
        <w:t xml:space="preserve"> </w:t>
      </w:r>
      <w:r>
        <w:rPr>
          <w:rFonts w:ascii="Times New Roman" w:hAnsi="Times New Roman"/>
          <w:b/>
          <w:sz w:val="20"/>
        </w:rPr>
        <w:t xml:space="preserve">and is incorporated into this proxy statement by reference in its entirety. Holders of the Armada Common Stock are encouraged to read this opinion carefully in its entirety. 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 any matters relating to the Business Combination. The summary of Marshall &amp; Stevens opinion in this proxy statement is qualified in its entirety by reference to the full text of the opinion. </w:t>
      </w:r>
    </w:p>
    <w:p>
      <w:pPr>
        <w:pStyle w:val="TextBody"/>
        <w:spacing w:before="240" w:after="0"/>
        <w:jc w:val="left"/>
        <w:rPr>
          <w:rFonts w:ascii="Times New Roman" w:hAnsi="Times New Roman"/>
          <w:sz w:val="20"/>
        </w:rPr>
      </w:pPr>
      <w:r>
        <w:rPr>
          <w:rFonts w:ascii="Times New Roman" w:hAnsi="Times New Roman"/>
          <w:sz w:val="20"/>
        </w:rPr>
        <w:t xml:space="preserve">In arriving at its opinion, Marshall &amp; Stevens: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the Business Combination Agreement as of June 6,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spoke with certain members of Rezolves management regarding Rezolves operations, financial condition, future prospects and projected operations and performance and regarding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participated in discussions with the board and its counsel regarding Rezolves projected financials results, among other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certain business, financial and other information regarding Rezolve that was furnished to it by Rezolve through its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performed a discounted cash flow analysis based on the projected financial information provided by Rezolves management;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conducted such other financial studies, analyses and inquiries as deemed appropriate. </w:t>
            </w:r>
          </w:p>
        </w:tc>
      </w:tr>
    </w:tbl>
    <w:p>
      <w:pPr>
        <w:pStyle w:val="TextBody"/>
        <w:spacing w:before="240" w:after="0"/>
        <w:jc w:val="left"/>
        <w:rPr>
          <w:rFonts w:ascii="Times New Roman" w:hAnsi="Times New Roman"/>
          <w:sz w:val="20"/>
        </w:rPr>
      </w:pPr>
      <w:r>
        <w:rPr>
          <w:rFonts w:ascii="Times New Roman" w:hAnsi="Times New Roman"/>
          <w:sz w:val="20"/>
        </w:rPr>
        <w:t xml:space="preserve">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 </w:t>
      </w:r>
    </w:p>
    <w:p>
      <w:pPr>
        <w:pStyle w:val="TextBody"/>
        <w:spacing w:before="240" w:after="0"/>
        <w:jc w:val="left"/>
        <w:rPr>
          <w:rFonts w:ascii="Times New Roman" w:hAnsi="Times New Roman"/>
          <w:sz w:val="20"/>
        </w:rPr>
      </w:pPr>
      <w:r>
        <w:rPr>
          <w:rFonts w:ascii="Times New Roman" w:hAnsi="Times New Roman"/>
          <w:sz w:val="20"/>
        </w:rPr>
        <w:t xml:space="preserve">Marshall &amp; Stevens relied upon and assumed, without independent verification, that (a) the representations and warranties of all parties to the agreements identified in the Business Combination Agreement and all other related documents and instruments that are referred to therein are true and correct, (b) each party to each such agreement, document or instrument will perform all of the covenants and agreements required to be performed 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 </w:t>
      </w:r>
    </w:p>
    <w:p>
      <w:pPr>
        <w:pStyle w:val="TextBody"/>
        <w:spacing w:before="240" w:after="0"/>
        <w:jc w:val="left"/>
        <w:rPr>
          <w:rFonts w:ascii="Times New Roman" w:hAnsi="Times New Roman"/>
          <w:sz w:val="20"/>
        </w:rPr>
      </w:pPr>
      <w:r>
        <w:rPr>
          <w:rFonts w:ascii="Times New Roman" w:hAnsi="Times New Roman"/>
          <w:sz w:val="20"/>
        </w:rPr>
        <w:t xml:space="preserve">Marshall &amp; Stevens was not requested to make, and did not make, any physical inspection or independent appraisal or evaluation of any of the assets, properties or liabilities (contingent or otherwise) of Rezolve, Armada 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 </w:t>
      </w:r>
    </w:p>
    <w:p>
      <w:pPr>
        <w:pStyle w:val="TextBody"/>
        <w:spacing w:before="240" w:after="0"/>
        <w:jc w:val="left"/>
        <w:rPr>
          <w:rFonts w:ascii="Times New Roman" w:hAnsi="Times New Roman"/>
          <w:sz w:val="20"/>
        </w:rPr>
      </w:pPr>
      <w:r>
        <w:rPr>
          <w:rFonts w:ascii="Times New Roman" w:hAnsi="Times New Roman"/>
          <w:sz w:val="20"/>
        </w:rPr>
        <w:t xml:space="preserve">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 </w:t>
      </w:r>
    </w:p>
    <w:p>
      <w:pPr>
        <w:pStyle w:val="TextBody"/>
        <w:spacing w:before="240" w:after="0"/>
        <w:jc w:val="left"/>
        <w:rPr>
          <w:rFonts w:ascii="Times New Roman" w:hAnsi="Times New Roman"/>
          <w:sz w:val="20"/>
        </w:rPr>
      </w:pPr>
      <w:r>
        <w:rPr>
          <w:rFonts w:ascii="Times New Roman" w:hAnsi="Times New Roman"/>
          <w:sz w:val="20"/>
        </w:rPr>
        <w:t xml:space="preserve">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 </w:t>
      </w:r>
    </w:p>
    <w:p>
      <w:pPr>
        <w:pStyle w:val="TextBody"/>
        <w:spacing w:before="240" w:after="0"/>
        <w:jc w:val="left"/>
        <w:rPr>
          <w:rFonts w:ascii="Times New Roman" w:hAnsi="Times New Roman"/>
          <w:sz w:val="20"/>
        </w:rPr>
      </w:pPr>
      <w:r>
        <w:rPr>
          <w:rFonts w:ascii="Times New Roman" w:hAnsi="Times New Roman"/>
          <w:sz w:val="20"/>
        </w:rPr>
        <w:t xml:space="preserve">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 </w:t>
      </w:r>
    </w:p>
    <w:p>
      <w:pPr>
        <w:pStyle w:val="TextBody"/>
        <w:spacing w:before="360" w:after="0"/>
        <w:jc w:val="left"/>
        <w:rPr>
          <w:rFonts w:ascii="Times New Roman" w:hAnsi="Times New Roman"/>
          <w:b/>
          <w:i/>
          <w:sz w:val="20"/>
        </w:rPr>
      </w:pPr>
      <w:r>
        <w:rPr>
          <w:rFonts w:ascii="Times New Roman" w:hAnsi="Times New Roman"/>
          <w:b/>
          <w:i/>
          <w:sz w:val="20"/>
        </w:rPr>
        <w:t xml:space="preserve">Fees Paid to Marshall &amp; Stevens </w:t>
      </w:r>
    </w:p>
    <w:p>
      <w:pPr>
        <w:pStyle w:val="TextBody"/>
        <w:spacing w:before="120" w:after="0"/>
        <w:jc w:val="left"/>
        <w:rPr>
          <w:rFonts w:ascii="Times New Roman" w:hAnsi="Times New Roman"/>
          <w:sz w:val="20"/>
        </w:rPr>
      </w:pPr>
      <w:r>
        <w:rPr>
          <w:rFonts w:ascii="Times New Roman" w:hAnsi="Times New Roman"/>
          <w:sz w:val="20"/>
        </w:rPr>
        <w:t xml:space="preserve">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 </w:t>
      </w:r>
    </w:p>
    <w:p>
      <w:pPr>
        <w:pStyle w:val="TextBody"/>
        <w:spacing w:before="360" w:after="0"/>
        <w:jc w:val="left"/>
        <w:rPr>
          <w:rFonts w:ascii="Times New Roman" w:hAnsi="Times New Roman"/>
          <w:b/>
          <w:i/>
          <w:sz w:val="20"/>
        </w:rPr>
      </w:pPr>
      <w:r>
        <w:rPr>
          <w:rFonts w:ascii="Times New Roman" w:hAnsi="Times New Roman"/>
          <w:b/>
          <w:i/>
          <w:sz w:val="20"/>
        </w:rPr>
        <w:t xml:space="preserve">Financial Projections </w:t>
      </w:r>
    </w:p>
    <w:p>
      <w:pPr>
        <w:pStyle w:val="TextBody"/>
        <w:spacing w:before="120" w:after="0"/>
        <w:jc w:val="left"/>
        <w:rPr>
          <w:rFonts w:ascii="Times New Roman" w:hAnsi="Times New Roman"/>
          <w:sz w:val="20"/>
        </w:rPr>
      </w:pPr>
      <w:r>
        <w:rPr>
          <w:rFonts w:ascii="Times New Roman" w:hAnsi="Times New Roman"/>
          <w:sz w:val="20"/>
        </w:rPr>
        <w:t xml:space="preserve">Using financial projections provided by Rezolves management, Marshall &amp; Stevens calculated the net present value of the unlevered, after-tax free cash flows that Rezolves business is forecasted to generate for the financial years 2023 through 2027, then extended through 2032, plus the present value of the terminal value of Rezolves business in year 2032. </w:t>
      </w:r>
    </w:p>
    <w:p>
      <w:pPr>
        <w:pStyle w:val="TextBody"/>
        <w:spacing w:before="360" w:after="0"/>
        <w:jc w:val="left"/>
        <w:rPr>
          <w:rFonts w:ascii="Times New Roman" w:hAnsi="Times New Roman"/>
          <w:b/>
          <w:i/>
          <w:sz w:val="20"/>
        </w:rPr>
      </w:pPr>
      <w:r>
        <w:rPr>
          <w:rFonts w:ascii="Times New Roman" w:hAnsi="Times New Roman"/>
          <w:b/>
          <w:i/>
          <w:sz w:val="20"/>
        </w:rPr>
        <w:t xml:space="preserve">Rezolve Financial Projections </w:t>
      </w:r>
    </w:p>
    <w:p>
      <w:pPr>
        <w:pStyle w:val="TextBody"/>
        <w:spacing w:before="120" w:after="0"/>
        <w:jc w:val="left"/>
        <w:rPr>
          <w:rFonts w:ascii="Times New Roman" w:hAnsi="Times New Roman"/>
          <w:sz w:val="20"/>
        </w:rPr>
      </w:pPr>
      <w:r>
        <w:rPr>
          <w:rFonts w:ascii="Times New Roman" w:hAnsi="Times New Roman"/>
          <w:sz w:val="20"/>
        </w:rPr>
        <w:t>Armada is including the information set forth below solely to give Armadas stockholders access to the financial projections of Rezolve (the Projections) that were relied upon by Marshall &amp; Stevens in connection with the rendering of its opinion as described in the section entitled </w:t>
      </w:r>
      <w:r>
        <w:rPr>
          <w:rFonts w:ascii="Times New Roman" w:hAnsi="Times New Roman"/>
          <w:i/>
          <w:sz w:val="20"/>
        </w:rPr>
        <w:t>The Business CombinationOpinion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The Projections were also made available to Armadas board of directors in connection with 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 </w:t>
      </w:r>
    </w:p>
    <w:p>
      <w:pPr>
        <w:pStyle w:val="TextBody"/>
        <w:spacing w:before="0" w:after="0"/>
        <w:jc w:val="left"/>
        <w:rPr/>
      </w:pPr>
      <w:r>
        <w:rPr/>
        <w:t> </w:t>
      </w:r>
    </w:p>
    <w:tbl>
      <w:tblPr>
        <w:tblW w:w="10695" w:type="dxa"/>
        <w:jc w:val="center"/>
        <w:tblInd w:w="0" w:type="dxa"/>
        <w:tblCellMar>
          <w:top w:w="0" w:type="dxa"/>
          <w:left w:w="0" w:type="dxa"/>
          <w:bottom w:w="0" w:type="dxa"/>
          <w:right w:w="0" w:type="dxa"/>
        </w:tblCellMar>
      </w:tblPr>
      <w:tblGrid>
        <w:gridCol w:w="875"/>
        <w:gridCol w:w="120"/>
        <w:gridCol w:w="301"/>
        <w:gridCol w:w="619"/>
        <w:gridCol w:w="275"/>
        <w:gridCol w:w="60"/>
        <w:gridCol w:w="301"/>
        <w:gridCol w:w="619"/>
        <w:gridCol w:w="275"/>
        <w:gridCol w:w="60"/>
        <w:gridCol w:w="356"/>
        <w:gridCol w:w="729"/>
        <w:gridCol w:w="350"/>
        <w:gridCol w:w="60"/>
        <w:gridCol w:w="217"/>
        <w:gridCol w:w="868"/>
        <w:gridCol w:w="350"/>
        <w:gridCol w:w="60"/>
        <w:gridCol w:w="217"/>
        <w:gridCol w:w="868"/>
        <w:gridCol w:w="275"/>
        <w:gridCol w:w="60"/>
        <w:gridCol w:w="172"/>
        <w:gridCol w:w="913"/>
        <w:gridCol w:w="275"/>
        <w:gridCol w:w="60"/>
        <w:gridCol w:w="172"/>
        <w:gridCol w:w="913"/>
        <w:gridCol w:w="275"/>
      </w:tblGrid>
      <w:tr>
        <w:trPr/>
        <w:tc>
          <w:tcPr>
            <w:tcW w:w="8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7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Actual Results</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15"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Management Projections(1)</w:t>
            </w:r>
          </w:p>
        </w:tc>
        <w:tc>
          <w:tcPr>
            <w:tcW w:w="275" w:type="dxa"/>
            <w:tcBorders/>
            <w:shd w:fill="auto" w:val="clear"/>
            <w:vAlign w:val="bottom"/>
          </w:tcPr>
          <w:p>
            <w:pPr>
              <w:pStyle w:val="TableContents"/>
              <w:spacing w:before="0" w:after="283"/>
              <w:rPr/>
            </w:pPr>
            <w:r>
              <w:rPr/>
              <w:t> </w:t>
            </w:r>
          </w:p>
        </w:tc>
      </w:tr>
      <w:tr>
        <w:trPr/>
        <w:tc>
          <w:tcPr>
            <w:tcW w:w="87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millions)</w:t>
            </w:r>
          </w:p>
        </w:tc>
        <w:tc>
          <w:tcPr>
            <w:tcW w:w="120" w:type="dxa"/>
            <w:tcBorders/>
            <w:shd w:fill="auto" w:val="clear"/>
            <w:vAlign w:val="bottom"/>
          </w:tcPr>
          <w:p>
            <w:pPr>
              <w:pStyle w:val="TableContents"/>
              <w:spacing w:before="0" w:after="283"/>
              <w:rPr/>
            </w:pPr>
            <w:r>
              <w:rPr/>
              <w:t>  </w:t>
            </w:r>
          </w:p>
        </w:tc>
        <w:tc>
          <w:tcPr>
            <w:tcW w:w="9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2023E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2024E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2025E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2026E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2027E</w:t>
            </w:r>
          </w:p>
        </w:tc>
        <w:tc>
          <w:tcPr>
            <w:tcW w:w="275"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12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619" w:type="dxa"/>
            <w:tcBorders/>
            <w:shd w:fill="CCEEFF" w:val="clear"/>
            <w:vAlign w:val="bottom"/>
          </w:tcPr>
          <w:p>
            <w:pPr>
              <w:pStyle w:val="TableContents"/>
              <w:spacing w:before="0" w:after="283"/>
              <w:jc w:val="right"/>
              <w:rPr/>
            </w:pPr>
            <w:r>
              <w:rPr/>
              <w:t>3.9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619" w:type="dxa"/>
            <w:tcBorders/>
            <w:shd w:fill="CCEEFF" w:val="clear"/>
            <w:vAlign w:val="bottom"/>
          </w:tcPr>
          <w:p>
            <w:pPr>
              <w:pStyle w:val="TableContents"/>
              <w:spacing w:before="0" w:after="283"/>
              <w:jc w:val="right"/>
              <w:rPr/>
            </w:pPr>
            <w:r>
              <w:rPr/>
              <w:t>12.3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w:t>
            </w:r>
          </w:p>
        </w:tc>
        <w:tc>
          <w:tcPr>
            <w:tcW w:w="729" w:type="dxa"/>
            <w:tcBorders/>
            <w:shd w:fill="CCEEFF" w:val="clear"/>
            <w:vAlign w:val="bottom"/>
          </w:tcPr>
          <w:p>
            <w:pPr>
              <w:pStyle w:val="TableContents"/>
              <w:spacing w:before="0" w:after="283"/>
              <w:jc w:val="right"/>
              <w:rPr/>
            </w:pPr>
            <w:r>
              <w:rPr/>
              <w:t>24.4</w:t>
            </w:r>
          </w:p>
        </w:tc>
        <w:tc>
          <w:tcPr>
            <w:tcW w:w="350" w:type="dxa"/>
            <w:tcBorders/>
            <w:shd w:fill="CCEEFF" w:val="clear"/>
            <w:vAlign w:val="bottom"/>
          </w:tcPr>
          <w:p>
            <w:pPr>
              <w:pStyle w:val="TableContents"/>
              <w:spacing w:before="0" w:after="283"/>
              <w:rPr/>
            </w:pPr>
            <w:r>
              <w:rPr/>
              <w:t>(2)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281.1</w:t>
            </w:r>
          </w:p>
        </w:tc>
        <w:tc>
          <w:tcPr>
            <w:tcW w:w="350" w:type="dxa"/>
            <w:tcBorders/>
            <w:shd w:fill="CCEEFF" w:val="clear"/>
            <w:vAlign w:val="bottom"/>
          </w:tcPr>
          <w:p>
            <w:pPr>
              <w:pStyle w:val="TableContents"/>
              <w:spacing w:before="0" w:after="283"/>
              <w:rPr/>
            </w:pPr>
            <w:r>
              <w:rPr/>
              <w:t>(2)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830.9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1,445.1</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2,195.6</w:t>
            </w:r>
          </w:p>
        </w:tc>
        <w:tc>
          <w:tcPr>
            <w:tcW w:w="275" w:type="dxa"/>
            <w:tcBorders/>
            <w:shd w:fill="CCEEFF" w:val="clear"/>
            <w:vAlign w:val="bottom"/>
          </w:tcPr>
          <w:p>
            <w:pPr>
              <w:pStyle w:val="TableContents"/>
              <w:spacing w:before="0" w:after="283"/>
              <w:rPr/>
            </w:pPr>
            <w:r>
              <w:rPr/>
              <w:t> </w:t>
            </w:r>
          </w:p>
        </w:tc>
      </w:tr>
      <w:tr>
        <w:trPr/>
        <w:tc>
          <w:tcPr>
            <w:tcW w:w="875" w:type="dxa"/>
            <w:tcBorders/>
            <w:shd w:fill="auto" w:val="clear"/>
          </w:tcPr>
          <w:p>
            <w:pPr>
              <w:pStyle w:val="TableContents"/>
              <w:spacing w:before="0" w:after="0"/>
              <w:rPr>
                <w:rFonts w:ascii="Times New Roman" w:hAnsi="Times New Roman"/>
                <w:sz w:val="20"/>
              </w:rPr>
            </w:pPr>
            <w:r>
              <w:rPr>
                <w:rFonts w:ascii="Times New Roman" w:hAnsi="Times New Roman"/>
                <w:sz w:val="20"/>
              </w:rPr>
              <w:t>Gross Profit Margin</w:t>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56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619" w:type="dxa"/>
            <w:tcBorders/>
            <w:shd w:fill="auto" w:val="clear"/>
            <w:vAlign w:val="bottom"/>
          </w:tcPr>
          <w:p>
            <w:pPr>
              <w:pStyle w:val="TableContents"/>
              <w:spacing w:before="0" w:after="283"/>
              <w:jc w:val="right"/>
              <w:rPr/>
            </w:pPr>
            <w:r>
              <w:rPr/>
              <w:t>57</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pPr>
            <w:r>
              <w:rPr/>
              <w:t>59</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78</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86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86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89</w:t>
            </w:r>
          </w:p>
        </w:tc>
        <w:tc>
          <w:tcPr>
            <w:tcW w:w="275"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0"/>
              <w:rPr>
                <w:rFonts w:ascii="Times New Roman" w:hAnsi="Times New Roman"/>
                <w:sz w:val="20"/>
              </w:rPr>
            </w:pPr>
            <w:r>
              <w:rPr>
                <w:rFonts w:ascii="Times New Roman" w:hAnsi="Times New Roman"/>
                <w:sz w:val="20"/>
              </w:rPr>
              <w:t>Adjusted EBITDA(3)</w:t>
            </w:r>
          </w:p>
        </w:tc>
        <w:tc>
          <w:tcPr>
            <w:tcW w:w="12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619" w:type="dxa"/>
            <w:tcBorders/>
            <w:shd w:fill="CCEEFF" w:val="clear"/>
            <w:vAlign w:val="bottom"/>
          </w:tcPr>
          <w:p>
            <w:pPr>
              <w:pStyle w:val="TableContents"/>
              <w:spacing w:before="0" w:after="283"/>
              <w:jc w:val="right"/>
              <w:rPr/>
            </w:pPr>
            <w:r>
              <w:rPr/>
              <w:t>13.3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619" w:type="dxa"/>
            <w:tcBorders/>
            <w:shd w:fill="CCEEFF" w:val="clear"/>
            <w:vAlign w:val="bottom"/>
          </w:tcPr>
          <w:p>
            <w:pPr>
              <w:pStyle w:val="TableContents"/>
              <w:spacing w:before="0" w:after="283"/>
              <w:jc w:val="right"/>
              <w:rPr/>
            </w:pPr>
            <w:r>
              <w:rPr/>
              <w:t>24.2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w:t>
            </w:r>
          </w:p>
        </w:tc>
        <w:tc>
          <w:tcPr>
            <w:tcW w:w="729" w:type="dxa"/>
            <w:tcBorders/>
            <w:shd w:fill="CCEEFF" w:val="clear"/>
            <w:vAlign w:val="bottom"/>
          </w:tcPr>
          <w:p>
            <w:pPr>
              <w:pStyle w:val="TableContents"/>
              <w:spacing w:before="0" w:after="283"/>
              <w:jc w:val="right"/>
              <w:rPr/>
            </w:pPr>
            <w:r>
              <w:rPr/>
              <w:t>16.1</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76.0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223.2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435.6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876.5</w:t>
            </w:r>
          </w:p>
        </w:tc>
        <w:tc>
          <w:tcPr>
            <w:tcW w:w="275" w:type="dxa"/>
            <w:tcBorders/>
            <w:shd w:fill="CCEEFF" w:val="clear"/>
            <w:vAlign w:val="bottom"/>
          </w:tcPr>
          <w:p>
            <w:pPr>
              <w:pStyle w:val="TableContents"/>
              <w:spacing w:before="0" w:after="283"/>
              <w:rPr/>
            </w:pPr>
            <w:r>
              <w:rPr/>
              <w:t> </w:t>
            </w:r>
          </w:p>
        </w:tc>
      </w:tr>
      <w:tr>
        <w:trPr/>
        <w:tc>
          <w:tcPr>
            <w:tcW w:w="87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61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619"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pBdr>
                <w:top w:val="single" w:sz="2" w:space="1" w:color="000000"/>
              </w:pBdr>
              <w:spacing w:before="0" w:after="0"/>
              <w:rPr/>
            </w:pPr>
            <w:r>
              <w:rPr/>
              <w:t> </w:t>
            </w:r>
          </w:p>
        </w:tc>
        <w:tc>
          <w:tcPr>
            <w:tcW w:w="729" w:type="dxa"/>
            <w:tcBorders/>
            <w:shd w:fill="auto" w:val="clear"/>
            <w:vAlign w:val="bottom"/>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868" w:type="dxa"/>
            <w:tcBorders/>
            <w:shd w:fill="auto" w:val="clear"/>
            <w:vAlign w:val="bottom"/>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868"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(1)</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Management Projections are unaudited.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(2)</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no revenue from operations in China, Spain, France, Australia, New Zealand in calendar year 2023 and no revenue from operations in Nordics in calendar years 2023 and 2024.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(3)</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w:t>
            </w:r>
            <w:r>
              <w:rPr>
                <w:rFonts w:ascii="Times New Roman" w:hAnsi="Times New Roman"/>
                <w:i/>
                <w:sz w:val="20"/>
              </w:rPr>
              <w:t>Reconciliation of Non-GAAP Financial Measures</w:t>
            </w:r>
            <w:r>
              <w:rPr>
                <w:rFonts w:ascii="Times New Roman" w:hAnsi="Times New Roman"/>
                <w:sz w:val="20"/>
              </w:rPr>
              <w:t xml:space="preserve"> for additional information. </w:t>
            </w:r>
          </w:p>
        </w:tc>
      </w:tr>
    </w:tbl>
    <w:p>
      <w:pPr>
        <w:pStyle w:val="TextBody"/>
        <w:spacing w:before="240" w:after="0"/>
        <w:jc w:val="left"/>
        <w:rPr>
          <w:rFonts w:ascii="Times New Roman" w:hAnsi="Times New Roman"/>
          <w:sz w:val="20"/>
        </w:rPr>
      </w:pPr>
      <w:r>
        <w:rPr>
          <w:rFonts w:ascii="Times New Roman" w:hAnsi="Times New Roman"/>
          <w:sz w:val="20"/>
        </w:rPr>
        <w:t xml:space="preserve">The Projections provided by Rezolve for Armadas use were good faith estimates of what Armada and Rezolve believe is the range of financial results that can reasonably be expected of Rezolve. There can be no assurance that these projections will prove accurate. </w:t>
      </w:r>
    </w:p>
    <w:p>
      <w:pPr>
        <w:pStyle w:val="TextBody"/>
        <w:spacing w:before="240" w:after="0"/>
        <w:jc w:val="left"/>
        <w:rPr>
          <w:rFonts w:ascii="Times New Roman" w:hAnsi="Times New Roman"/>
          <w:sz w:val="20"/>
        </w:rPr>
      </w:pPr>
      <w:r>
        <w:rPr>
          <w:rFonts w:ascii="Times New Roman" w:hAnsi="Times New Roman"/>
          <w:sz w:val="20"/>
        </w:rPr>
        <w:t xml:space="preserve">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 </w:t>
      </w:r>
    </w:p>
    <w:p>
      <w:pPr>
        <w:pStyle w:val="TextBody"/>
        <w:spacing w:before="240" w:after="0"/>
        <w:jc w:val="left"/>
        <w:rPr>
          <w:rFonts w:ascii="Times New Roman" w:hAnsi="Times New Roman"/>
          <w:sz w:val="20"/>
        </w:rPr>
      </w:pPr>
      <w:r>
        <w:rPr>
          <w:rFonts w:ascii="Times New Roman" w:hAnsi="Times New Roman"/>
          <w:sz w:val="20"/>
        </w:rPr>
        <w:t xml:space="preserve">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 </w:t>
      </w:r>
    </w:p>
    <w:p>
      <w:pPr>
        <w:pStyle w:val="TextBody"/>
        <w:spacing w:before="240" w:after="0"/>
        <w:jc w:val="left"/>
        <w:rPr>
          <w:rFonts w:ascii="Times New Roman" w:hAnsi="Times New Roman"/>
          <w:sz w:val="20"/>
        </w:rPr>
      </w:pPr>
      <w:r>
        <w:rPr>
          <w:rFonts w:ascii="Times New Roman" w:hAnsi="Times New Roman"/>
          <w:sz w:val="20"/>
        </w:rPr>
        <w:t xml:space="preserve">The Projections based upon various estimates and assumptions which relate only to the periods presented and based on information known or estimated as of the date the Projections were prepared. The Projections do not take into account any circumstances or events occurring after the date they were prepared. Accordingly, the Projections should not be relied upon for any other purpose. The Projections are also subjective in many respects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and the recent changes in Rezolves operations, notably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Times New Roman" w:hAnsi="Times New Roman"/>
          <w:i/>
          <w:sz w:val="20"/>
        </w:rPr>
        <w:t>Risk Factors</w:t>
      </w:r>
      <w:r>
        <w:rPr>
          <w:rFonts w:ascii="Times New Roman" w:hAnsi="Times New Roman"/>
          <w:sz w:val="20"/>
        </w:rPr>
        <w:t> in this proxy statement/prospectus for a description of the risks relating to Rezolves business. Stockholders should also read the section entitled </w:t>
      </w:r>
      <w:r>
        <w:rPr>
          <w:rFonts w:ascii="Times New Roman" w:hAnsi="Times New Roman"/>
          <w:i/>
          <w:sz w:val="20"/>
        </w:rPr>
        <w:t>Cautionary Note Regarding Forward-Looking Statements</w:t>
      </w:r>
      <w:r>
        <w:rPr>
          <w:rFonts w:ascii="Times New Roman" w:hAnsi="Times New Roman"/>
          <w:sz w:val="20"/>
        </w:rPr>
        <w:t xml:space="preserve"> in this proxy statement/prospectus for additional information regarding the risks inherent in forward-looking information such as the Projections. </w:t>
      </w:r>
    </w:p>
    <w:p>
      <w:pPr>
        <w:pStyle w:val="TextBody"/>
        <w:spacing w:before="240" w:after="0"/>
        <w:jc w:val="left"/>
        <w:rPr>
          <w:rFonts w:ascii="Times New Roman" w:hAnsi="Times New Roman"/>
          <w:sz w:val="20"/>
        </w:rPr>
      </w:pPr>
      <w:r>
        <w:rPr>
          <w:rFonts w:ascii="Times New Roman" w:hAnsi="Times New Roman"/>
          <w:sz w:val="20"/>
        </w:rPr>
        <w:t xml:space="preserve">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 </w:t>
      </w:r>
    </w:p>
    <w:p>
      <w:pPr>
        <w:pStyle w:val="TextBody"/>
        <w:spacing w:before="240" w:after="0"/>
        <w:jc w:val="left"/>
        <w:rPr>
          <w:rFonts w:ascii="Times New Roman" w:hAnsi="Times New Roman"/>
          <w:sz w:val="20"/>
        </w:rPr>
      </w:pPr>
      <w:r>
        <w:rPr>
          <w:rFonts w:ascii="Times New Roman" w:hAnsi="Times New Roman"/>
          <w:sz w:val="20"/>
        </w:rPr>
        <w:t>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 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Times New Roman" w:hAnsi="Times New Roman"/>
          <w:i/>
          <w:sz w:val="20"/>
        </w:rPr>
        <w:t>Selected Financial Information of Rezolve</w:t>
      </w:r>
      <w:r>
        <w:rPr>
          <w:rFonts w:ascii="Times New Roman" w:hAnsi="Times New Roman"/>
          <w:sz w:val="20"/>
        </w:rPr>
        <w:t> and </w:t>
      </w:r>
      <w:r>
        <w:rPr>
          <w:rFonts w:ascii="Times New Roman" w:hAnsi="Times New Roman"/>
          <w:i/>
          <w:sz w:val="20"/>
        </w:rPr>
        <w:t>Unaudited Pro Forma Condensed Combined Financial Statements</w:t>
      </w:r>
      <w:r>
        <w:rPr>
          <w:rFonts w:ascii="Times New Roman" w:hAnsi="Times New Roman"/>
          <w:sz w:val="20"/>
        </w:rPr>
        <w:t xml:space="preserve"> in this proxy statement/prospectus and to not rely on any single financial measure. </w:t>
      </w:r>
    </w:p>
    <w:p>
      <w:pPr>
        <w:pStyle w:val="TextBody"/>
        <w:spacing w:before="360" w:after="0"/>
        <w:jc w:val="left"/>
        <w:rPr>
          <w:rFonts w:ascii="Times New Roman" w:hAnsi="Times New Roman"/>
          <w:i/>
          <w:sz w:val="20"/>
        </w:rPr>
      </w:pPr>
      <w:r>
        <w:rPr>
          <w:rFonts w:ascii="Times New Roman" w:hAnsi="Times New Roman"/>
          <w:i/>
          <w:sz w:val="20"/>
        </w:rPr>
        <w:t xml:space="preserve">Reconciliation of Non-GAAP Financial Measures </w:t>
      </w:r>
    </w:p>
    <w:p>
      <w:pPr>
        <w:pStyle w:val="TextBody"/>
        <w:spacing w:before="120" w:after="0"/>
        <w:jc w:val="left"/>
        <w:rPr>
          <w:rFonts w:ascii="Times New Roman" w:hAnsi="Times New Roman"/>
          <w:sz w:val="20"/>
        </w:rPr>
      </w:pPr>
      <w:r>
        <w:rPr>
          <w:rFonts w:ascii="Times New Roman" w:hAnsi="Times New Roman"/>
          <w:sz w:val="20"/>
        </w:rPr>
        <w:t xml:space="preserve">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Rezolves working capital needs or contractual commitments;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Rezolves interest expense, or the cash requirements to service interest or principal payments on, Rezolves indebtedness;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Rezolves tax expense or the cash requirements to pay Rezolves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the impact on earnings or changes resulting from matters that Rezolve considers not to be indicative of its future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or amortized will often need to be replaced in the future, and Adjusted EBITDA does not reflect any cash requirements for these replacements;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companies may calculate Adjusted EBITDA differently than Rezolve does. </w:t>
            </w:r>
          </w:p>
        </w:tc>
      </w:tr>
    </w:tbl>
    <w:p>
      <w:pPr>
        <w:pStyle w:val="TextBody"/>
        <w:spacing w:before="240" w:after="0"/>
        <w:jc w:val="left"/>
        <w:rPr>
          <w:rFonts w:ascii="Times New Roman" w:hAnsi="Times New Roman"/>
          <w:sz w:val="20"/>
        </w:rPr>
      </w:pPr>
      <w:r>
        <w:rPr>
          <w:rFonts w:ascii="Times New Roman" w:hAnsi="Times New Roman"/>
          <w:sz w:val="20"/>
        </w:rPr>
        <w:t xml:space="preserve">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table below provides a reconciliation of Rezolves net income (loss) to Adjusted EBITDA: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81"/>
        <w:gridCol w:w="76"/>
        <w:gridCol w:w="302"/>
        <w:gridCol w:w="621"/>
        <w:gridCol w:w="155"/>
        <w:gridCol w:w="76"/>
        <w:gridCol w:w="255"/>
        <w:gridCol w:w="667"/>
        <w:gridCol w:w="154"/>
        <w:gridCol w:w="76"/>
        <w:gridCol w:w="380"/>
        <w:gridCol w:w="786"/>
        <w:gridCol w:w="155"/>
        <w:gridCol w:w="76"/>
        <w:gridCol w:w="380"/>
        <w:gridCol w:w="786"/>
        <w:gridCol w:w="155"/>
        <w:gridCol w:w="75"/>
        <w:gridCol w:w="302"/>
        <w:gridCol w:w="784"/>
        <w:gridCol w:w="155"/>
        <w:gridCol w:w="76"/>
        <w:gridCol w:w="302"/>
        <w:gridCol w:w="784"/>
        <w:gridCol w:w="155"/>
        <w:gridCol w:w="76"/>
        <w:gridCol w:w="301"/>
        <w:gridCol w:w="784"/>
        <w:gridCol w:w="164"/>
      </w:tblGrid>
      <w:tr>
        <w:trPr/>
        <w:tc>
          <w:tcPr>
            <w:tcW w:w="1481"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81"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07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Actual Results(1)</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6512"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Management Projections(1)</w:t>
            </w:r>
          </w:p>
        </w:tc>
        <w:tc>
          <w:tcPr>
            <w:tcW w:w="164" w:type="dxa"/>
            <w:tcBorders/>
            <w:shd w:fill="auto" w:val="clear"/>
            <w:vAlign w:val="bottom"/>
          </w:tcPr>
          <w:p>
            <w:pPr>
              <w:pStyle w:val="TableContents"/>
              <w:spacing w:before="0" w:after="283"/>
              <w:rPr/>
            </w:pPr>
            <w:r>
              <w:rPr/>
              <w:t> </w:t>
            </w:r>
          </w:p>
        </w:tc>
      </w:tr>
      <w:tr>
        <w:trPr/>
        <w:tc>
          <w:tcPr>
            <w:tcW w:w="148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millions)</w:t>
            </w:r>
          </w:p>
        </w:tc>
        <w:tc>
          <w:tcPr>
            <w:tcW w:w="76" w:type="dxa"/>
            <w:tcBorders/>
            <w:shd w:fill="auto" w:val="clear"/>
            <w:vAlign w:val="bottom"/>
          </w:tcPr>
          <w:p>
            <w:pPr>
              <w:pStyle w:val="TableContents"/>
              <w:spacing w:before="0" w:after="283"/>
              <w:rPr/>
            </w:pPr>
            <w:r>
              <w:rPr/>
              <w:t> </w:t>
            </w:r>
          </w:p>
        </w:tc>
        <w:tc>
          <w:tcPr>
            <w:tcW w:w="9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2021</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9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2022</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2023E(2)</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2024E(2)</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2025E</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2026E</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CY 2027E</w:t>
            </w:r>
          </w:p>
        </w:tc>
        <w:tc>
          <w:tcPr>
            <w:tcW w:w="164" w:type="dxa"/>
            <w:tcBorders/>
            <w:shd w:fill="auto" w:val="clear"/>
            <w:vAlign w:val="bottom"/>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Net income</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37.7</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104.1</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786" w:type="dxa"/>
            <w:tcBorders/>
            <w:shd w:fill="CCEEFF" w:val="clear"/>
            <w:vAlign w:val="bottom"/>
          </w:tcPr>
          <w:p>
            <w:pPr>
              <w:pStyle w:val="TableContents"/>
              <w:spacing w:before="0" w:after="283"/>
              <w:jc w:val="right"/>
              <w:rPr/>
            </w:pPr>
            <w:r>
              <w:rPr/>
              <w:t>16.1</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786" w:type="dxa"/>
            <w:tcBorders/>
            <w:shd w:fill="CCEEFF" w:val="clear"/>
            <w:vAlign w:val="bottom"/>
          </w:tcPr>
          <w:p>
            <w:pPr>
              <w:pStyle w:val="TableContents"/>
              <w:spacing w:before="0" w:after="283"/>
              <w:jc w:val="right"/>
              <w:rPr/>
            </w:pPr>
            <w:r>
              <w:rPr/>
              <w:t>61.1</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180.7</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354.3</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715.4</w:t>
            </w:r>
          </w:p>
        </w:tc>
        <w:tc>
          <w:tcPr>
            <w:tcW w:w="164" w:type="dxa"/>
            <w:tcBorders/>
            <w:shd w:fill="CCEEFF" w:val="clear"/>
            <w:vAlign w:val="bottom"/>
          </w:tcPr>
          <w:p>
            <w:pPr>
              <w:pStyle w:val="TableContents"/>
              <w:spacing w:before="0" w:after="283"/>
              <w:rPr/>
            </w:pPr>
            <w:r>
              <w:rPr/>
              <w:t> </w:t>
            </w:r>
          </w:p>
        </w:tc>
      </w:tr>
      <w:tr>
        <w:trPr>
          <w:trHeight w:val="120" w:hRule="atLeast"/>
        </w:trPr>
        <w:tc>
          <w:tcPr>
            <w:tcW w:w="1481" w:type="dxa"/>
            <w:tcBorders/>
            <w:shd w:fill="auto" w:val="clear"/>
            <w:vAlign w:val="center"/>
          </w:tcPr>
          <w:p>
            <w:pPr>
              <w:pStyle w:val="TableContents"/>
              <w:spacing w:before="0" w:after="283"/>
              <w:rPr>
                <w:sz w:val="4"/>
                <w:szCs w:val="4"/>
              </w:rPr>
            </w:pPr>
            <w:r>
              <w:rPr>
                <w:sz w:val="4"/>
                <w:szCs w:val="4"/>
              </w:rPr>
            </w:r>
          </w:p>
        </w:tc>
        <w:tc>
          <w:tcPr>
            <w:tcW w:w="1154" w:type="dxa"/>
            <w:gridSpan w:val="4"/>
            <w:tcBorders/>
            <w:shd w:fill="auto" w:val="clear"/>
            <w:vAlign w:val="center"/>
          </w:tcPr>
          <w:p>
            <w:pPr>
              <w:pStyle w:val="TableContents"/>
              <w:spacing w:before="0" w:after="283"/>
              <w:rPr>
                <w:sz w:val="4"/>
                <w:szCs w:val="4"/>
              </w:rPr>
            </w:pPr>
            <w:r>
              <w:rPr>
                <w:sz w:val="4"/>
                <w:szCs w:val="4"/>
              </w:rPr>
            </w:r>
          </w:p>
        </w:tc>
        <w:tc>
          <w:tcPr>
            <w:tcW w:w="1152" w:type="dxa"/>
            <w:gridSpan w:val="4"/>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316" w:type="dxa"/>
            <w:gridSpan w:val="4"/>
            <w:tcBorders/>
            <w:shd w:fill="auto" w:val="clear"/>
            <w:vAlign w:val="center"/>
          </w:tcPr>
          <w:p>
            <w:pPr>
              <w:pStyle w:val="TableContents"/>
              <w:spacing w:before="0" w:after="283"/>
              <w:rPr>
                <w:sz w:val="4"/>
                <w:szCs w:val="4"/>
              </w:rPr>
            </w:pPr>
            <w:r>
              <w:rPr>
                <w:sz w:val="4"/>
                <w:szCs w:val="4"/>
              </w:rPr>
            </w:r>
          </w:p>
        </w:tc>
        <w:tc>
          <w:tcPr>
            <w:tcW w:w="1317"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Reconciliation to adjusted EBITDA</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667"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78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sz w:val="4"/>
                <w:szCs w:val="4"/>
              </w:rPr>
            </w:pPr>
            <w:r>
              <w:rPr>
                <w:sz w:val="4"/>
                <w:szCs w:val="4"/>
              </w:rPr>
            </w:r>
          </w:p>
        </w:tc>
        <w:tc>
          <w:tcPr>
            <w:tcW w:w="78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sz w:val="4"/>
                <w:szCs w:val="4"/>
              </w:rPr>
            </w:pPr>
            <w:r>
              <w:rPr>
                <w:sz w:val="4"/>
                <w:szCs w:val="4"/>
              </w:rPr>
            </w:r>
          </w:p>
        </w:tc>
        <w:tc>
          <w:tcPr>
            <w:tcW w:w="78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sz w:val="4"/>
                <w:szCs w:val="4"/>
              </w:rPr>
            </w:pPr>
            <w:r>
              <w:rPr>
                <w:sz w:val="4"/>
                <w:szCs w:val="4"/>
              </w:rPr>
            </w:r>
          </w:p>
        </w:tc>
        <w:tc>
          <w:tcPr>
            <w:tcW w:w="784"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 (income)</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0.3</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3.9</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786" w:type="dxa"/>
            <w:tcBorders/>
            <w:shd w:fill="CCEEFF" w:val="clear"/>
            <w:vAlign w:val="bottom"/>
          </w:tcPr>
          <w:p>
            <w:pPr>
              <w:pStyle w:val="TableContents"/>
              <w:spacing w:before="0" w:after="283"/>
              <w:jc w:val="right"/>
              <w:rPr/>
            </w:pPr>
            <w:r>
              <w:rPr/>
              <w:t>0.3</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2.7</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7.3</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17.7</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621" w:type="dxa"/>
            <w:tcBorders/>
            <w:shd w:fill="auto" w:val="clear"/>
            <w:vAlign w:val="bottom"/>
          </w:tcPr>
          <w:p>
            <w:pPr>
              <w:pStyle w:val="TableContents"/>
              <w:spacing w:before="0" w:after="283"/>
              <w:jc w:val="right"/>
              <w:rPr/>
            </w:pPr>
            <w:r>
              <w:rPr/>
              <w:t>0.5</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0.7</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expense (benefit)</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0.0</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0.1</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786" w:type="dxa"/>
            <w:tcBorders/>
            <w:shd w:fill="CCEEFF" w:val="clear"/>
            <w:vAlign w:val="bottom"/>
          </w:tcPr>
          <w:p>
            <w:pPr>
              <w:pStyle w:val="TableContents"/>
              <w:spacing w:before="0" w:after="283"/>
              <w:jc w:val="right"/>
              <w:rPr/>
            </w:pPr>
            <w:r>
              <w:rPr/>
              <w:t>15.2</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45.2</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88.6</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178.8</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62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66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EBITDA</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621" w:type="dxa"/>
            <w:tcBorders/>
            <w:shd w:fill="auto" w:val="clear"/>
            <w:vAlign w:val="bottom"/>
          </w:tcPr>
          <w:p>
            <w:pPr>
              <w:pStyle w:val="TableContents"/>
              <w:spacing w:before="0" w:after="283"/>
              <w:jc w:val="right"/>
              <w:rPr/>
            </w:pPr>
            <w:r>
              <w:rPr/>
              <w:t>37.0</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99.6</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786" w:type="dxa"/>
            <w:tcBorders/>
            <w:shd w:fill="auto" w:val="clear"/>
            <w:vAlign w:val="bottom"/>
          </w:tcPr>
          <w:p>
            <w:pPr>
              <w:pStyle w:val="TableContents"/>
              <w:spacing w:before="0" w:after="283"/>
              <w:jc w:val="right"/>
              <w:rPr/>
            </w:pPr>
            <w:r>
              <w:rPr/>
              <w:t>16.1</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786" w:type="dxa"/>
            <w:tcBorders/>
            <w:shd w:fill="auto" w:val="clear"/>
            <w:vAlign w:val="bottom"/>
          </w:tcPr>
          <w:p>
            <w:pPr>
              <w:pStyle w:val="TableContents"/>
              <w:spacing w:before="0" w:after="283"/>
              <w:jc w:val="right"/>
              <w:rPr/>
            </w:pPr>
            <w:r>
              <w:rPr/>
              <w:t>76.0</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784" w:type="dxa"/>
            <w:tcBorders/>
            <w:shd w:fill="auto" w:val="clear"/>
            <w:vAlign w:val="bottom"/>
          </w:tcPr>
          <w:p>
            <w:pPr>
              <w:pStyle w:val="TableContents"/>
              <w:spacing w:before="0" w:after="283"/>
              <w:jc w:val="right"/>
              <w:rPr/>
            </w:pPr>
            <w:r>
              <w:rPr/>
              <w:t>223.2</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784" w:type="dxa"/>
            <w:tcBorders/>
            <w:shd w:fill="auto" w:val="clear"/>
            <w:vAlign w:val="bottom"/>
          </w:tcPr>
          <w:p>
            <w:pPr>
              <w:pStyle w:val="TableContents"/>
              <w:spacing w:before="0" w:after="283"/>
              <w:jc w:val="right"/>
              <w:rPr/>
            </w:pPr>
            <w:r>
              <w:rPr/>
              <w:t>435.6</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w:t>
            </w:r>
          </w:p>
        </w:tc>
        <w:tc>
          <w:tcPr>
            <w:tcW w:w="784" w:type="dxa"/>
            <w:tcBorders/>
            <w:shd w:fill="auto" w:val="clear"/>
            <w:vAlign w:val="bottom"/>
          </w:tcPr>
          <w:p>
            <w:pPr>
              <w:pStyle w:val="TableContents"/>
              <w:spacing w:before="0" w:after="283"/>
              <w:jc w:val="right"/>
              <w:rPr/>
            </w:pPr>
            <w:r>
              <w:rPr/>
              <w:t>876.5</w:t>
            </w:r>
          </w:p>
        </w:tc>
        <w:tc>
          <w:tcPr>
            <w:tcW w:w="164" w:type="dxa"/>
            <w:tcBorders/>
            <w:shd w:fill="auto" w:val="clear"/>
            <w:vAlign w:val="bottom"/>
          </w:tcPr>
          <w:p>
            <w:pPr>
              <w:pStyle w:val="TableContents"/>
              <w:spacing w:before="0" w:after="283"/>
              <w:rPr/>
            </w:pPr>
            <w:r>
              <w:rPr/>
              <w:t> </w:t>
            </w:r>
          </w:p>
        </w:tc>
      </w:tr>
      <w:tr>
        <w:trPr>
          <w:trHeight w:val="120" w:hRule="atLeast"/>
        </w:trPr>
        <w:tc>
          <w:tcPr>
            <w:tcW w:w="1481" w:type="dxa"/>
            <w:tcBorders/>
            <w:shd w:fill="auto" w:val="clear"/>
            <w:vAlign w:val="center"/>
          </w:tcPr>
          <w:p>
            <w:pPr>
              <w:pStyle w:val="TableContents"/>
              <w:spacing w:before="0" w:after="283"/>
              <w:rPr>
                <w:sz w:val="4"/>
                <w:szCs w:val="4"/>
              </w:rPr>
            </w:pPr>
            <w:r>
              <w:rPr>
                <w:sz w:val="4"/>
                <w:szCs w:val="4"/>
              </w:rPr>
            </w:r>
          </w:p>
        </w:tc>
        <w:tc>
          <w:tcPr>
            <w:tcW w:w="1154" w:type="dxa"/>
            <w:gridSpan w:val="4"/>
            <w:tcBorders/>
            <w:shd w:fill="auto" w:val="clear"/>
            <w:vAlign w:val="center"/>
          </w:tcPr>
          <w:p>
            <w:pPr>
              <w:pStyle w:val="TableContents"/>
              <w:spacing w:before="0" w:after="283"/>
              <w:rPr>
                <w:sz w:val="4"/>
                <w:szCs w:val="4"/>
              </w:rPr>
            </w:pPr>
            <w:r>
              <w:rPr>
                <w:sz w:val="4"/>
                <w:szCs w:val="4"/>
              </w:rPr>
            </w:r>
          </w:p>
        </w:tc>
        <w:tc>
          <w:tcPr>
            <w:tcW w:w="1152" w:type="dxa"/>
            <w:gridSpan w:val="4"/>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397" w:type="dxa"/>
            <w:gridSpan w:val="4"/>
            <w:tcBorders/>
            <w:shd w:fill="auto" w:val="clear"/>
            <w:vAlign w:val="center"/>
          </w:tcPr>
          <w:p>
            <w:pPr>
              <w:pStyle w:val="TableContents"/>
              <w:spacing w:before="0" w:after="283"/>
              <w:rPr>
                <w:sz w:val="4"/>
                <w:szCs w:val="4"/>
              </w:rPr>
            </w:pPr>
            <w:r>
              <w:rPr>
                <w:sz w:val="4"/>
                <w:szCs w:val="4"/>
              </w:rPr>
            </w:r>
          </w:p>
        </w:tc>
        <w:tc>
          <w:tcPr>
            <w:tcW w:w="1316" w:type="dxa"/>
            <w:gridSpan w:val="4"/>
            <w:tcBorders/>
            <w:shd w:fill="auto" w:val="clear"/>
            <w:vAlign w:val="center"/>
          </w:tcPr>
          <w:p>
            <w:pPr>
              <w:pStyle w:val="TableContents"/>
              <w:spacing w:before="0" w:after="283"/>
              <w:rPr>
                <w:sz w:val="4"/>
                <w:szCs w:val="4"/>
              </w:rPr>
            </w:pPr>
            <w:r>
              <w:rPr>
                <w:sz w:val="4"/>
                <w:szCs w:val="4"/>
              </w:rPr>
            </w:r>
          </w:p>
        </w:tc>
        <w:tc>
          <w:tcPr>
            <w:tcW w:w="1317"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Unrealized FX (gain) or loss</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0.7</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0.3</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7.4</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prepayments and other current assets</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0.7</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accounts receivable</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0.4</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Business development expenses</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5.2</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7.1</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Share based compensation issued to related parties for consultancy services</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621" w:type="dxa"/>
            <w:tcBorders/>
            <w:shd w:fill="auto" w:val="clear"/>
            <w:vAlign w:val="bottom"/>
          </w:tcPr>
          <w:p>
            <w:pPr>
              <w:pStyle w:val="TableContents"/>
              <w:spacing w:before="0" w:after="283"/>
              <w:jc w:val="right"/>
              <w:rPr/>
            </w:pPr>
            <w:r>
              <w:rPr/>
              <w:t>13.2</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39.5</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Share based compensation for consultancy services</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3.5</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18.4</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Employee and other share based compensation</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621"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2.1</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0.1</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0.1</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rPr/>
            </w:pPr>
            <w:r>
              <w:rPr/>
              <w:t> </w:t>
            </w:r>
          </w:p>
        </w:tc>
      </w:tr>
      <w:tr>
        <w:trPr/>
        <w:tc>
          <w:tcPr>
            <w:tcW w:w="1481"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62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66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1481" w:type="dxa"/>
            <w:tcBorders/>
            <w:shd w:fill="auto" w:val="clear"/>
          </w:tcPr>
          <w:p>
            <w:pPr>
              <w:pStyle w:val="TableContents"/>
              <w:spacing w:before="0" w:after="0"/>
              <w:rPr>
                <w:rFonts w:ascii="Times New Roman" w:hAnsi="Times New Roman"/>
                <w:sz w:val="20"/>
              </w:rPr>
            </w:pPr>
            <w:r>
              <w:rPr>
                <w:rFonts w:ascii="Times New Roman" w:hAnsi="Times New Roman"/>
                <w:sz w:val="20"/>
              </w:rPr>
              <w:t>Total adjustments</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w:t>
            </w:r>
          </w:p>
        </w:tc>
        <w:tc>
          <w:tcPr>
            <w:tcW w:w="621" w:type="dxa"/>
            <w:tcBorders/>
            <w:shd w:fill="auto" w:val="clear"/>
            <w:vAlign w:val="bottom"/>
          </w:tcPr>
          <w:p>
            <w:pPr>
              <w:pStyle w:val="TableContents"/>
              <w:spacing w:before="0" w:after="283"/>
              <w:jc w:val="right"/>
              <w:rPr/>
            </w:pPr>
            <w:r>
              <w:rPr/>
              <w:t>23.7</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75.4</w:t>
            </w:r>
          </w:p>
        </w:tc>
        <w:tc>
          <w:tcPr>
            <w:tcW w:w="154"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784"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1481"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62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667"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7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pBdr>
                <w:top w:val="single" w:sz="2" w:space="1" w:color="000000"/>
              </w:pBdr>
              <w:spacing w:before="0" w:after="0"/>
              <w:rPr/>
            </w:pPr>
            <w:r>
              <w:rPr/>
              <w:t> </w:t>
            </w:r>
          </w:p>
        </w:tc>
        <w:tc>
          <w:tcPr>
            <w:tcW w:w="784"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1481" w:type="dxa"/>
            <w:tcBorders/>
            <w:shd w:fill="CCEEFF" w:val="clear"/>
          </w:tcPr>
          <w:p>
            <w:pPr>
              <w:pStyle w:val="TableContents"/>
              <w:spacing w:before="0" w:after="0"/>
              <w:rPr>
                <w:rFonts w:ascii="Times New Roman" w:hAnsi="Times New Roman"/>
                <w:sz w:val="20"/>
              </w:rPr>
            </w:pPr>
            <w:r>
              <w:rPr>
                <w:rFonts w:ascii="Times New Roman" w:hAnsi="Times New Roman"/>
                <w:sz w:val="20"/>
              </w:rPr>
              <w:t>Adjusted EBITDA(3)</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621" w:type="dxa"/>
            <w:tcBorders/>
            <w:shd w:fill="CCEEFF" w:val="clear"/>
            <w:vAlign w:val="bottom"/>
          </w:tcPr>
          <w:p>
            <w:pPr>
              <w:pStyle w:val="TableContents"/>
              <w:spacing w:before="0" w:after="283"/>
              <w:jc w:val="right"/>
              <w:rPr/>
            </w:pPr>
            <w:r>
              <w:rPr/>
              <w:t>13.3</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24.2</w:t>
            </w:r>
          </w:p>
        </w:tc>
        <w:tc>
          <w:tcPr>
            <w:tcW w:w="154"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786" w:type="dxa"/>
            <w:tcBorders/>
            <w:shd w:fill="CCEEFF" w:val="clear"/>
            <w:vAlign w:val="bottom"/>
          </w:tcPr>
          <w:p>
            <w:pPr>
              <w:pStyle w:val="TableContents"/>
              <w:spacing w:before="0" w:after="283"/>
              <w:jc w:val="right"/>
              <w:rPr/>
            </w:pPr>
            <w:r>
              <w:rPr/>
              <w:t>16.1</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786" w:type="dxa"/>
            <w:tcBorders/>
            <w:shd w:fill="CCEEFF" w:val="clear"/>
            <w:vAlign w:val="bottom"/>
          </w:tcPr>
          <w:p>
            <w:pPr>
              <w:pStyle w:val="TableContents"/>
              <w:spacing w:before="0" w:after="283"/>
              <w:jc w:val="right"/>
              <w:rPr/>
            </w:pPr>
            <w:r>
              <w:rPr/>
              <w:t>76.0</w:t>
            </w:r>
          </w:p>
        </w:tc>
        <w:tc>
          <w:tcPr>
            <w:tcW w:w="15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223.2</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435.6</w:t>
            </w:r>
          </w:p>
        </w:tc>
        <w:tc>
          <w:tcPr>
            <w:tcW w:w="155"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784" w:type="dxa"/>
            <w:tcBorders/>
            <w:shd w:fill="CCEEFF" w:val="clear"/>
            <w:vAlign w:val="bottom"/>
          </w:tcPr>
          <w:p>
            <w:pPr>
              <w:pStyle w:val="TableContents"/>
              <w:spacing w:before="0" w:after="283"/>
              <w:jc w:val="right"/>
              <w:rPr/>
            </w:pPr>
            <w:r>
              <w:rPr/>
              <w:t>876.5</w:t>
            </w:r>
          </w:p>
        </w:tc>
        <w:tc>
          <w:tcPr>
            <w:tcW w:w="164"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(1)</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Actual results for the years ended December 31, 2021 and 2022 exclude applicable audit adjustments. All of Management Projections are unaudited.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(2)</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no revenue from operations in China, Spain, France, Australia, New Zealand in calendar year 2023 and no revenue from operations in Nordics in calendar years 2023 and 2024.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(3)</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 </w:t>
            </w:r>
          </w:p>
        </w:tc>
      </w:tr>
    </w:tbl>
    <w:p>
      <w:pPr>
        <w:pStyle w:val="TextBody"/>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spacing w:before="120" w:after="0"/>
        <w:jc w:val="left"/>
        <w:rPr>
          <w:rFonts w:ascii="Times New Roman" w:hAnsi="Times New Roman"/>
          <w:sz w:val="20"/>
        </w:rPr>
      </w:pPr>
      <w:r>
        <w:rPr>
          <w:rFonts w:ascii="Times New Roman" w:hAnsi="Times New Roman"/>
          <w:sz w:val="20"/>
        </w:rPr>
        <w:t xml:space="preserve">The major inputs and assumptions used in Marshall &amp; Stevenss discounted cash flow method were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weighted average cost of capital (WACC), adjusted for exposure to emerging markets, was used as the discount rate in Marshall &amp; Stevenss analysis and applied to debt free, after-tax cash flows. The WACC was calculated to be approximately 27.0% and was determined based upon a cost of equity of approximately 28.08% and an after-tax cost of debt of approximately 6.20%.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debt-to-capital ratio was estimated at 5.0% and the equity-to-capital ratio was estimated at 95.0% using input from the Guideline Companies discussed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income tax expense of 26.48% of pre-tax income;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Capital expenditures for projected year 2023 through 2032 were based upon discussions with Rezolves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terminal year multiple of 4.17 was calculated using the Gordon Growth Model and based upon a WACC of 27.0% and terminal growth rate of 3.00% (multiple = 1/(WACC  growth rate). </w:t>
            </w:r>
          </w:p>
        </w:tc>
      </w:tr>
    </w:tbl>
    <w:p>
      <w:pPr>
        <w:pStyle w:val="TextBody"/>
        <w:spacing w:before="240" w:after="0"/>
        <w:jc w:val="left"/>
        <w:rPr>
          <w:rFonts w:ascii="Times New Roman" w:hAnsi="Times New Roman"/>
          <w:sz w:val="20"/>
        </w:rPr>
      </w:pPr>
      <w:r>
        <w:rPr>
          <w:rFonts w:ascii="Times New Roman" w:hAnsi="Times New Roman"/>
          <w:sz w:val="20"/>
        </w:rPr>
        <w:t xml:space="preserve">Marshall &amp; Stevens performed sensitivity analyses utilizing the projections including varying the terminal growth rate, the WACC rate, and the revenues growth rate. </w:t>
      </w:r>
    </w:p>
    <w:p>
      <w:pPr>
        <w:pStyle w:val="TextBody"/>
        <w:spacing w:before="240" w:after="0"/>
        <w:jc w:val="left"/>
        <w:rPr>
          <w:rFonts w:ascii="Times New Roman" w:hAnsi="Times New Roman"/>
          <w:sz w:val="20"/>
        </w:rPr>
      </w:pPr>
      <w:r>
        <w:rPr>
          <w:rFonts w:ascii="Times New Roman" w:hAnsi="Times New Roman"/>
          <w:sz w:val="20"/>
        </w:rPr>
        <w:t xml:space="preserve">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 </w:t>
      </w:r>
    </w:p>
    <w:p>
      <w:pPr>
        <w:pStyle w:val="TextBody"/>
        <w:spacing w:before="360" w:after="0"/>
        <w:jc w:val="left"/>
        <w:rPr>
          <w:rFonts w:ascii="Times New Roman" w:hAnsi="Times New Roman"/>
          <w:b/>
          <w:i/>
          <w:sz w:val="20"/>
        </w:rPr>
      </w:pPr>
      <w:r>
        <w:rPr>
          <w:rFonts w:ascii="Times New Roman" w:hAnsi="Times New Roman"/>
          <w:b/>
          <w:i/>
          <w:sz w:val="20"/>
        </w:rPr>
        <w:t xml:space="preserve">Guideline Public Company Analysis </w:t>
      </w:r>
    </w:p>
    <w:p>
      <w:pPr>
        <w:pStyle w:val="TextBody"/>
        <w:spacing w:before="120" w:after="0"/>
        <w:jc w:val="left"/>
        <w:rPr>
          <w:rFonts w:ascii="Times New Roman" w:hAnsi="Times New Roman"/>
          <w:sz w:val="20"/>
        </w:rPr>
      </w:pPr>
      <w:r>
        <w:rPr>
          <w:rFonts w:ascii="Times New Roman" w:hAnsi="Times New Roman"/>
          <w:sz w:val="20"/>
        </w:rPr>
        <w:t xml:space="preserve">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 </w:t>
      </w:r>
    </w:p>
    <w:p>
      <w:pPr>
        <w:pStyle w:val="TextBody"/>
        <w:spacing w:before="240" w:after="0"/>
        <w:jc w:val="left"/>
        <w:rPr>
          <w:rFonts w:ascii="Times New Roman" w:hAnsi="Times New Roman"/>
          <w:sz w:val="20"/>
        </w:rPr>
      </w:pPr>
      <w:r>
        <w:rPr>
          <w:rFonts w:ascii="Times New Roman" w:hAnsi="Times New Roman"/>
          <w:sz w:val="20"/>
        </w:rPr>
        <w:t xml:space="preserve">Business descriptions and financial information are provided below for the selected Guideline Companies. The descriptions of these companies and the financial information for such companies set out below are derived 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Shopify, Inc. (NYSE: SHOP) </w:t>
      </w:r>
    </w:p>
    <w:p>
      <w:pPr>
        <w:pStyle w:val="TextBody"/>
        <w:spacing w:before="120" w:after="0"/>
        <w:jc w:val="left"/>
        <w:rPr>
          <w:rFonts w:ascii="Times New Roman" w:hAnsi="Times New Roman"/>
          <w:sz w:val="20"/>
        </w:rPr>
      </w:pPr>
      <w:r>
        <w:rPr>
          <w:rFonts w:ascii="Times New Roman" w:hAnsi="Times New Roman"/>
          <w:sz w:val="20"/>
        </w:rPr>
        <w:t xml:space="preserve">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 </w:t>
      </w:r>
    </w:p>
    <w:p>
      <w:pPr>
        <w:pStyle w:val="TextBody"/>
        <w:spacing w:before="360" w:after="0"/>
        <w:jc w:val="left"/>
        <w:rPr>
          <w:rFonts w:ascii="Times New Roman" w:hAnsi="Times New Roman"/>
          <w:b/>
          <w:sz w:val="20"/>
        </w:rPr>
      </w:pPr>
      <w:r>
        <w:rPr>
          <w:rFonts w:ascii="Times New Roman" w:hAnsi="Times New Roman"/>
          <w:b/>
          <w:sz w:val="20"/>
        </w:rPr>
        <w:t xml:space="preserve">The Trade Desk, Inc. (NasdaqGM: TTD) </w:t>
      </w:r>
    </w:p>
    <w:p>
      <w:pPr>
        <w:pStyle w:val="TextBody"/>
        <w:spacing w:before="120" w:after="0"/>
        <w:jc w:val="left"/>
        <w:rPr>
          <w:rFonts w:ascii="Times New Roman" w:hAnsi="Times New Roman"/>
          <w:sz w:val="20"/>
        </w:rPr>
      </w:pPr>
      <w:r>
        <w:rPr>
          <w:rFonts w:ascii="Times New Roman" w:hAnsi="Times New Roman"/>
          <w:sz w:val="20"/>
        </w:rPr>
        <w:t xml:space="preserve">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 </w:t>
      </w:r>
    </w:p>
    <w:p>
      <w:pPr>
        <w:pStyle w:val="TextBody"/>
        <w:spacing w:before="360" w:after="0"/>
        <w:jc w:val="left"/>
        <w:rPr>
          <w:rFonts w:ascii="Times New Roman" w:hAnsi="Times New Roman"/>
          <w:b/>
          <w:sz w:val="20"/>
        </w:rPr>
      </w:pPr>
      <w:r>
        <w:rPr>
          <w:rFonts w:ascii="Times New Roman" w:hAnsi="Times New Roman"/>
          <w:b/>
          <w:sz w:val="20"/>
        </w:rPr>
        <w:t xml:space="preserve">HubSpot, Inc. (NYSE: HUBS) </w:t>
      </w:r>
    </w:p>
    <w:p>
      <w:pPr>
        <w:pStyle w:val="TextBody"/>
        <w:spacing w:before="120" w:after="0"/>
        <w:jc w:val="left"/>
        <w:rPr>
          <w:rFonts w:ascii="Times New Roman" w:hAnsi="Times New Roman"/>
          <w:sz w:val="20"/>
        </w:rPr>
      </w:pPr>
      <w:r>
        <w:rPr>
          <w:rFonts w:ascii="Times New Roman" w:hAnsi="Times New Roman"/>
          <w:sz w:val="20"/>
        </w:rPr>
        <w:t xml:space="preserve">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 </w:t>
      </w:r>
    </w:p>
    <w:p>
      <w:pPr>
        <w:pStyle w:val="TextBody"/>
        <w:spacing w:before="360" w:after="0"/>
        <w:jc w:val="left"/>
        <w:rPr>
          <w:rFonts w:ascii="Times New Roman" w:hAnsi="Times New Roman"/>
          <w:b/>
          <w:sz w:val="20"/>
        </w:rPr>
      </w:pPr>
      <w:r>
        <w:rPr>
          <w:rFonts w:ascii="Times New Roman" w:hAnsi="Times New Roman"/>
          <w:b/>
          <w:sz w:val="20"/>
        </w:rPr>
        <w:t xml:space="preserve">DLocal Limited (NasdaqGS: DLO) </w:t>
      </w:r>
    </w:p>
    <w:p>
      <w:pPr>
        <w:pStyle w:val="TextBody"/>
        <w:spacing w:before="120" w:after="0"/>
        <w:jc w:val="left"/>
        <w:rPr>
          <w:rFonts w:ascii="Times New Roman" w:hAnsi="Times New Roman"/>
          <w:sz w:val="20"/>
        </w:rPr>
      </w:pPr>
      <w:r>
        <w:rPr>
          <w:rFonts w:ascii="Times New Roman" w:hAnsi="Times New Roman"/>
          <w:sz w:val="20"/>
        </w:rPr>
        <w:t xml:space="preserve">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 </w:t>
      </w:r>
    </w:p>
    <w:p>
      <w:pPr>
        <w:pStyle w:val="TextBody"/>
        <w:spacing w:before="360" w:after="0"/>
        <w:jc w:val="left"/>
        <w:rPr>
          <w:rFonts w:ascii="Times New Roman" w:hAnsi="Times New Roman"/>
          <w:b/>
          <w:sz w:val="20"/>
        </w:rPr>
      </w:pPr>
      <w:r>
        <w:rPr>
          <w:rFonts w:ascii="Times New Roman" w:hAnsi="Times New Roman"/>
          <w:b/>
          <w:sz w:val="20"/>
        </w:rPr>
        <w:t xml:space="preserve">DoubleVerify Holdings, Inc. (NYSE: DV) </w:t>
      </w:r>
    </w:p>
    <w:p>
      <w:pPr>
        <w:pStyle w:val="TextBody"/>
        <w:spacing w:before="120" w:after="0"/>
        <w:jc w:val="left"/>
        <w:rPr>
          <w:rFonts w:ascii="Times New Roman" w:hAnsi="Times New Roman"/>
          <w:sz w:val="20"/>
        </w:rPr>
      </w:pPr>
      <w:r>
        <w:rPr>
          <w:rFonts w:ascii="Times New Roman" w:hAnsi="Times New Roman"/>
          <w:sz w:val="20"/>
        </w:rPr>
        <w:t xml:space="preserve">DoubleVerify Holdings, Inc. provides a software platform for digital media measurement, and analytics in the United States and internationally. The company provides solutions to advertisers unbiased data analytics 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 </w:t>
      </w:r>
    </w:p>
    <w:p>
      <w:pPr>
        <w:pStyle w:val="TextBody"/>
        <w:spacing w:before="360" w:after="0"/>
        <w:jc w:val="left"/>
        <w:rPr>
          <w:rFonts w:ascii="Times New Roman" w:hAnsi="Times New Roman"/>
          <w:b/>
          <w:sz w:val="20"/>
        </w:rPr>
      </w:pPr>
      <w:r>
        <w:rPr>
          <w:rFonts w:ascii="Times New Roman" w:hAnsi="Times New Roman"/>
          <w:b/>
          <w:sz w:val="20"/>
        </w:rPr>
        <w:t xml:space="preserve">Sprout Social, Inc. (NasdaqCM: SPT) </w:t>
      </w:r>
    </w:p>
    <w:p>
      <w:pPr>
        <w:pStyle w:val="TextBody"/>
        <w:spacing w:before="120" w:after="0"/>
        <w:jc w:val="left"/>
        <w:rPr>
          <w:rFonts w:ascii="Times New Roman" w:hAnsi="Times New Roman"/>
          <w:sz w:val="20"/>
        </w:rPr>
      </w:pPr>
      <w:r>
        <w:rPr>
          <w:rFonts w:ascii="Times New Roman" w:hAnsi="Times New Roman"/>
          <w:sz w:val="20"/>
        </w:rPr>
        <w:t xml:space="preserve">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 </w:t>
      </w:r>
    </w:p>
    <w:p>
      <w:pPr>
        <w:pStyle w:val="TextBody"/>
        <w:spacing w:before="360" w:after="0"/>
        <w:jc w:val="left"/>
        <w:rPr>
          <w:rFonts w:ascii="Times New Roman" w:hAnsi="Times New Roman"/>
          <w:b/>
          <w:sz w:val="20"/>
        </w:rPr>
      </w:pPr>
      <w:r>
        <w:rPr>
          <w:rFonts w:ascii="Times New Roman" w:hAnsi="Times New Roman"/>
          <w:b/>
          <w:sz w:val="20"/>
        </w:rPr>
        <w:t xml:space="preserve">Lightspeed Commerce Inc. (TSX: LSPD) </w:t>
      </w:r>
    </w:p>
    <w:p>
      <w:pPr>
        <w:pStyle w:val="TextBody"/>
        <w:spacing w:before="120" w:after="0"/>
        <w:jc w:val="left"/>
        <w:rPr>
          <w:rFonts w:ascii="Times New Roman" w:hAnsi="Times New Roman"/>
          <w:sz w:val="20"/>
        </w:rPr>
      </w:pPr>
      <w:r>
        <w:rPr>
          <w:rFonts w:ascii="Times New Roman" w:hAnsi="Times New Roman"/>
          <w:sz w:val="20"/>
        </w:rPr>
        <w:t xml:space="preserve">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 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 </w:t>
      </w:r>
    </w:p>
    <w:p>
      <w:pPr>
        <w:pStyle w:val="TextBody"/>
        <w:spacing w:before="360" w:after="0"/>
        <w:jc w:val="left"/>
        <w:rPr>
          <w:rFonts w:ascii="Times New Roman" w:hAnsi="Times New Roman"/>
          <w:b/>
          <w:sz w:val="20"/>
        </w:rPr>
      </w:pPr>
      <w:r>
        <w:rPr>
          <w:rFonts w:ascii="Times New Roman" w:hAnsi="Times New Roman"/>
          <w:b/>
          <w:sz w:val="20"/>
        </w:rPr>
        <w:t xml:space="preserve">EverCommerce Inc. (NasdaqGS: EVCM) </w:t>
      </w:r>
    </w:p>
    <w:p>
      <w:pPr>
        <w:pStyle w:val="TextBody"/>
        <w:spacing w:before="120" w:after="0"/>
        <w:jc w:val="left"/>
        <w:rPr>
          <w:rFonts w:ascii="Times New Roman" w:hAnsi="Times New Roman"/>
          <w:sz w:val="20"/>
        </w:rPr>
      </w:pPr>
      <w:r>
        <w:rPr>
          <w:rFonts w:ascii="Times New Roman" w:hAnsi="Times New Roman"/>
          <w:sz w:val="20"/>
        </w:rPr>
        <w:t xml:space="preserve">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 </w:t>
      </w:r>
    </w:p>
    <w:p>
      <w:pPr>
        <w:pStyle w:val="TextBody"/>
        <w:spacing w:before="360" w:after="0"/>
        <w:jc w:val="left"/>
        <w:rPr>
          <w:rFonts w:ascii="Times New Roman" w:hAnsi="Times New Roman"/>
          <w:b/>
          <w:sz w:val="20"/>
        </w:rPr>
      </w:pPr>
      <w:r>
        <w:rPr>
          <w:rFonts w:ascii="Times New Roman" w:hAnsi="Times New Roman"/>
          <w:b/>
          <w:sz w:val="20"/>
        </w:rPr>
        <w:t xml:space="preserve">Sprinklr, Inc. (NYSE: CXM) </w:t>
      </w:r>
    </w:p>
    <w:p>
      <w:pPr>
        <w:pStyle w:val="TextBody"/>
        <w:spacing w:before="120" w:after="0"/>
        <w:jc w:val="left"/>
        <w:rPr>
          <w:rFonts w:ascii="Times New Roman" w:hAnsi="Times New Roman"/>
          <w:sz w:val="20"/>
        </w:rPr>
      </w:pPr>
      <w:r>
        <w:rPr>
          <w:rFonts w:ascii="Times New Roman" w:hAnsi="Times New Roman"/>
          <w:sz w:val="20"/>
        </w:rPr>
        <w:t xml:space="preserve">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 </w:t>
      </w:r>
    </w:p>
    <w:p>
      <w:pPr>
        <w:pStyle w:val="TextBody"/>
        <w:spacing w:before="360" w:after="0"/>
        <w:jc w:val="left"/>
        <w:rPr>
          <w:rFonts w:ascii="Times New Roman" w:hAnsi="Times New Roman"/>
          <w:b/>
          <w:sz w:val="20"/>
        </w:rPr>
      </w:pPr>
      <w:r>
        <w:rPr>
          <w:rFonts w:ascii="Times New Roman" w:hAnsi="Times New Roman"/>
          <w:b/>
          <w:sz w:val="20"/>
        </w:rPr>
        <w:t xml:space="preserve">Amplitude, Inc. (NasdaqCM: AMPL) </w:t>
      </w:r>
    </w:p>
    <w:p>
      <w:pPr>
        <w:pStyle w:val="TextBody"/>
        <w:spacing w:before="120" w:after="0"/>
        <w:jc w:val="left"/>
        <w:rPr>
          <w:rFonts w:ascii="Times New Roman" w:hAnsi="Times New Roman"/>
          <w:sz w:val="20"/>
        </w:rPr>
      </w:pPr>
      <w:r>
        <w:rPr>
          <w:rFonts w:ascii="Times New Roman" w:hAnsi="Times New Roman"/>
          <w:sz w:val="20"/>
        </w:rPr>
        <w:t xml:space="preserve">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 Sonalight, Inc. and changed its name to Amplitude, Inc. in December 2014. Amplitude, Inc. was incorporated in 2011 and is headquartered in San Francisco, California. </w:t>
      </w:r>
    </w:p>
    <w:p>
      <w:pPr>
        <w:pStyle w:val="TextBody"/>
        <w:spacing w:before="360" w:after="0"/>
        <w:jc w:val="left"/>
        <w:rPr>
          <w:rFonts w:ascii="Times New Roman" w:hAnsi="Times New Roman"/>
          <w:b/>
          <w:sz w:val="20"/>
        </w:rPr>
      </w:pPr>
      <w:r>
        <w:rPr>
          <w:rFonts w:ascii="Times New Roman" w:hAnsi="Times New Roman"/>
          <w:b/>
          <w:sz w:val="20"/>
        </w:rPr>
        <w:t xml:space="preserve">Olo, Inc. (NYSE: OLO) </w:t>
      </w:r>
    </w:p>
    <w:p>
      <w:pPr>
        <w:pStyle w:val="TextBody"/>
        <w:spacing w:before="120" w:after="0"/>
        <w:jc w:val="left"/>
        <w:rPr>
          <w:rFonts w:ascii="Times New Roman" w:hAnsi="Times New Roman"/>
          <w:sz w:val="20"/>
        </w:rPr>
      </w:pPr>
      <w:r>
        <w:rPr>
          <w:rFonts w:ascii="Times New Roman" w:hAnsi="Times New Roman"/>
          <w:sz w:val="20"/>
        </w:rPr>
        <w:t xml:space="preserve">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 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BigCommerce Holdings, Inc. (NasdaqGM: BIGC) </w:t>
      </w:r>
    </w:p>
    <w:p>
      <w:pPr>
        <w:pStyle w:val="TextBody"/>
        <w:spacing w:before="120" w:after="0"/>
        <w:jc w:val="left"/>
        <w:rPr>
          <w:rFonts w:ascii="Times New Roman" w:hAnsi="Times New Roman"/>
          <w:sz w:val="20"/>
        </w:rPr>
      </w:pPr>
      <w:r>
        <w:rPr>
          <w:rFonts w:ascii="Times New Roman" w:hAnsi="Times New Roman"/>
          <w:sz w:val="20"/>
        </w:rPr>
        <w:t xml:space="preserve">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 </w:t>
      </w:r>
    </w:p>
    <w:p>
      <w:pPr>
        <w:pStyle w:val="TextBody"/>
        <w:spacing w:before="360" w:after="0"/>
        <w:jc w:val="left"/>
        <w:rPr>
          <w:rFonts w:ascii="Times New Roman" w:hAnsi="Times New Roman"/>
          <w:b/>
          <w:sz w:val="20"/>
        </w:rPr>
      </w:pPr>
      <w:r>
        <w:rPr>
          <w:rFonts w:ascii="Times New Roman" w:hAnsi="Times New Roman"/>
          <w:b/>
          <w:sz w:val="20"/>
        </w:rPr>
        <w:t xml:space="preserve">VTEX (NYSE: VTEX) </w:t>
      </w:r>
    </w:p>
    <w:p>
      <w:pPr>
        <w:pStyle w:val="TextBody"/>
        <w:spacing w:before="120" w:after="0"/>
        <w:jc w:val="left"/>
        <w:rPr>
          <w:rFonts w:ascii="Times New Roman" w:hAnsi="Times New Roman"/>
          <w:sz w:val="20"/>
        </w:rPr>
      </w:pPr>
      <w:r>
        <w:rPr>
          <w:rFonts w:ascii="Times New Roman" w:hAnsi="Times New Roman"/>
          <w:sz w:val="20"/>
        </w:rPr>
        <w:t xml:space="preserve">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 </w:t>
      </w:r>
    </w:p>
    <w:p>
      <w:pPr>
        <w:pStyle w:val="TextBody"/>
        <w:spacing w:before="240" w:after="0"/>
        <w:jc w:val="left"/>
        <w:rPr>
          <w:rFonts w:ascii="Times New Roman" w:hAnsi="Times New Roman"/>
          <w:sz w:val="20"/>
        </w:rPr>
      </w:pPr>
      <w:r>
        <w:rPr>
          <w:rFonts w:ascii="Times New Roman" w:hAnsi="Times New Roman"/>
          <w:sz w:val="20"/>
        </w:rPr>
        <w:t xml:space="preserve">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 </w:t>
      </w:r>
    </w:p>
    <w:p>
      <w:pPr>
        <w:pStyle w:val="TextBody"/>
        <w:spacing w:before="240" w:after="0"/>
        <w:jc w:val="left"/>
        <w:rPr>
          <w:rFonts w:ascii="Times New Roman" w:hAnsi="Times New Roman"/>
          <w:sz w:val="20"/>
        </w:rPr>
      </w:pPr>
      <w:r>
        <w:rPr>
          <w:rFonts w:ascii="Times New Roman" w:hAnsi="Times New Roman"/>
          <w:sz w:val="20"/>
        </w:rPr>
        <w:t xml:space="preserve">Given the expected growth profile of Rezolve, the year ending December 31, 2024 forecasted value indications utilizing the enterprise value as a multiple of revenues and EBITDA were weighted 50.0% each to arrive at the final range of value and the average of the minimum and 25th percentile multiples were selected. The indication of enterprise value for Rezolve using the guideline public company method in the final value conclusion was estimated to be between approximately $1,645,000,000 to $1,995,000,000. </w:t>
      </w:r>
    </w:p>
    <w:p>
      <w:pPr>
        <w:pStyle w:val="TextBody"/>
        <w:spacing w:before="360" w:after="0"/>
        <w:jc w:val="left"/>
        <w:rPr>
          <w:rFonts w:ascii="Times New Roman" w:hAnsi="Times New Roman"/>
          <w:b/>
          <w:i/>
          <w:sz w:val="20"/>
        </w:rPr>
      </w:pPr>
      <w:r>
        <w:rPr>
          <w:rFonts w:ascii="Times New Roman" w:hAnsi="Times New Roman"/>
          <w:b/>
          <w:i/>
          <w:sz w:val="20"/>
        </w:rPr>
        <w:t xml:space="preserve">Guideline Transaction Analysis </w:t>
      </w:r>
    </w:p>
    <w:p>
      <w:pPr>
        <w:pStyle w:val="TextBody"/>
        <w:spacing w:before="120" w:after="0"/>
        <w:jc w:val="left"/>
        <w:rPr>
          <w:rFonts w:ascii="Times New Roman" w:hAnsi="Times New Roman"/>
          <w:sz w:val="20"/>
        </w:rPr>
      </w:pPr>
      <w:r>
        <w:rPr>
          <w:rFonts w:ascii="Times New Roman" w:hAnsi="Times New Roman"/>
          <w:sz w:val="20"/>
        </w:rPr>
        <w:t xml:space="preserve">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 </w:t>
      </w:r>
    </w:p>
    <w:p>
      <w:pPr>
        <w:pStyle w:val="TextBody"/>
        <w:spacing w:before="360" w:after="0"/>
        <w:jc w:val="left"/>
        <w:rPr>
          <w:rFonts w:ascii="Times New Roman" w:hAnsi="Times New Roman"/>
          <w:b/>
          <w:i/>
          <w:sz w:val="20"/>
        </w:rPr>
      </w:pPr>
      <w:r>
        <w:rPr>
          <w:rFonts w:ascii="Times New Roman" w:hAnsi="Times New Roman"/>
          <w:b/>
          <w:i/>
          <w:sz w:val="20"/>
        </w:rPr>
        <w:t xml:space="preserve">Reconciled Conclusion of Value </w:t>
      </w:r>
    </w:p>
    <w:p>
      <w:pPr>
        <w:pStyle w:val="TextBody"/>
        <w:spacing w:before="120" w:after="0"/>
        <w:jc w:val="left"/>
        <w:rPr>
          <w:rFonts w:ascii="Times New Roman" w:hAnsi="Times New Roman"/>
          <w:sz w:val="20"/>
        </w:rPr>
      </w:pPr>
      <w:r>
        <w:rPr>
          <w:rFonts w:ascii="Times New Roman" w:hAnsi="Times New Roman"/>
          <w:sz w:val="20"/>
        </w:rPr>
        <w:t xml:space="preserve">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 </w:t>
      </w:r>
    </w:p>
    <w:p>
      <w:pPr>
        <w:pStyle w:val="TextBody"/>
        <w:spacing w:before="240" w:after="0"/>
        <w:jc w:val="left"/>
        <w:rPr>
          <w:rFonts w:ascii="Times New Roman" w:hAnsi="Times New Roman"/>
          <w:sz w:val="20"/>
        </w:rPr>
      </w:pPr>
      <w:r>
        <w:rPr>
          <w:rFonts w:ascii="Times New Roman" w:hAnsi="Times New Roman"/>
          <w:sz w:val="20"/>
        </w:rPr>
        <w:t xml:space="preserve">Giving the weighing discussed above, Marshall &amp; Stevens concluded a final enterprise value range of approximately $1,595,000,000 to $1,885,000,000. </w:t>
      </w:r>
    </w:p>
    <w:p>
      <w:pPr>
        <w:pStyle w:val="TextBody"/>
        <w:spacing w:before="360" w:after="0"/>
        <w:jc w:val="left"/>
        <w:rPr>
          <w:rFonts w:ascii="Times New Roman" w:hAnsi="Times New Roman"/>
          <w:b/>
          <w:sz w:val="20"/>
        </w:rPr>
      </w:pPr>
      <w:r>
        <w:rPr>
          <w:rFonts w:ascii="Times New Roman" w:hAnsi="Times New Roman"/>
          <w:b/>
          <w:sz w:val="20"/>
        </w:rPr>
        <w:t xml:space="preserve">Opinion of Northland </w:t>
      </w:r>
    </w:p>
    <w:p>
      <w:pPr>
        <w:pStyle w:val="TextBody"/>
        <w:spacing w:before="120" w:after="0"/>
        <w:jc w:val="left"/>
        <w:rPr>
          <w:rFonts w:ascii="Times New Roman" w:hAnsi="Times New Roman"/>
          <w:sz w:val="20"/>
        </w:rPr>
      </w:pPr>
      <w:r>
        <w:rPr>
          <w:rFonts w:ascii="Times New Roman" w:hAnsi="Times New Roman"/>
          <w:sz w:val="20"/>
        </w:rPr>
        <w:t xml:space="preserve">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w:t>
      </w:r>
    </w:p>
    <w:p>
      <w:pPr>
        <w:pStyle w:val="TextBody"/>
        <w:spacing w:before="240" w:after="0"/>
        <w:jc w:val="left"/>
        <w:rPr>
          <w:rFonts w:ascii="Times New Roman" w:hAnsi="Times New Roman"/>
          <w:b/>
          <w:sz w:val="20"/>
        </w:rPr>
      </w:pPr>
      <w:r>
        <w:rPr>
          <w:rFonts w:ascii="Times New Roman" w:hAnsi="Times New Roman"/>
          <w:b/>
          <w:sz w:val="20"/>
        </w:rPr>
        <w:t>The full text of Northlands updated written opinion letter, dated as of March 31, 2022 , is attached as</w:t>
      </w:r>
      <w:r>
        <w:rPr>
          <w:rFonts w:ascii="Times New Roman" w:hAnsi="Times New Roman"/>
          <w:b/>
          <w:sz w:val="20"/>
          <w:u w:val="single"/>
        </w:rPr>
        <w:t xml:space="preserve"> </w:t>
      </w:r>
      <w:r>
        <w:rPr>
          <w:rFonts w:ascii="Times New Roman" w:hAnsi="Times New Roman"/>
          <w:b/>
          <w:sz w:val="20"/>
        </w:rPr>
        <w:t xml:space="preserve">Annex                . You should read 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 </w:t>
      </w:r>
    </w:p>
    <w:p>
      <w:pPr>
        <w:pStyle w:val="TextBody"/>
        <w:spacing w:before="240" w:after="0"/>
        <w:jc w:val="left"/>
        <w:rPr>
          <w:rFonts w:ascii="Times New Roman" w:hAnsi="Times New Roman"/>
          <w:sz w:val="20"/>
        </w:rPr>
      </w:pPr>
      <w:r>
        <w:rPr>
          <w:rFonts w:ascii="Times New Roman" w:hAnsi="Times New Roman"/>
          <w:sz w:val="20"/>
        </w:rPr>
        <w:t xml:space="preserve">In arriving at its opinion, Northland conducted such analyses, examinations, and inquiries and considered such other financial, economic and market criteria as it deemed necessary. Northland,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the financial terms of the draft of the Business Combination Agreement, dated March 8,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(ii)</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Armadas Registration Statement on Form S-1, as amended, and Final Prospectus filed under Rule 424;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7"/>
        <w:gridCol w:w="9591"/>
      </w:tblGrid>
      <w:tr>
        <w:trPr/>
        <w:tc>
          <w:tcPr>
            <w:tcW w:w="421"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(iii)</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Armadas Quarterly Report on Form 10-Q and other reports filed with the Securities and Exchange Commission;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(iv)</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Rezolves historical financial statements for the calendar year ended December 31,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(v)</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Rezolves revised projected financial statements for the calendar years ending December 31, 2021  December 31, 2024, which were revised by Rezolve in March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(vi)</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Rezolves roadshow presentation dated December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(vii)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certain non-public financial and business information provided to Northland by Armada, Rezolve, and their advisors;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(viii)</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certain internal financial information, estimates, and financial and operations forecasts for Rezolve, prepared by Rezolve or Armada management;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(ix)</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press releases issued by Armada and Rezolve;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(x)</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financial and commercial due diligence reports prepared by KPMG;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(xi)</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a draft of the side letter between Armada Sponsor LLC and Rezolve, dated March 28,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7"/>
        <w:gridCol w:w="9591"/>
      </w:tblGrid>
      <w:tr>
        <w:trPr/>
        <w:tc>
          <w:tcPr>
            <w:tcW w:w="421"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(xii)</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(xiii)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performed certain valuation and comparative analyses using generally accepted valuation and analytical techniques including an analysis of selected public companies that Northland deemed relevant and an analysis of selected precedent transactions that Northland deemed relevant.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 business decision to proceed with or effect the Business Combination. Northland was not asked to, nor did Northland, offer any opinion as to the material terms of the Business Combination Agreement or the form of the Business Combination. Northland expressed no opinion or view as to the relative merits of the Business Combination as compared to any alternative business strategies or transactions that might exist for Armada or the 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 </w:t>
      </w:r>
    </w:p>
    <w:p>
      <w:pPr>
        <w:pStyle w:val="TextBody"/>
        <w:spacing w:before="240" w:after="0"/>
        <w:jc w:val="left"/>
        <w:rPr>
          <w:rFonts w:ascii="Times New Roman" w:hAnsi="Times New Roman"/>
          <w:sz w:val="20"/>
        </w:rPr>
      </w:pPr>
      <w:r>
        <w:rPr>
          <w:rFonts w:ascii="Times New Roman" w:hAnsi="Times New Roman"/>
          <w:sz w:val="20"/>
        </w:rPr>
        <w:t xml:space="preserve">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opinion, to Armada of the aggregate stock consideration under the Business Combination Agreement. Although subsequent developments may affect Northlands opinion, Northland does not have any obligation to update, revise, or reaffirm its opinion.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 </w:t>
      </w:r>
    </w:p>
    <w:p>
      <w:pPr>
        <w:pStyle w:val="TextBody"/>
        <w:spacing w:before="360" w:after="0"/>
        <w:jc w:val="left"/>
        <w:rPr>
          <w:rFonts w:ascii="Times New Roman" w:hAnsi="Times New Roman"/>
          <w:b/>
          <w:i/>
          <w:sz w:val="20"/>
        </w:rPr>
      </w:pPr>
      <w:r>
        <w:rPr>
          <w:rFonts w:ascii="Times New Roman" w:hAnsi="Times New Roman"/>
          <w:b/>
          <w:i/>
          <w:sz w:val="20"/>
        </w:rPr>
        <w:t xml:space="preserve">Analysis of Selected Publicly Traded Companies </w:t>
      </w:r>
    </w:p>
    <w:p>
      <w:pPr>
        <w:pStyle w:val="TextBody"/>
        <w:spacing w:before="120" w:after="0"/>
        <w:jc w:val="left"/>
        <w:rPr>
          <w:rFonts w:ascii="Times New Roman" w:hAnsi="Times New Roman"/>
          <w:sz w:val="20"/>
        </w:rPr>
      </w:pPr>
      <w:r>
        <w:rPr>
          <w:rFonts w:ascii="Times New Roman" w:hAnsi="Times New Roman"/>
          <w:sz w:val="20"/>
        </w:rPr>
        <w:t xml:space="preserve">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76"/>
        <w:gridCol w:w="209"/>
        <w:gridCol w:w="4954"/>
      </w:tblGrid>
      <w:tr>
        <w:trPr/>
        <w:tc>
          <w:tcPr>
            <w:tcW w:w="53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  Amplitude, Inc.</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  BigCommerce Holdings, Inc.</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  DLocal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  EverCommerce Inc.</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  HubSpot, Inc.</w:t>
            </w:r>
          </w:p>
        </w:tc>
        <w:tc>
          <w:tcPr>
            <w:tcW w:w="209" w:type="dxa"/>
            <w:tcBorders/>
            <w:shd w:fill="auto" w:val="clear"/>
            <w:vAlign w:val="bottom"/>
          </w:tcPr>
          <w:p>
            <w:pPr>
              <w:pStyle w:val="TableContents"/>
              <w:spacing w:before="0" w:after="283"/>
              <w:rPr/>
            </w:pPr>
            <w:r>
              <w:rPr/>
              <w:t>  </w:t>
            </w:r>
          </w:p>
        </w:tc>
        <w:tc>
          <w:tcPr>
            <w:tcW w:w="495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  Lightspeed Commerce Inc.</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  Shopify Inc.</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  Sprout Social, Inc.</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  The Trade Desk, Inc.</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  VTEX</w:t>
            </w:r>
          </w:p>
        </w:tc>
      </w:tr>
    </w:tbl>
    <w:p>
      <w:pPr>
        <w:pStyle w:val="TextBody"/>
        <w:spacing w:before="240" w:after="0"/>
        <w:jc w:val="left"/>
        <w:rPr>
          <w:rFonts w:ascii="Times New Roman" w:hAnsi="Times New Roman"/>
          <w:sz w:val="20"/>
        </w:rPr>
      </w:pPr>
      <w:r>
        <w:rPr>
          <w:rFonts w:ascii="Times New Roman" w:hAnsi="Times New Roman"/>
          <w:sz w:val="20"/>
        </w:rPr>
        <w:t xml:space="preserve">Northland reviewed, among other information and to the extent publicly available and meaningful, enterprise values of the Rezolve selected companies, calculated as implied equity values based on closing stock prices on March 30, 2022 plus total debt, preferred equity, and non-controlling interests (as applicable) and less 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discounted overall low to high calendar year 2021 actual and calendar years 2022 and 2023 estimated revenue multiples observed for the Rezolve selected companies were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Calendar year 2021 actual revenue multiples: low to high of 13.2x to 22.0x (with a mean of 16.5x and a median of 14.4x)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Calendar year 2022 estimated revenue multiples: low to high of 10.1x to 16.5x (with a mean of 12.5x and a median of 10.9x)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Calendar year 2023 estimated revenue multiples: low to high of 7.6x to 13.1x (with a mean of 9.8x and a median of 8.5x) </w:t>
            </w:r>
          </w:p>
        </w:tc>
      </w:tr>
    </w:tbl>
    <w:p>
      <w:pPr>
        <w:pStyle w:val="TextBody"/>
        <w:spacing w:before="240" w:after="0"/>
        <w:jc w:val="left"/>
        <w:rPr>
          <w:rFonts w:ascii="Times New Roman" w:hAnsi="Times New Roman"/>
          <w:sz w:val="20"/>
        </w:rPr>
      </w:pPr>
      <w:r>
        <w:rPr>
          <w:rFonts w:ascii="Times New Roman" w:hAnsi="Times New Roman"/>
          <w:sz w:val="20"/>
        </w:rPr>
        <w:t xml:space="preserve">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 </w:t>
      </w:r>
    </w:p>
    <w:p>
      <w:pPr>
        <w:pStyle w:val="TextBody"/>
        <w:spacing w:before="240" w:after="0"/>
        <w:jc w:val="left"/>
        <w:rPr>
          <w:rFonts w:ascii="Times New Roman" w:hAnsi="Times New Roman"/>
          <w:sz w:val="20"/>
        </w:rPr>
      </w:pPr>
      <w:r>
        <w:rPr>
          <w:rFonts w:ascii="Times New Roman" w:hAnsi="Times New Roman"/>
          <w:sz w:val="20"/>
        </w:rPr>
        <w:t xml:space="preserve">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 </w:t>
      </w:r>
    </w:p>
    <w:p>
      <w:pPr>
        <w:pStyle w:val="TextBody"/>
        <w:spacing w:before="360" w:after="0"/>
        <w:jc w:val="left"/>
        <w:rPr>
          <w:rFonts w:ascii="Times New Roman" w:hAnsi="Times New Roman"/>
          <w:b/>
          <w:i/>
          <w:sz w:val="20"/>
        </w:rPr>
      </w:pPr>
      <w:r>
        <w:rPr>
          <w:rFonts w:ascii="Times New Roman" w:hAnsi="Times New Roman"/>
          <w:b/>
          <w:i/>
          <w:sz w:val="20"/>
        </w:rPr>
        <w:t xml:space="preserve">Analysis of Selected Precedent Transactions </w:t>
      </w:r>
    </w:p>
    <w:p>
      <w:pPr>
        <w:pStyle w:val="TextBody"/>
        <w:spacing w:before="120" w:after="0"/>
        <w:jc w:val="left"/>
        <w:rPr>
          <w:rFonts w:ascii="Times New Roman" w:hAnsi="Times New Roman"/>
          <w:sz w:val="20"/>
        </w:rPr>
      </w:pPr>
      <w:r>
        <w:rPr>
          <w:rFonts w:ascii="Times New Roman" w:hAnsi="Times New Roman"/>
          <w:sz w:val="20"/>
        </w:rPr>
        <w:t xml:space="preserve">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90"/>
        <w:gridCol w:w="209"/>
        <w:gridCol w:w="3373"/>
        <w:gridCol w:w="210"/>
        <w:gridCol w:w="3057"/>
      </w:tblGrid>
      <w:tr>
        <w:trPr/>
        <w:tc>
          <w:tcPr>
            <w:tcW w:w="369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337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3057" w:type="dxa"/>
            <w:tcBorders/>
            <w:shd w:fill="auto" w:val="clear"/>
            <w:vAlign w:val="center"/>
          </w:tcPr>
          <w:p>
            <w:pPr>
              <w:pStyle w:val="TableContents"/>
              <w:spacing w:before="0" w:after="283"/>
              <w:rPr>
                <w:sz w:val="4"/>
                <w:szCs w:val="4"/>
              </w:rPr>
            </w:pPr>
            <w:r>
              <w:rPr>
                <w:sz w:val="4"/>
                <w:szCs w:val="4"/>
              </w:rPr>
            </w:r>
          </w:p>
        </w:tc>
      </w:tr>
      <w:tr>
        <w:trPr/>
        <w:tc>
          <w:tcPr>
            <w:tcW w:w="369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Closed</w:t>
            </w:r>
          </w:p>
        </w:tc>
        <w:tc>
          <w:tcPr>
            <w:tcW w:w="209" w:type="dxa"/>
            <w:tcBorders/>
            <w:shd w:fill="auto" w:val="clear"/>
            <w:vAlign w:val="bottom"/>
          </w:tcPr>
          <w:p>
            <w:pPr>
              <w:pStyle w:val="TableContents"/>
              <w:spacing w:before="0" w:after="283"/>
              <w:rPr/>
            </w:pPr>
            <w:r>
              <w:rPr/>
              <w:t>  </w:t>
            </w:r>
          </w:p>
        </w:tc>
        <w:tc>
          <w:tcPr>
            <w:tcW w:w="337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Buyer / Seller</w:t>
            </w:r>
          </w:p>
        </w:tc>
        <w:tc>
          <w:tcPr>
            <w:tcW w:w="210" w:type="dxa"/>
            <w:tcBorders/>
            <w:shd w:fill="auto" w:val="clear"/>
            <w:vAlign w:val="bottom"/>
          </w:tcPr>
          <w:p>
            <w:pPr>
              <w:pStyle w:val="TableContents"/>
              <w:spacing w:before="0" w:after="283"/>
              <w:rPr/>
            </w:pPr>
            <w:r>
              <w:rPr/>
              <w:t>  </w:t>
            </w:r>
          </w:p>
        </w:tc>
        <w:tc>
          <w:tcPr>
            <w:tcW w:w="305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Target</w:t>
            </w:r>
          </w:p>
        </w:tc>
      </w:tr>
      <w:tr>
        <w:trPr/>
        <w:tc>
          <w:tcPr>
            <w:tcW w:w="3690" w:type="dxa"/>
            <w:tcBorders/>
            <w:shd w:fill="auto" w:val="clear"/>
          </w:tcPr>
          <w:p>
            <w:pPr>
              <w:pStyle w:val="TableContents"/>
              <w:spacing w:before="0" w:after="283"/>
              <w:rPr/>
            </w:pPr>
            <w:r>
              <w:rPr/>
              <w:t>January 2022</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Global-e Online Ltd.</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Flow Commerce Inc.</w:t>
            </w:r>
          </w:p>
        </w:tc>
      </w:tr>
      <w:tr>
        <w:trPr/>
        <w:tc>
          <w:tcPr>
            <w:tcW w:w="3690" w:type="dxa"/>
            <w:tcBorders/>
            <w:shd w:fill="auto" w:val="clear"/>
          </w:tcPr>
          <w:p>
            <w:pPr>
              <w:pStyle w:val="TableContents"/>
              <w:spacing w:before="0" w:after="283"/>
              <w:rPr/>
            </w:pPr>
            <w:r>
              <w:rPr/>
              <w:t>October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Thoma Bravo, L.P.</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Medallia, Inc.</w:t>
            </w:r>
          </w:p>
        </w:tc>
      </w:tr>
      <w:tr>
        <w:trPr/>
        <w:tc>
          <w:tcPr>
            <w:tcW w:w="3690" w:type="dxa"/>
            <w:tcBorders/>
            <w:shd w:fill="auto" w:val="clear"/>
          </w:tcPr>
          <w:p>
            <w:pPr>
              <w:pStyle w:val="TableContents"/>
              <w:spacing w:before="0" w:after="283"/>
              <w:rPr/>
            </w:pPr>
            <w:r>
              <w:rPr/>
              <w:t>October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Lightspeed Commerce Inc.</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Ecwid Inc.</w:t>
            </w:r>
          </w:p>
        </w:tc>
      </w:tr>
      <w:tr>
        <w:trPr/>
        <w:tc>
          <w:tcPr>
            <w:tcW w:w="3690" w:type="dxa"/>
            <w:tcBorders/>
            <w:shd w:fill="auto" w:val="clear"/>
          </w:tcPr>
          <w:p>
            <w:pPr>
              <w:pStyle w:val="TableContents"/>
              <w:spacing w:before="0" w:after="283"/>
              <w:rPr/>
            </w:pPr>
            <w:r>
              <w:rPr/>
              <w:t>September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Constant Contact, Inc.</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SharpSpring, Inc.</w:t>
            </w:r>
          </w:p>
        </w:tc>
      </w:tr>
      <w:tr>
        <w:trPr/>
        <w:tc>
          <w:tcPr>
            <w:tcW w:w="3690" w:type="dxa"/>
            <w:tcBorders/>
            <w:shd w:fill="auto" w:val="clear"/>
          </w:tcPr>
          <w:p>
            <w:pPr>
              <w:pStyle w:val="TableContents"/>
              <w:spacing w:before="0" w:after="283"/>
              <w:rPr/>
            </w:pPr>
            <w:r>
              <w:rPr/>
              <w:t>July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Stne Participacoes S.A.</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Linx S.A.</w:t>
            </w:r>
          </w:p>
        </w:tc>
      </w:tr>
      <w:tr>
        <w:trPr/>
        <w:tc>
          <w:tcPr>
            <w:tcW w:w="3690" w:type="dxa"/>
            <w:tcBorders/>
            <w:shd w:fill="auto" w:val="clear"/>
          </w:tcPr>
          <w:p>
            <w:pPr>
              <w:pStyle w:val="TableContents"/>
              <w:spacing w:before="0" w:after="283"/>
              <w:rPr/>
            </w:pPr>
            <w:r>
              <w:rPr/>
              <w:t>June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FTAC Olympus Acquisition Corp.</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Payoneer Global Inc.</w:t>
            </w:r>
          </w:p>
        </w:tc>
      </w:tr>
      <w:tr>
        <w:trPr/>
        <w:tc>
          <w:tcPr>
            <w:tcW w:w="3690" w:type="dxa"/>
            <w:tcBorders/>
            <w:shd w:fill="auto" w:val="clear"/>
          </w:tcPr>
          <w:p>
            <w:pPr>
              <w:pStyle w:val="TableContents"/>
              <w:spacing w:before="0" w:after="283"/>
              <w:rPr/>
            </w:pPr>
            <w:r>
              <w:rPr/>
              <w:t>June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Just Eat Takeaway.com N.V.</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Grubhub Inc.</w:t>
            </w:r>
          </w:p>
        </w:tc>
      </w:tr>
      <w:tr>
        <w:trPr/>
        <w:tc>
          <w:tcPr>
            <w:tcW w:w="3690" w:type="dxa"/>
            <w:tcBorders/>
            <w:shd w:fill="auto" w:val="clear"/>
          </w:tcPr>
          <w:p>
            <w:pPr>
              <w:pStyle w:val="TableContents"/>
              <w:spacing w:before="0" w:after="283"/>
              <w:rPr/>
            </w:pPr>
            <w:r>
              <w:rPr/>
              <w:t>April 2021</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Lightspeed Commerce Inc.</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Vend Limited</w:t>
            </w:r>
          </w:p>
        </w:tc>
      </w:tr>
      <w:tr>
        <w:trPr/>
        <w:tc>
          <w:tcPr>
            <w:tcW w:w="3690" w:type="dxa"/>
            <w:tcBorders/>
            <w:shd w:fill="auto" w:val="clear"/>
          </w:tcPr>
          <w:p>
            <w:pPr>
              <w:pStyle w:val="TableContents"/>
              <w:spacing w:before="0" w:after="283"/>
              <w:rPr/>
            </w:pPr>
            <w:r>
              <w:rPr/>
              <w:t>November 2020</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Lightspeed Commerce Inc.</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Shopkeep Inc.</w:t>
            </w:r>
          </w:p>
        </w:tc>
      </w:tr>
      <w:tr>
        <w:trPr/>
        <w:tc>
          <w:tcPr>
            <w:tcW w:w="3690" w:type="dxa"/>
            <w:tcBorders/>
            <w:shd w:fill="auto" w:val="clear"/>
          </w:tcPr>
          <w:p>
            <w:pPr>
              <w:pStyle w:val="TableContents"/>
              <w:spacing w:before="0" w:after="283"/>
              <w:rPr/>
            </w:pPr>
            <w:r>
              <w:rPr/>
              <w:t>February 2019</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Vista Equity Partners</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MINDBODY, Inc.</w:t>
            </w:r>
          </w:p>
        </w:tc>
      </w:tr>
      <w:tr>
        <w:trPr/>
        <w:tc>
          <w:tcPr>
            <w:tcW w:w="3690" w:type="dxa"/>
            <w:tcBorders/>
            <w:shd w:fill="auto" w:val="clear"/>
          </w:tcPr>
          <w:p>
            <w:pPr>
              <w:pStyle w:val="TableContents"/>
              <w:spacing w:before="0" w:after="283"/>
              <w:rPr/>
            </w:pPr>
            <w:r>
              <w:rPr/>
              <w:t>January 2019</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Cision Ltd.</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Trendkite, Inc.</w:t>
            </w:r>
          </w:p>
        </w:tc>
      </w:tr>
      <w:tr>
        <w:trPr/>
        <w:tc>
          <w:tcPr>
            <w:tcW w:w="3690" w:type="dxa"/>
            <w:tcBorders/>
            <w:shd w:fill="auto" w:val="clear"/>
          </w:tcPr>
          <w:p>
            <w:pPr>
              <w:pStyle w:val="TableContents"/>
              <w:spacing w:before="0" w:after="283"/>
              <w:rPr/>
            </w:pPr>
            <w:r>
              <w:rPr/>
              <w:t>September 2018</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PayPal Holdings, Inc.</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iZettle AB</w:t>
            </w:r>
          </w:p>
        </w:tc>
      </w:tr>
      <w:tr>
        <w:trPr/>
        <w:tc>
          <w:tcPr>
            <w:tcW w:w="3690" w:type="dxa"/>
            <w:tcBorders/>
            <w:shd w:fill="auto" w:val="clear"/>
          </w:tcPr>
          <w:p>
            <w:pPr>
              <w:pStyle w:val="TableContents"/>
              <w:spacing w:before="0" w:after="283"/>
              <w:rPr/>
            </w:pPr>
            <w:r>
              <w:rPr/>
              <w:t>May 2018</w:t>
            </w:r>
          </w:p>
        </w:tc>
        <w:tc>
          <w:tcPr>
            <w:tcW w:w="209"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rPr/>
            </w:pPr>
            <w:r>
              <w:rPr/>
              <w:t>GTCR, Sycamore Partners Management</w:t>
            </w:r>
          </w:p>
        </w:tc>
        <w:tc>
          <w:tcPr>
            <w:tcW w:w="210" w:type="dxa"/>
            <w:tcBorders/>
            <w:shd w:fill="auto" w:val="clear"/>
            <w:vAlign w:val="bottom"/>
          </w:tcPr>
          <w:p>
            <w:pPr>
              <w:pStyle w:val="TableContents"/>
              <w:spacing w:before="0" w:after="283"/>
              <w:rPr/>
            </w:pPr>
            <w:r>
              <w:rPr/>
              <w:t>  </w:t>
            </w:r>
          </w:p>
        </w:tc>
        <w:tc>
          <w:tcPr>
            <w:tcW w:w="3057" w:type="dxa"/>
            <w:tcBorders/>
            <w:shd w:fill="auto" w:val="clear"/>
          </w:tcPr>
          <w:p>
            <w:pPr>
              <w:pStyle w:val="TableContents"/>
              <w:spacing w:before="0" w:after="283"/>
              <w:rPr/>
            </w:pPr>
            <w:r>
              <w:rPr/>
              <w:t>Commerce Technologies, LLC</w:t>
            </w:r>
          </w:p>
        </w:tc>
      </w:tr>
    </w:tbl>
    <w:p>
      <w:pPr>
        <w:pStyle w:val="TextBody"/>
        <w:spacing w:before="240" w:after="0"/>
        <w:jc w:val="left"/>
        <w:rPr>
          <w:rFonts w:ascii="Times New Roman" w:hAnsi="Times New Roman"/>
          <w:sz w:val="20"/>
        </w:rPr>
      </w:pPr>
      <w:r>
        <w:rPr>
          <w:rFonts w:ascii="Times New Roman" w:hAnsi="Times New Roman"/>
          <w:sz w:val="20"/>
        </w:rPr>
        <w:t xml:space="preserve">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publicly available Wall Street research analysts estimates, public filings, and other publicly available information. Financial data for Rezolve was based on financial projections and estimates of Armadas management. </w:t>
      </w:r>
    </w:p>
    <w:p>
      <w:pPr>
        <w:pStyle w:val="TextBody"/>
        <w:spacing w:before="240" w:after="0"/>
        <w:jc w:val="left"/>
        <w:rPr>
          <w:rFonts w:ascii="Times New Roman" w:hAnsi="Times New Roman"/>
          <w:sz w:val="20"/>
        </w:rPr>
      </w:pPr>
      <w:r>
        <w:rPr>
          <w:rFonts w:ascii="Times New Roman" w:hAnsi="Times New Roman"/>
          <w:sz w:val="20"/>
        </w:rPr>
        <w:t xml:space="preserve">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 </w:t>
      </w:r>
    </w:p>
    <w:p>
      <w:pPr>
        <w:pStyle w:val="TextBody"/>
        <w:spacing w:before="240" w:after="0"/>
        <w:jc w:val="left"/>
        <w:rPr>
          <w:rFonts w:ascii="Times New Roman" w:hAnsi="Times New Roman"/>
          <w:sz w:val="20"/>
        </w:rPr>
      </w:pPr>
      <w:r>
        <w:rPr>
          <w:rFonts w:ascii="Times New Roman" w:hAnsi="Times New Roman"/>
          <w:sz w:val="20"/>
        </w:rPr>
        <w:t xml:space="preserve">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 </w:t>
      </w:r>
    </w:p>
    <w:p>
      <w:pPr>
        <w:pStyle w:val="TextBody"/>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 </w:t>
      </w:r>
    </w:p>
    <w:p>
      <w:pPr>
        <w:pStyle w:val="TextBody"/>
        <w:spacing w:before="240" w:after="0"/>
        <w:jc w:val="left"/>
        <w:rPr>
          <w:rFonts w:ascii="Times New Roman" w:hAnsi="Times New Roman"/>
          <w:sz w:val="20"/>
        </w:rPr>
      </w:pPr>
      <w:r>
        <w:rPr>
          <w:rFonts w:ascii="Times New Roman" w:hAnsi="Times New Roman"/>
          <w:sz w:val="20"/>
        </w:rPr>
        <w:t xml:space="preserve">In connection with Northlands services as Armadas financial advisor in connection with the Business Combination, Armada paid Northland aggregate fees of $120,000, which were payable upon the delivery of Northlands original opinion and revised opinion. Armada will pay Northland an additional $1,030,000 upon the closing of Business Combination, which amount is not payable if the Business Combination does not close. In addition, Armada has agreed to reimburse Northland for certain of its expenses and to indemnify Northland and related persons against various potential liabilities, including certain liabilities that may arise in connection with Northland engagement. On August 12, 2021, Northland entered into an Underwriting Agreement with Armada, under which Northland received 1% of the gross proceeds of Armadas initial public offering. Such amount totaled $1,500,000. On August 12, 2021, Northland entered into a Business Combination Marketing Agreement with Armada, under which Northland is entitled to receive (a) a cash advisory fee of 2.25% of the gross proceeds of Armadas initial public offering; (b) a capital markets advisory fee of $2,500,000; and (c) a finder fee equal to 1% of the total consideration if Northland introduces Armada to a target with which a business combination is completed. Because Northland did not introduce Armada to Rezolve, Northland will not receive the finder fee in connection with the Business Combination. The fees under the Business Combination Marketing Agreement are payable upon the closing of Armadas initial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Regulatory Matters </w:t>
      </w:r>
    </w:p>
    <w:p>
      <w:pPr>
        <w:pStyle w:val="TextBody"/>
        <w:spacing w:before="120" w:after="0"/>
        <w:jc w:val="left"/>
        <w:rPr>
          <w:rFonts w:ascii="Times New Roman" w:hAnsi="Times New Roman"/>
          <w:sz w:val="20"/>
        </w:rPr>
      </w:pPr>
      <w:r>
        <w:rPr>
          <w:rFonts w:ascii="Times New Roman" w:hAnsi="Times New Roman"/>
          <w:sz w:val="20"/>
        </w:rPr>
        <w:t xml:space="preserve">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 </w:t>
      </w:r>
    </w:p>
    <w:p>
      <w:pPr>
        <w:pStyle w:val="TextBody"/>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spacing w:before="120" w:after="0"/>
        <w:jc w:val="left"/>
        <w:rPr>
          <w:rFonts w:ascii="Times New Roman" w:hAnsi="Times New Roman"/>
          <w:sz w:val="20"/>
        </w:rPr>
      </w:pPr>
      <w:r>
        <w:rPr>
          <w:rFonts w:ascii="Times New Roman" w:hAnsi="Times New Roman"/>
          <w:sz w:val="20"/>
        </w:rPr>
        <w:t xml:space="preserve">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 </w:t>
      </w:r>
    </w:p>
    <w:p>
      <w:pPr>
        <w:pStyle w:val="TextBody"/>
        <w:spacing w:before="240" w:after="0"/>
        <w:jc w:val="left"/>
        <w:rPr>
          <w:rFonts w:ascii="Times New Roman" w:hAnsi="Times New Roman"/>
          <w:sz w:val="20"/>
        </w:rPr>
      </w:pPr>
      <w:r>
        <w:rPr>
          <w:rFonts w:ascii="Times New Roman" w:hAnsi="Times New Roman"/>
          <w:sz w:val="20"/>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Times New Roman" w:hAnsi="Times New Roman"/>
          <w:b/>
          <w:sz w:val="20"/>
        </w:rPr>
        <w:t>FOR</w:t>
      </w:r>
      <w:r>
        <w:rPr>
          <w:rFonts w:ascii="Times New Roman" w:hAnsi="Times New Roman"/>
          <w:sz w:val="20"/>
        </w:rPr>
        <w:t xml:space="preserve">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 </w:t>
      </w:r>
    </w:p>
    <w:p>
      <w:pPr>
        <w:pStyle w:val="TextBody"/>
        <w:spacing w:before="240" w:after="0"/>
        <w:jc w:val="left"/>
        <w:rPr>
          <w:rFonts w:ascii="Times New Roman" w:hAnsi="Times New Roman"/>
          <w:sz w:val="20"/>
        </w:rPr>
      </w:pPr>
      <w:r>
        <w:rPr>
          <w:rFonts w:ascii="Times New Roman" w:hAnsi="Times New Roman"/>
          <w:sz w:val="20"/>
        </w:rPr>
        <w:t xml:space="preserve">Our Sponsor has agreed to vote its shares of Armada Common Stock </w:t>
      </w:r>
      <w:r>
        <w:rPr>
          <w:rFonts w:ascii="Times New Roman" w:hAnsi="Times New Roman"/>
          <w:b/>
          <w:sz w:val="20"/>
        </w:rPr>
        <w:t>FOR</w:t>
      </w:r>
      <w:r>
        <w:rPr>
          <w:rFonts w:ascii="Times New Roman" w:hAnsi="Times New Roman"/>
          <w:sz w:val="20"/>
        </w:rPr>
        <w:t xml:space="preserve"> the Business Combination Proposal. As of the record date, our Sponsor owns approximately                 % of our issued and outstanding shares of Armada Common Stock. </w:t>
      </w:r>
    </w:p>
    <w:p>
      <w:pPr>
        <w:pStyle w:val="TextBody"/>
        <w:spacing w:before="240" w:after="0"/>
        <w:jc w:val="left"/>
        <w:rPr>
          <w:rFonts w:ascii="Times New Roman" w:hAnsi="Times New Roman"/>
          <w:b/>
          <w:sz w:val="20"/>
        </w:rPr>
      </w:pPr>
      <w:r>
        <w:rPr>
          <w:rFonts w:ascii="Times New Roman" w:hAnsi="Times New Roman"/>
          <w:b/>
          <w:sz w:val="20"/>
        </w:rPr>
        <w:t xml:space="preserve">THE ARMADA BOARD OF DIRECTORS UNANIMOUSLY RECOMMENDS THAT THE ARMADA STOCKHOLDERS VOTE FOR THE APPROVAL OF THE BUSINESS COMBINATION PROPOSAL. </w:t>
      </w:r>
    </w:p>
    <w:p>
      <w:pPr>
        <w:pStyle w:val="TextBody"/>
        <w:spacing w:before="240" w:after="0"/>
        <w:jc w:val="left"/>
        <w:rPr>
          <w:rFonts w:ascii="Times New Roman" w:hAnsi="Times New Roman"/>
          <w:sz w:val="20"/>
        </w:rPr>
      </w:pPr>
      <w:r>
        <w:rPr>
          <w:rFonts w:ascii="Times New Roman" w:hAnsi="Times New Roman"/>
          <w:sz w:val="20"/>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Times New Roman" w:hAnsi="Times New Roman"/>
          <w:i/>
          <w:sz w:val="20"/>
        </w:rPr>
        <w:t></w:t>
      </w:r>
      <w:r>
        <w:rPr>
          <w:rFonts w:ascii="Times New Roman" w:hAnsi="Times New Roman"/>
          <w:sz w:val="20"/>
        </w:rPr>
        <w:t> </w:t>
      </w:r>
      <w:r>
        <w:rPr>
          <w:rFonts w:ascii="Times New Roman" w:hAnsi="Times New Roman"/>
          <w:i/>
          <w:sz w:val="20"/>
        </w:rPr>
        <w:t>Interests of Armadas Directors and Officers in the Business Combination</w:t>
      </w:r>
      <w:r>
        <w:rPr>
          <w:rFonts w:ascii="Times New Roman" w:hAnsi="Times New Roman"/>
          <w:sz w:val="20"/>
        </w:rPr>
        <w:t xml:space="preserve"> for a further discussion.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x309194_16"/>
      <w:bookmarkEnd w:id="18"/>
      <w:r>
        <w:rPr>
          <w:rFonts w:ascii="Times New Roman" w:hAnsi="Times New Roman"/>
          <w:b/>
          <w:sz w:val="20"/>
        </w:rPr>
        <w:t xml:space="preserve">MATERIAL TAX CONSIDERATIONS </w:t>
      </w:r>
    </w:p>
    <w:p>
      <w:pPr>
        <w:pStyle w:val="TextBody"/>
        <w:spacing w:before="240" w:after="0"/>
        <w:jc w:val="left"/>
        <w:rPr>
          <w:rFonts w:ascii="Times New Roman" w:hAnsi="Times New Roman"/>
          <w:b/>
          <w:sz w:val="20"/>
        </w:rPr>
      </w:pPr>
      <w:r>
        <w:rPr>
          <w:rFonts w:ascii="Times New Roman" w:hAnsi="Times New Roman"/>
          <w:b/>
          <w:sz w:val="20"/>
        </w:rPr>
        <w:t xml:space="preserve">Material United Kingdom Tax Considerations </w:t>
      </w:r>
    </w:p>
    <w:p>
      <w:pPr>
        <w:pStyle w:val="TextBody"/>
        <w:spacing w:before="120" w:after="0"/>
        <w:jc w:val="left"/>
        <w:rPr>
          <w:rFonts w:ascii="Times New Roman" w:hAnsi="Times New Roman"/>
          <w:sz w:val="20"/>
        </w:rPr>
      </w:pPr>
      <w:r>
        <w:rPr>
          <w:rFonts w:ascii="Times New Roman" w:hAnsi="Times New Roman"/>
          <w:sz w:val="20"/>
        </w:rPr>
        <w:t xml:space="preserve">The following statements are based on current UK law as applied in England and HMRC published practice (which may not be binding on HMRC) as at the date of this document, both of which are subject to change, possibly with retrospective effect. </w:t>
      </w:r>
    </w:p>
    <w:p>
      <w:pPr>
        <w:pStyle w:val="TextBody"/>
        <w:spacing w:before="240" w:after="0"/>
        <w:jc w:val="left"/>
        <w:rPr>
          <w:rFonts w:ascii="Times New Roman" w:hAnsi="Times New Roman"/>
          <w:sz w:val="20"/>
        </w:rPr>
      </w:pPr>
      <w:r>
        <w:rPr>
          <w:rFonts w:ascii="Times New Roman" w:hAnsi="Times New Roman"/>
          <w:sz w:val="20"/>
        </w:rPr>
        <w:t xml:space="preserve">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 </w:t>
      </w:r>
    </w:p>
    <w:p>
      <w:pPr>
        <w:pStyle w:val="TextBody"/>
        <w:spacing w:before="240" w:after="0"/>
        <w:jc w:val="left"/>
        <w:rPr>
          <w:rFonts w:ascii="Times New Roman" w:hAnsi="Times New Roman"/>
          <w:sz w:val="20"/>
        </w:rPr>
      </w:pPr>
      <w:r>
        <w:rPr>
          <w:rFonts w:ascii="Times New Roman" w:hAnsi="Times New Roman"/>
          <w:sz w:val="20"/>
        </w:rPr>
        <w:t xml:space="preserve">The statements are not directed at and do not apply to persons who are resident, or in the case of individuals, domiciled for tax purposes in the UK. </w:t>
      </w:r>
    </w:p>
    <w:p>
      <w:pPr>
        <w:pStyle w:val="TextBody"/>
        <w:spacing w:before="240" w:after="0"/>
        <w:jc w:val="left"/>
        <w:rPr>
          <w:rFonts w:ascii="Times New Roman" w:hAnsi="Times New Roman"/>
          <w:sz w:val="20"/>
        </w:rPr>
      </w:pPr>
      <w:r>
        <w:rPr>
          <w:rFonts w:ascii="Times New Roman" w:hAnsi="Times New Roman"/>
          <w:sz w:val="20"/>
        </w:rPr>
        <w:t xml:space="preserve">IF YOU ARE IN ANY DOUBT AS TO YOUR TAX POSITION, YOU SHOULD CONSULT YOUR PROFESSIONAL TAX ADVISER. </w:t>
      </w:r>
    </w:p>
    <w:p>
      <w:pPr>
        <w:pStyle w:val="TextBody"/>
        <w:spacing w:before="360" w:after="0"/>
        <w:jc w:val="left"/>
        <w:rPr>
          <w:rFonts w:ascii="Times New Roman" w:hAnsi="Times New Roman"/>
          <w:b/>
          <w:i/>
          <w:sz w:val="20"/>
        </w:rPr>
      </w:pPr>
      <w:r>
        <w:rPr>
          <w:rFonts w:ascii="Times New Roman" w:hAnsi="Times New Roman"/>
          <w:b/>
          <w:i/>
          <w:sz w:val="20"/>
        </w:rPr>
        <w:t xml:space="preserve">Taxation of Rezolve </w:t>
      </w:r>
    </w:p>
    <w:p>
      <w:pPr>
        <w:pStyle w:val="TextBody"/>
        <w:spacing w:before="120" w:after="0"/>
        <w:jc w:val="left"/>
        <w:rPr>
          <w:rFonts w:ascii="Times New Roman" w:hAnsi="Times New Roman"/>
          <w:sz w:val="20"/>
        </w:rPr>
      </w:pPr>
      <w:r>
        <w:rPr>
          <w:rFonts w:ascii="Times New Roman" w:hAnsi="Times New Roman"/>
          <w:sz w:val="20"/>
        </w:rPr>
        <w:t xml:space="preserve">Rezolve is subject to UK corporation tax on its taxable profits and gains, as it is tax resident in the UK. The Business Combination will not give rise to any taxable profits or gains for Rezolve. </w:t>
      </w:r>
    </w:p>
    <w:p>
      <w:pPr>
        <w:pStyle w:val="TextBody"/>
        <w:spacing w:before="360" w:after="0"/>
        <w:jc w:val="left"/>
        <w:rPr>
          <w:rFonts w:ascii="Times New Roman" w:hAnsi="Times New Roman"/>
          <w:b/>
          <w:i/>
          <w:sz w:val="20"/>
        </w:rPr>
      </w:pPr>
      <w:r>
        <w:rPr>
          <w:rFonts w:ascii="Times New Roman" w:hAnsi="Times New Roman"/>
          <w:b/>
          <w:i/>
          <w:sz w:val="20"/>
        </w:rPr>
        <w:t xml:space="preserve">Taxation of Disposals </w:t>
      </w:r>
    </w:p>
    <w:p>
      <w:pPr>
        <w:pStyle w:val="TextBody"/>
        <w:spacing w:before="120" w:after="0"/>
        <w:jc w:val="left"/>
        <w:rPr>
          <w:rFonts w:ascii="Times New Roman" w:hAnsi="Times New Roman"/>
          <w:sz w:val="20"/>
        </w:rPr>
      </w:pPr>
      <w:r>
        <w:rPr>
          <w:rFonts w:ascii="Times New Roman" w:hAnsi="Times New Roman"/>
          <w:sz w:val="20"/>
        </w:rPr>
        <w:t xml:space="preserve">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 </w:t>
      </w:r>
    </w:p>
    <w:p>
      <w:pPr>
        <w:pStyle w:val="TextBody"/>
        <w:spacing w:before="240" w:after="0"/>
        <w:jc w:val="left"/>
        <w:rPr>
          <w:rFonts w:ascii="Times New Roman" w:hAnsi="Times New Roman"/>
          <w:sz w:val="20"/>
        </w:rPr>
      </w:pPr>
      <w:r>
        <w:rPr>
          <w:rFonts w:ascii="Times New Roman" w:hAnsi="Times New Roman"/>
          <w:sz w:val="20"/>
        </w:rPr>
        <w:t xml:space="preserve">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 </w:t>
      </w:r>
    </w:p>
    <w:p>
      <w:pPr>
        <w:pStyle w:val="TextBody"/>
        <w:spacing w:before="360" w:after="0"/>
        <w:jc w:val="left"/>
        <w:rPr>
          <w:rFonts w:ascii="Times New Roman" w:hAnsi="Times New Roman"/>
          <w:b/>
          <w:i/>
          <w:sz w:val="20"/>
        </w:rPr>
      </w:pPr>
      <w:r>
        <w:rPr>
          <w:rFonts w:ascii="Times New Roman" w:hAnsi="Times New Roman"/>
          <w:b/>
          <w:i/>
          <w:sz w:val="20"/>
        </w:rPr>
        <w:t xml:space="preserve">Taxation of Dividends </w:t>
      </w:r>
    </w:p>
    <w:p>
      <w:pPr>
        <w:pStyle w:val="TextBody"/>
        <w:spacing w:before="120" w:after="0"/>
        <w:jc w:val="left"/>
        <w:rPr>
          <w:rFonts w:ascii="Times New Roman" w:hAnsi="Times New Roman"/>
          <w:sz w:val="20"/>
        </w:rPr>
      </w:pPr>
      <w:r>
        <w:rPr>
          <w:rFonts w:ascii="Times New Roman" w:hAnsi="Times New Roman"/>
          <w:sz w:val="20"/>
        </w:rPr>
        <w:t xml:space="preserve">Rezolve is not required to withhold UK tax when paying a dividend. </w:t>
      </w:r>
    </w:p>
    <w:p>
      <w:pPr>
        <w:pStyle w:val="TextBody"/>
        <w:spacing w:before="240" w:after="0"/>
        <w:jc w:val="left"/>
        <w:rPr>
          <w:rFonts w:ascii="Times New Roman" w:hAnsi="Times New Roman"/>
          <w:sz w:val="20"/>
        </w:rPr>
      </w:pPr>
      <w:r>
        <w:rPr>
          <w:rFonts w:ascii="Times New Roman" w:hAnsi="Times New Roman"/>
          <w:sz w:val="20"/>
        </w:rPr>
        <w:t xml:space="preserve">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Stamp Duty and Stamp Duty Reserve Tax (SDRT) </w:t>
      </w:r>
    </w:p>
    <w:p>
      <w:pPr>
        <w:pStyle w:val="TextBody"/>
        <w:spacing w:before="120" w:after="0"/>
        <w:jc w:val="left"/>
        <w:rPr>
          <w:rFonts w:ascii="Times New Roman" w:hAnsi="Times New Roman"/>
          <w:sz w:val="20"/>
        </w:rPr>
      </w:pPr>
      <w:r>
        <w:rPr>
          <w:rFonts w:ascii="Times New Roman" w:hAnsi="Times New Roman"/>
          <w:sz w:val="20"/>
        </w:rPr>
        <w:t xml:space="preserve">No UK stamp duty or UK SDRT should arise on the issue of Rezolve Ordinary Shares. </w:t>
      </w:r>
    </w:p>
    <w:p>
      <w:pPr>
        <w:pStyle w:val="TextBody"/>
        <w:spacing w:before="240" w:after="0"/>
        <w:jc w:val="left"/>
        <w:rPr>
          <w:rFonts w:ascii="Times New Roman" w:hAnsi="Times New Roman"/>
          <w:sz w:val="20"/>
        </w:rPr>
      </w:pPr>
      <w:r>
        <w:rPr>
          <w:rFonts w:ascii="Times New Roman" w:hAnsi="Times New Roman"/>
          <w:sz w:val="20"/>
        </w:rPr>
        <w:t xml:space="preserve">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 </w:t>
      </w:r>
    </w:p>
    <w:p>
      <w:pPr>
        <w:pStyle w:val="TextBody"/>
        <w:spacing w:before="240" w:after="0"/>
        <w:jc w:val="left"/>
        <w:rPr>
          <w:rFonts w:ascii="Times New Roman" w:hAnsi="Times New Roman"/>
          <w:sz w:val="20"/>
        </w:rPr>
      </w:pPr>
      <w:r>
        <w:rPr>
          <w:rFonts w:ascii="Times New Roman" w:hAnsi="Times New Roman"/>
          <w:sz w:val="20"/>
        </w:rPr>
        <w:t xml:space="preserve">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 </w:t>
      </w:r>
    </w:p>
    <w:p>
      <w:pPr>
        <w:pStyle w:val="TextBody"/>
        <w:spacing w:before="360" w:after="0"/>
        <w:jc w:val="left"/>
        <w:rPr>
          <w:rFonts w:ascii="Times New Roman" w:hAnsi="Times New Roman"/>
          <w:b/>
          <w:sz w:val="20"/>
        </w:rPr>
      </w:pPr>
      <w:r>
        <w:rPr>
          <w:rFonts w:ascii="Times New Roman" w:hAnsi="Times New Roman"/>
          <w:b/>
          <w:sz w:val="20"/>
        </w:rPr>
        <w:t xml:space="preserve">Material U.S. Federal Tax Considerations </w:t>
      </w:r>
    </w:p>
    <w:p>
      <w:pPr>
        <w:pStyle w:val="TextBody"/>
        <w:spacing w:before="120" w:after="0"/>
        <w:jc w:val="left"/>
        <w:rPr>
          <w:rFonts w:ascii="Times New Roman" w:hAnsi="Times New Roman"/>
          <w:sz w:val="20"/>
        </w:rPr>
      </w:pPr>
      <w:r>
        <w:rPr>
          <w:rFonts w:ascii="Times New Roman" w:hAnsi="Times New Roman"/>
          <w:sz w:val="20"/>
        </w:rPr>
        <w:t xml:space="preserve">This section describes the material U.S. federal income tax considerations for beneficial owners of Armada Common Stock and Armada Warrants (collectively, the Armada securities) (i) electing to have their Armada Common Stock redeemed for cash if the Business Combination is completed, (ii) 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brokers, dealers and other investors that do not own their Armada securities, Rezolve Ordinary Shares or Rezolve Warrants as capital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tax-exempt organizations, qualified retirement plans, individual retirement accounts or other tax deferred accounts;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banks or other financial institutions, underwriters, insurance companies, real estate investment trusts or regulated investment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expatriates or former long-term residents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own (directly, indirectly, or by attribution) 5% or more (by vote or value) of the Armada Common Stock or Rezolve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or beneficial owners of partnerships or other pass-through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holding Armada securities, Rezolve Ordinary Shares or Rezolve Warrants as part of a straddle, hedging or conversion transaction, constructive sale, or other arrangement involving more than one position;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Armada securities, Rezolve Ordinary Shares or Rezolve Warrants as a result of such income being recognized on an applicable financial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that received Armada securities, Rezolve Ordinary Shares or Rezolve Warrants as compensation for services;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controlled foreign corporations or passive foreign investment companies. </w:t>
            </w:r>
          </w:p>
        </w:tc>
      </w:tr>
    </w:tbl>
    <w:p>
      <w:pPr>
        <w:pStyle w:val="TextBody"/>
        <w:spacing w:before="240" w:after="0"/>
        <w:jc w:val="left"/>
        <w:rPr>
          <w:rFonts w:ascii="Times New Roman" w:hAnsi="Times New Roman"/>
          <w:sz w:val="20"/>
        </w:rPr>
      </w:pPr>
      <w:r>
        <w:rPr>
          <w:rFonts w:ascii="Times New Roman" w:hAnsi="Times New Roman"/>
          <w:sz w:val="20"/>
        </w:rPr>
        <w:t xml:space="preserve">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 </w:t>
      </w:r>
    </w:p>
    <w:p>
      <w:pPr>
        <w:pStyle w:val="TextBody"/>
        <w:spacing w:before="240" w:after="0"/>
        <w:jc w:val="left"/>
        <w:rPr>
          <w:rFonts w:ascii="Times New Roman" w:hAnsi="Times New Roman"/>
          <w:sz w:val="20"/>
        </w:rPr>
      </w:pPr>
      <w:r>
        <w:rPr>
          <w:rFonts w:ascii="Times New Roman" w:hAnsi="Times New Roman"/>
          <w:sz w:val="20"/>
        </w:rPr>
        <w:t xml:space="preserve">Except as specifically provided, the discussion below applies only to U.S. holders. For purposes of this discussion, a U.S. holder means a beneficial owner of Armada securities, Rezolve Ordinary Shares or Rezolve Warrants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tc>
      </w:tr>
    </w:tbl>
    <w:p>
      <w:pPr>
        <w:pStyle w:val="TextBody"/>
        <w:spacing w:before="240" w:after="0"/>
        <w:jc w:val="left"/>
        <w:rPr>
          <w:rFonts w:ascii="Times New Roman" w:hAnsi="Times New Roman"/>
          <w:sz w:val="20"/>
        </w:rPr>
      </w:pPr>
      <w:r>
        <w:rPr>
          <w:rFonts w:ascii="Times New Roman" w:hAnsi="Times New Roman"/>
          <w:sz w:val="20"/>
        </w:rPr>
        <w:t xml:space="preserve">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 </w:t>
      </w:r>
    </w:p>
    <w:p>
      <w:pPr>
        <w:pStyle w:val="TextBody"/>
        <w:spacing w:before="240" w:after="0"/>
        <w:jc w:val="left"/>
        <w:rPr>
          <w:rFonts w:ascii="Times New Roman" w:hAnsi="Times New Roman"/>
          <w:sz w:val="20"/>
        </w:rPr>
      </w:pPr>
      <w:r>
        <w:rPr>
          <w:rFonts w:ascii="Times New Roman" w:hAnsi="Times New Roman"/>
          <w:sz w:val="20"/>
        </w:rPr>
        <w:t xml:space="preserve">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 </w:t>
      </w:r>
    </w:p>
    <w:p>
      <w:pPr>
        <w:pStyle w:val="TextBody"/>
        <w:spacing w:before="360" w:after="0"/>
        <w:jc w:val="left"/>
        <w:rPr>
          <w:rFonts w:ascii="Times New Roman" w:hAnsi="Times New Roman"/>
          <w:b/>
          <w:i/>
          <w:sz w:val="20"/>
        </w:rPr>
      </w:pPr>
      <w:r>
        <w:rPr>
          <w:rFonts w:ascii="Times New Roman" w:hAnsi="Times New Roman"/>
          <w:b/>
          <w:i/>
          <w:sz w:val="20"/>
        </w:rPr>
        <w:t xml:space="preserve">U.S. Federal Income Tax Treatment of Rezolve </w:t>
      </w:r>
    </w:p>
    <w:p>
      <w:pPr>
        <w:pStyle w:val="TextBody"/>
        <w:spacing w:before="120" w:after="0"/>
        <w:jc w:val="left"/>
        <w:rPr>
          <w:rFonts w:ascii="Times New Roman" w:hAnsi="Times New Roman"/>
          <w:sz w:val="20"/>
        </w:rPr>
      </w:pPr>
      <w:r>
        <w:rPr>
          <w:rFonts w:ascii="Times New Roman" w:hAnsi="Times New Roman"/>
          <w:sz w:val="20"/>
        </w:rPr>
        <w:t xml:space="preserve">A corporation is generally considered for U.S. federal income tax purposes to be a tax resident in the jurisdiction of its organization or incorporation. Accordingly, under the generally applicable U.S. federal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spacing w:before="240" w:after="0"/>
        <w:jc w:val="left"/>
        <w:rPr>
          <w:rFonts w:ascii="Times New Roman" w:hAnsi="Times New Roman"/>
          <w:sz w:val="20"/>
        </w:rPr>
      </w:pPr>
      <w:r>
        <w:rPr>
          <w:rFonts w:ascii="Times New Roman" w:hAnsi="Times New Roman"/>
          <w:sz w:val="20"/>
        </w:rPr>
        <w:t xml:space="preserve">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 </w:t>
      </w:r>
    </w:p>
    <w:p>
      <w:pPr>
        <w:pStyle w:val="TextBody"/>
        <w:spacing w:before="240" w:after="0"/>
        <w:jc w:val="left"/>
        <w:rPr>
          <w:rFonts w:ascii="Times New Roman" w:hAnsi="Times New Roman"/>
          <w:sz w:val="20"/>
        </w:rPr>
      </w:pPr>
      <w:r>
        <w:rPr>
          <w:rFonts w:ascii="Times New Roman" w:hAnsi="Times New Roman"/>
          <w:sz w:val="20"/>
        </w:rPr>
        <w:t xml:space="preserve">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 </w:t>
      </w:r>
    </w:p>
    <w:p>
      <w:pPr>
        <w:pStyle w:val="TextBody"/>
        <w:spacing w:before="240" w:after="0"/>
        <w:jc w:val="left"/>
        <w:rPr>
          <w:rFonts w:ascii="Times New Roman" w:hAnsi="Times New Roman"/>
          <w:sz w:val="20"/>
        </w:rPr>
      </w:pPr>
      <w:r>
        <w:rPr>
          <w:rFonts w:ascii="Times New Roman" w:hAnsi="Times New Roman"/>
          <w:sz w:val="20"/>
        </w:rPr>
        <w:t xml:space="preserve">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80%. Accordingly, Rezolve is not currently expected to be treated as a U.S. corporation for U.S. federal income tax purposes under Section 7874. However, whether the 80%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for purposes of determining the ownership percentage of former Armada stockholders for purposes of Section 7874,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Rezolve will not be treated as a U.S. corporation for U.S. federal income tax purposes under Section 7874 of the Code. </w:t>
      </w:r>
    </w:p>
    <w:p>
      <w:pPr>
        <w:pStyle w:val="TextBody"/>
        <w:spacing w:before="240" w:after="0"/>
        <w:jc w:val="left"/>
        <w:rPr>
          <w:rFonts w:ascii="Times New Roman" w:hAnsi="Times New Roman"/>
          <w:sz w:val="20"/>
        </w:rPr>
      </w:pPr>
      <w:r>
        <w:rPr>
          <w:rFonts w:ascii="Times New Roman" w:hAnsi="Times New Roman"/>
          <w:sz w:val="20"/>
        </w:rPr>
        <w:t xml:space="preserve">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 </w:t>
      </w:r>
    </w:p>
    <w:p>
      <w:pPr>
        <w:pStyle w:val="TextBody"/>
        <w:spacing w:before="240" w:after="0"/>
        <w:jc w:val="left"/>
        <w:rPr>
          <w:rFonts w:ascii="Times New Roman" w:hAnsi="Times New Roman"/>
          <w:sz w:val="20"/>
        </w:rPr>
      </w:pPr>
      <w:r>
        <w:rPr>
          <w:rFonts w:ascii="Times New Roman" w:hAnsi="Times New Roman"/>
          <w:sz w:val="20"/>
        </w:rPr>
        <w:t xml:space="preserve">The remainder of this discussion assumes that Rezolve will not be treated as a U.S. corporation for U.S. federal income tax purposes under Section 7874 of the Code. </w:t>
      </w:r>
    </w:p>
    <w:p>
      <w:pPr>
        <w:pStyle w:val="TextBody"/>
        <w:spacing w:before="240" w:after="0"/>
        <w:jc w:val="left"/>
        <w:rPr>
          <w:rFonts w:ascii="Times New Roman" w:hAnsi="Times New Roman"/>
          <w:sz w:val="20"/>
        </w:rPr>
      </w:pPr>
      <w:r>
        <w:rPr>
          <w:rFonts w:ascii="Times New Roman" w:hAnsi="Times New Roman"/>
          <w:sz w:val="20"/>
        </w:rPr>
        <w:t xml:space="preserve">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least sixty percent (60%) but less than eighty percent (80%) (by vote or value) of the shares of the non-U.S. acquiror by reason of holding shares of the U.S. acquired corporation as determined for purposes of Section 7874 (this test is referred to as the 60% ownership test). </w:t>
      </w:r>
    </w:p>
    <w:p>
      <w:pPr>
        <w:pStyle w:val="TextBody"/>
        <w:spacing w:before="240" w:after="0"/>
        <w:jc w:val="left"/>
        <w:rPr>
          <w:rFonts w:ascii="Times New Roman" w:hAnsi="Times New Roman"/>
          <w:sz w:val="20"/>
        </w:rPr>
      </w:pPr>
      <w:r>
        <w:rPr>
          <w:rFonts w:ascii="Times New Roman" w:hAnsi="Times New Roman"/>
          <w:sz w:val="20"/>
        </w:rPr>
        <w:t xml:space="preserve">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 </w:t>
      </w:r>
    </w:p>
    <w:p>
      <w:pPr>
        <w:pStyle w:val="TextBody"/>
        <w:spacing w:before="240" w:after="0"/>
        <w:jc w:val="left"/>
        <w:rPr>
          <w:rFonts w:ascii="Times New Roman" w:hAnsi="Times New Roman"/>
          <w:sz w:val="20"/>
        </w:rPr>
      </w:pPr>
      <w:r>
        <w:rPr>
          <w:rFonts w:ascii="Times New Roman" w:hAnsi="Times New Roman"/>
          <w:sz w:val="20"/>
        </w:rPr>
        <w:t xml:space="preserve">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 </w:t>
      </w:r>
    </w:p>
    <w:p>
      <w:pPr>
        <w:pStyle w:val="TextBody"/>
        <w:spacing w:before="360" w:after="0"/>
        <w:jc w:val="left"/>
        <w:rPr>
          <w:rFonts w:ascii="Times New Roman" w:hAnsi="Times New Roman"/>
          <w:b/>
          <w:i/>
          <w:sz w:val="20"/>
        </w:rPr>
      </w:pPr>
      <w:r>
        <w:rPr>
          <w:rFonts w:ascii="Times New Roman" w:hAnsi="Times New Roman"/>
          <w:b/>
          <w:i/>
          <w:sz w:val="20"/>
        </w:rPr>
        <w:t xml:space="preserve">The Business Combination </w:t>
      </w:r>
    </w:p>
    <w:p>
      <w:pPr>
        <w:pStyle w:val="TextBody"/>
        <w:spacing w:before="120" w:after="0"/>
        <w:jc w:val="left"/>
        <w:rPr>
          <w:rFonts w:ascii="Times New Roman" w:hAnsi="Times New Roman"/>
          <w:i/>
          <w:sz w:val="20"/>
        </w:rPr>
      </w:pPr>
      <w:r>
        <w:rPr>
          <w:rFonts w:ascii="Times New Roman" w:hAnsi="Times New Roman"/>
          <w:i/>
          <w:sz w:val="20"/>
        </w:rPr>
        <w:t xml:space="preserve">Qualification of the Business Combination as a Reorganization </w:t>
      </w:r>
    </w:p>
    <w:p>
      <w:pPr>
        <w:pStyle w:val="TextBody"/>
        <w:spacing w:before="120" w:after="0"/>
        <w:jc w:val="left"/>
        <w:rPr>
          <w:rFonts w:ascii="Times New Roman" w:hAnsi="Times New Roman"/>
          <w:sz w:val="20"/>
        </w:rPr>
      </w:pPr>
      <w:r>
        <w:rPr>
          <w:rFonts w:ascii="Times New Roman" w:hAnsi="Times New Roman"/>
          <w:sz w:val="20"/>
        </w:rPr>
        <w:t xml:space="preserve">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 </w:t>
      </w:r>
    </w:p>
    <w:p>
      <w:pPr>
        <w:pStyle w:val="TextBody"/>
        <w:spacing w:before="240" w:after="0"/>
        <w:jc w:val="left"/>
        <w:rPr>
          <w:rFonts w:ascii="Times New Roman" w:hAnsi="Times New Roman"/>
          <w:sz w:val="20"/>
        </w:rPr>
      </w:pPr>
      <w:r>
        <w:rPr>
          <w:rFonts w:ascii="Times New Roman" w:hAnsi="Times New Roman"/>
          <w:sz w:val="20"/>
        </w:rPr>
        <w:t xml:space="preserve">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 </w:t>
      </w:r>
    </w:p>
    <w:p>
      <w:pPr>
        <w:pStyle w:val="TextBody"/>
        <w:spacing w:before="240" w:after="0"/>
        <w:jc w:val="left"/>
        <w:rPr>
          <w:rFonts w:ascii="Times New Roman" w:hAnsi="Times New Roman"/>
          <w:sz w:val="20"/>
        </w:rPr>
      </w:pPr>
      <w:r>
        <w:rPr>
          <w:rFonts w:ascii="Times New Roman" w:hAnsi="Times New Roman"/>
          <w:sz w:val="20"/>
        </w:rPr>
        <w:t xml:space="preserve">IN LIGHT OF THE FOREGOING AND BECAUSE THE FOLLOWING DISCUSSION IS INTENDED AS A GENERAL SUMMARY ONLY, EACH HOLDER OF ARMADA SHARES OR WARRANTS IS URGED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 </w:t>
      </w:r>
    </w:p>
    <w:p>
      <w:pPr>
        <w:pStyle w:val="TextBody"/>
        <w:spacing w:before="360" w:after="0"/>
        <w:jc w:val="left"/>
        <w:rPr>
          <w:rFonts w:ascii="Times New Roman" w:hAnsi="Times New Roman"/>
          <w:i/>
          <w:sz w:val="20"/>
        </w:rPr>
      </w:pPr>
      <w:r>
        <w:rPr>
          <w:rFonts w:ascii="Times New Roman" w:hAnsi="Times New Roman"/>
          <w:i/>
          <w:sz w:val="20"/>
        </w:rPr>
        <w:t xml:space="preserve">Consequences if the Business Combination Qualifies as a Reorganization </w:t>
      </w:r>
    </w:p>
    <w:p>
      <w:pPr>
        <w:pStyle w:val="TextBody"/>
        <w:spacing w:before="120" w:after="0"/>
        <w:jc w:val="left"/>
        <w:rPr>
          <w:rFonts w:ascii="Times New Roman" w:hAnsi="Times New Roman"/>
          <w:sz w:val="20"/>
        </w:rPr>
      </w:pPr>
      <w:r>
        <w:rPr>
          <w:rFonts w:ascii="Times New Roman" w:hAnsi="Times New Roman"/>
          <w:sz w:val="20"/>
        </w:rPr>
        <w:t xml:space="preserve">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 (ii) a U.S. Holder of Armada warrants whose Armada warrants are assumed by Rezolve would not recognize gain or loss in respect of such assumptions; (iii) 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 </w:t>
      </w:r>
    </w:p>
    <w:p>
      <w:pPr>
        <w:pStyle w:val="TextBody"/>
        <w:spacing w:before="360" w:after="0"/>
        <w:jc w:val="left"/>
        <w:rPr>
          <w:rFonts w:ascii="Times New Roman" w:hAnsi="Times New Roman"/>
          <w:i/>
          <w:sz w:val="20"/>
        </w:rPr>
      </w:pPr>
      <w:r>
        <w:rPr>
          <w:rFonts w:ascii="Times New Roman" w:hAnsi="Times New Roman"/>
          <w:i/>
          <w:sz w:val="20"/>
        </w:rPr>
        <w:t xml:space="preserve">Section 367(a) </w:t>
      </w:r>
    </w:p>
    <w:p>
      <w:pPr>
        <w:pStyle w:val="TextBody"/>
        <w:spacing w:before="120" w:after="0"/>
        <w:jc w:val="left"/>
        <w:rPr>
          <w:rFonts w:ascii="Times New Roman" w:hAnsi="Times New Roman"/>
          <w:sz w:val="20"/>
        </w:rPr>
      </w:pPr>
      <w:r>
        <w:rPr>
          <w:rFonts w:ascii="Times New Roman" w:hAnsi="Times New Roman"/>
          <w:sz w:val="20"/>
        </w:rPr>
        <w:t xml:space="preserve">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 </w:t>
      </w:r>
    </w:p>
    <w:p>
      <w:pPr>
        <w:pStyle w:val="TextBody"/>
        <w:spacing w:before="240" w:after="0"/>
        <w:jc w:val="left"/>
        <w:rPr>
          <w:rFonts w:ascii="Times New Roman" w:hAnsi="Times New Roman"/>
          <w:sz w:val="20"/>
        </w:rPr>
      </w:pPr>
      <w:r>
        <w:rPr>
          <w:rFonts w:ascii="Times New Roman" w:hAnsi="Times New Roman"/>
          <w:sz w:val="20"/>
        </w:rPr>
        <w:t xml:space="preserve">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 </w:t>
      </w:r>
    </w:p>
    <w:p>
      <w:pPr>
        <w:pStyle w:val="TextBody"/>
        <w:spacing w:before="240" w:after="0"/>
        <w:jc w:val="left"/>
        <w:rPr>
          <w:rFonts w:ascii="Times New Roman" w:hAnsi="Times New Roman"/>
          <w:sz w:val="20"/>
        </w:rPr>
      </w:pPr>
      <w:r>
        <w:rPr>
          <w:rFonts w:ascii="Times New Roman" w:hAnsi="Times New Roman"/>
          <w:sz w:val="20"/>
        </w:rPr>
        <w:t xml:space="preserve">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 </w:t>
      </w:r>
    </w:p>
    <w:p>
      <w:pPr>
        <w:pStyle w:val="TextBody"/>
        <w:spacing w:before="360" w:after="0"/>
        <w:jc w:val="left"/>
        <w:rPr>
          <w:rFonts w:ascii="Times New Roman" w:hAnsi="Times New Roman"/>
          <w:i/>
          <w:sz w:val="20"/>
        </w:rPr>
      </w:pPr>
      <w:r>
        <w:rPr>
          <w:rFonts w:ascii="Times New Roman" w:hAnsi="Times New Roman"/>
          <w:i/>
          <w:sz w:val="20"/>
        </w:rPr>
        <w:t xml:space="preserve">Consequences if the Business Combination Fails to Qualify as a Reorganization </w:t>
      </w:r>
    </w:p>
    <w:p>
      <w:pPr>
        <w:pStyle w:val="TextBody"/>
        <w:spacing w:before="120" w:after="0"/>
        <w:jc w:val="left"/>
        <w:rPr>
          <w:rFonts w:ascii="Times New Roman" w:hAnsi="Times New Roman"/>
          <w:sz w:val="20"/>
        </w:rPr>
      </w:pPr>
      <w:r>
        <w:rPr>
          <w:rFonts w:ascii="Times New Roman" w:hAnsi="Times New Roman"/>
          <w:sz w:val="20"/>
        </w:rPr>
        <w:t xml:space="preserve">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 </w:t>
      </w:r>
    </w:p>
    <w:p>
      <w:pPr>
        <w:pStyle w:val="TextBody"/>
        <w:spacing w:before="240" w:after="0"/>
        <w:jc w:val="left"/>
        <w:rPr>
          <w:rFonts w:ascii="Times New Roman" w:hAnsi="Times New Roman"/>
          <w:sz w:val="20"/>
        </w:rPr>
      </w:pPr>
      <w:r>
        <w:rPr>
          <w:rFonts w:ascii="Times New Roman" w:hAnsi="Times New Roman"/>
          <w:sz w:val="20"/>
        </w:rPr>
        <w:t xml:space="preserve">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 </w:t>
      </w:r>
    </w:p>
    <w:p>
      <w:pPr>
        <w:pStyle w:val="TextBody"/>
        <w:spacing w:before="240" w:after="0"/>
        <w:jc w:val="left"/>
        <w:rPr>
          <w:rFonts w:ascii="Times New Roman" w:hAnsi="Times New Roman"/>
          <w:sz w:val="20"/>
        </w:rPr>
      </w:pPr>
      <w:r>
        <w:rPr>
          <w:rFonts w:ascii="Times New Roman" w:hAnsi="Times New Roman"/>
          <w:sz w:val="20"/>
        </w:rPr>
        <w:t xml:space="preserve">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Redemption of Armada Common Stock </w:t>
      </w:r>
    </w:p>
    <w:p>
      <w:pPr>
        <w:pStyle w:val="TextBody"/>
        <w:spacing w:before="120" w:after="0"/>
        <w:jc w:val="left"/>
        <w:rPr>
          <w:rFonts w:ascii="Times New Roman" w:hAnsi="Times New Roman"/>
          <w:sz w:val="20"/>
        </w:rPr>
      </w:pPr>
      <w:r>
        <w:rPr>
          <w:rFonts w:ascii="Times New Roman" w:hAnsi="Times New Roman"/>
          <w:sz w:val="20"/>
        </w:rPr>
        <w:t xml:space="preserve">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 </w:t>
      </w:r>
    </w:p>
    <w:p>
      <w:pPr>
        <w:pStyle w:val="TextBody"/>
        <w:spacing w:before="240" w:after="0"/>
        <w:jc w:val="left"/>
        <w:rPr>
          <w:rFonts w:ascii="Times New Roman" w:hAnsi="Times New Roman"/>
          <w:sz w:val="20"/>
        </w:rPr>
      </w:pPr>
      <w:r>
        <w:rPr>
          <w:rFonts w:ascii="Times New Roman" w:hAnsi="Times New Roman"/>
          <w:sz w:val="20"/>
        </w:rPr>
        <w:t xml:space="preserve">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 </w:t>
      </w:r>
    </w:p>
    <w:p>
      <w:pPr>
        <w:pStyle w:val="TextBody"/>
        <w:spacing w:before="240" w:after="0"/>
        <w:jc w:val="left"/>
        <w:rPr>
          <w:rFonts w:ascii="Times New Roman" w:hAnsi="Times New Roman"/>
          <w:sz w:val="20"/>
        </w:rPr>
      </w:pPr>
      <w:r>
        <w:rPr>
          <w:rFonts w:ascii="Times New Roman" w:hAnsi="Times New Roman"/>
          <w:sz w:val="20"/>
        </w:rPr>
        <w:t xml:space="preserve">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 </w:t>
      </w:r>
    </w:p>
    <w:p>
      <w:pPr>
        <w:pStyle w:val="TextBody"/>
        <w:spacing w:before="240" w:after="0"/>
        <w:jc w:val="left"/>
        <w:rPr>
          <w:rFonts w:ascii="Times New Roman" w:hAnsi="Times New Roman"/>
          <w:sz w:val="20"/>
        </w:rPr>
      </w:pPr>
      <w:r>
        <w:rPr>
          <w:rFonts w:ascii="Times New Roman" w:hAnsi="Times New Roman"/>
          <w:sz w:val="20"/>
        </w:rPr>
        <w:t xml:space="preserve">If the redemption does not qualify as a sale of stock under Section 302 of the Code, then the U.S. holder will be treated as receiving a corporate distribution. Such distribution generally will constitute a dividend for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 </w:t>
      </w:r>
    </w:p>
    <w:p>
      <w:pPr>
        <w:pStyle w:val="TextBody"/>
        <w:spacing w:before="360" w:after="0"/>
        <w:jc w:val="left"/>
        <w:rPr>
          <w:rFonts w:ascii="Times New Roman" w:hAnsi="Times New Roman"/>
          <w:b/>
          <w:i/>
          <w:sz w:val="20"/>
        </w:rPr>
      </w:pPr>
      <w:r>
        <w:rPr>
          <w:rFonts w:ascii="Times New Roman" w:hAnsi="Times New Roman"/>
          <w:b/>
          <w:i/>
          <w:sz w:val="20"/>
        </w:rPr>
        <w:t xml:space="preserve">Distributions on Rezolve Ordinary Shares </w:t>
      </w:r>
    </w:p>
    <w:p>
      <w:pPr>
        <w:pStyle w:val="TextBody"/>
        <w:spacing w:before="120" w:after="0"/>
        <w:jc w:val="left"/>
        <w:rPr>
          <w:rFonts w:ascii="Times New Roman" w:hAnsi="Times New Roman"/>
          <w:sz w:val="20"/>
        </w:rPr>
      </w:pPr>
      <w:r>
        <w:rPr>
          <w:rFonts w:ascii="Times New Roman" w:hAnsi="Times New Roman"/>
          <w:sz w:val="20"/>
        </w:rPr>
        <w:t>Subject to the discussion under the section entitled </w:t>
      </w:r>
      <w:r>
        <w:rPr>
          <w:rFonts w:ascii="Times New Roman" w:hAnsi="Times New Roman"/>
          <w:i/>
          <w:sz w:val="20"/>
        </w:rPr>
        <w:t>Material Tax Considerations  Material U.S. Federal Income Tax Considerations</w:t>
      </w:r>
      <w:r>
        <w:rPr>
          <w:rFonts w:ascii="Times New Roman" w:hAnsi="Times New Roman"/>
          <w:sz w:val="20"/>
        </w:rPr>
        <w:t xml:space="preserve"> </w:t>
      </w:r>
      <w:r>
        <w:rPr>
          <w:rFonts w:ascii="Times New Roman" w:hAnsi="Times New Roman"/>
          <w:i/>
          <w:sz w:val="20"/>
        </w:rPr>
        <w:t> Passive Foreign Investment Company Rules</w:t>
      </w:r>
      <w:r>
        <w:rPr>
          <w:rFonts w:ascii="Times New Roman" w:hAnsi="Times New Roman"/>
          <w:sz w:val="20"/>
        </w:rPr>
        <w:t xml:space="preserve">, the gross amount of any distribution on Rezolve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 </w:t>
      </w:r>
    </w:p>
    <w:p>
      <w:pPr>
        <w:pStyle w:val="TextBody"/>
        <w:spacing w:before="240" w:after="0"/>
        <w:jc w:val="left"/>
        <w:rPr>
          <w:rFonts w:ascii="Times New Roman" w:hAnsi="Times New Roman"/>
          <w:sz w:val="20"/>
        </w:rPr>
      </w:pPr>
      <w:r>
        <w:rPr>
          <w:rFonts w:ascii="Times New Roman" w:hAnsi="Times New Roman"/>
          <w:sz w:val="20"/>
        </w:rPr>
        <w:t>Subject to the discussion under the section entitled </w:t>
      </w:r>
      <w:r>
        <w:rPr>
          <w:rFonts w:ascii="Times New Roman" w:hAnsi="Times New Roman"/>
          <w:i/>
          <w:sz w:val="20"/>
        </w:rPr>
        <w:t>Material Tax Considerations  Material U.S. Federal Income Tax Considerations  Passive Foreign Investment Company Rules</w:t>
      </w:r>
      <w:r>
        <w:rPr>
          <w:rFonts w:ascii="Times New Roman" w:hAnsi="Times New Roman"/>
          <w:sz w:val="20"/>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hAnsi="Times New Roman"/>
          <w:i/>
          <w:sz w:val="20"/>
        </w:rPr>
        <w:t>Material Tax Considerations  Material U.S. Federal Income Tax Considerations  Passive Foreign Investment Company Rules.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 passive category income. The rules governing the U.S. foreign tax credit are complex. U.S.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should consult their own tax advisors regarding the availability of the U.S. foreign tax credit under particular circumstances. </w:t>
      </w:r>
    </w:p>
    <w:p>
      <w:pPr>
        <w:pStyle w:val="TextBody"/>
        <w:spacing w:before="360" w:after="0"/>
        <w:jc w:val="left"/>
        <w:rPr>
          <w:rFonts w:ascii="Times New Roman" w:hAnsi="Times New Roman"/>
          <w:b/>
          <w:i/>
          <w:sz w:val="20"/>
        </w:rPr>
      </w:pPr>
      <w:r>
        <w:rPr>
          <w:rFonts w:ascii="Times New Roman" w:hAnsi="Times New Roman"/>
          <w:b/>
          <w:i/>
          <w:sz w:val="20"/>
        </w:rPr>
        <w:t xml:space="preserve">Sale, Exchange, Redemption or Other Taxable Disposition of Rezolve Ordinary Shares and Rezolve Warrants </w:t>
      </w:r>
    </w:p>
    <w:p>
      <w:pPr>
        <w:pStyle w:val="TextBody"/>
        <w:spacing w:before="120" w:after="0"/>
        <w:jc w:val="left"/>
        <w:rPr>
          <w:rFonts w:ascii="Times New Roman" w:hAnsi="Times New Roman"/>
          <w:sz w:val="20"/>
        </w:rPr>
      </w:pPr>
      <w:r>
        <w:rPr>
          <w:rFonts w:ascii="Times New Roman" w:hAnsi="Times New Roman"/>
          <w:sz w:val="20"/>
        </w:rPr>
        <w:t>Subject to the discussion under the section entitled </w:t>
      </w:r>
      <w:r>
        <w:rPr>
          <w:rFonts w:ascii="Times New Roman" w:hAnsi="Times New Roman"/>
          <w:i/>
          <w:sz w:val="20"/>
        </w:rPr>
        <w:t>Material Tax Considerations  Material U.S. Federal Income Tax Considerations  Passive Foreign Investment Company Rules</w:t>
      </w:r>
      <w:r>
        <w:rPr>
          <w:rFonts w:ascii="Times New Roman" w:hAnsi="Times New Roman"/>
          <w:sz w:val="20"/>
        </w:rPr>
        <w:t xml:space="preserve">, a U.S. holder generally will recognize gain or loss on any sale, exchange, redemption or other taxable disposition 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 </w:t>
      </w:r>
    </w:p>
    <w:p>
      <w:pPr>
        <w:pStyle w:val="TextBody"/>
        <w:spacing w:before="360" w:after="0"/>
        <w:jc w:val="left"/>
        <w:rPr>
          <w:rFonts w:ascii="Times New Roman" w:hAnsi="Times New Roman"/>
          <w:b/>
          <w:i/>
          <w:sz w:val="20"/>
        </w:rPr>
      </w:pPr>
      <w:r>
        <w:rPr>
          <w:rFonts w:ascii="Times New Roman" w:hAnsi="Times New Roman"/>
          <w:b/>
          <w:i/>
          <w:sz w:val="20"/>
        </w:rPr>
        <w:t xml:space="preserve">Exercise or Lapse of a Rezolve Warrant </w:t>
      </w:r>
    </w:p>
    <w:p>
      <w:pPr>
        <w:pStyle w:val="TextBody"/>
        <w:spacing w:before="120" w:after="0"/>
        <w:jc w:val="left"/>
        <w:rPr>
          <w:rFonts w:ascii="Times New Roman" w:hAnsi="Times New Roman"/>
          <w:sz w:val="20"/>
        </w:rPr>
      </w:pPr>
      <w:r>
        <w:rPr>
          <w:rFonts w:ascii="Times New Roman" w:hAnsi="Times New Roman"/>
          <w:sz w:val="20"/>
        </w:rPr>
        <w:t xml:space="preserve">Except as discussed below with respect to the cashless exercise of a Rezolve Warrant, 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 </w:t>
      </w:r>
    </w:p>
    <w:p>
      <w:pPr>
        <w:pStyle w:val="TextBody"/>
        <w:spacing w:before="240" w:after="0"/>
        <w:jc w:val="left"/>
        <w:rPr>
          <w:rFonts w:ascii="Times New Roman" w:hAnsi="Times New Roman"/>
          <w:sz w:val="20"/>
        </w:rPr>
      </w:pPr>
      <w:r>
        <w:rPr>
          <w:rFonts w:ascii="Times New Roman" w:hAnsi="Times New Roman"/>
          <w:sz w:val="20"/>
        </w:rPr>
        <w:t xml:space="preserve">The tax consequences of a cashless exercise of a Rezolve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Rezolve Ordinary Shares received would equal the holders basis in the Rezolve Warrants exercised therefore. If the cashless exercise were treated as not being a gain realization event, a U.S. holders holding period in the Rezolve Ordinary Shares would be treated as commencing on the date following the date of exercise (or possibly the date of exercise) of the Rezolve Warrants. If the cashless exercise were treated as a recapitalization, the holding period of the Rezolve Ordinary Shares would include the holding period of the Rezolve Warrants exercised therefore. </w:t>
      </w:r>
    </w:p>
    <w:p>
      <w:pPr>
        <w:pStyle w:val="TextBody"/>
        <w:spacing w:before="240" w:after="0"/>
        <w:jc w:val="left"/>
        <w:rPr>
          <w:rFonts w:ascii="Times New Roman" w:hAnsi="Times New Roman"/>
          <w:sz w:val="20"/>
        </w:rPr>
      </w:pPr>
      <w:r>
        <w:rPr>
          <w:rFonts w:ascii="Times New Roman" w:hAnsi="Times New Roman"/>
          <w:sz w:val="20"/>
        </w:rPr>
        <w:t xml:space="preserve">It is also possible that a cashless exercise of a Rezolve Warrant could be treated in part as a taxable exchange in which gain or loss would be recognized. In such event, a U.S. holder would recognize gain or loss with respect to the portion of the exercised Rezolve Warrants treated as surrendered to pay the exercise price of the Rezolve Warrants (the surrendered warrants). The U.S. holder would recognize capital gain or loss with respect to the surrendered warrants in an amount generally equal to the difference between (i) the fair market value of the Rezolve Ordinary Shares that would have been received with respect to the surrendered warrants in a regular exercise of the Rezolve Warrants and (ii) the sum of the U.S. holders tax basis in the surrendered warrants and the aggregate cash exercise price of such warrants (if they had been exercised in a regular exercise). In this case, a U.S. holders tax basis in the Rezolve Ordinary Shares received would equal the U.S. holders tax basis in the Rezolve Warrants exercised plus (or minus) the gain (or loss) recognized with respect to the surrendered warrants. A U.S. holders holding period for the Rezolve Ordinary Shares would commence on the date following the date of exercise (or possibly the date of exercise) of the Rezolve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own tax advisors regarding the tax consequences of a cashless exercise of Rezolve Warrants. </w:t>
      </w:r>
    </w:p>
    <w:p>
      <w:pPr>
        <w:pStyle w:val="TextBody"/>
        <w:spacing w:before="360" w:after="0"/>
        <w:jc w:val="left"/>
        <w:rPr>
          <w:rFonts w:ascii="Times New Roman" w:hAnsi="Times New Roman"/>
          <w:b/>
          <w:i/>
          <w:sz w:val="20"/>
        </w:rPr>
      </w:pPr>
      <w:r>
        <w:rPr>
          <w:rFonts w:ascii="Times New Roman" w:hAnsi="Times New Roman"/>
          <w:b/>
          <w:i/>
          <w:sz w:val="20"/>
        </w:rPr>
        <w:t xml:space="preserve">Possible Constructive Distributions </w:t>
      </w:r>
    </w:p>
    <w:p>
      <w:pPr>
        <w:pStyle w:val="TextBody"/>
        <w:spacing w:before="120" w:after="0"/>
        <w:jc w:val="left"/>
        <w:rPr>
          <w:rFonts w:ascii="Times New Roman" w:hAnsi="Times New Roman"/>
          <w:sz w:val="20"/>
        </w:rPr>
      </w:pPr>
      <w:r>
        <w:rPr>
          <w:rFonts w:ascii="Times New Roman" w:hAnsi="Times New Roman"/>
          <w:sz w:val="20"/>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Times New Roman" w:hAnsi="Times New Roman"/>
          <w:i/>
          <w:sz w:val="20"/>
        </w:rPr>
        <w:t>Description of Rezolve Securities</w:t>
      </w:r>
      <w:r>
        <w:rPr>
          <w:rFonts w:ascii="Times New Roman" w:hAnsi="Times New Roman"/>
          <w:sz w:val="20"/>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Times New Roman" w:hAnsi="Times New Roman"/>
          <w:i/>
          <w:sz w:val="20"/>
        </w:rPr>
        <w:t>Material Tax Considerations  Material U.S. Federal Income Tax Considerations Distributions on Rezolve Ordinary Shares.</w:t>
      </w:r>
      <w:r>
        <w:rPr>
          <w:rFonts w:ascii="Times New Roman" w:hAnsi="Times New Roman"/>
          <w:sz w:val="20"/>
        </w:rPr>
        <w:t xml:space="preserve">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 </w:t>
      </w:r>
    </w:p>
    <w:p>
      <w:pPr>
        <w:pStyle w:val="TextBody"/>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spacing w:before="120" w:after="0"/>
        <w:jc w:val="left"/>
        <w:rPr>
          <w:rFonts w:ascii="Times New Roman" w:hAnsi="Times New Roman"/>
          <w:sz w:val="20"/>
        </w:rPr>
      </w:pPr>
      <w:r>
        <w:rPr>
          <w:rFonts w:ascii="Times New Roman" w:hAnsi="Times New Roman"/>
          <w:i/>
          <w:sz w:val="20"/>
        </w:rPr>
        <w:t>Generally.</w:t>
      </w:r>
      <w:r>
        <w:rPr>
          <w:rFonts w:ascii="Times New Roman" w:hAnsi="Times New Roman"/>
          <w:sz w:val="20"/>
        </w:rPr>
        <w:t xml:space="preserve"> The treatment of U.S. holders of the Rezolve Ordinary Shares could be materially different from that described above if Rezolve is 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spacing w:before="240" w:after="0"/>
        <w:jc w:val="left"/>
        <w:rPr>
          <w:rFonts w:ascii="Times New Roman" w:hAnsi="Times New Roman"/>
          <w:sz w:val="20"/>
        </w:rPr>
      </w:pPr>
      <w:r>
        <w:rPr>
          <w:rFonts w:ascii="Times New Roman" w:hAnsi="Times New Roman"/>
          <w:sz w:val="20"/>
        </w:rPr>
        <w:t xml:space="preserve">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can be provided that Rezolve will not be a PFIC for the taxable year that includes the date of the Business Combination or in a future year. </w:t>
      </w:r>
    </w:p>
    <w:p>
      <w:pPr>
        <w:pStyle w:val="TextBody"/>
        <w:spacing w:before="240" w:after="0"/>
        <w:jc w:val="left"/>
        <w:rPr>
          <w:rFonts w:ascii="Times New Roman" w:hAnsi="Times New Roman"/>
          <w:sz w:val="20"/>
        </w:rPr>
      </w:pPr>
      <w:r>
        <w:rPr>
          <w:rFonts w:ascii="Times New Roman" w:hAnsi="Times New Roman"/>
          <w:sz w:val="20"/>
        </w:rPr>
        <w:t xml:space="preserve">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 </w:t>
      </w:r>
    </w:p>
    <w:p>
      <w:pPr>
        <w:pStyle w:val="TextBody"/>
        <w:spacing w:before="240" w:after="0"/>
        <w:jc w:val="left"/>
        <w:rPr>
          <w:rFonts w:ascii="Times New Roman" w:hAnsi="Times New Roman"/>
          <w:sz w:val="20"/>
        </w:rPr>
      </w:pPr>
      <w:r>
        <w:rPr>
          <w:rFonts w:ascii="Times New Roman" w:hAnsi="Times New Roman"/>
          <w:i/>
          <w:sz w:val="20"/>
        </w:rPr>
        <w:t>Excess Distribution Regime.</w:t>
      </w:r>
      <w:r>
        <w:rPr>
          <w:rFonts w:ascii="Times New Roman" w:hAnsi="Times New Roman"/>
          <w:sz w:val="20"/>
        </w:rPr>
        <w:t xml:space="preserve"> If a U.S. holder does not make a mark-to-market election, as described below, the U.S. holder will be subject to the 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gain or excess distribution will be allocated ratably over the period during which the U.S. holder held Rezolve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allocated to the current taxable year, will be treated as ordinary income;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tc>
      </w:tr>
    </w:tbl>
    <w:p>
      <w:pPr>
        <w:pStyle w:val="TextBody"/>
        <w:spacing w:before="240" w:after="0"/>
        <w:jc w:val="left"/>
        <w:rPr>
          <w:rFonts w:ascii="Times New Roman" w:hAnsi="Times New Roman"/>
          <w:sz w:val="20"/>
        </w:rPr>
      </w:pPr>
      <w:r>
        <w:rPr>
          <w:rFonts w:ascii="Times New Roman" w:hAnsi="Times New Roman"/>
          <w:sz w:val="20"/>
        </w:rPr>
        <w:t xml:space="preserve">The tax liability for amounts allocated to years prior to the year of disposition or excess distribution will be payable generally without regard to offsets from deductions, losses and expenses. In addition, gains (but not losses) realized on the sale of Rezolve Ordinary Shares cannot be treated as capital gains, even if you hold the shares as capital assets. Further, no portion of any distribution will be treated as QDI. </w:t>
      </w:r>
    </w:p>
    <w:p>
      <w:pPr>
        <w:pStyle w:val="TextBody"/>
        <w:spacing w:before="240" w:after="0"/>
        <w:jc w:val="left"/>
        <w:rPr>
          <w:rFonts w:ascii="Times New Roman" w:hAnsi="Times New Roman"/>
          <w:sz w:val="20"/>
        </w:rPr>
      </w:pPr>
      <w:r>
        <w:rPr>
          <w:rFonts w:ascii="Times New Roman" w:hAnsi="Times New Roman"/>
          <w:i/>
          <w:sz w:val="20"/>
        </w:rPr>
        <w:t>Mark-to-Market Regime.</w:t>
      </w:r>
      <w:r>
        <w:rPr>
          <w:rFonts w:ascii="Times New Roman" w:hAnsi="Times New Roman"/>
          <w:sz w:val="20"/>
        </w:rPr>
        <w:t xml:space="preserve"> Alternatively, a U.S. holder may make an election to mark marketable shares in a PFIC to market on an annual basis. 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 </w:t>
      </w:r>
    </w:p>
    <w:p>
      <w:pPr>
        <w:pStyle w:val="TextBody"/>
        <w:spacing w:before="240" w:after="0"/>
        <w:jc w:val="left"/>
        <w:rPr>
          <w:rFonts w:ascii="Times New Roman" w:hAnsi="Times New Roman"/>
          <w:sz w:val="20"/>
        </w:rPr>
      </w:pPr>
      <w:r>
        <w:rPr>
          <w:rFonts w:ascii="Times New Roman" w:hAnsi="Times New Roman"/>
          <w:i/>
          <w:sz w:val="20"/>
        </w:rPr>
        <w:t>QEF Regime.</w:t>
      </w:r>
      <w:r>
        <w:rPr>
          <w:rFonts w:ascii="Times New Roman" w:hAnsi="Times New Roman"/>
          <w:sz w:val="20"/>
        </w:rPr>
        <w:t xml:space="preserve"> Alternatively, a U.S. holder of a PFIC may avoid the adverse PFIC tax consequences described above in respect of stock of the 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 </w:t>
      </w:r>
    </w:p>
    <w:p>
      <w:pPr>
        <w:pStyle w:val="TextBody"/>
        <w:spacing w:before="240" w:after="0"/>
        <w:jc w:val="left"/>
        <w:rPr>
          <w:rFonts w:ascii="Times New Roman" w:hAnsi="Times New Roman"/>
          <w:sz w:val="20"/>
        </w:rPr>
      </w:pPr>
      <w:r>
        <w:rPr>
          <w:rFonts w:ascii="Times New Roman" w:hAnsi="Times New Roman"/>
          <w:i/>
          <w:sz w:val="20"/>
        </w:rPr>
        <w:t>PFIC Reporting Requirements.</w:t>
      </w:r>
      <w:r>
        <w:rPr>
          <w:rFonts w:ascii="Times New Roman" w:hAnsi="Times New Roman"/>
          <w:sz w:val="20"/>
        </w:rPr>
        <w:t xml:space="preserve"> A U.S. holder of Rezolve Ordinary Shares will be required to file an annual report on IRS Form 8621 containing 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 </w:t>
      </w:r>
    </w:p>
    <w:p>
      <w:pPr>
        <w:pStyle w:val="TextBody"/>
        <w:spacing w:before="360" w:after="0"/>
        <w:jc w:val="left"/>
        <w:rPr>
          <w:rFonts w:ascii="Times New Roman" w:hAnsi="Times New Roman"/>
          <w:b/>
          <w:i/>
          <w:sz w:val="20"/>
        </w:rPr>
      </w:pPr>
      <w:r>
        <w:rPr>
          <w:rFonts w:ascii="Times New Roman" w:hAnsi="Times New Roman"/>
          <w:b/>
          <w:i/>
          <w:sz w:val="20"/>
        </w:rPr>
        <w:t xml:space="preserve">Additional Reporting Requirements </w:t>
      </w:r>
    </w:p>
    <w:p>
      <w:pPr>
        <w:pStyle w:val="TextBody"/>
        <w:spacing w:before="120" w:after="0"/>
        <w:jc w:val="left"/>
        <w:rPr>
          <w:rFonts w:ascii="Times New Roman" w:hAnsi="Times New Roman"/>
          <w:sz w:val="20"/>
        </w:rPr>
      </w:pPr>
      <w:r>
        <w:rPr>
          <w:rFonts w:ascii="Times New Roman" w:hAnsi="Times New Roman"/>
          <w:sz w:val="20"/>
        </w:rPr>
        <w:t xml:space="preserve">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 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 </w:t>
      </w:r>
    </w:p>
    <w:p>
      <w:pPr>
        <w:pStyle w:val="TextBody"/>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 </w:t>
      </w:r>
    </w:p>
    <w:p>
      <w:pPr>
        <w:pStyle w:val="TextBody"/>
        <w:spacing w:before="240" w:after="0"/>
        <w:jc w:val="left"/>
        <w:rPr>
          <w:rFonts w:ascii="Times New Roman" w:hAnsi="Times New Roman"/>
          <w:sz w:val="20"/>
        </w:rPr>
      </w:pPr>
      <w:r>
        <w:rPr>
          <w:rFonts w:ascii="Times New Roman" w:hAnsi="Times New Roman"/>
          <w:sz w:val="20"/>
        </w:rPr>
        <w:t xml:space="preserve">Information returns may be filed with the IRS in connection with, and non-U.S. holders may be subject to backup withholding on amounts received in respect of their Armada Common Stock, Armada Warrants or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x309194_17"/>
      <w:bookmarkEnd w:id="19"/>
      <w:r>
        <w:rPr>
          <w:rFonts w:ascii="Times New Roman" w:hAnsi="Times New Roman"/>
          <w:b/>
          <w:sz w:val="20"/>
        </w:rPr>
        <w:t xml:space="preserve">THE NASDAQ PROPOSAL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Assuming the Business Combination Proposal is approved, the consideration to be paid to the Armada Stockholders will consist of, assuming minimum redemptions by Armadas public stockholders, approximately                 million Rezolve Ordinary Shares to be issued by Rezolve, as set forth in and pursuant to the terms of the Business Combination Agreement.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Rezolve Limited has issued an aggregate of $31,125,000 Convertible Loan Notes which will increase to $39,625,000 Convertible Loan Notes upon completion of the Pre-Closing Demerger, which can convert into ordinary shares in Rezolve Limited (or after the Pre-Closing Demerger, Rezolve Ordinary Shares) at a conversion price equal to 70% of the lesser of (1) the price per share implied in connection with an initial public offering or a business combination with a publicly-listed company and (2) the annual volume-weighted average share price of Rezolve Limited (or after the Pre-Closing Demerger, Rezolve) on the last calendar day of each calendar year ending after the date of an initial public offering or a business combination with a publicly-listed company and prior to the maturity date. </w:t>
      </w:r>
    </w:p>
    <w:p>
      <w:pPr>
        <w:pStyle w:val="TextBody"/>
        <w:spacing w:before="240" w:after="0"/>
        <w:jc w:val="left"/>
        <w:rPr>
          <w:rFonts w:ascii="Times New Roman" w:hAnsi="Times New Roman"/>
          <w:sz w:val="20"/>
        </w:rPr>
      </w:pPr>
      <w:r>
        <w:rPr>
          <w:rFonts w:ascii="Times New Roman" w:hAnsi="Times New Roman"/>
          <w:sz w:val="20"/>
        </w:rPr>
        <w:t>As contemplated by the Incentive Equity Plan Proposal, we intend to reserve                  Rezolve Ordinary Shares for grants of awards under the Rezolve Incentive Equity Plan, which is equal to 10% of the fully diluted and issued equity securities post-Closing less any amount issued or reserved for issuance pursuant to any Other Arrangements. For more information on the Incentive Equity Plan Proposal, see </w:t>
      </w:r>
      <w:r>
        <w:rPr>
          <w:rFonts w:ascii="Times New Roman" w:hAnsi="Times New Roman"/>
          <w:i/>
          <w:sz w:val="20"/>
        </w:rPr>
        <w:t>Proposal No. 3The Incentive Equity Plan Proposal</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Why Armada Needs Stockholder Approval </w:t>
      </w:r>
    </w:p>
    <w:p>
      <w:pPr>
        <w:pStyle w:val="TextBody"/>
        <w:spacing w:before="120" w:after="0"/>
        <w:jc w:val="left"/>
        <w:rPr>
          <w:rFonts w:ascii="Times New Roman" w:hAnsi="Times New Roman"/>
          <w:sz w:val="20"/>
        </w:rPr>
      </w:pPr>
      <w:r>
        <w:rPr>
          <w:rFonts w:ascii="Times New Roman" w:hAnsi="Times New Roman"/>
          <w:sz w:val="20"/>
        </w:rPr>
        <w:t xml:space="preserve">We are seeking stockholder approval in order to comply with Nasdaq Listing Rule 5635. </w:t>
      </w:r>
    </w:p>
    <w:p>
      <w:pPr>
        <w:pStyle w:val="TextBody"/>
        <w:spacing w:before="240" w:after="0"/>
        <w:jc w:val="left"/>
        <w:rPr>
          <w:rFonts w:ascii="Times New Roman" w:hAnsi="Times New Roman"/>
          <w:sz w:val="20"/>
        </w:rPr>
      </w:pPr>
      <w:r>
        <w:rPr>
          <w:rFonts w:ascii="Times New Roman" w:hAnsi="Times New Roman"/>
          <w:sz w:val="20"/>
        </w:rPr>
        <w:t xml:space="preserve">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 </w:t>
      </w:r>
    </w:p>
    <w:p>
      <w:pPr>
        <w:pStyle w:val="TextBody"/>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SHAREHOLDERS VOTE FOR THE APPROVAL OF THE NASDAQ PROPOSAL.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 </w:t>
      </w:r>
    </w:p>
    <w:p>
      <w:pPr>
        <w:pStyle w:val="TextBody"/>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spacing w:before="120" w:after="0"/>
        <w:jc w:val="left"/>
        <w:rPr>
          <w:rFonts w:ascii="Times New Roman" w:hAnsi="Times New Roman"/>
          <w:sz w:val="20"/>
        </w:rPr>
      </w:pPr>
      <w:r>
        <w:rPr>
          <w:rFonts w:ascii="Times New Roman" w:hAnsi="Times New Roman"/>
          <w:sz w:val="20"/>
        </w:rPr>
        <w:t xml:space="preserve">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Failure to vote by proxy or to vote in person (which would include presence at a virtual meeting) at the Special Meeting, abstentions and broker non-votes will have no effect on the Nasdaq Proposal. </w:t>
      </w:r>
    </w:p>
    <w:p>
      <w:pPr>
        <w:pStyle w:val="TextBody"/>
        <w:spacing w:before="240" w:after="0"/>
        <w:jc w:val="left"/>
        <w:rPr>
          <w:rFonts w:ascii="Times New Roman" w:hAnsi="Times New Roman"/>
          <w:sz w:val="20"/>
        </w:rPr>
      </w:pPr>
      <w:r>
        <w:rPr>
          <w:rFonts w:ascii="Times New Roman" w:hAnsi="Times New Roman"/>
          <w:sz w:val="20"/>
        </w:rPr>
        <w:t xml:space="preserve">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 </w:t>
      </w:r>
    </w:p>
    <w:p>
      <w:pPr>
        <w:pStyle w:val="TextBody"/>
        <w:spacing w:before="240" w:after="0"/>
        <w:jc w:val="left"/>
        <w:rPr>
          <w:rFonts w:ascii="Times New Roman" w:hAnsi="Times New Roman"/>
          <w:sz w:val="20"/>
        </w:rPr>
      </w:pPr>
      <w:r>
        <w:rPr>
          <w:rFonts w:ascii="Times New Roman" w:hAnsi="Times New Roman"/>
          <w:sz w:val="20"/>
        </w:rPr>
        <w:t>The Sponsor and Armadas directors and officers have agreed to vote the Founder Shares and any Armada public shares owned by them in favor of Nasdaq Proposal. See </w:t>
      </w:r>
      <w:r>
        <w:rPr>
          <w:rFonts w:ascii="Times New Roman" w:hAnsi="Times New Roman"/>
          <w:i/>
          <w:sz w:val="20"/>
        </w:rPr>
        <w:t>Proposal No.1The Business Combination ProposalAncillary Agreements</w:t>
      </w:r>
      <w:r>
        <w:rPr>
          <w:rFonts w:ascii="Times New Roman" w:hAnsi="Times New Roman"/>
          <w:sz w:val="20"/>
        </w:rPr>
        <w:t xml:space="preserve"> for more information. </w:t>
      </w:r>
    </w:p>
    <w:p>
      <w:pPr>
        <w:pStyle w:val="TextBody"/>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NASDAQ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x309194_18"/>
      <w:bookmarkEnd w:id="20"/>
      <w:r>
        <w:rPr>
          <w:rFonts w:ascii="Times New Roman" w:hAnsi="Times New Roman"/>
          <w:b/>
          <w:sz w:val="20"/>
        </w:rPr>
        <w:t xml:space="preserve">THE INCENTIVE EQUITY PLAN PROPOSAL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b/>
          <w:sz w:val="20"/>
        </w:rPr>
        <w:t>The Incentive Equity Plan Proposal </w:t>
      </w:r>
      <w:r>
        <w:rPr>
          <w:rFonts w:ascii="Times New Roman" w:hAnsi="Times New Roman"/>
          <w:sz w:val="20"/>
        </w:rPr>
        <w:t xml:space="preserve"> Armada is asking its shareholders to approve the Rezolve Long Term Incentive Plan (the Main LTIP), 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 Incentive Equity Plan, a copy of which is attached to this proxy statement/prospectus as Annex                . </w:t>
      </w:r>
    </w:p>
    <w:p>
      <w:pPr>
        <w:pStyle w:val="TextBody"/>
        <w:spacing w:before="360" w:after="0"/>
        <w:jc w:val="left"/>
        <w:rPr>
          <w:rFonts w:ascii="Times New Roman" w:hAnsi="Times New Roman"/>
          <w:b/>
          <w:sz w:val="20"/>
        </w:rPr>
      </w:pPr>
      <w:r>
        <w:rPr>
          <w:rFonts w:ascii="Times New Roman" w:hAnsi="Times New Roman"/>
          <w:b/>
          <w:sz w:val="20"/>
        </w:rPr>
        <w:t xml:space="preserve">Reasons to Approve the Rezolve Incentive Equity Plan </w:t>
      </w:r>
    </w:p>
    <w:p>
      <w:pPr>
        <w:pStyle w:val="TextBody"/>
        <w:spacing w:before="120" w:after="0"/>
        <w:jc w:val="left"/>
        <w:rPr>
          <w:rFonts w:ascii="Times New Roman" w:hAnsi="Times New Roman"/>
          <w:sz w:val="20"/>
        </w:rPr>
      </w:pPr>
      <w:r>
        <w:rPr>
          <w:rFonts w:ascii="Times New Roman" w:hAnsi="Times New Roman"/>
          <w:sz w:val="20"/>
        </w:rPr>
        <w:t xml:space="preserve">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 </w:t>
      </w:r>
    </w:p>
    <w:p>
      <w:pPr>
        <w:pStyle w:val="TextBody"/>
        <w:spacing w:before="240" w:after="0"/>
        <w:jc w:val="left"/>
        <w:rPr>
          <w:rFonts w:ascii="Times New Roman" w:hAnsi="Times New Roman"/>
          <w:sz w:val="20"/>
        </w:rPr>
      </w:pPr>
      <w:r>
        <w:rPr>
          <w:rFonts w:ascii="Times New Roman" w:hAnsi="Times New Roman"/>
          <w:sz w:val="20"/>
        </w:rPr>
        <w:t xml:space="preserve">Approval of the Rezolve Incentive Equity Plan by our stockholders is required, among other things, to comply with stock exchange rules requiring shareholder approval of equity compensation plans and allow the grant of incentive stock options under the Rezolve Incentive Equity Plan. </w:t>
      </w:r>
    </w:p>
    <w:p>
      <w:pPr>
        <w:pStyle w:val="TextBody"/>
        <w:spacing w:before="360" w:after="0"/>
        <w:jc w:val="left"/>
        <w:rPr>
          <w:rFonts w:ascii="Times New Roman" w:hAnsi="Times New Roman"/>
          <w:b/>
          <w:sz w:val="20"/>
        </w:rPr>
      </w:pPr>
      <w:r>
        <w:rPr>
          <w:rFonts w:ascii="Times New Roman" w:hAnsi="Times New Roman"/>
          <w:b/>
          <w:sz w:val="20"/>
        </w:rPr>
        <w:t xml:space="preserve">Description of the Rezolve Incentive Equity Plan </w:t>
      </w:r>
    </w:p>
    <w:p>
      <w:pPr>
        <w:pStyle w:val="TextBody"/>
        <w:spacing w:before="120" w:after="0"/>
        <w:jc w:val="left"/>
        <w:rPr>
          <w:rFonts w:ascii="Times New Roman" w:hAnsi="Times New Roman"/>
          <w:sz w:val="20"/>
        </w:rPr>
      </w:pPr>
      <w:r>
        <w:rPr>
          <w:rFonts w:ascii="Times New Roman" w:hAnsi="Times New Roman"/>
          <w:sz w:val="20"/>
        </w:rPr>
        <w:t xml:space="preserve">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 </w:t>
      </w:r>
    </w:p>
    <w:p>
      <w:pPr>
        <w:pStyle w:val="TextBody"/>
        <w:spacing w:before="360" w:after="0"/>
        <w:jc w:val="left"/>
        <w:rPr>
          <w:rFonts w:ascii="Times New Roman" w:hAnsi="Times New Roman"/>
          <w:b/>
          <w:i/>
          <w:sz w:val="20"/>
        </w:rPr>
      </w:pPr>
      <w:r>
        <w:rPr>
          <w:rFonts w:ascii="Times New Roman" w:hAnsi="Times New Roman"/>
          <w:b/>
          <w:i/>
          <w:sz w:val="20"/>
        </w:rPr>
        <w:t xml:space="preserve">Eligibility and administration </w:t>
      </w:r>
    </w:p>
    <w:p>
      <w:pPr>
        <w:pStyle w:val="TextBody"/>
        <w:spacing w:before="120" w:after="0"/>
        <w:jc w:val="left"/>
        <w:rPr>
          <w:rFonts w:ascii="Times New Roman" w:hAnsi="Times New Roman"/>
          <w:sz w:val="20"/>
        </w:rPr>
      </w:pPr>
      <w:r>
        <w:rPr>
          <w:rFonts w:ascii="Times New Roman" w:hAnsi="Times New Roman"/>
          <w:sz w:val="20"/>
        </w:rPr>
        <w:t xml:space="preserve">The Main LTIP provides for the grant of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in 2023, the right to grant and determine who shall be granted one half of the awards has been delegated to Daniel Wagner for the whole of 2023. </w:t>
      </w:r>
    </w:p>
    <w:p>
      <w:pPr>
        <w:pStyle w:val="TextBody"/>
        <w:spacing w:before="240" w:after="0"/>
        <w:jc w:val="left"/>
        <w:rPr>
          <w:rFonts w:ascii="Times New Roman" w:hAnsi="Times New Roman"/>
          <w:sz w:val="20"/>
        </w:rPr>
      </w:pPr>
      <w:r>
        <w:rPr>
          <w:rFonts w:ascii="Times New Roman" w:hAnsi="Times New Roman"/>
          <w:sz w:val="20"/>
        </w:rPr>
        <w:t xml:space="preserve">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Shares available for award </w:t>
      </w:r>
    </w:p>
    <w:p>
      <w:pPr>
        <w:pStyle w:val="TextBody"/>
        <w:spacing w:before="120" w:after="0"/>
        <w:jc w:val="left"/>
        <w:rPr>
          <w:rFonts w:ascii="Times New Roman" w:hAnsi="Times New Roman"/>
          <w:sz w:val="20"/>
        </w:rPr>
      </w:pPr>
      <w:r>
        <w:rPr>
          <w:rFonts w:ascii="Times New Roman" w:hAnsi="Times New Roman"/>
          <w:sz w:val="20"/>
        </w:rPr>
        <w:t xml:space="preserve">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equal to 10%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The amount reserved for such issuance or share transfer may be increased by the plan administrator at any time on or after January 1, 2024 by an additional 5% per annum. </w:t>
      </w:r>
    </w:p>
    <w:p>
      <w:pPr>
        <w:pStyle w:val="TextBody"/>
        <w:spacing w:before="240" w:after="0"/>
        <w:jc w:val="left"/>
        <w:rPr>
          <w:rFonts w:ascii="Times New Roman" w:hAnsi="Times New Roman"/>
          <w:sz w:val="20"/>
        </w:rPr>
      </w:pPr>
      <w:r>
        <w:rPr>
          <w:rFonts w:ascii="Times New Roman" w:hAnsi="Times New Roman"/>
          <w:sz w:val="20"/>
        </w:rPr>
        <w:t xml:space="preserve">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 </w:t>
      </w:r>
    </w:p>
    <w:p>
      <w:pPr>
        <w:pStyle w:val="TextBody"/>
        <w:spacing w:before="360" w:after="0"/>
        <w:jc w:val="left"/>
        <w:rPr>
          <w:rFonts w:ascii="Times New Roman" w:hAnsi="Times New Roman"/>
          <w:b/>
          <w:i/>
          <w:sz w:val="20"/>
        </w:rPr>
      </w:pPr>
      <w:r>
        <w:rPr>
          <w:rFonts w:ascii="Times New Roman" w:hAnsi="Times New Roman"/>
          <w:b/>
          <w:i/>
          <w:sz w:val="20"/>
        </w:rPr>
        <w:t xml:space="preserve">Awards </w:t>
      </w:r>
    </w:p>
    <w:p>
      <w:pPr>
        <w:pStyle w:val="TextBody"/>
        <w:spacing w:before="120" w:after="0"/>
        <w:jc w:val="left"/>
        <w:rPr>
          <w:rFonts w:ascii="Times New Roman" w:hAnsi="Times New Roman"/>
          <w:sz w:val="20"/>
        </w:rPr>
      </w:pPr>
      <w:r>
        <w:rPr>
          <w:rFonts w:ascii="Times New Roman" w:hAnsi="Times New Roman"/>
          <w:sz w:val="20"/>
        </w:rPr>
        <w:t xml:space="preserve">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 </w:t>
      </w:r>
    </w:p>
    <w:p>
      <w:pPr>
        <w:pStyle w:val="TextBody"/>
        <w:spacing w:before="240" w:after="0"/>
        <w:jc w:val="left"/>
        <w:rPr>
          <w:rFonts w:ascii="Times New Roman" w:hAnsi="Times New Roman"/>
          <w:sz w:val="20"/>
        </w:rPr>
      </w:pPr>
      <w:r>
        <w:rPr>
          <w:rFonts w:ascii="Times New Roman" w:hAnsi="Times New Roman"/>
          <w:i/>
          <w:sz w:val="20"/>
        </w:rPr>
        <w:t xml:space="preserve">Options. </w:t>
      </w:r>
      <w:r>
        <w:rPr>
          <w:rFonts w:ascii="Times New Roman" w:hAnsi="Times New Roman"/>
          <w:sz w:val="20"/>
        </w:rPr>
        <w:t xml:space="preserve">Options are contractual rights to acquire Ordinary Shares in the future at an exercise price set at no less than the nominal value of an 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 </w:t>
      </w:r>
    </w:p>
    <w:p>
      <w:pPr>
        <w:pStyle w:val="TextBody"/>
        <w:spacing w:before="240" w:after="0"/>
        <w:jc w:val="left"/>
        <w:rPr>
          <w:rFonts w:ascii="Times New Roman" w:hAnsi="Times New Roman"/>
          <w:sz w:val="20"/>
        </w:rPr>
      </w:pPr>
      <w:r>
        <w:rPr>
          <w:rFonts w:ascii="Times New Roman" w:hAnsi="Times New Roman"/>
          <w:i/>
          <w:sz w:val="20"/>
        </w:rPr>
        <w:t>Restricted share units.</w:t>
      </w:r>
      <w:r>
        <w:rPr>
          <w:rFonts w:ascii="Times New Roman" w:hAnsi="Times New Roman"/>
          <w:sz w:val="20"/>
        </w:rPr>
        <w:t xml:space="preserve"> Restricted share units are contractual promises to deliver Ordinary Shares in the future, which may also remain forfeitable 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 </w:t>
      </w:r>
    </w:p>
    <w:p>
      <w:pPr>
        <w:pStyle w:val="TextBody"/>
        <w:spacing w:before="240" w:after="0"/>
        <w:jc w:val="left"/>
        <w:rPr>
          <w:rFonts w:ascii="Times New Roman" w:hAnsi="Times New Roman"/>
          <w:sz w:val="20"/>
        </w:rPr>
      </w:pPr>
      <w:r>
        <w:rPr>
          <w:rFonts w:ascii="Times New Roman" w:hAnsi="Times New Roman"/>
          <w:i/>
          <w:sz w:val="20"/>
        </w:rPr>
        <w:t>Deferred share units</w:t>
      </w:r>
      <w:r>
        <w:rPr>
          <w:rFonts w:ascii="Times New Roman" w:hAnsi="Times New Roman"/>
          <w:sz w:val="20"/>
        </w:rPr>
        <w:t xml:space="preserve">. Deferred share units are contractual promises to deliver Ordinary Shares in the future and may be accompanied by the right to receive the equivalent value of dividends paid on Ordinary Shares prior 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 </w:t>
      </w:r>
    </w:p>
    <w:p>
      <w:pPr>
        <w:pStyle w:val="TextBody"/>
        <w:spacing w:before="240" w:after="0"/>
        <w:jc w:val="left"/>
        <w:rPr>
          <w:rFonts w:ascii="Times New Roman" w:hAnsi="Times New Roman"/>
          <w:sz w:val="20"/>
        </w:rPr>
      </w:pPr>
      <w:r>
        <w:rPr>
          <w:rFonts w:ascii="Times New Roman" w:hAnsi="Times New Roman"/>
          <w:i/>
          <w:sz w:val="20"/>
        </w:rPr>
        <w:t>Incentive share units</w:t>
      </w:r>
      <w:r>
        <w:rPr>
          <w:rFonts w:ascii="Times New Roman" w:hAnsi="Times New Roman"/>
          <w:sz w:val="20"/>
        </w:rPr>
        <w:t xml:space="preserve">. Incentive share units are contractual promises to deliver Ordinary Shares in the future, which may also remain forfeitable 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 </w:t>
      </w:r>
    </w:p>
    <w:p>
      <w:pPr>
        <w:pStyle w:val="TextBody"/>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spacing w:before="120" w:after="0"/>
        <w:jc w:val="left"/>
        <w:rPr>
          <w:rFonts w:ascii="Times New Roman" w:hAnsi="Times New Roman"/>
          <w:sz w:val="20"/>
        </w:rPr>
      </w:pPr>
      <w:r>
        <w:rPr>
          <w:rFonts w:ascii="Times New Roman" w:hAnsi="Times New Roman"/>
          <w:sz w:val="20"/>
        </w:rPr>
        <w:t xml:space="preserve">The plan administrator may set performance goals in respect of any awards (but in particular incentive share units) in its discretion. </w:t>
      </w:r>
    </w:p>
    <w:p>
      <w:pPr>
        <w:pStyle w:val="TextBody"/>
        <w:spacing w:before="360" w:after="0"/>
        <w:jc w:val="left"/>
        <w:rPr>
          <w:rFonts w:ascii="Times New Roman" w:hAnsi="Times New Roman"/>
          <w:b/>
          <w:i/>
          <w:sz w:val="20"/>
        </w:rPr>
      </w:pPr>
      <w:r>
        <w:rPr>
          <w:rFonts w:ascii="Times New Roman" w:hAnsi="Times New Roman"/>
          <w:b/>
          <w:i/>
          <w:sz w:val="20"/>
        </w:rPr>
        <w:t xml:space="preserve">Certain Transactions </w:t>
      </w:r>
    </w:p>
    <w:p>
      <w:pPr>
        <w:pStyle w:val="TextBody"/>
        <w:spacing w:before="120" w:after="0"/>
        <w:jc w:val="left"/>
        <w:rPr>
          <w:rFonts w:ascii="Times New Roman" w:hAnsi="Times New Roman"/>
          <w:sz w:val="20"/>
        </w:rPr>
      </w:pPr>
      <w:r>
        <w:rPr>
          <w:rFonts w:ascii="Times New Roman" w:hAnsi="Times New Roman"/>
          <w:sz w:val="20"/>
        </w:rPr>
        <w:t xml:space="preserve">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 </w:t>
      </w:r>
    </w:p>
    <w:p>
      <w:pPr>
        <w:pStyle w:val="TextBody"/>
        <w:spacing w:before="360" w:after="0"/>
        <w:jc w:val="left"/>
        <w:rPr>
          <w:rFonts w:ascii="Times New Roman" w:hAnsi="Times New Roman"/>
          <w:b/>
          <w:i/>
          <w:sz w:val="20"/>
        </w:rPr>
      </w:pPr>
      <w:r>
        <w:rPr>
          <w:rFonts w:ascii="Times New Roman" w:hAnsi="Times New Roman"/>
          <w:b/>
          <w:i/>
          <w:sz w:val="20"/>
        </w:rPr>
        <w:t xml:space="preserve">Plan Amendment and Termination </w:t>
      </w:r>
    </w:p>
    <w:p>
      <w:pPr>
        <w:pStyle w:val="TextBody"/>
        <w:spacing w:before="120" w:after="0"/>
        <w:jc w:val="left"/>
        <w:rPr>
          <w:rFonts w:ascii="Times New Roman" w:hAnsi="Times New Roman"/>
          <w:sz w:val="20"/>
        </w:rPr>
      </w:pPr>
      <w:r>
        <w:rPr>
          <w:rFonts w:ascii="Times New Roman" w:hAnsi="Times New Roman"/>
          <w:sz w:val="20"/>
        </w:rPr>
        <w:t xml:space="preserve">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the limits on the number of shares that may be issued pursuant to the Rezolve Incentive Equity Plan (other than an adjustment as reflected in Certain Transactions above); or (ii) the provisions relating to amendments to the Rezolve Incentive Equity Plan. No awards may be granted under the Rezolve Incentive Equity Plan after their termination. </w:t>
      </w:r>
    </w:p>
    <w:p>
      <w:pPr>
        <w:pStyle w:val="TextBody"/>
        <w:spacing w:before="360" w:after="0"/>
        <w:jc w:val="left"/>
        <w:rPr>
          <w:rFonts w:ascii="Times New Roman" w:hAnsi="Times New Roman"/>
          <w:b/>
          <w:i/>
          <w:sz w:val="20"/>
        </w:rPr>
      </w:pPr>
      <w:r>
        <w:rPr>
          <w:rFonts w:ascii="Times New Roman" w:hAnsi="Times New Roman"/>
          <w:b/>
          <w:i/>
          <w:sz w:val="20"/>
        </w:rPr>
        <w:t xml:space="preserve">Transferability and Participant Payments </w:t>
      </w:r>
    </w:p>
    <w:p>
      <w:pPr>
        <w:pStyle w:val="TextBody"/>
        <w:spacing w:before="120" w:after="0"/>
        <w:jc w:val="left"/>
        <w:rPr>
          <w:rFonts w:ascii="Times New Roman" w:hAnsi="Times New Roman"/>
          <w:sz w:val="20"/>
        </w:rPr>
      </w:pPr>
      <w:r>
        <w:rPr>
          <w:rFonts w:ascii="Times New Roman" w:hAnsi="Times New Roman"/>
          <w:sz w:val="20"/>
        </w:rPr>
        <w:t xml:space="preserve">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 </w:t>
      </w:r>
    </w:p>
    <w:p>
      <w:pPr>
        <w:pStyle w:val="TextBody"/>
        <w:spacing w:before="360" w:after="0"/>
        <w:jc w:val="left"/>
        <w:rPr>
          <w:rFonts w:ascii="Times New Roman" w:hAnsi="Times New Roman"/>
          <w:b/>
          <w:i/>
          <w:sz w:val="20"/>
        </w:rPr>
      </w:pPr>
      <w:r>
        <w:rPr>
          <w:rFonts w:ascii="Times New Roman" w:hAnsi="Times New Roman"/>
          <w:b/>
          <w:i/>
          <w:sz w:val="20"/>
        </w:rPr>
        <w:t xml:space="preserve">Non-U.K. Participants </w:t>
      </w:r>
    </w:p>
    <w:p>
      <w:pPr>
        <w:pStyle w:val="TextBody"/>
        <w:spacing w:before="120" w:after="0"/>
        <w:jc w:val="left"/>
        <w:rPr>
          <w:rFonts w:ascii="Times New Roman" w:hAnsi="Times New Roman"/>
          <w:sz w:val="20"/>
        </w:rPr>
      </w:pPr>
      <w:r>
        <w:rPr>
          <w:rFonts w:ascii="Times New Roman" w:hAnsi="Times New Roman"/>
          <w:sz w:val="20"/>
        </w:rPr>
        <w:t xml:space="preserve">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Description of Legacy Option Arrangements </w:t>
      </w:r>
    </w:p>
    <w:p>
      <w:pPr>
        <w:pStyle w:val="TextBody"/>
        <w:spacing w:before="120" w:after="0"/>
        <w:jc w:val="left"/>
        <w:rPr>
          <w:rFonts w:ascii="Times New Roman" w:hAnsi="Times New Roman"/>
          <w:sz w:val="20"/>
        </w:rPr>
      </w:pPr>
      <w:r>
        <w:rPr>
          <w:rFonts w:ascii="Times New Roman" w:hAnsi="Times New Roman"/>
          <w:sz w:val="20"/>
        </w:rPr>
        <w:t xml:space="preserve">Certain current, former and prospective employees and directors, and current and former consultants currently hold or have been promised options over Ordinary Shares or otherwise been promised rights to acquire Ordinary Shares in Rezolve which vest and become exercisable either immediately or subject to the meeting of certain conditions. Such options and promised options/rights are expected to be released and regranted as options over Ordinary Shares in Rezolve prior to or on Closing. The material terms of the expected options are set out below (the Expected Options). </w:t>
      </w:r>
    </w:p>
    <w:p>
      <w:pPr>
        <w:pStyle w:val="TextBody"/>
        <w:spacing w:before="360" w:after="0"/>
        <w:jc w:val="left"/>
        <w:rPr>
          <w:rFonts w:ascii="Times New Roman" w:hAnsi="Times New Roman"/>
          <w:b/>
          <w:i/>
          <w:sz w:val="20"/>
        </w:rPr>
      </w:pPr>
      <w:r>
        <w:rPr>
          <w:rFonts w:ascii="Times New Roman" w:hAnsi="Times New Roman"/>
          <w:b/>
          <w:i/>
          <w:sz w:val="20"/>
        </w:rPr>
        <w:t xml:space="preserve">Administration and eligibility </w:t>
      </w:r>
    </w:p>
    <w:p>
      <w:pPr>
        <w:pStyle w:val="TextBody"/>
        <w:spacing w:before="120" w:after="0"/>
        <w:jc w:val="left"/>
        <w:rPr>
          <w:rFonts w:ascii="Times New Roman" w:hAnsi="Times New Roman"/>
          <w:sz w:val="20"/>
        </w:rPr>
      </w:pPr>
      <w:r>
        <w:rPr>
          <w:rFonts w:ascii="Times New Roman" w:hAnsi="Times New Roman"/>
          <w:sz w:val="20"/>
        </w:rPr>
        <w:t xml:space="preserve">The Expected Options will be administered by the Rezolve board of directors or a duly authorized committee thereof (the EO administrator). Only those individuals who have previously been granted an option or promised an option or right to acquire shares shall be eligible for the grant of an Expected Option. Where such individual has not yet commenced service, the grant will be conditional on their commencing service. </w:t>
      </w:r>
    </w:p>
    <w:p>
      <w:pPr>
        <w:pStyle w:val="TextBody"/>
        <w:spacing w:before="360" w:after="0"/>
        <w:jc w:val="left"/>
        <w:rPr>
          <w:rFonts w:ascii="Times New Roman" w:hAnsi="Times New Roman"/>
          <w:b/>
          <w:i/>
          <w:sz w:val="20"/>
        </w:rPr>
      </w:pPr>
      <w:r>
        <w:rPr>
          <w:rFonts w:ascii="Times New Roman" w:hAnsi="Times New Roman"/>
          <w:b/>
          <w:i/>
          <w:sz w:val="20"/>
        </w:rPr>
        <w:t xml:space="preserve">Shares available for award </w:t>
      </w:r>
    </w:p>
    <w:p>
      <w:pPr>
        <w:pStyle w:val="TextBody"/>
        <w:spacing w:before="120" w:after="0"/>
        <w:jc w:val="left"/>
        <w:rPr>
          <w:rFonts w:ascii="Times New Roman" w:hAnsi="Times New Roman"/>
          <w:sz w:val="20"/>
        </w:rPr>
      </w:pPr>
      <w:r>
        <w:rPr>
          <w:rFonts w:ascii="Times New Roman" w:hAnsi="Times New Roman"/>
          <w:sz w:val="20"/>
        </w:rPr>
        <w:t xml:space="preserve">The number of shares that may be subject to the Expected Options will be designated Other Arrangements and subject to the cap specified in the summary above in respect of the LTIP. It is expected that in aggregate                  Ordinary Shares will be subject to Expected Options. </w:t>
      </w:r>
    </w:p>
    <w:p>
      <w:pPr>
        <w:pStyle w:val="TextBody"/>
        <w:spacing w:before="360" w:after="0"/>
        <w:jc w:val="left"/>
        <w:rPr>
          <w:rFonts w:ascii="Times New Roman" w:hAnsi="Times New Roman"/>
          <w:b/>
          <w:i/>
          <w:sz w:val="20"/>
        </w:rPr>
      </w:pPr>
      <w:r>
        <w:rPr>
          <w:rFonts w:ascii="Times New Roman" w:hAnsi="Times New Roman"/>
          <w:b/>
          <w:i/>
          <w:sz w:val="20"/>
        </w:rPr>
        <w:t xml:space="preserve">Options </w:t>
      </w:r>
    </w:p>
    <w:p>
      <w:pPr>
        <w:pStyle w:val="TextBody"/>
        <w:spacing w:before="120" w:after="0"/>
        <w:jc w:val="left"/>
        <w:rPr>
          <w:rFonts w:ascii="Times New Roman" w:hAnsi="Times New Roman"/>
          <w:sz w:val="20"/>
        </w:rPr>
      </w:pPr>
      <w:r>
        <w:rPr>
          <w:rFonts w:ascii="Times New Roman" w:hAnsi="Times New Roman"/>
          <w:sz w:val="20"/>
        </w:rPr>
        <w:t xml:space="preserve">The Expected Options will take the form of options only. Options provide for the purchase of Ordinary Shares in the future at an exercise price set at no less than the nominal value of a share. The EO administrator will determine the number of Ordinary Shares covered by each option, and the conditions and limitations applicable to the exercise of each option. </w:t>
      </w:r>
    </w:p>
    <w:p>
      <w:pPr>
        <w:pStyle w:val="TextBody"/>
        <w:spacing w:before="360" w:after="0"/>
        <w:jc w:val="left"/>
        <w:rPr>
          <w:rFonts w:ascii="Times New Roman" w:hAnsi="Times New Roman"/>
          <w:b/>
          <w:i/>
          <w:sz w:val="20"/>
        </w:rPr>
      </w:pPr>
      <w:r>
        <w:rPr>
          <w:rFonts w:ascii="Times New Roman" w:hAnsi="Times New Roman"/>
          <w:b/>
          <w:i/>
          <w:sz w:val="20"/>
        </w:rPr>
        <w:t xml:space="preserve">Performance Criteria </w:t>
      </w:r>
    </w:p>
    <w:p>
      <w:pPr>
        <w:pStyle w:val="TextBody"/>
        <w:spacing w:before="120" w:after="0"/>
        <w:jc w:val="left"/>
        <w:rPr>
          <w:rFonts w:ascii="Times New Roman" w:hAnsi="Times New Roman"/>
          <w:sz w:val="20"/>
        </w:rPr>
      </w:pPr>
      <w:r>
        <w:rPr>
          <w:rFonts w:ascii="Times New Roman" w:hAnsi="Times New Roman"/>
          <w:sz w:val="20"/>
        </w:rPr>
        <w:t xml:space="preserve">The EO administrator may set performance goals in respect of any options. </w:t>
      </w:r>
    </w:p>
    <w:p>
      <w:pPr>
        <w:pStyle w:val="TextBody"/>
        <w:spacing w:before="360" w:after="0"/>
        <w:jc w:val="left"/>
        <w:rPr>
          <w:rFonts w:ascii="Times New Roman" w:hAnsi="Times New Roman"/>
          <w:b/>
          <w:i/>
          <w:sz w:val="20"/>
        </w:rPr>
      </w:pPr>
      <w:r>
        <w:rPr>
          <w:rFonts w:ascii="Times New Roman" w:hAnsi="Times New Roman"/>
          <w:b/>
          <w:i/>
          <w:sz w:val="20"/>
        </w:rPr>
        <w:t xml:space="preserve">Exercise </w:t>
      </w:r>
    </w:p>
    <w:p>
      <w:pPr>
        <w:pStyle w:val="TextBody"/>
        <w:spacing w:before="120" w:after="0"/>
        <w:jc w:val="left"/>
        <w:rPr>
          <w:rFonts w:ascii="Times New Roman" w:hAnsi="Times New Roman"/>
          <w:sz w:val="20"/>
        </w:rPr>
      </w:pPr>
      <w:r>
        <w:rPr>
          <w:rFonts w:ascii="Times New Roman" w:hAnsi="Times New Roman"/>
          <w:sz w:val="20"/>
        </w:rPr>
        <w:t xml:space="preserve">Expected Options are expected to vest subject to the conditions that the original options/promised options or promised right to acquire shares were subject to. In some cases, this is subject to a certain period of time passing; in others, this is subject to performance conditions being met or the Closing occurring. Once vested, Expected Options may be exercised at any point up until the tenth anniversary of their grant, subject to payment of the associated exercise price. </w:t>
      </w:r>
    </w:p>
    <w:p>
      <w:pPr>
        <w:pStyle w:val="TextBody"/>
        <w:spacing w:before="240" w:after="0"/>
        <w:jc w:val="left"/>
        <w:rPr>
          <w:rFonts w:ascii="Times New Roman" w:hAnsi="Times New Roman"/>
          <w:sz w:val="20"/>
        </w:rPr>
      </w:pPr>
      <w:r>
        <w:rPr>
          <w:rFonts w:ascii="Times New Roman" w:hAnsi="Times New Roman"/>
          <w:sz w:val="20"/>
        </w:rPr>
        <w:t xml:space="preserve">Expected Options will ordinarily lapse: (i) in full on cessation of the option holders employment or service if the option holder falls into a prescribed category of bad leaver (e.g. cessation due to their dishonesty, fraud or misconduct or their termination or dismissal in circumstances which would justify summary dismissal or immediate termination); and (ii) to the extent unvested on cessation of employment for any other reason (save to the extent the EO administrator determines otherwise). </w:t>
      </w:r>
    </w:p>
    <w:p>
      <w:pPr>
        <w:pStyle w:val="TextBody"/>
        <w:spacing w:before="240" w:after="0"/>
        <w:jc w:val="left"/>
        <w:rPr>
          <w:rFonts w:ascii="Times New Roman" w:hAnsi="Times New Roman"/>
          <w:sz w:val="20"/>
        </w:rPr>
      </w:pPr>
      <w:r>
        <w:rPr>
          <w:rFonts w:ascii="Times New Roman" w:hAnsi="Times New Roman"/>
          <w:sz w:val="20"/>
        </w:rPr>
        <w:t xml:space="preserve">In the case of death, vested options may be exercised within 12 months of death and unvested options will only be exercisable if permitted by the EO administrator. At the end of this 12 month period, the options will lapse. </w:t>
      </w:r>
    </w:p>
    <w:p>
      <w:pPr>
        <w:pStyle w:val="TextBody"/>
        <w:spacing w:before="360" w:after="0"/>
        <w:jc w:val="left"/>
        <w:rPr>
          <w:rFonts w:ascii="Times New Roman" w:hAnsi="Times New Roman"/>
          <w:b/>
          <w:i/>
          <w:sz w:val="20"/>
        </w:rPr>
      </w:pPr>
      <w:r>
        <w:rPr>
          <w:rFonts w:ascii="Times New Roman" w:hAnsi="Times New Roman"/>
          <w:b/>
          <w:i/>
          <w:sz w:val="20"/>
        </w:rPr>
        <w:t xml:space="preserve">Certain Transactions </w:t>
      </w:r>
    </w:p>
    <w:p>
      <w:pPr>
        <w:pStyle w:val="TextBody"/>
        <w:spacing w:before="120" w:after="0"/>
        <w:jc w:val="left"/>
        <w:rPr>
          <w:rFonts w:ascii="Times New Roman" w:hAnsi="Times New Roman"/>
          <w:sz w:val="20"/>
        </w:rPr>
      </w:pPr>
      <w:r>
        <w:rPr>
          <w:rFonts w:ascii="Times New Roman" w:hAnsi="Times New Roman"/>
          <w:sz w:val="20"/>
        </w:rPr>
        <w:t xml:space="preserve">In the event of certain corporate transactions and events including a change of control, a sale of the groups assets, options may be exercised to the extent vested (and the EO administrator shall have discretion to accelerate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options) within six months (or 90 days in the case of an asset sale) of the transaction or may, if the acquiring company agrees, be exchanged for options over shares in the acquiring company. In addition, in the event of certain variations of capital, the EO administrator may make equitable adjustments to the outstanding options. </w:t>
      </w:r>
    </w:p>
    <w:p>
      <w:pPr>
        <w:pStyle w:val="TextBody"/>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spacing w:before="120" w:after="0"/>
        <w:jc w:val="left"/>
        <w:rPr>
          <w:rFonts w:ascii="Times New Roman" w:hAnsi="Times New Roman"/>
          <w:sz w:val="20"/>
        </w:rPr>
      </w:pPr>
      <w:r>
        <w:rPr>
          <w:rFonts w:ascii="Times New Roman" w:hAnsi="Times New Roman"/>
          <w:sz w:val="20"/>
        </w:rPr>
        <w:t xml:space="preserve">The EO Options may only be amended or terminated with the consent of the relevant option holder. </w:t>
      </w:r>
    </w:p>
    <w:p>
      <w:pPr>
        <w:pStyle w:val="TextBody"/>
        <w:spacing w:before="360" w:after="0"/>
        <w:jc w:val="left"/>
        <w:rPr>
          <w:rFonts w:ascii="Times New Roman" w:hAnsi="Times New Roman"/>
          <w:b/>
          <w:i/>
          <w:sz w:val="20"/>
        </w:rPr>
      </w:pPr>
      <w:r>
        <w:rPr>
          <w:rFonts w:ascii="Times New Roman" w:hAnsi="Times New Roman"/>
          <w:b/>
          <w:i/>
          <w:sz w:val="20"/>
        </w:rPr>
        <w:t xml:space="preserve">Transferability and Participant Payments </w:t>
      </w:r>
    </w:p>
    <w:p>
      <w:pPr>
        <w:pStyle w:val="TextBody"/>
        <w:spacing w:before="120" w:after="0"/>
        <w:jc w:val="left"/>
        <w:rPr>
          <w:rFonts w:ascii="Times New Roman" w:hAnsi="Times New Roman"/>
          <w:sz w:val="20"/>
        </w:rPr>
      </w:pPr>
      <w:r>
        <w:rPr>
          <w:rFonts w:ascii="Times New Roman" w:hAnsi="Times New Roman"/>
          <w:sz w:val="20"/>
        </w:rPr>
        <w:t xml:space="preserve">Expected Options will not be transferable save to a personal representative in the case of death. With regard to tax and/or social security withholding obligations arising in connection with the Expected Options, the EO administrator may accept cash, wire transfer or check or deduction from cash sums owed to the optionholder, or the participant may sell sufficient shares to meet the relevant liability. </w:t>
      </w:r>
    </w:p>
    <w:p>
      <w:pPr>
        <w:pStyle w:val="TextBody"/>
        <w:spacing w:before="360" w:after="0"/>
        <w:jc w:val="left"/>
        <w:rPr>
          <w:rFonts w:ascii="Times New Roman" w:hAnsi="Times New Roman"/>
          <w:b/>
          <w:i/>
          <w:sz w:val="20"/>
        </w:rPr>
      </w:pPr>
      <w:r>
        <w:rPr>
          <w:rFonts w:ascii="Times New Roman" w:hAnsi="Times New Roman"/>
          <w:b/>
          <w:i/>
          <w:sz w:val="20"/>
        </w:rPr>
        <w:t xml:space="preserve">Non-UK Participants </w:t>
      </w:r>
    </w:p>
    <w:p>
      <w:pPr>
        <w:pStyle w:val="TextBody"/>
        <w:spacing w:before="120" w:after="0"/>
        <w:jc w:val="left"/>
        <w:rPr>
          <w:rFonts w:ascii="Times New Roman" w:hAnsi="Times New Roman"/>
          <w:sz w:val="20"/>
        </w:rPr>
      </w:pPr>
      <w:r>
        <w:rPr>
          <w:rFonts w:ascii="Times New Roman" w:hAnsi="Times New Roman"/>
          <w:sz w:val="20"/>
        </w:rPr>
        <w:t xml:space="preserve">The EO administrator may amend the terms described above prior to grant in respect of any non-UK nationals or employed outside the United Kingdom to address differences in laws, rules, regulations or customs of such international jurisdictions with respect to tax, securities, foreign exchange control, currency, employee benefit or other matters or to enable awards to be granted in compliance with a tax favorable regime that may be available in any jurisdiction. </w:t>
      </w:r>
    </w:p>
    <w:p>
      <w:pPr>
        <w:pStyle w:val="TextBody"/>
        <w:spacing w:before="360" w:after="0"/>
        <w:jc w:val="left"/>
        <w:rPr>
          <w:rFonts w:ascii="Times New Roman" w:hAnsi="Times New Roman"/>
          <w:b/>
          <w:i/>
          <w:sz w:val="20"/>
        </w:rPr>
      </w:pPr>
      <w:r>
        <w:rPr>
          <w:rFonts w:ascii="Times New Roman" w:hAnsi="Times New Roman"/>
          <w:b/>
          <w:i/>
          <w:sz w:val="20"/>
        </w:rPr>
        <w:t xml:space="preserve">Description of Employee Benefit Trust </w:t>
      </w:r>
    </w:p>
    <w:p>
      <w:pPr>
        <w:pStyle w:val="TextBody"/>
        <w:spacing w:before="120" w:after="0"/>
        <w:jc w:val="left"/>
        <w:rPr>
          <w:rFonts w:ascii="Times New Roman" w:hAnsi="Times New Roman"/>
          <w:sz w:val="20"/>
        </w:rPr>
      </w:pPr>
      <w:r>
        <w:rPr>
          <w:rFonts w:ascii="Times New Roman" w:hAnsi="Times New Roman"/>
          <w:sz w:val="20"/>
        </w:rPr>
        <w:t xml:space="preserve">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 </w:t>
      </w:r>
    </w:p>
    <w:p>
      <w:pPr>
        <w:pStyle w:val="TextBody"/>
        <w:spacing w:before="360" w:after="0"/>
        <w:jc w:val="left"/>
        <w:rPr>
          <w:rFonts w:ascii="Times New Roman" w:hAnsi="Times New Roman"/>
          <w:b/>
          <w:i/>
          <w:sz w:val="20"/>
        </w:rPr>
      </w:pPr>
      <w:r>
        <w:rPr>
          <w:rFonts w:ascii="Times New Roman" w:hAnsi="Times New Roman"/>
          <w:b/>
          <w:i/>
          <w:sz w:val="20"/>
        </w:rPr>
        <w:t xml:space="preserve">Description of Employee Incentive Shares </w:t>
      </w:r>
    </w:p>
    <w:p>
      <w:pPr>
        <w:pStyle w:val="TextBody"/>
        <w:spacing w:before="120" w:after="0"/>
        <w:jc w:val="left"/>
        <w:rPr>
          <w:rFonts w:ascii="Times New Roman" w:hAnsi="Times New Roman"/>
          <w:sz w:val="20"/>
        </w:rPr>
      </w:pPr>
      <w:r>
        <w:rPr>
          <w:rFonts w:ascii="Times New Roman" w:hAnsi="Times New Roman"/>
          <w:sz w:val="20"/>
        </w:rPr>
        <w:t xml:space="preserve">Rezolve has in issue certain shares held by certain employees, directors, and consultants which were issued to incentivize performance and may be forfeited in the event of cessation of service.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RESOLVED, </w:t>
      </w:r>
      <w:r>
        <w:rPr>
          <w:rFonts w:ascii="Times New Roman" w:hAnsi="Times New Roman"/>
          <w:sz w:val="20"/>
        </w:rPr>
        <w:t xml:space="preserve">as an Ordinary Resolution, that the Rezolve Incentive Equity Plan, substantially in the form attached to the proxy statement/prospectus as Annex                 , be adopted and approved. </w:t>
      </w:r>
    </w:p>
    <w:p>
      <w:pPr>
        <w:pStyle w:val="TextBody"/>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spacing w:before="120" w:after="0"/>
        <w:jc w:val="left"/>
        <w:rPr>
          <w:rFonts w:ascii="Times New Roman" w:hAnsi="Times New Roman"/>
          <w:sz w:val="20"/>
        </w:rPr>
      </w:pPr>
      <w:r>
        <w:rPr>
          <w:rFonts w:ascii="Times New Roman" w:hAnsi="Times New Roman"/>
          <w:sz w:val="20"/>
        </w:rPr>
        <w:t xml:space="preserve">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 </w:t>
      </w:r>
    </w:p>
    <w:p>
      <w:pPr>
        <w:pStyle w:val="TextBody"/>
        <w:spacing w:before="240" w:after="0"/>
        <w:jc w:val="left"/>
        <w:rPr>
          <w:rFonts w:ascii="Times New Roman" w:hAnsi="Times New Roman"/>
          <w:sz w:val="20"/>
        </w:rPr>
      </w:pPr>
      <w:r>
        <w:rPr>
          <w:rFonts w:ascii="Times New Roman" w:hAnsi="Times New Roman"/>
          <w:sz w:val="20"/>
        </w:rPr>
        <w:t xml:space="preserve">Failure to vote by proxy or to vote in person (which would include presence at a virtual meeting) at the Special Meeting, abstentions and broker non-votes will have no effect on the Incentive Equity Plan Proposal. </w:t>
      </w:r>
    </w:p>
    <w:p>
      <w:pPr>
        <w:pStyle w:val="TextBody"/>
        <w:spacing w:before="240" w:after="0"/>
        <w:jc w:val="left"/>
        <w:rPr>
          <w:rFonts w:ascii="Times New Roman" w:hAnsi="Times New Roman"/>
          <w:sz w:val="20"/>
        </w:rPr>
      </w:pPr>
      <w:r>
        <w:rPr>
          <w:rFonts w:ascii="Times New Roman" w:hAnsi="Times New Roman"/>
          <w:sz w:val="20"/>
        </w:rPr>
        <w:t xml:space="preserve">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The Sponsor and Armadas directors and officers have agreed to vote the Founder Shares and any of Armadas public shares owned by them in favor of Incentive Equity Plan Proposal. See </w:t>
      </w:r>
      <w:r>
        <w:rPr>
          <w:rFonts w:ascii="Times New Roman" w:hAnsi="Times New Roman"/>
          <w:i/>
          <w:sz w:val="20"/>
        </w:rPr>
        <w:t>Proposal No.1The Business Combination ProposalAncillary Agreements</w:t>
      </w:r>
      <w:r>
        <w:rPr>
          <w:rFonts w:ascii="Times New Roman" w:hAnsi="Times New Roman"/>
          <w:sz w:val="20"/>
        </w:rPr>
        <w:t xml:space="preserve"> for more information. </w:t>
      </w:r>
    </w:p>
    <w:p>
      <w:pPr>
        <w:pStyle w:val="TextBody"/>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INCENTIVE EQUITY PLAN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x309194_19"/>
      <w:bookmarkEnd w:id="21"/>
      <w:r>
        <w:rPr>
          <w:rFonts w:ascii="Times New Roman" w:hAnsi="Times New Roman"/>
          <w:b/>
          <w:sz w:val="20"/>
        </w:rPr>
        <w:t xml:space="preserve">THE ADJOURNMENT PROPOSAL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and the Incentive Equity Plan Proposal, but no other proposal than the Business Combination Proposal, the Nasdaq Proposal, and the Incentive Equity Plan Proposal are approved. </w:t>
      </w:r>
    </w:p>
    <w:p>
      <w:pPr>
        <w:pStyle w:val="TextBody"/>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spacing w:before="120" w:after="0"/>
        <w:jc w:val="left"/>
        <w:rPr>
          <w:rFonts w:ascii="Times New Roman" w:hAnsi="Times New Roman"/>
          <w:sz w:val="20"/>
        </w:rPr>
      </w:pPr>
      <w:r>
        <w:rPr>
          <w:rFonts w:ascii="Times New Roman" w:hAnsi="Times New Roman"/>
          <w:sz w:val="20"/>
        </w:rPr>
        <w:t xml:space="preserve">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 </w:t>
      </w:r>
    </w:p>
    <w:p>
      <w:pPr>
        <w:pStyle w:val="TextBody"/>
        <w:spacing w:before="360" w:after="0"/>
        <w:jc w:val="left"/>
        <w:rPr>
          <w:rFonts w:ascii="Times New Roman" w:hAnsi="Times New Roman"/>
          <w:b/>
          <w:sz w:val="20"/>
        </w:rPr>
      </w:pPr>
      <w:r>
        <w:rPr>
          <w:rFonts w:ascii="Times New Roman" w:hAnsi="Times New Roman"/>
          <w:b/>
          <w:sz w:val="20"/>
        </w:rPr>
        <w:t xml:space="preserve">Resolution to be Voted Upon </w:t>
      </w:r>
    </w:p>
    <w:p>
      <w:pPr>
        <w:pStyle w:val="TextBody"/>
        <w:spacing w:before="120" w:after="0"/>
        <w:jc w:val="left"/>
        <w:rPr>
          <w:rFonts w:ascii="Times New Roman" w:hAnsi="Times New Roman"/>
          <w:sz w:val="20"/>
        </w:rPr>
      </w:pPr>
      <w:r>
        <w:rPr>
          <w:rFonts w:ascii="Times New Roman" w:hAnsi="Times New Roman"/>
          <w:sz w:val="20"/>
        </w:rPr>
        <w:t xml:space="preserve">The full text of the resolution to be passed is as follows: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RESOLVED</w:t>
      </w:r>
      <w:r>
        <w:rPr>
          <w:rFonts w:ascii="Times New Roman" w:hAnsi="Times New Roman"/>
          <w:sz w:val="20"/>
        </w:rPr>
        <w:t xml:space="preserve">,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 </w:t>
      </w:r>
    </w:p>
    <w:p>
      <w:pPr>
        <w:pStyle w:val="TextBody"/>
        <w:spacing w:before="360" w:after="0"/>
        <w:jc w:val="left"/>
        <w:rPr>
          <w:rFonts w:ascii="Times New Roman" w:hAnsi="Times New Roman"/>
          <w:b/>
          <w:sz w:val="20"/>
        </w:rPr>
      </w:pPr>
      <w:r>
        <w:rPr>
          <w:rFonts w:ascii="Times New Roman" w:hAnsi="Times New Roman"/>
          <w:b/>
          <w:sz w:val="20"/>
        </w:rPr>
        <w:t xml:space="preserve">Required Vote and Recommendation of the Board </w:t>
      </w:r>
    </w:p>
    <w:p>
      <w:pPr>
        <w:pStyle w:val="TextBody"/>
        <w:spacing w:before="120" w:after="0"/>
        <w:jc w:val="left"/>
        <w:rPr>
          <w:rFonts w:ascii="Times New Roman" w:hAnsi="Times New Roman"/>
          <w:sz w:val="20"/>
        </w:rPr>
      </w:pPr>
      <w:r>
        <w:rPr>
          <w:rFonts w:ascii="Times New Roman" w:hAnsi="Times New Roman"/>
          <w:sz w:val="20"/>
        </w:rPr>
        <w:t xml:space="preserve">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 </w:t>
      </w:r>
    </w:p>
    <w:p>
      <w:pPr>
        <w:pStyle w:val="TextBody"/>
        <w:spacing w:before="240" w:after="0"/>
        <w:jc w:val="left"/>
        <w:rPr>
          <w:rFonts w:ascii="Times New Roman" w:hAnsi="Times New Roman"/>
          <w:b/>
          <w:sz w:val="20"/>
        </w:rPr>
      </w:pPr>
      <w:r>
        <w:rPr>
          <w:rFonts w:ascii="Times New Roman" w:hAnsi="Times New Roman"/>
          <w:b/>
          <w:sz w:val="20"/>
        </w:rPr>
        <w:t xml:space="preserve">THE ARMADA BOARD OF DIRECTORS UNANIMOUSLY RECOMMENDS THAT ARMADA STOCKHOLDERS VOTE FOR THE APPROVAL OF THE ADJOURNMENT PROPOSAL. </w:t>
      </w:r>
    </w:p>
    <w:p>
      <w:pPr>
        <w:pStyle w:val="TextBody"/>
        <w:spacing w:before="240" w:after="0"/>
        <w:jc w:val="left"/>
        <w:rPr>
          <w:rFonts w:ascii="Times New Roman" w:hAnsi="Times New Roman"/>
          <w:sz w:val="20"/>
        </w:rPr>
      </w:pPr>
      <w:r>
        <w:rPr>
          <w:rFonts w:ascii="Times New Roman" w:hAnsi="Times New Roman"/>
          <w:sz w:val="20"/>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Times New Roman" w:hAnsi="Times New Roman"/>
          <w:i/>
          <w:sz w:val="20"/>
        </w:rPr>
        <w:t>Proposal No.</w:t>
      </w:r>
      <w:r>
        <w:rPr>
          <w:rFonts w:ascii="Times New Roman" w:hAnsi="Times New Roman"/>
          <w:sz w:val="20"/>
        </w:rPr>
        <w:t> </w:t>
      </w:r>
      <w:r>
        <w:rPr>
          <w:rFonts w:ascii="Times New Roman" w:hAnsi="Times New Roman"/>
          <w:i/>
          <w:sz w:val="20"/>
        </w:rPr>
        <w:t>1  Approval of the Business Combination  Interests of Armadas Directors and Officers in the Business Combination</w:t>
      </w:r>
      <w:r>
        <w:rPr>
          <w:rFonts w:ascii="Times New Roman" w:hAnsi="Times New Roman"/>
          <w:sz w:val="20"/>
        </w:rPr>
        <w:t xml:space="preserve"> for a further discussion.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x309194_20"/>
      <w:bookmarkEnd w:id="22"/>
      <w:r>
        <w:rPr>
          <w:rFonts w:ascii="Times New Roman" w:hAnsi="Times New Roman"/>
          <w:b/>
          <w:sz w:val="20"/>
        </w:rPr>
        <w:t xml:space="preserve">OTHER INFORMATION RELATED TO ARMADA </w:t>
      </w:r>
    </w:p>
    <w:p>
      <w:pPr>
        <w:pStyle w:val="TextBody"/>
        <w:spacing w:before="240" w:after="0"/>
        <w:jc w:val="left"/>
        <w:rPr>
          <w:rFonts w:ascii="Times New Roman" w:hAnsi="Times New Roman"/>
          <w:i/>
          <w:sz w:val="20"/>
        </w:rPr>
      </w:pPr>
      <w:r>
        <w:rPr>
          <w:rFonts w:ascii="Times New Roman" w:hAnsi="Times New Roman"/>
          <w:i/>
          <w:sz w:val="20"/>
        </w:rPr>
        <w:t xml:space="preserve">References in this section to Armada, we, our, us or the Company refer to Armada Acquisition Corp. I., a Delaware corporation.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 </w:t>
      </w:r>
    </w:p>
    <w:p>
      <w:pPr>
        <w:pStyle w:val="TextBody"/>
        <w:spacing w:before="240" w:after="0"/>
        <w:jc w:val="left"/>
        <w:rPr>
          <w:rFonts w:ascii="Times New Roman" w:hAnsi="Times New Roman"/>
          <w:sz w:val="20"/>
        </w:rPr>
      </w:pPr>
      <w:r>
        <w:rPr>
          <w:rFonts w:ascii="Times New Roman" w:hAnsi="Times New Roman"/>
          <w:sz w:val="20"/>
        </w:rPr>
        <w:t xml:space="preserve">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 </w:t>
      </w:r>
    </w:p>
    <w:p>
      <w:pPr>
        <w:pStyle w:val="TextBody"/>
        <w:spacing w:before="240" w:after="0"/>
        <w:jc w:val="left"/>
        <w:rPr>
          <w:rFonts w:ascii="Times New Roman" w:hAnsi="Times New Roman"/>
          <w:sz w:val="20"/>
        </w:rPr>
      </w:pPr>
      <w:r>
        <w:rPr>
          <w:rFonts w:ascii="Times New Roman" w:hAnsi="Times New Roman"/>
          <w:sz w:val="20"/>
        </w:rPr>
        <w:t xml:space="preserve">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 </w:t>
      </w:r>
    </w:p>
    <w:p>
      <w:pPr>
        <w:pStyle w:val="TextBody"/>
        <w:spacing w:before="240" w:after="0"/>
        <w:jc w:val="left"/>
        <w:rPr>
          <w:rFonts w:ascii="Times New Roman" w:hAnsi="Times New Roman"/>
          <w:sz w:val="20"/>
        </w:rPr>
      </w:pPr>
      <w:r>
        <w:rPr>
          <w:rFonts w:ascii="Times New Roman" w:hAnsi="Times New Roman"/>
          <w:sz w:val="20"/>
        </w:rPr>
        <w:t xml:space="preserve">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(ii)</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(iii)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240" w:after="0"/>
        <w:jc w:val="left"/>
        <w:rPr>
          <w:rFonts w:ascii="Times New Roman" w:hAnsi="Times New Roman"/>
          <w:sz w:val="20"/>
        </w:rPr>
      </w:pPr>
      <w:r>
        <w:rPr>
          <w:rFonts w:ascii="Times New Roman" w:hAnsi="Times New Roman"/>
          <w:sz w:val="20"/>
        </w:rPr>
        <w:t xml:space="preserve">Upon the closing of the transactions, it is expected that the Combined Company will be named Rezolve PLC and will be listed on The Nasdaq Stock Market LLC under the new ticker symbol                 . </w:t>
      </w:r>
    </w:p>
    <w:p>
      <w:pPr>
        <w:pStyle w:val="TextBody"/>
        <w:spacing w:before="360" w:after="0"/>
        <w:jc w:val="left"/>
        <w:rPr>
          <w:rFonts w:ascii="Times New Roman" w:hAnsi="Times New Roman"/>
          <w:b/>
          <w:sz w:val="20"/>
        </w:rPr>
      </w:pPr>
      <w:r>
        <w:rPr>
          <w:rFonts w:ascii="Times New Roman" w:hAnsi="Times New Roman"/>
          <w:b/>
          <w:sz w:val="20"/>
        </w:rPr>
        <w:t xml:space="preserve">Our Management Team </w:t>
      </w:r>
    </w:p>
    <w:p>
      <w:pPr>
        <w:pStyle w:val="TextBody"/>
        <w:spacing w:before="120" w:after="0"/>
        <w:jc w:val="left"/>
        <w:rPr>
          <w:rFonts w:ascii="Times New Roman" w:hAnsi="Times New Roman"/>
          <w:sz w:val="20"/>
        </w:rPr>
      </w:pPr>
      <w:r>
        <w:rPr>
          <w:rFonts w:ascii="Times New Roman" w:hAnsi="Times New Roman"/>
          <w:sz w:val="20"/>
        </w:rPr>
        <w:t xml:space="preserve">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 $170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 </w:t>
      </w:r>
    </w:p>
    <w:p>
      <w:pPr>
        <w:pStyle w:val="TextBody"/>
        <w:spacing w:before="240" w:after="0"/>
        <w:jc w:val="left"/>
        <w:rPr>
          <w:rFonts w:ascii="Times New Roman" w:hAnsi="Times New Roman"/>
          <w:sz w:val="20"/>
        </w:rPr>
      </w:pPr>
      <w:r>
        <w:rPr>
          <w:rFonts w:ascii="Times New Roman" w:hAnsi="Times New Roman"/>
          <w:sz w:val="20"/>
        </w:rPr>
        <w:t xml:space="preserve">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 </w:t>
      </w:r>
    </w:p>
    <w:p>
      <w:pPr>
        <w:pStyle w:val="TextBody"/>
        <w:spacing w:before="240" w:after="0"/>
        <w:jc w:val="left"/>
        <w:rPr>
          <w:rFonts w:ascii="Times New Roman" w:hAnsi="Times New Roman"/>
          <w:sz w:val="20"/>
        </w:rPr>
      </w:pPr>
      <w:r>
        <w:rPr>
          <w:rFonts w:ascii="Times New Roman" w:hAnsi="Times New Roman"/>
          <w:sz w:val="20"/>
        </w:rPr>
        <w:t xml:space="preserve">As a result of adjustments to previously reported revenues that were identified in connection with certain customer transactions, in February 2019, USAT determined to restate certain of its financial statements. Subsequent thereto, and during the audit and restatement process, additional adjustments related to financial reporting and accounting policy issues were identified which were unrelated to the foregoing adjustments. Based upon these additional adjustments, USAT determined to restate additional financial statements. Due to the foregoing, USAT was not able to file certain of its periodic reports within the time period required by Nasdaq, and USATs shares were suspended from trading on Nasdaq on September 26, 2019 and were subsequently relisted on Nasdaq. On October 9, 2019, USAT filed its outstanding periodic financial reports and announced that it had raised $20 million in an equity funding and obtained a commitment from the investor to extend a $30 million senior debt term loan facility. USAT has publicly disclosed that it has responded to a subpoena received from a regulatory agency that sought records regarding prior financial reporting periods, including the aforementioned restatements. USAT publicly disclosed that it cooperated fully with the agencys queries and was notified during fiscal year 2022 that the agency concluded its investigation and does not intend to proceed with any further investigation or enforcement. Since fiscal year 2019, USAT has publicly disclosed that it has received inquiries from the SEC into the facts and circumstances of the 2019 investigation and has fully cooperated with these inquiries. </w:t>
      </w:r>
    </w:p>
    <w:p>
      <w:pPr>
        <w:pStyle w:val="TextBody"/>
        <w:spacing w:before="240" w:after="0"/>
        <w:jc w:val="left"/>
        <w:rPr>
          <w:rFonts w:ascii="Times New Roman" w:hAnsi="Times New Roman"/>
          <w:sz w:val="20"/>
        </w:rPr>
      </w:pPr>
      <w:r>
        <w:rPr>
          <w:rFonts w:ascii="Times New Roman" w:hAnsi="Times New Roman"/>
          <w:sz w:val="20"/>
        </w:rPr>
        <w:t xml:space="preserve">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 </w:t>
      </w:r>
    </w:p>
    <w:p>
      <w:pPr>
        <w:pStyle w:val="TextBody"/>
        <w:spacing w:before="240" w:after="0"/>
        <w:jc w:val="left"/>
        <w:rPr>
          <w:rFonts w:ascii="Times New Roman" w:hAnsi="Times New Roman"/>
          <w:sz w:val="20"/>
        </w:rPr>
      </w:pPr>
      <w:r>
        <w:rPr>
          <w:rFonts w:ascii="Times New Roman" w:hAnsi="Times New Roman"/>
          <w:sz w:val="20"/>
        </w:rPr>
        <w:t xml:space="preserve">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 </w:t>
      </w:r>
    </w:p>
    <w:p>
      <w:pPr>
        <w:pStyle w:val="TextBody"/>
        <w:spacing w:before="240" w:after="0"/>
        <w:jc w:val="left"/>
        <w:rPr>
          <w:rFonts w:ascii="Times New Roman" w:hAnsi="Times New Roman"/>
          <w:sz w:val="20"/>
        </w:rPr>
      </w:pPr>
      <w:r>
        <w:rPr>
          <w:rFonts w:ascii="Times New Roman" w:hAnsi="Times New Roman"/>
          <w:sz w:val="20"/>
        </w:rPr>
        <w:t xml:space="preserve">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 </w:t>
      </w:r>
    </w:p>
    <w:p>
      <w:pPr>
        <w:pStyle w:val="TextBody"/>
        <w:spacing w:before="240" w:after="0"/>
        <w:jc w:val="left"/>
        <w:rPr>
          <w:rFonts w:ascii="Times New Roman" w:hAnsi="Times New Roman"/>
          <w:sz w:val="20"/>
        </w:rPr>
      </w:pPr>
      <w:r>
        <w:rPr>
          <w:rFonts w:ascii="Times New Roman" w:hAnsi="Times New Roman"/>
          <w:sz w:val="20"/>
        </w:rPr>
        <w:t xml:space="preserve">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 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 </w:t>
      </w:r>
    </w:p>
    <w:p>
      <w:pPr>
        <w:pStyle w:val="TextBody"/>
        <w:spacing w:before="240" w:after="0"/>
        <w:jc w:val="left"/>
        <w:rPr>
          <w:rFonts w:ascii="Times New Roman" w:hAnsi="Times New Roman"/>
          <w:sz w:val="20"/>
        </w:rPr>
      </w:pPr>
      <w:r>
        <w:rPr>
          <w:rFonts w:ascii="Times New Roman" w:hAnsi="Times New Roman"/>
          <w:sz w:val="20"/>
        </w:rPr>
        <w:t xml:space="preserve">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 </w:t>
      </w:r>
    </w:p>
    <w:p>
      <w:pPr>
        <w:pStyle w:val="TextBody"/>
        <w:spacing w:before="240" w:after="0"/>
        <w:jc w:val="left"/>
        <w:rPr>
          <w:rFonts w:ascii="Times New Roman" w:hAnsi="Times New Roman"/>
          <w:sz w:val="20"/>
        </w:rPr>
      </w:pPr>
      <w:r>
        <w:rPr>
          <w:rFonts w:ascii="Times New Roman" w:hAnsi="Times New Roman"/>
          <w:sz w:val="20"/>
        </w:rPr>
        <w:t xml:space="preserve">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 </w:t>
      </w:r>
    </w:p>
    <w:p>
      <w:pPr>
        <w:pStyle w:val="TextBody"/>
        <w:spacing w:before="240" w:after="0"/>
        <w:jc w:val="left"/>
        <w:rPr>
          <w:rFonts w:ascii="Times New Roman" w:hAnsi="Times New Roman"/>
          <w:sz w:val="20"/>
        </w:rPr>
      </w:pPr>
      <w:r>
        <w:rPr>
          <w:rFonts w:ascii="Times New Roman" w:hAnsi="Times New Roman"/>
          <w:sz w:val="20"/>
        </w:rPr>
        <w:t xml:space="preserve">Notwithstanding the foregoing, the past performance of our management team is not a guarantee of success with respect to any business combination we may consummate. No member of our management team has had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management experience with any special purpose acquisition company in the past. You should not rely on the historical record of our management teams performance as indicative of future performance. </w:t>
      </w:r>
    </w:p>
    <w:p>
      <w:pPr>
        <w:pStyle w:val="TextBody"/>
        <w:spacing w:before="360" w:after="0"/>
        <w:jc w:val="left"/>
        <w:rPr>
          <w:rFonts w:ascii="Times New Roman" w:hAnsi="Times New Roman"/>
          <w:b/>
          <w:sz w:val="20"/>
        </w:rPr>
      </w:pPr>
      <w:r>
        <w:rPr>
          <w:rFonts w:ascii="Times New Roman" w:hAnsi="Times New Roman"/>
          <w:b/>
          <w:sz w:val="20"/>
        </w:rPr>
        <w:t xml:space="preserve">Business Strategy </w:t>
      </w:r>
    </w:p>
    <w:p>
      <w:pPr>
        <w:pStyle w:val="TextBody"/>
        <w:spacing w:before="120" w:after="0"/>
        <w:jc w:val="left"/>
        <w:rPr>
          <w:rFonts w:ascii="Times New Roman" w:hAnsi="Times New Roman"/>
          <w:sz w:val="20"/>
        </w:rPr>
      </w:pPr>
      <w:r>
        <w:rPr>
          <w:rFonts w:ascii="Times New Roman" w:hAnsi="Times New Roman"/>
          <w:sz w:val="20"/>
        </w:rPr>
        <w:t xml:space="preserve">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 </w:t>
      </w:r>
    </w:p>
    <w:p>
      <w:pPr>
        <w:pStyle w:val="TextBody"/>
        <w:spacing w:before="240" w:after="0"/>
        <w:jc w:val="left"/>
        <w:rPr>
          <w:rFonts w:ascii="Times New Roman" w:hAnsi="Times New Roman"/>
          <w:sz w:val="20"/>
        </w:rPr>
      </w:pPr>
      <w:r>
        <w:rPr>
          <w:rFonts w:ascii="Times New Roman" w:hAnsi="Times New Roman"/>
          <w:sz w:val="20"/>
        </w:rPr>
        <w:t xml:space="preserve">Armada determined to enter into a letter of intent with Rezolve and to pursue a potential Business Combination with Rezolve, due to, among other things, Rezolves public company readiness, including its 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 </w:t>
      </w:r>
    </w:p>
    <w:p>
      <w:pPr>
        <w:pStyle w:val="TextBody"/>
        <w:spacing w:before="360" w:after="0"/>
        <w:jc w:val="left"/>
        <w:rPr>
          <w:rFonts w:ascii="Times New Roman" w:hAnsi="Times New Roman"/>
          <w:b/>
          <w:sz w:val="20"/>
        </w:rPr>
      </w:pPr>
      <w:r>
        <w:rPr>
          <w:rFonts w:ascii="Times New Roman" w:hAnsi="Times New Roman"/>
          <w:b/>
          <w:sz w:val="20"/>
        </w:rPr>
        <w:t xml:space="preserve">Acquisition / Investment Criteria </w:t>
      </w:r>
    </w:p>
    <w:p>
      <w:pPr>
        <w:pStyle w:val="TextBody"/>
        <w:spacing w:before="120" w:after="0"/>
        <w:jc w:val="left"/>
        <w:rPr>
          <w:rFonts w:ascii="Times New Roman" w:hAnsi="Times New Roman"/>
          <w:sz w:val="20"/>
        </w:rPr>
      </w:pPr>
      <w:r>
        <w:rPr>
          <w:rFonts w:ascii="Times New Roman" w:hAnsi="Times New Roman"/>
          <w:sz w:val="20"/>
        </w:rPr>
        <w:t xml:space="preserve">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fundamentally sound and can unlock and enhance stockholder value through a combination with us, thereby offering attractive risk-adjusted returns for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at an inflection point, such as requiring additional management expertise, and able to accelerate growth and financial performance through differentiated business models and the addition of our operational, financial, transactional and legal expertise and networks;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in need of a flexible, creative or opportunistic structure where we can deliver additional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a strong, experienced management team, or provides a platform to assemble an effective management team with a track record of driving growth and profitability;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Can benefit from being a publicly traded company, with access to broader capital markets, to achieve the business growth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Is poised to grow both organically through the application of technology, as well as inorganically, through bolt-on or transformational acquisitions;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Has a leading or niche market position and demonstrates advantages when compared to competitors, which may help to create barriers to entry against new competitors;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Exhibits unrecognized value or other characteristics that we believe can be enhanced based on our analysis and due diligence review.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believe that Rezolve meets these criteria. </w:t>
      </w:r>
    </w:p>
    <w:p>
      <w:pPr>
        <w:pStyle w:val="TextBody"/>
        <w:spacing w:before="240" w:after="0"/>
        <w:jc w:val="left"/>
        <w:rPr>
          <w:rFonts w:ascii="Times New Roman" w:hAnsi="Times New Roman"/>
          <w:sz w:val="20"/>
        </w:rPr>
      </w:pPr>
      <w:r>
        <w:rPr>
          <w:rFonts w:ascii="Times New Roman" w:hAnsi="Times New Roman"/>
          <w:sz w:val="20"/>
        </w:rPr>
        <w:t xml:space="preserve">We anticipate offering the following benefits to Rezolve: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Partnership with our management team members who have extensive and proven experience in operating, leading, advising and investing in market-leading financial services and FinTech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Access to our deep and broad networks, insights and operational, financial, transactional, and legal and regulatory expertise;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Increased company profile and improved credibility with investors, customers, suppliers and other key stakeholders;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Higher level of engagement with core, relevant, fundamental investors as anchor stockholders than what a traditional IPO book-building process offers;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Lower risk path to a public listing with flexible structuring;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Infusion of cash and ongoing access to public capital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Listed public currency for future acquisitions and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for management team to retain control and focus on growing the business;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Opportunity to motivate and retain employees using stock-based compensation. </w:t>
            </w:r>
          </w:p>
        </w:tc>
      </w:tr>
    </w:tbl>
    <w:p>
      <w:pPr>
        <w:pStyle w:val="TextBody"/>
        <w:spacing w:before="240" w:after="0"/>
        <w:jc w:val="left"/>
        <w:rPr>
          <w:rFonts w:ascii="Times New Roman" w:hAnsi="Times New Roman"/>
          <w:sz w:val="20"/>
        </w:rPr>
      </w:pPr>
      <w:r>
        <w:rPr>
          <w:rFonts w:ascii="Times New Roman" w:hAnsi="Times New Roman"/>
          <w:sz w:val="20"/>
        </w:rPr>
        <w:t xml:space="preserve">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w:t>
      </w:r>
    </w:p>
    <w:p>
      <w:pPr>
        <w:pStyle w:val="TextBody"/>
        <w:spacing w:before="360" w:after="0"/>
        <w:jc w:val="left"/>
        <w:rPr>
          <w:rFonts w:ascii="Times New Roman" w:hAnsi="Times New Roman"/>
          <w:b/>
          <w:sz w:val="20"/>
        </w:rPr>
      </w:pPr>
      <w:r>
        <w:rPr>
          <w:rFonts w:ascii="Times New Roman" w:hAnsi="Times New Roman"/>
          <w:b/>
          <w:sz w:val="20"/>
        </w:rPr>
        <w:t xml:space="preserve">Our Acquisition Process </w:t>
      </w:r>
    </w:p>
    <w:p>
      <w:pPr>
        <w:pStyle w:val="TextBody"/>
        <w:spacing w:before="120" w:after="0"/>
        <w:jc w:val="left"/>
        <w:rPr>
          <w:rFonts w:ascii="Times New Roman" w:hAnsi="Times New Roman"/>
          <w:sz w:val="20"/>
        </w:rPr>
      </w:pPr>
      <w:r>
        <w:rPr>
          <w:rFonts w:ascii="Times New Roman" w:hAnsi="Times New Roman"/>
          <w:sz w:val="20"/>
        </w:rPr>
        <w:t xml:space="preserve">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Initial Business Combination </w:t>
      </w:r>
    </w:p>
    <w:p>
      <w:pPr>
        <w:pStyle w:val="TextBody"/>
        <w:spacing w:before="120" w:after="0"/>
        <w:jc w:val="left"/>
        <w:rPr>
          <w:rFonts w:ascii="Times New Roman" w:hAnsi="Times New Roman"/>
          <w:sz w:val="20"/>
        </w:rPr>
      </w:pPr>
      <w:r>
        <w:rPr>
          <w:rFonts w:ascii="Times New Roman" w:hAnsi="Times New Roman"/>
          <w:sz w:val="20"/>
        </w:rPr>
        <w:t xml:space="preserve">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 </w:t>
      </w:r>
    </w:p>
    <w:p>
      <w:pPr>
        <w:pStyle w:val="TextBody"/>
        <w:spacing w:before="360" w:after="0"/>
        <w:jc w:val="left"/>
        <w:rPr>
          <w:rFonts w:ascii="Times New Roman" w:hAnsi="Times New Roman"/>
          <w:b/>
          <w:sz w:val="20"/>
        </w:rPr>
      </w:pPr>
      <w:r>
        <w:rPr>
          <w:rFonts w:ascii="Times New Roman" w:hAnsi="Times New Roman"/>
          <w:b/>
          <w:sz w:val="20"/>
        </w:rPr>
        <w:t xml:space="preserve">Effecting a Business Combination </w:t>
      </w:r>
    </w:p>
    <w:p>
      <w:pPr>
        <w:pStyle w:val="TextBody"/>
        <w:spacing w:before="12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Selection of a Target Business and Structuring of a Business Combination </w:t>
      </w:r>
    </w:p>
    <w:p>
      <w:pPr>
        <w:pStyle w:val="TextBody"/>
        <w:spacing w:before="120" w:after="0"/>
        <w:jc w:val="left"/>
        <w:rPr>
          <w:rFonts w:ascii="Times New Roman" w:hAnsi="Times New Roman"/>
          <w:sz w:val="20"/>
        </w:rPr>
      </w:pPr>
      <w:r>
        <w:rPr>
          <w:rFonts w:ascii="Times New Roman" w:hAnsi="Times New Roman"/>
          <w:sz w:val="20"/>
        </w:rPr>
        <w:t xml:space="preserve">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w:t>
      </w:r>
    </w:p>
    <w:p>
      <w:pPr>
        <w:pStyle w:val="TextBody"/>
        <w:spacing w:before="240" w:after="0"/>
        <w:jc w:val="left"/>
        <w:rPr>
          <w:rFonts w:ascii="Times New Roman" w:hAnsi="Times New Roman"/>
          <w:sz w:val="20"/>
        </w:rPr>
      </w:pPr>
      <w:r>
        <w:rPr>
          <w:rFonts w:ascii="Times New Roman" w:hAnsi="Times New Roman"/>
          <w:sz w:val="20"/>
        </w:rPr>
        <w:t xml:space="preserve">We have not established any specific attributes or criteria (financial or otherwise) for prospective target businesses. In evaluating Rezolve, our management considered a variety of factors, including one or more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condition and results of operation;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growth potential;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brand recognition and potential;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experience and skill of management and availability of additional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capital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competitive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barriers to entry;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stage of development of the products, processes or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distribution and potential for expansion;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degree of current or potential market acceptance of the products, processes or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proprietary aspects of products and the extent of intellectual property or other protection for products or formulas;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impact of regulation on the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regulatory environment of the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costs associated with effecting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industry leadership, sustainability of market share and attractiveness of market industries in which a target business participates;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macro competitive dynamics in the industry within which the company competes. </w:t>
            </w:r>
          </w:p>
        </w:tc>
      </w:tr>
    </w:tbl>
    <w:p>
      <w:pPr>
        <w:pStyle w:val="TextBody"/>
        <w:spacing w:before="240" w:after="0"/>
        <w:jc w:val="left"/>
        <w:rPr>
          <w:rFonts w:ascii="Times New Roman" w:hAnsi="Times New Roman"/>
          <w:sz w:val="20"/>
        </w:rPr>
      </w:pPr>
      <w:r>
        <w:rPr>
          <w:rFonts w:ascii="Times New Roman" w:hAnsi="Times New Roman"/>
          <w:sz w:val="20"/>
        </w:rPr>
        <w:t xml:space="preserve">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 </w:t>
      </w:r>
    </w:p>
    <w:p>
      <w:pPr>
        <w:pStyle w:val="TextBody"/>
        <w:spacing w:before="360" w:after="0"/>
        <w:jc w:val="left"/>
        <w:rPr>
          <w:rFonts w:ascii="Times New Roman" w:hAnsi="Times New Roman"/>
          <w:b/>
          <w:i/>
          <w:sz w:val="20"/>
        </w:rPr>
      </w:pPr>
      <w:r>
        <w:rPr>
          <w:rFonts w:ascii="Times New Roman" w:hAnsi="Times New Roman"/>
          <w:b/>
          <w:i/>
          <w:sz w:val="20"/>
        </w:rPr>
        <w:t xml:space="preserve">Fair Market Value of Target Business </w:t>
      </w:r>
    </w:p>
    <w:p>
      <w:pPr>
        <w:pStyle w:val="TextBody"/>
        <w:spacing w:before="120" w:after="0"/>
        <w:jc w:val="left"/>
        <w:rPr>
          <w:rFonts w:ascii="Times New Roman" w:hAnsi="Times New Roman"/>
          <w:sz w:val="20"/>
        </w:rPr>
      </w:pPr>
      <w:r>
        <w:rPr>
          <w:rFonts w:ascii="Times New Roman" w:hAnsi="Times New Roman"/>
          <w:sz w:val="20"/>
        </w:rPr>
        <w:t xml:space="preserve">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 </w:t>
      </w:r>
    </w:p>
    <w:p>
      <w:pPr>
        <w:pStyle w:val="TextBody"/>
        <w:spacing w:before="240" w:after="0"/>
        <w:jc w:val="left"/>
        <w:rPr>
          <w:rFonts w:ascii="Times New Roman" w:hAnsi="Times New Roman"/>
          <w:sz w:val="20"/>
        </w:rPr>
      </w:pPr>
      <w:r>
        <w:rPr>
          <w:rFonts w:ascii="Times New Roman" w:hAnsi="Times New Roman"/>
          <w:sz w:val="20"/>
        </w:rPr>
        <w:t xml:space="preserve">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p>
      <w:pPr>
        <w:pStyle w:val="TextBody"/>
        <w:spacing w:before="240" w:after="0"/>
        <w:jc w:val="left"/>
        <w:rPr>
          <w:rFonts w:ascii="Times New Roman" w:hAnsi="Times New Roman"/>
          <w:sz w:val="20"/>
        </w:rPr>
      </w:pPr>
      <w:r>
        <w:rPr>
          <w:rFonts w:ascii="Times New Roman" w:hAnsi="Times New Roman"/>
          <w:sz w:val="20"/>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Times New Roman" w:hAnsi="Times New Roman"/>
          <w:i/>
          <w:sz w:val="20"/>
        </w:rPr>
        <w:t>The Business Combination Proposal  Opinion of Marshall</w:t>
      </w:r>
      <w:r>
        <w:rPr>
          <w:rFonts w:ascii="Times New Roman" w:hAnsi="Times New Roman"/>
          <w:sz w:val="20"/>
        </w:rPr>
        <w:t> </w:t>
      </w:r>
      <w:r>
        <w:rPr>
          <w:rFonts w:ascii="Times New Roman" w:hAnsi="Times New Roman"/>
          <w:i/>
          <w:sz w:val="20"/>
        </w:rPr>
        <w:t>&amp; Stevens</w:t>
      </w:r>
      <w:r>
        <w:rPr>
          <w:rFonts w:ascii="Times New Roman" w:hAnsi="Times New Roman"/>
          <w:sz w:val="20"/>
        </w:rPr>
        <w:t xml:space="preserve"> and the written opinion of Marshall &amp; Stevens attached as </w:t>
      </w:r>
      <w:r>
        <w:rPr>
          <w:rFonts w:ascii="Times New Roman" w:hAnsi="Times New Roman"/>
          <w:i/>
          <w:sz w:val="20"/>
        </w:rPr>
        <w:t xml:space="preserve">Annex </w:t>
      </w:r>
      <w:r>
        <w:rPr>
          <w:rFonts w:ascii="Times New Roman" w:hAnsi="Times New Roman"/>
          <w:sz w:val="20"/>
        </w:rPr>
        <w:t xml:space="preserve">                 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Stockholders May Not Have the Ability to Approve an Initial Business Combination </w:t>
      </w:r>
    </w:p>
    <w:p>
      <w:pPr>
        <w:pStyle w:val="TextBody"/>
        <w:spacing w:before="120" w:after="0"/>
        <w:jc w:val="left"/>
        <w:rPr>
          <w:rFonts w:ascii="Times New Roman" w:hAnsi="Times New Roman"/>
          <w:sz w:val="20"/>
        </w:rPr>
      </w:pPr>
      <w:r>
        <w:rPr>
          <w:rFonts w:ascii="Times New Roman" w:hAnsi="Times New Roman"/>
          <w:sz w:val="20"/>
        </w:rPr>
        <w:t xml:space="preserve">In connection with any proposed business combination, we will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 </w:t>
      </w:r>
    </w:p>
    <w:p>
      <w:pPr>
        <w:pStyle w:val="TextBody"/>
        <w:spacing w:before="240" w:after="0"/>
        <w:jc w:val="left"/>
        <w:rPr>
          <w:rFonts w:ascii="Times New Roman" w:hAnsi="Times New Roman"/>
          <w:sz w:val="20"/>
        </w:rPr>
      </w:pPr>
      <w:r>
        <w:rPr>
          <w:rFonts w:ascii="Times New Roman" w:hAnsi="Times New Roman"/>
          <w:sz w:val="20"/>
        </w:rPr>
        <w:t xml:space="preserve">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 </w:t>
      </w:r>
    </w:p>
    <w:p>
      <w:pPr>
        <w:pStyle w:val="TextBody"/>
        <w:spacing w:before="240" w:after="0"/>
        <w:jc w:val="left"/>
        <w:rPr>
          <w:rFonts w:ascii="Times New Roman" w:hAnsi="Times New Roman"/>
          <w:sz w:val="20"/>
        </w:rPr>
      </w:pPr>
      <w:r>
        <w:rPr>
          <w:rFonts w:ascii="Times New Roman" w:hAnsi="Times New Roman"/>
          <w:sz w:val="20"/>
        </w:rPr>
        <w:t xml:space="preserve">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 </w:t>
      </w:r>
    </w:p>
    <w:p>
      <w:pPr>
        <w:pStyle w:val="TextBody"/>
        <w:spacing w:before="360" w:after="0"/>
        <w:jc w:val="left"/>
        <w:rPr>
          <w:rFonts w:ascii="Times New Roman" w:hAnsi="Times New Roman"/>
          <w:b/>
          <w:i/>
          <w:sz w:val="20"/>
        </w:rPr>
      </w:pPr>
      <w:r>
        <w:rPr>
          <w:rFonts w:ascii="Times New Roman" w:hAnsi="Times New Roman"/>
          <w:b/>
          <w:i/>
          <w:sz w:val="20"/>
        </w:rPr>
        <w:t xml:space="preserve">Redemption Rights </w:t>
      </w:r>
    </w:p>
    <w:p>
      <w:pPr>
        <w:pStyle w:val="TextBody"/>
        <w:spacing w:before="120" w:after="0"/>
        <w:jc w:val="left"/>
        <w:rPr>
          <w:rFonts w:ascii="Times New Roman" w:hAnsi="Times New Roman"/>
          <w:sz w:val="20"/>
        </w:rPr>
      </w:pPr>
      <w:r>
        <w:rPr>
          <w:rFonts w:ascii="Times New Roman" w:hAnsi="Times New Roman"/>
          <w:sz w:val="20"/>
        </w:rPr>
        <w:t xml:space="preserve">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 5:00 p.m. Eastern time on                 , 2023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 </w:t>
      </w:r>
    </w:p>
    <w:p>
      <w:pPr>
        <w:pStyle w:val="TextBody"/>
        <w:spacing w:before="240" w:after="0"/>
        <w:jc w:val="center"/>
        <w:rPr>
          <w:rFonts w:ascii="Times New Roman" w:hAnsi="Times New Roman"/>
          <w:sz w:val="20"/>
        </w:rPr>
      </w:pPr>
      <w:r>
        <w:rPr>
          <w:rFonts w:ascii="Times New Roman" w:hAnsi="Times New Roman"/>
          <w:sz w:val="20"/>
        </w:rPr>
        <w:t xml:space="preserve">Continental Stock Transfer &amp; Trust Company </w:t>
      </w:r>
    </w:p>
    <w:p>
      <w:pPr>
        <w:pStyle w:val="TextBody"/>
        <w:spacing w:before="240" w:after="0"/>
        <w:jc w:val="center"/>
        <w:rPr>
          <w:rFonts w:ascii="Times New Roman" w:hAnsi="Times New Roman"/>
          <w:sz w:val="20"/>
        </w:rPr>
      </w:pPr>
      <w:r>
        <w:rPr>
          <w:rFonts w:ascii="Times New Roman" w:hAnsi="Times New Roman"/>
          <w:sz w:val="20"/>
        </w:rPr>
        <w:t xml:space="preserve">1 State Street  30th Floor </w:t>
      </w:r>
    </w:p>
    <w:p>
      <w:pPr>
        <w:pStyle w:val="TextBody"/>
        <w:spacing w:before="240" w:after="0"/>
        <w:jc w:val="center"/>
        <w:rPr>
          <w:rFonts w:ascii="Times New Roman" w:hAnsi="Times New Roman"/>
          <w:sz w:val="20"/>
        </w:rPr>
      </w:pPr>
      <w:r>
        <w:rPr>
          <w:rFonts w:ascii="Times New Roman" w:hAnsi="Times New Roman"/>
          <w:sz w:val="20"/>
        </w:rPr>
        <w:t xml:space="preserve">New York, New York 10004 </w:t>
      </w:r>
    </w:p>
    <w:p>
      <w:pPr>
        <w:pStyle w:val="TextBody"/>
        <w:spacing w:before="240" w:after="0"/>
        <w:jc w:val="left"/>
        <w:rPr>
          <w:rFonts w:ascii="Times New Roman" w:hAnsi="Times New Roman"/>
          <w:sz w:val="20"/>
        </w:rPr>
      </w:pPr>
      <w:r>
        <w:rPr>
          <w:rFonts w:ascii="Times New Roman" w:hAnsi="Times New Roman"/>
          <w:sz w:val="20"/>
        </w:rPr>
        <w:t xml:space="preserve">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more than 15% of the public shares, which we refer to as the 15% threshold. Accordingly, all public shares in excess of the 15% threshold beneficially owned by a public stockholder or group (as defined in Section 13d-3 of the Exchange Act) will not be redeemed for cash. </w:t>
      </w:r>
    </w:p>
    <w:p>
      <w:pPr>
        <w:pStyle w:val="TextBody"/>
        <w:spacing w:before="240" w:after="0"/>
        <w:jc w:val="left"/>
        <w:rPr>
          <w:rFonts w:ascii="Times New Roman" w:hAnsi="Times New Roman"/>
          <w:sz w:val="20"/>
        </w:rPr>
      </w:pPr>
      <w:r>
        <w:rPr>
          <w:rFonts w:ascii="Times New Roman" w:hAnsi="Times New Roman"/>
          <w:sz w:val="20"/>
        </w:rPr>
        <w:t xml:space="preserve">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w:t>
      </w:r>
    </w:p>
    <w:p>
      <w:pPr>
        <w:pStyle w:val="TextBody"/>
        <w:spacing w:before="240" w:after="0"/>
        <w:jc w:val="left"/>
        <w:rPr>
          <w:rFonts w:ascii="Times New Roman" w:hAnsi="Times New Roman"/>
          <w:sz w:val="20"/>
        </w:rPr>
      </w:pPr>
      <w:r>
        <w:rPr>
          <w:rFonts w:ascii="Times New Roman" w:hAnsi="Times New Roman"/>
          <w:sz w:val="20"/>
        </w:rPr>
        <w:t xml:space="preserve">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 </w:t>
      </w:r>
    </w:p>
    <w:p>
      <w:pPr>
        <w:pStyle w:val="TextBody"/>
        <w:spacing w:before="240" w:after="0"/>
        <w:jc w:val="left"/>
        <w:rPr>
          <w:rFonts w:ascii="Times New Roman" w:hAnsi="Times New Roman"/>
          <w:sz w:val="20"/>
        </w:rPr>
      </w:pPr>
      <w:r>
        <w:rPr>
          <w:rFonts w:ascii="Times New Roman" w:hAnsi="Times New Roman"/>
          <w:sz w:val="20"/>
        </w:rPr>
        <w:t xml:space="preserve">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 </w:t>
      </w:r>
    </w:p>
    <w:p>
      <w:pPr>
        <w:pStyle w:val="TextBody"/>
        <w:spacing w:before="240" w:after="0"/>
        <w:jc w:val="left"/>
        <w:rPr>
          <w:rFonts w:ascii="Times New Roman" w:hAnsi="Times New Roman"/>
          <w:sz w:val="20"/>
        </w:rPr>
      </w:pPr>
      <w:r>
        <w:rPr>
          <w:rFonts w:ascii="Times New Roman" w:hAnsi="Times New Roman"/>
          <w:sz w:val="20"/>
        </w:rPr>
        <w:t xml:space="preserve">Each public stockholder may elect to redeem its public shares irrespective of whether they vote for or against the Proposed Transactions. </w:t>
      </w:r>
    </w:p>
    <w:p>
      <w:pPr>
        <w:pStyle w:val="TextBody"/>
        <w:spacing w:before="240" w:after="0"/>
        <w:jc w:val="left"/>
        <w:rPr>
          <w:rFonts w:ascii="Times New Roman" w:hAnsi="Times New Roman"/>
          <w:sz w:val="20"/>
        </w:rPr>
      </w:pPr>
      <w:r>
        <w:rPr>
          <w:rFonts w:ascii="Times New Roman" w:hAnsi="Times New Roman"/>
          <w:sz w:val="20"/>
        </w:rPr>
        <w:t xml:space="preserve">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 </w:t>
      </w:r>
    </w:p>
    <w:p>
      <w:pPr>
        <w:pStyle w:val="TextBody"/>
        <w:spacing w:before="240" w:after="0"/>
        <w:jc w:val="left"/>
        <w:rPr>
          <w:rFonts w:ascii="Times New Roman" w:hAnsi="Times New Roman"/>
          <w:sz w:val="20"/>
        </w:rPr>
      </w:pPr>
      <w:r>
        <w:rPr>
          <w:rFonts w:ascii="Times New Roman" w:hAnsi="Times New Roman"/>
          <w:sz w:val="20"/>
        </w:rPr>
        <w:t xml:space="preserve">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 </w:t>
      </w:r>
    </w:p>
    <w:p>
      <w:pPr>
        <w:pStyle w:val="TextBody"/>
        <w:spacing w:before="360" w:after="0"/>
        <w:jc w:val="left"/>
        <w:rPr>
          <w:rFonts w:ascii="Times New Roman" w:hAnsi="Times New Roman"/>
          <w:b/>
          <w:i/>
          <w:sz w:val="20"/>
        </w:rPr>
      </w:pPr>
      <w:r>
        <w:rPr>
          <w:rFonts w:ascii="Times New Roman" w:hAnsi="Times New Roman"/>
          <w:b/>
          <w:i/>
          <w:sz w:val="20"/>
        </w:rPr>
        <w:t xml:space="preserve">Liquidation if No Business Combination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t>
      </w:r>
    </w:p>
    <w:p>
      <w:pPr>
        <w:pStyle w:val="TextBody"/>
        <w:spacing w:before="240" w:after="0"/>
        <w:jc w:val="left"/>
        <w:rPr>
          <w:rFonts w:ascii="Times New Roman" w:hAnsi="Times New Roman"/>
          <w:sz w:val="20"/>
        </w:rPr>
      </w:pPr>
      <w:r>
        <w:rPr>
          <w:rFonts w:ascii="Times New Roman" w:hAnsi="Times New Roman"/>
          <w:sz w:val="20"/>
        </w:rPr>
        <w:t xml:space="preserve">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 </w:t>
      </w:r>
    </w:p>
    <w:p>
      <w:pPr>
        <w:pStyle w:val="TextBody"/>
        <w:spacing w:before="240" w:after="0"/>
        <w:jc w:val="left"/>
        <w:rPr>
          <w:rFonts w:ascii="Times New Roman" w:hAnsi="Times New Roman"/>
          <w:sz w:val="20"/>
        </w:rPr>
      </w:pPr>
      <w:r>
        <w:rPr>
          <w:rFonts w:ascii="Times New Roman" w:hAnsi="Times New Roman"/>
          <w:sz w:val="20"/>
        </w:rPr>
        <w:t xml:space="preserve">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 </w:t>
      </w:r>
    </w:p>
    <w:p>
      <w:pPr>
        <w:pStyle w:val="TextBody"/>
        <w:spacing w:before="240" w:after="0"/>
        <w:jc w:val="left"/>
        <w:rPr>
          <w:rFonts w:ascii="Times New Roman" w:hAnsi="Times New Roman"/>
          <w:sz w:val="20"/>
        </w:rPr>
      </w:pPr>
      <w:r>
        <w:rPr>
          <w:rFonts w:ascii="Times New Roman" w:hAnsi="Times New Roman"/>
          <w:sz w:val="20"/>
        </w:rPr>
        <w:t xml:space="preserve">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w:t>
      </w:r>
    </w:p>
    <w:p>
      <w:pPr>
        <w:pStyle w:val="TextBody"/>
        <w:spacing w:before="240" w:after="0"/>
        <w:jc w:val="left"/>
        <w:rPr>
          <w:rFonts w:ascii="Times New Roman" w:hAnsi="Times New Roman"/>
          <w:sz w:val="20"/>
        </w:rPr>
      </w:pPr>
      <w:r>
        <w:rPr>
          <w:rFonts w:ascii="Times New Roman" w:hAnsi="Times New Roman"/>
          <w:sz w:val="20"/>
        </w:rPr>
        <w:t xml:space="preserve">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 </w:t>
      </w:r>
    </w:p>
    <w:p>
      <w:pPr>
        <w:pStyle w:val="TextBody"/>
        <w:spacing w:before="240" w:after="0"/>
        <w:jc w:val="left"/>
        <w:rPr>
          <w:rFonts w:ascii="Times New Roman" w:hAnsi="Times New Roman"/>
          <w:sz w:val="20"/>
        </w:rPr>
      </w:pPr>
      <w:r>
        <w:rPr>
          <w:rFonts w:ascii="Times New Roman" w:hAnsi="Times New Roman"/>
          <w:sz w:val="20"/>
        </w:rPr>
        <w:t xml:space="preserve">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 </w:t>
      </w:r>
    </w:p>
    <w:p>
      <w:pPr>
        <w:pStyle w:val="TextBody"/>
        <w:spacing w:before="240" w:after="0"/>
        <w:jc w:val="left"/>
        <w:rPr>
          <w:rFonts w:ascii="Times New Roman" w:hAnsi="Times New Roman"/>
          <w:sz w:val="20"/>
        </w:rPr>
      </w:pPr>
      <w:r>
        <w:rPr>
          <w:rFonts w:ascii="Times New Roman" w:hAnsi="Times New Roman"/>
          <w:sz w:val="20"/>
        </w:rPr>
        <w:t xml:space="preserve">We anticipate notifying the trustee of the Trust Account to begin liquidating such assets promptly after our 15th month or if extended, 18th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 </w:t>
      </w:r>
    </w:p>
    <w:p>
      <w:pPr>
        <w:pStyle w:val="TextBody"/>
        <w:spacing w:before="240" w:after="0"/>
        <w:jc w:val="left"/>
        <w:rPr>
          <w:rFonts w:ascii="Times New Roman" w:hAnsi="Times New Roman"/>
          <w:sz w:val="20"/>
        </w:rPr>
      </w:pPr>
      <w:r>
        <w:rPr>
          <w:rFonts w:ascii="Times New Roman" w:hAnsi="Times New Roman"/>
          <w:sz w:val="20"/>
        </w:rPr>
        <w:t xml:space="preserve">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 </w:t>
      </w:r>
    </w:p>
    <w:p>
      <w:pPr>
        <w:pStyle w:val="TextBody"/>
        <w:spacing w:before="240" w:after="0"/>
        <w:jc w:val="left"/>
        <w:rPr>
          <w:rFonts w:ascii="Times New Roman" w:hAnsi="Times New Roman"/>
          <w:sz w:val="20"/>
        </w:rPr>
      </w:pPr>
      <w:r>
        <w:rPr>
          <w:rFonts w:ascii="Times New Roman" w:hAnsi="Times New Roman"/>
          <w:sz w:val="20"/>
        </w:rPr>
        <w:t xml:space="preserve">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 </w:t>
      </w:r>
    </w:p>
    <w:p>
      <w:pPr>
        <w:pStyle w:val="TextBody"/>
        <w:spacing w:before="240" w:after="0"/>
        <w:jc w:val="left"/>
        <w:rPr>
          <w:rFonts w:ascii="Times New Roman" w:hAnsi="Times New Roman"/>
          <w:sz w:val="20"/>
        </w:rPr>
      </w:pPr>
      <w:r>
        <w:rPr>
          <w:rFonts w:ascii="Times New Roman" w:hAnsi="Times New Roman"/>
          <w:sz w:val="20"/>
        </w:rPr>
        <w:t xml:space="preserve">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 </w:t>
      </w:r>
    </w:p>
    <w:p>
      <w:pPr>
        <w:pStyle w:val="TextBody"/>
        <w:spacing w:before="240" w:after="0"/>
        <w:jc w:val="left"/>
        <w:rPr>
          <w:rFonts w:ascii="Times New Roman" w:hAnsi="Times New Roman"/>
          <w:sz w:val="20"/>
        </w:rPr>
      </w:pPr>
      <w:r>
        <w:rPr>
          <w:rFonts w:ascii="Times New Roman" w:hAnsi="Times New Roman"/>
          <w:sz w:val="20"/>
        </w:rPr>
        <w:t xml:space="preserve">If we are forced to file a bankruptcy case or an involuntary bankruptcy case is filed against us which is not dismissed, any distributions received by stockholders could be viewed under applicable debtor/creditor and/or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 </w:t>
      </w:r>
    </w:p>
    <w:p>
      <w:pPr>
        <w:pStyle w:val="TextBody"/>
        <w:spacing w:before="36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will consummate our initial business combination only if we have net tangible assets of at least $5,000,001 immediately prior to or upon consummation of such business combination and, if we seek stockholder approval, a majority of the outstanding shares of common stock voted are voted in favor of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our initial business combination is not consummated within 24 months (as extended) from the closing of our initial public offering, then we will redeem all of the outstanding public shares and thereafter liquidate and dissolve our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the consummation of our initial public offering, $150.0 million shall be placed into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not consummate any other business combination, merger, capital stock exchange, asset acquisition, stock purchase, reorganization or similar transaction prior to our initial business combination;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our initial business combination, we may not issue additional stock that participates in any manner in the proceeds of the Trust Account, or that votes as a class with the common stock sold in our initial public offering on an initial business combination.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Facilities </w:t>
      </w:r>
    </w:p>
    <w:p>
      <w:pPr>
        <w:pStyle w:val="TextBody"/>
        <w:spacing w:before="120" w:after="0"/>
        <w:jc w:val="left"/>
        <w:rPr>
          <w:rFonts w:ascii="Times New Roman" w:hAnsi="Times New Roman"/>
          <w:sz w:val="20"/>
        </w:rPr>
      </w:pPr>
      <w:r>
        <w:rPr>
          <w:rFonts w:ascii="Times New Roman" w:hAnsi="Times New Roman"/>
          <w:sz w:val="20"/>
        </w:rPr>
        <w:t xml:space="preserve">We currently maintain our principal executive offices at 2005 Market Street, Suite 3120, Philadelphia, PA 19103. The cost for this space is included in the $10,000 per-month fee to our sponsor. We believe, based on rents and fees for similar services, that the fee charged by our sponsor is at least as favorable as we could have obtained from an unaffiliated person. We consider our current office space adequate for our current operations. </w:t>
      </w:r>
    </w:p>
    <w:p>
      <w:pPr>
        <w:pStyle w:val="TextBody"/>
        <w:spacing w:before="360" w:after="0"/>
        <w:jc w:val="left"/>
        <w:rPr>
          <w:rFonts w:ascii="Times New Roman" w:hAnsi="Times New Roman"/>
          <w:b/>
          <w:sz w:val="20"/>
        </w:rPr>
      </w:pPr>
      <w:r>
        <w:rPr>
          <w:rFonts w:ascii="Times New Roman" w:hAnsi="Times New Roman"/>
          <w:b/>
          <w:sz w:val="20"/>
        </w:rPr>
        <w:t xml:space="preserve">Employees </w:t>
      </w:r>
    </w:p>
    <w:p>
      <w:pPr>
        <w:pStyle w:val="TextBody"/>
        <w:spacing w:before="120" w:after="0"/>
        <w:jc w:val="left"/>
        <w:rPr>
          <w:rFonts w:ascii="Times New Roman" w:hAnsi="Times New Roman"/>
          <w:sz w:val="20"/>
        </w:rPr>
      </w:pPr>
      <w:r>
        <w:rPr>
          <w:rFonts w:ascii="Times New Roman" w:hAnsi="Times New Roman"/>
          <w:sz w:val="20"/>
        </w:rPr>
        <w:t xml:space="preserve">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 </w:t>
      </w:r>
    </w:p>
    <w:p>
      <w:pPr>
        <w:pStyle w:val="TextBody"/>
        <w:spacing w:before="240" w:after="0"/>
        <w:jc w:val="left"/>
        <w:rPr>
          <w:rFonts w:ascii="Times New Roman" w:hAnsi="Times New Roman"/>
          <w:sz w:val="20"/>
        </w:rPr>
      </w:pPr>
      <w:r>
        <w:rPr>
          <w:rFonts w:ascii="Times New Roman" w:hAnsi="Times New Roman"/>
          <w:sz w:val="20"/>
        </w:rPr>
        <w:t xml:space="preserve">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There is no material litigation, arbitration or governmental proceeding currently pending against us or any members of our management team in their capacity as such. </w:t>
      </w:r>
    </w:p>
    <w:p>
      <w:pPr>
        <w:pStyle w:val="TextBody"/>
        <w:spacing w:before="360" w:after="0"/>
        <w:jc w:val="left"/>
        <w:rPr>
          <w:rFonts w:ascii="Times New Roman" w:hAnsi="Times New Roman"/>
          <w:b/>
          <w:sz w:val="20"/>
        </w:rPr>
      </w:pPr>
      <w:r>
        <w:rPr>
          <w:rFonts w:ascii="Times New Roman" w:hAnsi="Times New Roman"/>
          <w:b/>
          <w:sz w:val="20"/>
        </w:rPr>
        <w:t xml:space="preserve">Periodic Reporting and Audited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 </w:t>
      </w:r>
    </w:p>
    <w:p>
      <w:pPr>
        <w:pStyle w:val="TextBody"/>
        <w:spacing w:before="240" w:after="0"/>
        <w:jc w:val="left"/>
        <w:rPr>
          <w:rFonts w:ascii="Times New Roman" w:hAnsi="Times New Roman"/>
          <w:sz w:val="20"/>
        </w:rPr>
      </w:pPr>
      <w:r>
        <w:rPr>
          <w:rFonts w:ascii="Times New Roman" w:hAnsi="Times New Roman"/>
          <w:sz w:val="20"/>
        </w:rPr>
        <w:t xml:space="preserve">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 </w:t>
      </w:r>
    </w:p>
    <w:p>
      <w:pPr>
        <w:pStyle w:val="TextBody"/>
        <w:spacing w:before="240" w:after="0"/>
        <w:jc w:val="left"/>
        <w:rPr>
          <w:rFonts w:ascii="Times New Roman" w:hAnsi="Times New Roman"/>
          <w:sz w:val="20"/>
        </w:rPr>
      </w:pPr>
      <w:r>
        <w:rPr>
          <w:rFonts w:ascii="Times New Roman" w:hAnsi="Times New Roman"/>
          <w:sz w:val="20"/>
        </w:rPr>
        <w:t xml:space="preserve">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x309194_21"/>
      <w:bookmarkEnd w:id="23"/>
      <w:r>
        <w:rPr>
          <w:rFonts w:ascii="Times New Roman" w:hAnsi="Times New Roman"/>
          <w:b/>
          <w:sz w:val="20"/>
        </w:rPr>
        <w:t xml:space="preserve">ARMADAS MANAGEMENTS DISCUSSION AND ANALYSIS OF </w:t>
      </w:r>
    </w:p>
    <w:p>
      <w:pPr>
        <w:pStyle w:val="TextBody"/>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spacing w:before="240" w:after="0"/>
        <w:jc w:val="left"/>
        <w:rPr>
          <w:rFonts w:ascii="Times New Roman" w:hAnsi="Times New Roman"/>
          <w:i/>
          <w:sz w:val="20"/>
        </w:rPr>
      </w:pPr>
      <w:r>
        <w:rPr>
          <w:rFonts w:ascii="Times New Roman" w:hAnsi="Times New Roman"/>
          <w:i/>
          <w:sz w:val="20"/>
        </w:rPr>
        <w:t xml:space="preserve">In this section, references to the Company, us or we refer to Armada Acquisition Corp. I. </w:t>
      </w:r>
    </w:p>
    <w:p>
      <w:pPr>
        <w:pStyle w:val="TextBody"/>
        <w:spacing w:before="240" w:after="0"/>
        <w:jc w:val="left"/>
        <w:rPr>
          <w:rFonts w:ascii="Times New Roman" w:hAnsi="Times New Roman"/>
          <w:i/>
          <w:sz w:val="20"/>
        </w:rPr>
      </w:pPr>
      <w:r>
        <w:rPr>
          <w:rFonts w:ascii="Times New Roman" w:hAnsi="Times New Roman"/>
          <w:i/>
          <w:sz w:val="20"/>
        </w:rPr>
        <w:t xml:space="preserve">The following discussion and analysis of the Companys financial condition and results of operations should be read in conjunction with the financial statements and the notes thereto contained elsewhere in this report.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are a blank check company incorporated in Delaware on November 5, 2020, for the purpose of effecting a merger, stock exchange, asset acquisition, stock purchase, reorganization or other similar business combination with one or more businesses. </w:t>
      </w:r>
    </w:p>
    <w:p>
      <w:pPr>
        <w:pStyle w:val="TextBody"/>
        <w:spacing w:before="240" w:after="0"/>
        <w:jc w:val="left"/>
        <w:rPr>
          <w:rFonts w:ascii="Times New Roman" w:hAnsi="Times New Roman"/>
          <w:sz w:val="20"/>
        </w:rPr>
      </w:pPr>
      <w:r>
        <w:rPr>
          <w:rFonts w:ascii="Times New Roman" w:hAnsi="Times New Roman"/>
          <w:sz w:val="20"/>
        </w:rPr>
        <w:t xml:space="preserve">On August 17, 2021, we consummated our IPO of 15,000,000 units, at $10.00 per unit, generating gross proceeds of $150 million. </w:t>
      </w:r>
    </w:p>
    <w:p>
      <w:pPr>
        <w:pStyle w:val="TextBody"/>
        <w:spacing w:before="240" w:after="0"/>
        <w:jc w:val="left"/>
        <w:rPr>
          <w:rFonts w:ascii="Times New Roman" w:hAnsi="Times New Roman"/>
          <w:sz w:val="20"/>
        </w:rPr>
      </w:pPr>
      <w:r>
        <w:rPr>
          <w:rFonts w:ascii="Times New Roman" w:hAnsi="Times New Roman"/>
          <w:sz w:val="20"/>
        </w:rPr>
        <w:t xml:space="preserve">Simultaneously with the closing of the IPO, we consummated the private placement of 459,500 Private Shares for an aggregate purchase price of $4,595,000. </w:t>
      </w:r>
    </w:p>
    <w:p>
      <w:pPr>
        <w:pStyle w:val="TextBody"/>
        <w:spacing w:before="240" w:after="0"/>
        <w:jc w:val="left"/>
        <w:rPr>
          <w:rFonts w:ascii="Times New Roman" w:hAnsi="Times New Roman"/>
          <w:sz w:val="20"/>
        </w:rPr>
      </w:pPr>
      <w:r>
        <w:rPr>
          <w:rFonts w:ascii="Times New Roman" w:hAnsi="Times New Roman"/>
          <w:sz w:val="20"/>
        </w:rPr>
        <w:t xml:space="preserve">Upon the closing of the IPO on August 17, 2021, $150,000,000 ($10.00 per unit) from the net proceeds of the sale of the units in the IPO and the sale of Private Shares were placed in the Trust Account. </w:t>
      </w:r>
    </w:p>
    <w:p>
      <w:pPr>
        <w:pStyle w:val="TextBody"/>
        <w:spacing w:before="240" w:after="0"/>
        <w:jc w:val="left"/>
        <w:rPr>
          <w:rFonts w:ascii="Times New Roman" w:hAnsi="Times New Roman"/>
          <w:sz w:val="20"/>
        </w:rPr>
      </w:pPr>
      <w:r>
        <w:rPr>
          <w:rFonts w:ascii="Times New Roman" w:hAnsi="Times New Roman"/>
          <w:sz w:val="20"/>
        </w:rPr>
        <w:t xml:space="preserve">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 </w:t>
      </w:r>
    </w:p>
    <w:p>
      <w:pPr>
        <w:pStyle w:val="TextBody"/>
        <w:spacing w:before="240" w:after="0"/>
        <w:jc w:val="left"/>
        <w:rPr>
          <w:rFonts w:ascii="Times New Roman" w:hAnsi="Times New Roman"/>
          <w:sz w:val="20"/>
        </w:rPr>
      </w:pPr>
      <w:r>
        <w:rPr>
          <w:rFonts w:ascii="Times New Roman" w:hAnsi="Times New Roman"/>
          <w:sz w:val="20"/>
        </w:rPr>
        <w:t xml:space="preserve">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 </w:t>
      </w:r>
    </w:p>
    <w:p>
      <w:pPr>
        <w:pStyle w:val="TextBody"/>
        <w:spacing w:before="240" w:after="0"/>
        <w:jc w:val="left"/>
        <w:rPr>
          <w:rFonts w:ascii="Times New Roman" w:hAnsi="Times New Roman"/>
          <w:sz w:val="20"/>
        </w:rPr>
      </w:pPr>
      <w:r>
        <w:rPr>
          <w:rFonts w:ascii="Times New Roman" w:hAnsi="Times New Roman"/>
          <w:sz w:val="20"/>
        </w:rPr>
        <w:t xml:space="preserve">We cannot assure you that our plans to complete our initial business combination will be successful. </w:t>
      </w:r>
    </w:p>
    <w:p>
      <w:pPr>
        <w:pStyle w:val="TextBody"/>
        <w:spacing w:before="360" w:after="0"/>
        <w:jc w:val="left"/>
        <w:rPr>
          <w:rFonts w:ascii="Times New Roman" w:hAnsi="Times New Roman"/>
          <w:b/>
          <w:i/>
          <w:sz w:val="20"/>
        </w:rPr>
      </w:pPr>
      <w:r>
        <w:rPr>
          <w:rFonts w:ascii="Times New Roman" w:hAnsi="Times New Roman"/>
          <w:b/>
          <w:i/>
          <w:sz w:val="20"/>
        </w:rPr>
        <w:t xml:space="preserve">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On December 17, 2021, we announced that we entered into a business combination agreement, dated as of December 17, 2021, and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 and Rezolve Merger Sub, Inc., a Delaware corporation (Rezolve Merger Sub) (such business combination agreement, the Business Combination Agreement, and such business combination, the Business Combination). </w:t>
      </w:r>
    </w:p>
    <w:p>
      <w:pPr>
        <w:pStyle w:val="TextBody"/>
        <w:spacing w:before="240" w:after="0"/>
        <w:jc w:val="left"/>
        <w:rPr>
          <w:rFonts w:ascii="Times New Roman" w:hAnsi="Times New Roman"/>
          <w:sz w:val="20"/>
        </w:rPr>
      </w:pPr>
      <w:r>
        <w:rPr>
          <w:rFonts w:ascii="Times New Roman" w:hAnsi="Times New Roman"/>
          <w:sz w:val="20"/>
        </w:rPr>
        <w:t xml:space="preserve">Pursuant to the terms of the Business Combination Agreement Rezolve and Rezolve Merger Sub will effect a series of transactions including,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(ii)</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(iii)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 </w:t>
            </w:r>
          </w:p>
        </w:tc>
      </w:tr>
    </w:tbl>
    <w:p>
      <w:pPr>
        <w:pStyle w:val="TextBody"/>
        <w:spacing w:before="240" w:after="0"/>
        <w:jc w:val="left"/>
        <w:rPr>
          <w:rFonts w:ascii="Times New Roman" w:hAnsi="Times New Roman"/>
          <w:sz w:val="20"/>
        </w:rPr>
      </w:pPr>
      <w:r>
        <w:rPr>
          <w:rFonts w:ascii="Times New Roman" w:hAnsi="Times New Roman"/>
          <w:sz w:val="20"/>
        </w:rPr>
        <w:t xml:space="preserve">As a result of the Company Reorganization and the Business Combination (i) the shareholders of Rezolve will hold a number of Rezolve Ordinary Shares equal to the quotient obtained by dividing (x) $1,600,000,000 by (y) $10.00. They will also hold                  shares issued since December 17, 2021; and (ii) Rezolve will pay or cause to be paid all of the transaction expenses. </w:t>
      </w:r>
    </w:p>
    <w:p>
      <w:pPr>
        <w:pStyle w:val="TextBody"/>
        <w:spacing w:before="240" w:after="0"/>
        <w:jc w:val="left"/>
        <w:rPr>
          <w:rFonts w:ascii="Times New Roman" w:hAnsi="Times New Roman"/>
          <w:sz w:val="20"/>
        </w:rPr>
      </w:pPr>
      <w:r>
        <w:rPr>
          <w:rFonts w:ascii="Times New Roman" w:hAnsi="Times New Roman"/>
          <w:sz w:val="20"/>
        </w:rPr>
        <w:t xml:space="preserve">The proposed business combination values Rezolve at a pro forma enterprise value of approximately $1.60 billion. </w:t>
      </w:r>
    </w:p>
    <w:p>
      <w:pPr>
        <w:pStyle w:val="TextBody"/>
        <w:spacing w:before="240" w:after="0"/>
        <w:jc w:val="left"/>
        <w:rPr>
          <w:rFonts w:ascii="Times New Roman" w:hAnsi="Times New Roman"/>
          <w:sz w:val="20"/>
        </w:rPr>
      </w:pPr>
      <w:r>
        <w:rPr>
          <w:rFonts w:ascii="Times New Roman" w:hAnsi="Times New Roman"/>
          <w:sz w:val="20"/>
        </w:rPr>
        <w:t xml:space="preserve">Upon the closing of the transactions, it is expected that the company will be named Rezolve PLC and will be listed on The Nasdaq Stock Market LLC under the new ticker symbol                 . </w:t>
      </w:r>
    </w:p>
    <w:p>
      <w:pPr>
        <w:pStyle w:val="TextBody"/>
        <w:spacing w:before="240" w:after="0"/>
        <w:jc w:val="left"/>
        <w:rPr>
          <w:rFonts w:ascii="Times New Roman" w:hAnsi="Times New Roman"/>
          <w:sz w:val="20"/>
        </w:rPr>
      </w:pPr>
      <w:r>
        <w:rPr>
          <w:rFonts w:ascii="Times New Roman" w:hAnsi="Times New Roman"/>
          <w:sz w:val="20"/>
        </w:rPr>
        <w:t xml:space="preserve">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 </w:t>
      </w:r>
    </w:p>
    <w:p>
      <w:pPr>
        <w:pStyle w:val="TextBody"/>
        <w:spacing w:before="240" w:after="0"/>
        <w:jc w:val="left"/>
        <w:rPr>
          <w:rFonts w:ascii="Times New Roman" w:hAnsi="Times New Roman"/>
          <w:sz w:val="20"/>
        </w:rPr>
      </w:pPr>
      <w:r>
        <w:rPr>
          <w:rFonts w:ascii="Times New Roman" w:hAnsi="Times New Roman"/>
          <w:sz w:val="20"/>
        </w:rPr>
        <w:t xml:space="preserve">We cannot assure you that our plans to complete our initial business combination will be successful. </w:t>
      </w:r>
    </w:p>
    <w:p>
      <w:pPr>
        <w:pStyle w:val="TextBody"/>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For the year ended September 30, 2022, we had a net loss of $3,622,794, which consisted of formation and operating costs of $4,391,263, stock-based compensation of $111,852, and income tax provision of $145,621, partially offset by trust interest income of $1,025,942.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we had a net loss of $468,899, which consisted of formation and operating costs of $184,105 and stock-based compensation of $285,846, partially offset by trust interest income of $1,052.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December 31, 2022, we had a net income of $607,027, which consisted of trust interest income of $1,289,673, offset by formation and operating costs of $394,352, stock-based compensation of $27,963, and income tax provision of $260,331.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December 31, 2021, we had a net loss of $2,036,114, which consisted of operating costs and costs related to a prospective initial Business Combination of $2,010,995 and stock-based compensation of $27,963, partially offset by trust interest income of $2,844.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2023, we had a net loss of $27,143, which consisted of formation and operating costs of $790,735, stock-based compensation of $27,963, and income tax provision of $182,853, offset by trust interest income of $974,408. </w:t>
      </w:r>
    </w:p>
    <w:p>
      <w:pPr>
        <w:pStyle w:val="TextBody"/>
        <w:spacing w:before="240" w:after="0"/>
        <w:jc w:val="left"/>
        <w:rPr>
          <w:rFonts w:ascii="Times New Roman" w:hAnsi="Times New Roman"/>
          <w:sz w:val="20"/>
        </w:rPr>
      </w:pPr>
      <w:r>
        <w:rPr>
          <w:rFonts w:ascii="Times New Roman" w:hAnsi="Times New Roman"/>
          <w:sz w:val="20"/>
        </w:rPr>
        <w:t xml:space="preserve">For the six months ended March 31, 2023, we had a net income of $579,884, which consisted of trust interest income of $2,264,081, offset by formation and operating costs of $1,185,087, stock-based compensation of $55,926, and income tax provision of $443,184.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March 31, 2022, we had a net loss of $372,286, which consisted of operating costs and costs related to a prospective initial Business Combination of $356,666 and stock-based compensation of $27,963, partially offset by trust interest income of $12,243. </w:t>
      </w:r>
    </w:p>
    <w:p>
      <w:pPr>
        <w:pStyle w:val="TextBody"/>
        <w:spacing w:before="240" w:after="0"/>
        <w:jc w:val="left"/>
        <w:rPr>
          <w:rFonts w:ascii="Times New Roman" w:hAnsi="Times New Roman"/>
          <w:sz w:val="20"/>
        </w:rPr>
      </w:pPr>
      <w:r>
        <w:rPr>
          <w:rFonts w:ascii="Times New Roman" w:hAnsi="Times New Roman"/>
          <w:sz w:val="20"/>
        </w:rPr>
        <w:t xml:space="preserve">For the six months ended March 31, 2022, we had a net loss of $2,408,500, which consisted of operating costs and costs related to a prospective initial Business Combination of $2,367,661 and stock-based compensation of $55,926, partially offset by trust interest income of $15,087. </w:t>
      </w:r>
    </w:p>
    <w:p>
      <w:pPr>
        <w:pStyle w:val="TextBody"/>
        <w:spacing w:before="240" w:after="0"/>
        <w:jc w:val="left"/>
        <w:rPr>
          <w:rFonts w:ascii="Times New Roman" w:hAnsi="Times New Roman"/>
          <w:sz w:val="20"/>
        </w:rPr>
      </w:pPr>
      <w:r>
        <w:rPr>
          <w:rFonts w:ascii="Times New Roman" w:hAnsi="Times New Roman"/>
          <w:sz w:val="20"/>
        </w:rPr>
        <w:t xml:space="preserve">Following the exercise of the automatic extension of the deadline for us to complete an initial business combination under our second amended and restated certificate of incorporation (Charter), we had until February 17, 2023 (or 18 months following our initial public offering) to consummate a business combination (unless we further extend the period of time to consummate a business combination) (the Combination Period). At our Annual Meeting held on February 2, 2023, our stockholders approved an amendment to our Charter to consummate a business combination for up to six months until August 17, 2023 (unless we further extend the period of time to consummate a business combination) (the Combination Period). However, if we are unable to complete the initial Business Combination within the Combination Period (unless such period is further extended pursuant to the approval of our stockholders),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the Companys board of directors, liquidate and dissolve, subject (in the case of (ii) and (iii) above) to our obligations under Delaware law to provide for claims of creditors and the requirements of other applicable law. As of September 30, 2022 and December 31, 2022, the Trust Account has released $182,069 to the Company to pay tax obligations. As of March 31, 2023 the Trust Account has released $118,066,020 to the Company to pay tax obligations and for redemptions, including $117,079,879 for redemptions and $986,141 for tax obligations. </w:t>
      </w:r>
    </w:p>
    <w:p>
      <w:pPr>
        <w:pStyle w:val="TextBody"/>
        <w:spacing w:before="240" w:after="0"/>
        <w:jc w:val="left"/>
        <w:rPr>
          <w:rFonts w:ascii="Times New Roman" w:hAnsi="Times New Roman"/>
          <w:sz w:val="20"/>
        </w:rPr>
      </w:pPr>
      <w:r>
        <w:rPr>
          <w:rFonts w:ascii="Times New Roman" w:hAnsi="Times New Roman"/>
          <w:sz w:val="20"/>
        </w:rPr>
        <w:t xml:space="preserve">We have also agreed to reimburse the Sponsor for office space, secretarial and administrative services provided to members of our management team, in an amount not to exceed $10,000 per month. Upon completion of our initial business combination or our liquidation, we will cease paying these monthly fees. For the year 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September 30, 2022 and the period from November 5, 2020 (inception) through September 30, 2021, the Company paid $120,000 and $20,000 under this agreement, respectively. For the three months ended December 31, 2022 and 2021, the Company paid $30,000 under this agreement. For the three and six months ended March 31, 2023 and 2022, the Company paid $30,000 and $60,000, respectively, under this agreement. </w:t>
      </w:r>
    </w:p>
    <w:p>
      <w:pPr>
        <w:pStyle w:val="TextBody"/>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As of September 30, 2022, December 31, 2022 and March 31, 2023, we had cash outside our Trust Account of $177,578, $363,247, $235,949, respectively, available for working capital needs. All remaining cash was held in the Trust Account and is generally unavailable for our use, prior to an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On August 17, 2021, we completed the sale of 15,000,000 Units at $10.00 per Unit, generating gross proceeds of $150,000,000. </w:t>
      </w:r>
    </w:p>
    <w:p>
      <w:pPr>
        <w:pStyle w:val="TextBody"/>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spacing w:before="240" w:after="0"/>
        <w:jc w:val="left"/>
        <w:rPr>
          <w:rFonts w:ascii="Times New Roman" w:hAnsi="Times New Roman"/>
          <w:sz w:val="20"/>
        </w:rPr>
      </w:pPr>
      <w:r>
        <w:rPr>
          <w:rFonts w:ascii="Times New Roman" w:hAnsi="Times New Roman"/>
          <w:sz w:val="20"/>
        </w:rPr>
        <w:t xml:space="preserve">In connection with the IPO, the underwriters were granted a 45-day option from the date of the prospectus for the IPO to purchase up to 2,250,000 additional units to cover over-allotments, if any. On October 1, 2021 this option expired unused. </w:t>
      </w:r>
    </w:p>
    <w:p>
      <w:pPr>
        <w:pStyle w:val="TextBody"/>
        <w:spacing w:before="240" w:after="0"/>
        <w:jc w:val="left"/>
        <w:rPr>
          <w:rFonts w:ascii="Times New Roman" w:hAnsi="Times New Roman"/>
          <w:sz w:val="20"/>
        </w:rPr>
      </w:pPr>
      <w:r>
        <w:rPr>
          <w:rFonts w:ascii="Times New Roman" w:hAnsi="Times New Roman"/>
          <w:sz w:val="20"/>
        </w:rPr>
        <w:t xml:space="preserve">Following our IPO and the sale of the Private Shares, a total of $150,000,000 ($10.00 per Unit) was placed in the Trust Account. We incurred $3,537,515 in IPO related costs, including $1,500,000 of underwriting fees and $2,037,515 of other costs. </w:t>
      </w:r>
    </w:p>
    <w:p>
      <w:pPr>
        <w:pStyle w:val="TextBody"/>
        <w:spacing w:before="240" w:after="0"/>
        <w:jc w:val="left"/>
        <w:rPr>
          <w:rFonts w:ascii="Times New Roman" w:hAnsi="Times New Roman"/>
          <w:sz w:val="20"/>
        </w:rPr>
      </w:pPr>
      <w:r>
        <w:rPr>
          <w:rFonts w:ascii="Times New Roman" w:hAnsi="Times New Roman"/>
          <w:sz w:val="20"/>
        </w:rPr>
        <w:t xml:space="preserve">On May 9, 2022, the Sponsor loaned us the aggregate amount of $483,034 in order to assist us to fund our working capital needs. On November 10, 2022 our Sponsor loaned us $1,500,000 in order to cover the additional contribution to the trust account required in connection with the automatic extension of our deadline to complete our Initial Business Combination and $450,000 for our working capital needs. These loans are evidenced by four promissory notes in the aggregate principal amount of $2,433,034 from us, as maker, to our Sponsor, as payee. The promissory notes are non-interest bearing and due on the earlier of: (i) the liquidation or release of all of the monies held in the Trust Account or (ii) the date on which we consummate an acquisition, merger or other business combination transaction involving us or our affiliates. The principal balance may be prepaid at any time. During July 2022, we fully repaid one of the promissory notes in the amount of $187,034 which represented monies loaned to us for the payment of Delaware franchise taxes. We utilized the interest earned on the Trust Account to repay the promissory note, $120,000 of which was distributed to it from the Trust Account during June 2022, and $62,069 of which was distributed to it from the Trust Account during July 2022. We also paid $44,246 on behalf of the Sponsor for tax services in August and September 2022. The aggregate balance outstanding under all promissory notes as of September 30, 2022, December 31, 2022 and March 31, 2023 was $2,201,754, $251,754 and $251,754, respectively. </w:t>
      </w:r>
    </w:p>
    <w:p>
      <w:pPr>
        <w:pStyle w:val="TextBody"/>
        <w:spacing w:before="240" w:after="0"/>
        <w:jc w:val="left"/>
        <w:rPr>
          <w:rFonts w:ascii="Times New Roman" w:hAnsi="Times New Roman"/>
          <w:sz w:val="20"/>
        </w:rPr>
      </w:pPr>
      <w:r>
        <w:rPr>
          <w:rFonts w:ascii="Times New Roman" w:hAnsi="Times New Roman"/>
          <w:sz w:val="20"/>
        </w:rPr>
        <w:t xml:space="preserve">As of September 30, 2022, December 31, 2022 and March 31, 2023, we had investment held in the Trust Account of $150,844,925, $153,634,598 and $36,725,055, respectively. The investment held in the Trust Account was held in U.S. Treasury Bills with a maturity of 185 days or less and in money market funds which invest in U.S. Treasury securities. Interest income on the balance in the Trust Account may be used by us to pay taxes. </w:t>
      </w:r>
    </w:p>
    <w:p>
      <w:pPr>
        <w:pStyle w:val="TextBody"/>
        <w:spacing w:before="240" w:after="0"/>
        <w:jc w:val="left"/>
        <w:rPr>
          <w:rFonts w:ascii="Times New Roman" w:hAnsi="Times New Roman"/>
          <w:sz w:val="20"/>
        </w:rPr>
      </w:pPr>
      <w:r>
        <w:rPr>
          <w:rFonts w:ascii="Times New Roman" w:hAnsi="Times New Roman"/>
          <w:sz w:val="20"/>
        </w:rPr>
        <w:t xml:space="preserve">As of September 30, 2022, December 31, 2022 and March 31, 2023 the Trust Account has released $182,069, $182,069 and $118,066,020, respectively, to the Company to pay tax obligations and for redemptions. In connection with the Extension approved by our stockholders on February 2, 2023, the holders of 11,491,148 shares of Common Stock elected to redeem their shares at a per share redemption price of approximately $10.19. As a result, $117,079,879 was removed from the Companys Trust Account to pay such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year ended September 30, 2022, cash used in operating activities was $913,835. Net loss of $3,622,794 was impacted primarily by changes in operating assets and liabilities of $3,623,049, stock-based compensation of $111,852, partially offset by trust interest income of $1,025,942. </w:t>
      </w:r>
    </w:p>
    <w:p>
      <w:pPr>
        <w:pStyle w:val="TextBody"/>
        <w:spacing w:before="240" w:after="0"/>
        <w:jc w:val="left"/>
        <w:rPr>
          <w:rFonts w:ascii="Times New Roman" w:hAnsi="Times New Roman"/>
          <w:sz w:val="20"/>
        </w:rPr>
      </w:pPr>
      <w:r>
        <w:rPr>
          <w:rFonts w:ascii="Times New Roman" w:hAnsi="Times New Roman"/>
          <w:sz w:val="20"/>
        </w:rPr>
        <w:t xml:space="preserve">For the three months ended December 31, 2021, cash used in operating activities was $237,890. Net loss of $2,036,114 was impacted primarily by changes in operating assets and liabilities of $1,773,105, stock-based compensation of $27,963, and trust interest income of $2,844. </w:t>
      </w:r>
    </w:p>
    <w:p>
      <w:pPr>
        <w:pStyle w:val="TextBody"/>
        <w:spacing w:before="240" w:after="0"/>
        <w:jc w:val="left"/>
        <w:rPr>
          <w:rFonts w:ascii="Times New Roman" w:hAnsi="Times New Roman"/>
          <w:sz w:val="20"/>
        </w:rPr>
      </w:pPr>
      <w:r>
        <w:rPr>
          <w:rFonts w:ascii="Times New Roman" w:hAnsi="Times New Roman"/>
          <w:sz w:val="20"/>
        </w:rPr>
        <w:t xml:space="preserve">For the six months ended March 31, 2023, cash used in operating activities was $1,195,701. Net income of $579,884 was impacted primarily by trust interest income of $2,264,081, changes in operating assets and liabilities of $432,570 and stock-based compensation of $55,926. </w:t>
      </w:r>
    </w:p>
    <w:p>
      <w:pPr>
        <w:pStyle w:val="TextBody"/>
        <w:spacing w:before="240" w:after="0"/>
        <w:jc w:val="left"/>
        <w:rPr>
          <w:rFonts w:ascii="Times New Roman" w:hAnsi="Times New Roman"/>
          <w:sz w:val="20"/>
        </w:rPr>
      </w:pPr>
      <w:r>
        <w:rPr>
          <w:rFonts w:ascii="Times New Roman" w:hAnsi="Times New Roman"/>
          <w:sz w:val="20"/>
        </w:rPr>
        <w:t xml:space="preserve">For the six months ended March 31, 2022, cash used in operating activities was $313,990. Net loss of $2,408,500 was impacted primarily by changes in operating assets and liabilities of $2,053,671, stock-based compensation of $55,926, partially offset by trust interest income of $15,087. </w:t>
      </w:r>
    </w:p>
    <w:p>
      <w:pPr>
        <w:pStyle w:val="TextBody"/>
        <w:spacing w:before="240" w:after="0"/>
        <w:jc w:val="left"/>
        <w:rPr>
          <w:rFonts w:ascii="Times New Roman" w:hAnsi="Times New Roman"/>
          <w:sz w:val="20"/>
        </w:rPr>
      </w:pPr>
      <w:r>
        <w:rPr>
          <w:rFonts w:ascii="Times New Roman" w:hAnsi="Times New Roman"/>
          <w:sz w:val="20"/>
        </w:rPr>
        <w:t xml:space="preserve">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annual franchise tax obligations to be $200,000, which is the maximum amount of annual franchise taxes payable by us as a Delaware corporation per annum, which we may pay from funds from the Public Offering held outside of the Trust Account or from interest earned on the funds held in the Trust 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The Trust Account has released $804,072 and $182,069 as of March 31, 2023 and September 30, 2022, respectively, to the Company to pay its income and franchise tax obligations. </w:t>
      </w:r>
    </w:p>
    <w:p>
      <w:pPr>
        <w:pStyle w:val="TextBody"/>
        <w:spacing w:before="240" w:after="0"/>
        <w:jc w:val="left"/>
        <w:rPr>
          <w:rFonts w:ascii="Times New Roman" w:hAnsi="Times New Roman"/>
          <w:sz w:val="20"/>
        </w:rPr>
      </w:pPr>
      <w:r>
        <w:rPr>
          <w:rFonts w:ascii="Times New Roman" w:hAnsi="Times New Roman"/>
          <w:sz w:val="20"/>
        </w:rPr>
        <w:t xml:space="preserve">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$2,201,754 and $251,754 under the loans as of March 31, 2023, and September 30, 2022, respectively. </w:t>
      </w:r>
    </w:p>
    <w:p>
      <w:pPr>
        <w:pStyle w:val="TextBody"/>
        <w:spacing w:before="240" w:after="0"/>
        <w:jc w:val="left"/>
        <w:rPr>
          <w:rFonts w:ascii="Times New Roman" w:hAnsi="Times New Roman"/>
          <w:sz w:val="20"/>
        </w:rPr>
      </w:pPr>
      <w:r>
        <w:rPr>
          <w:rFonts w:ascii="Times New Roman" w:hAnsi="Times New Roman"/>
          <w:sz w:val="20"/>
        </w:rPr>
        <w:t xml:space="preserve">On November 10, 2022, our Sponsor loaned us $1.5 million in order to cover the additional contribution to the trust account required in connection with the automatic extension of the deadline to complete our initial business combination and $0.45 million for working capital purposes. However, if our estimates of the operating costs are less than the actual amount necessary to do so,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2023 raises substantial doubt about our ability to continue as a going concern. No adjustments have been made to the carrying amounts of assets or liabilities that might be necessary if we are unable to continue as a going concern. </w:t>
      </w:r>
    </w:p>
    <w:p>
      <w:pPr>
        <w:pStyle w:val="TextBody"/>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spacing w:before="120" w:after="0"/>
        <w:jc w:val="left"/>
        <w:rPr>
          <w:rFonts w:ascii="Times New Roman" w:hAnsi="Times New Roman"/>
          <w:sz w:val="20"/>
        </w:rPr>
      </w:pPr>
      <w:r>
        <w:rPr>
          <w:rFonts w:ascii="Times New Roman" w:hAnsi="Times New Roman"/>
          <w:sz w:val="20"/>
        </w:rPr>
        <w:t xml:space="preserve">The preparation of these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 </w:t>
      </w:r>
    </w:p>
    <w:p>
      <w:pPr>
        <w:pStyle w:val="TextBody"/>
        <w:spacing w:before="360" w:after="0"/>
        <w:jc w:val="left"/>
        <w:rPr>
          <w:rFonts w:ascii="Times New Roman" w:hAnsi="Times New Roman"/>
          <w:b/>
          <w:i/>
          <w:sz w:val="20"/>
        </w:rPr>
      </w:pPr>
      <w:r>
        <w:rPr>
          <w:rFonts w:ascii="Times New Roman" w:hAnsi="Times New Roman"/>
          <w:b/>
          <w:i/>
          <w:sz w:val="20"/>
        </w:rPr>
        <w:t xml:space="preserve">Offering Costs </w:t>
      </w:r>
    </w:p>
    <w:p>
      <w:pPr>
        <w:pStyle w:val="TextBody"/>
        <w:spacing w:before="120" w:after="0"/>
        <w:jc w:val="left"/>
        <w:rPr>
          <w:rFonts w:ascii="Times New Roman" w:hAnsi="Times New Roman"/>
          <w:sz w:val="20"/>
        </w:rPr>
      </w:pPr>
      <w:r>
        <w:rPr>
          <w:rFonts w:ascii="Times New Roman" w:hAnsi="Times New Roman"/>
          <w:sz w:val="20"/>
        </w:rPr>
        <w:t xml:space="preserve">We comply with the requirements of ASC 340-10-S99-1 and SEC Staff Accounting Bulletin Topic 5AExpenses of Offering. Offering costs consist of legal, accounting, underwriting and other costs incurred through the balance sheet date that are related to the IPO. We incurred offering costs amounting to $3,537,515 as a result of the IPO consisting of a $1,500,000 underwriting commissions, and $2,037,515 of other offering costs. </w:t>
      </w:r>
    </w:p>
    <w:p>
      <w:pPr>
        <w:pStyle w:val="TextBody"/>
        <w:spacing w:before="360" w:after="0"/>
        <w:jc w:val="left"/>
        <w:rPr>
          <w:rFonts w:ascii="Times New Roman" w:hAnsi="Times New Roman"/>
          <w:b/>
          <w:i/>
          <w:sz w:val="20"/>
        </w:rPr>
      </w:pPr>
      <w:r>
        <w:rPr>
          <w:rFonts w:ascii="Times New Roman" w:hAnsi="Times New Roman"/>
          <w:b/>
          <w:i/>
          <w:sz w:val="20"/>
        </w:rPr>
        <w:t xml:space="preserve">Redeemable Shares of Armada Common Stock </w:t>
      </w:r>
    </w:p>
    <w:p>
      <w:pPr>
        <w:pStyle w:val="TextBody"/>
        <w:spacing w:before="120" w:after="0"/>
        <w:jc w:val="left"/>
        <w:rPr>
          <w:rFonts w:ascii="Times New Roman" w:hAnsi="Times New Roman"/>
          <w:sz w:val="20"/>
        </w:rPr>
      </w:pPr>
      <w:r>
        <w:rPr>
          <w:rFonts w:ascii="Times New Roman" w:hAnsi="Times New Roman"/>
          <w:sz w:val="20"/>
        </w:rPr>
        <w:t xml:space="preserve">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 </w:t>
      </w:r>
    </w:p>
    <w:p>
      <w:pPr>
        <w:pStyle w:val="TextBody"/>
        <w:spacing w:before="240" w:after="0"/>
        <w:jc w:val="left"/>
        <w:rPr>
          <w:rFonts w:ascii="Times New Roman" w:hAnsi="Times New Roman"/>
          <w:sz w:val="20"/>
        </w:rPr>
      </w:pPr>
      <w:r>
        <w:rPr>
          <w:rFonts w:ascii="Times New Roman" w:hAnsi="Times New Roman"/>
          <w:sz w:val="20"/>
        </w:rPr>
        <w:t xml:space="preserve">All of the common stock sold as part of the Units in the IPO contain a redemption feature which allows for the redemption of such public shares in connection with the Companys liquidation, if there is a shareholder vote or tender offer in connection with the Business Combination and in connection with certain amendments to the Companys certificate of incorporation. In accordance with ASC 480-10-S99, redemption provisions not solely within the control of the Company require common stock subject to redemption to be classified outside of permanent equity. </w:t>
      </w:r>
    </w:p>
    <w:p>
      <w:pPr>
        <w:pStyle w:val="TextBody"/>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spacing w:before="120" w:after="0"/>
        <w:jc w:val="left"/>
        <w:rPr>
          <w:rFonts w:ascii="Times New Roman" w:hAnsi="Times New Roman"/>
          <w:sz w:val="20"/>
        </w:rPr>
      </w:pPr>
      <w:r>
        <w:rPr>
          <w:rFonts w:ascii="Times New Roman" w:hAnsi="Times New Roman"/>
          <w:sz w:val="20"/>
        </w:rPr>
        <w:t xml:space="preserve">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spacing w:before="240" w:after="0"/>
        <w:jc w:val="left"/>
        <w:rPr>
          <w:rFonts w:ascii="Times New Roman" w:hAnsi="Times New Roman"/>
          <w:sz w:val="20"/>
        </w:rPr>
      </w:pPr>
      <w:r>
        <w:rPr>
          <w:rFonts w:ascii="Times New Roman" w:hAnsi="Times New Roman"/>
          <w:sz w:val="20"/>
        </w:rPr>
        <w:t xml:space="preserve">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2023, we did not have any dilutive securities or other contracts that could, potentially, be exercised or converted into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 and then share in the earnings of the Company. As a result, diluted net loss per common stock is the same as basic net loss per common stock for the period presented. </w:t>
      </w:r>
    </w:p>
    <w:p>
      <w:pPr>
        <w:pStyle w:val="TextBody"/>
        <w:spacing w:before="24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loss per common stock because the redemption value approximates fair value. </w:t>
      </w:r>
    </w:p>
    <w:p>
      <w:pPr>
        <w:pStyle w:val="TextBody"/>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spacing w:before="120" w:after="0"/>
        <w:jc w:val="left"/>
        <w:rPr>
          <w:rFonts w:ascii="Times New Roman" w:hAnsi="Times New Roman"/>
          <w:sz w:val="20"/>
        </w:rPr>
      </w:pPr>
      <w:r>
        <w:rPr>
          <w:rFonts w:ascii="Times New Roman" w:hAnsi="Times New Roman"/>
          <w:sz w:val="20"/>
        </w:rPr>
        <w:t xml:space="preserve">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 </w:t>
      </w:r>
    </w:p>
    <w:p>
      <w:pPr>
        <w:pStyle w:val="TextBody"/>
        <w:spacing w:before="240" w:after="0"/>
        <w:jc w:val="left"/>
        <w:rPr>
          <w:rFonts w:ascii="Times New Roman" w:hAnsi="Times New Roman"/>
          <w:sz w:val="20"/>
        </w:rPr>
      </w:pPr>
      <w:r>
        <w:rPr>
          <w:rFonts w:ascii="Times New Roman" w:hAnsi="Times New Roman"/>
          <w:sz w:val="20"/>
        </w:rPr>
        <w:t xml:space="preserve">Management does not believe that any recently issued, but not effective, accounting pronouncements, if currently adopted, would have a material effect on our unaudited condensed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Off-Balance Sheet Arrangements; Commitments and Contractual Obligations </w:t>
      </w:r>
    </w:p>
    <w:p>
      <w:pPr>
        <w:pStyle w:val="TextBody"/>
        <w:spacing w:before="120" w:after="0"/>
        <w:jc w:val="left"/>
        <w:rPr>
          <w:rFonts w:ascii="Times New Roman" w:hAnsi="Times New Roman"/>
          <w:sz w:val="20"/>
        </w:rPr>
      </w:pPr>
      <w:r>
        <w:rPr>
          <w:rFonts w:ascii="Times New Roman" w:hAnsi="Times New Roman"/>
          <w:sz w:val="20"/>
        </w:rPr>
        <w:t xml:space="preserve">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t>
      </w:r>
    </w:p>
    <w:p>
      <w:pPr>
        <w:pStyle w:val="TextBody"/>
        <w:spacing w:before="240" w:after="0"/>
        <w:jc w:val="left"/>
        <w:rPr>
          <w:rFonts w:ascii="Times New Roman" w:hAnsi="Times New Roman"/>
          <w:sz w:val="20"/>
        </w:rPr>
      </w:pPr>
      <w:r>
        <w:rPr>
          <w:rFonts w:ascii="Times New Roman" w:hAnsi="Times New Roman"/>
          <w:sz w:val="20"/>
        </w:rPr>
        <w:t xml:space="preserve">We have not entered into any off-balance sheet financing arrangements, established any special purpose entities, guaranteed any debt or commitments of other entities, or entered into any non-financial agreements involving assets. </w:t>
      </w:r>
    </w:p>
    <w:p>
      <w:pPr>
        <w:pStyle w:val="TextBody"/>
        <w:spacing w:before="360" w:after="0"/>
        <w:jc w:val="left"/>
        <w:rPr>
          <w:rFonts w:ascii="Times New Roman" w:hAnsi="Times New Roman"/>
          <w:b/>
          <w:i/>
          <w:sz w:val="20"/>
        </w:rPr>
      </w:pPr>
      <w:r>
        <w:rPr>
          <w:rFonts w:ascii="Times New Roman" w:hAnsi="Times New Roman"/>
          <w:b/>
          <w:i/>
          <w:sz w:val="20"/>
        </w:rPr>
        <w:t xml:space="preserve">Contractual Obligations </w:t>
      </w:r>
    </w:p>
    <w:p>
      <w:pPr>
        <w:pStyle w:val="TextBody"/>
        <w:spacing w:before="120" w:after="0"/>
        <w:jc w:val="left"/>
        <w:rPr>
          <w:rFonts w:ascii="Times New Roman" w:hAnsi="Times New Roman"/>
          <w:sz w:val="20"/>
        </w:rPr>
      </w:pPr>
      <w:r>
        <w:rPr>
          <w:rFonts w:ascii="Times New Roman" w:hAnsi="Times New Roman"/>
          <w:sz w:val="20"/>
        </w:rPr>
        <w:t xml:space="preserve">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 </w:t>
      </w:r>
    </w:p>
    <w:p>
      <w:pPr>
        <w:pStyle w:val="TextBody"/>
        <w:spacing w:before="360" w:after="0"/>
        <w:jc w:val="left"/>
        <w:rPr>
          <w:rFonts w:ascii="Times New Roman" w:hAnsi="Times New Roman"/>
          <w:i/>
          <w:sz w:val="20"/>
        </w:rPr>
      </w:pPr>
      <w:r>
        <w:rPr>
          <w:rFonts w:ascii="Times New Roman" w:hAnsi="Times New Roman"/>
          <w:i/>
          <w:sz w:val="20"/>
        </w:rPr>
        <w:t xml:space="preserve">Financial Advisory Fee </w:t>
      </w:r>
    </w:p>
    <w:p>
      <w:pPr>
        <w:pStyle w:val="TextBody"/>
        <w:spacing w:before="120" w:after="0"/>
        <w:jc w:val="left"/>
        <w:rPr>
          <w:rFonts w:ascii="Times New Roman" w:hAnsi="Times New Roman"/>
          <w:sz w:val="20"/>
        </w:rPr>
      </w:pPr>
      <w:r>
        <w:rPr>
          <w:rFonts w:ascii="Times New Roman" w:hAnsi="Times New Roman"/>
          <w:sz w:val="20"/>
        </w:rPr>
        <w:t xml:space="preserve">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has agreed to defer the payment of the portion of the advisory fee attributable to over-allotment option until the consummation of the initial Business Combination. CCM is engaged to represent our interests only. We have also engaged CCM as an advisor in connection with the initial Business Combination for which it will earn an advisory fee of 2.25%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gross proceeds of the IPO, or $3,375,000, payable at closing of the Business Combination. On October 1, 2021 the underwriters over-allotment option expired unused resulting in no additional fees and commissions related to the over-allotment option to be payable to CCM by the Company. </w:t>
      </w:r>
    </w:p>
    <w:p>
      <w:pPr>
        <w:pStyle w:val="TextBody"/>
        <w:spacing w:before="360" w:after="0"/>
        <w:jc w:val="left"/>
        <w:rPr>
          <w:rFonts w:ascii="Times New Roman" w:hAnsi="Times New Roman"/>
          <w:i/>
          <w:sz w:val="20"/>
        </w:rPr>
      </w:pPr>
      <w:r>
        <w:rPr>
          <w:rFonts w:ascii="Times New Roman" w:hAnsi="Times New Roman"/>
          <w:i/>
          <w:sz w:val="20"/>
        </w:rPr>
        <w:t xml:space="preserve">Business Combination Marketing Agreement </w:t>
      </w:r>
    </w:p>
    <w:p>
      <w:pPr>
        <w:pStyle w:val="TextBody"/>
        <w:spacing w:before="120" w:after="0"/>
        <w:jc w:val="left"/>
        <w:rPr>
          <w:rFonts w:ascii="Times New Roman" w:hAnsi="Times New Roman"/>
          <w:sz w:val="20"/>
        </w:rPr>
      </w:pPr>
      <w:r>
        <w:rPr>
          <w:rFonts w:ascii="Times New Roman" w:hAnsi="Times New Roman"/>
          <w:sz w:val="20"/>
        </w:rPr>
        <w:t xml:space="preserve">We engaged the representative of the underwriter as an advisor in connection with the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upon the consummation of the initial Business Combination in an amount equal to 2.25% of the gross proceeds of the IPO, or $3,375,000. We will also pay the representative a separate capital market advisory fee of $3,000,000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 </w:t>
      </w:r>
    </w:p>
    <w:p>
      <w:pPr>
        <w:pStyle w:val="TextBody"/>
        <w:spacing w:before="360" w:after="0"/>
        <w:jc w:val="left"/>
        <w:rPr>
          <w:rFonts w:ascii="Times New Roman" w:hAnsi="Times New Roman"/>
          <w:i/>
          <w:sz w:val="20"/>
        </w:rPr>
      </w:pPr>
      <w:r>
        <w:rPr>
          <w:rFonts w:ascii="Times New Roman" w:hAnsi="Times New Roman"/>
          <w:i/>
          <w:sz w:val="20"/>
        </w:rPr>
        <w:t xml:space="preserve">Right of First Refusal </w:t>
      </w:r>
    </w:p>
    <w:p>
      <w:pPr>
        <w:pStyle w:val="TextBody"/>
        <w:spacing w:before="120" w:after="0"/>
        <w:jc w:val="left"/>
        <w:rPr>
          <w:rFonts w:ascii="Times New Roman" w:hAnsi="Times New Roman"/>
          <w:sz w:val="20"/>
        </w:rPr>
      </w:pPr>
      <w:r>
        <w:rPr>
          <w:rFonts w:ascii="Times New Roman" w:hAnsi="Times New Roman"/>
          <w:sz w:val="20"/>
        </w:rPr>
        <w:t xml:space="preserve">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Times New Roman" w:hAnsi="Times New Roman"/>
          <w:sz w:val="20"/>
          <w:u w:val="single"/>
        </w:rPr>
        <w:t>Investor Rights Agreement</w:t>
      </w:r>
      <w:r>
        <w:rPr>
          <w:rFonts w:ascii="Times New Roman" w:hAnsi="Times New Roman"/>
          <w:sz w:val="20"/>
        </w:rPr>
        <w:t xml:space="preserve">)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 </w:t>
      </w:r>
    </w:p>
    <w:p>
      <w:pPr>
        <w:pStyle w:val="TextBody"/>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We granted the underwriters a 45-day option from the date of the IPO to purchase up to an additional 2,250,000 units to cover over-allotments, if any. On October 1, 2021 the underwriters over-allotment option expired unused. </w:t>
      </w:r>
    </w:p>
    <w:p>
      <w:pPr>
        <w:pStyle w:val="TextBody"/>
        <w:spacing w:before="24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Business Combination Agreement </w:t>
      </w:r>
    </w:p>
    <w:p>
      <w:pPr>
        <w:pStyle w:val="TextBody"/>
        <w:spacing w:before="120" w:after="0"/>
        <w:jc w:val="left"/>
        <w:rPr>
          <w:rFonts w:ascii="Times New Roman" w:hAnsi="Times New Roman"/>
          <w:sz w:val="20"/>
        </w:rPr>
      </w:pPr>
      <w:r>
        <w:rPr>
          <w:rFonts w:ascii="Times New Roman" w:hAnsi="Times New Roman"/>
          <w:sz w:val="20"/>
        </w:rPr>
        <w:t xml:space="preserve">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 </w:t>
      </w:r>
    </w:p>
    <w:p>
      <w:pPr>
        <w:pStyle w:val="TextBody"/>
        <w:spacing w:before="240" w:after="0"/>
        <w:jc w:val="left"/>
        <w:rPr>
          <w:rFonts w:ascii="Times New Roman" w:hAnsi="Times New Roman"/>
          <w:sz w:val="20"/>
        </w:rPr>
      </w:pPr>
      <w:r>
        <w:rPr>
          <w:rFonts w:ascii="Times New Roman" w:hAnsi="Times New Roman"/>
          <w:sz w:val="20"/>
        </w:rPr>
        <w:t xml:space="preserve">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an Investor Rights Agreement at Closing and (d) the termination of certain agreements effective as of Closing. </w:t>
      </w:r>
    </w:p>
    <w:p>
      <w:pPr>
        <w:pStyle w:val="TextBody"/>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spacing w:before="120" w:after="0"/>
        <w:jc w:val="left"/>
        <w:rPr>
          <w:rFonts w:ascii="Times New Roman" w:hAnsi="Times New Roman"/>
          <w:sz w:val="20"/>
        </w:rPr>
      </w:pPr>
      <w:r>
        <w:rPr>
          <w:rFonts w:ascii="Times New Roman" w:hAnsi="Times New Roman"/>
          <w:sz w:val="20"/>
        </w:rPr>
        <w:t xml:space="preserve">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x309194_22"/>
      <w:bookmarkEnd w:id="24"/>
      <w:r>
        <w:rPr>
          <w:rFonts w:ascii="Times New Roman" w:hAnsi="Times New Roman"/>
          <w:b/>
          <w:sz w:val="20"/>
        </w:rPr>
        <w:t xml:space="preserve">BUSINESS OF REZOLVE </w:t>
      </w:r>
    </w:p>
    <w:p>
      <w:pPr>
        <w:pStyle w:val="TextBody"/>
        <w:spacing w:before="240" w:after="0"/>
        <w:jc w:val="left"/>
        <w:rPr>
          <w:rFonts w:ascii="Times New Roman" w:hAnsi="Times New Roman"/>
          <w:i/>
          <w:sz w:val="20"/>
        </w:rPr>
      </w:pPr>
      <w:r>
        <w:rPr>
          <w:rFonts w:ascii="Times New Roman" w:hAnsi="Times New Roman"/>
          <w:i/>
          <w:sz w:val="20"/>
        </w:rPr>
        <w:t xml:space="preserve">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AI Limited and its subsidiaries, unless the context clearly indicates otherwise.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provide a mobile commerce and engagement platform, underpinned by machine learning, that enables retailers, brands and manufacturers to engage with consumers in a broad range of locations and settings via their mobile devices and personal computers. 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 </w:t>
      </w:r>
    </w:p>
    <w:p>
      <w:pPr>
        <w:pStyle w:val="TextBody"/>
        <w:spacing w:before="240" w:after="0"/>
        <w:jc w:val="left"/>
        <w:rPr>
          <w:rFonts w:ascii="Times New Roman" w:hAnsi="Times New Roman"/>
          <w:sz w:val="20"/>
        </w:rPr>
      </w:pPr>
      <w:r>
        <w:rPr>
          <w:rFonts w:ascii="Times New Roman" w:hAnsi="Times New Roman"/>
          <w:sz w:val="20"/>
        </w:rPr>
        <w:t xml:space="preserve">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 </w:t>
      </w:r>
    </w:p>
    <w:p>
      <w:pPr>
        <w:pStyle w:val="TextBody"/>
        <w:spacing w:before="240" w:after="0"/>
        <w:jc w:val="left"/>
        <w:rPr>
          <w:rFonts w:ascii="Times New Roman" w:hAnsi="Times New Roman"/>
          <w:sz w:val="20"/>
        </w:rPr>
      </w:pPr>
      <w:r>
        <w:rPr>
          <w:rFonts w:ascii="Times New Roman" w:hAnsi="Times New Roman"/>
          <w:sz w:val="20"/>
        </w:rPr>
        <w:t xml:space="preserve">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 </w:t>
      </w:r>
    </w:p>
    <w:p>
      <w:pPr>
        <w:pStyle w:val="TextBody"/>
        <w:spacing w:before="240" w:after="0"/>
        <w:jc w:val="left"/>
        <w:rPr>
          <w:rFonts w:ascii="Times New Roman" w:hAnsi="Times New Roman"/>
          <w:sz w:val="20"/>
        </w:rPr>
      </w:pPr>
      <w:r>
        <w:rPr>
          <w:rFonts w:ascii="Times New Roman" w:hAnsi="Times New Roman"/>
          <w:sz w:val="20"/>
        </w:rPr>
        <w:t xml:space="preserve">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 </w:t>
      </w:r>
    </w:p>
    <w:p>
      <w:pPr>
        <w:pStyle w:val="TextBody"/>
        <w:spacing w:before="240" w:after="0"/>
        <w:jc w:val="left"/>
        <w:rPr>
          <w:rFonts w:ascii="Times New Roman" w:hAnsi="Times New Roman"/>
          <w:sz w:val="20"/>
        </w:rPr>
      </w:pPr>
      <w:r>
        <w:rPr>
          <w:rFonts w:ascii="Times New Roman" w:hAnsi="Times New Roman"/>
          <w:sz w:val="20"/>
        </w:rPr>
        <w:t xml:space="preserve">Our total revenues were $3.9 million and $12.3 million, for the years ended December 31, 2021 and 2022, respectively. We had net losses of $37.7 million and $104.1 million, for the years ended December 31, 2021 and 2022, respectively. </w:t>
      </w:r>
    </w:p>
    <w:p>
      <w:pPr>
        <w:pStyle w:val="TextBody"/>
        <w:spacing w:before="360" w:after="0"/>
        <w:jc w:val="left"/>
        <w:rPr>
          <w:rFonts w:ascii="Times New Roman" w:hAnsi="Times New Roman"/>
          <w:b/>
          <w:sz w:val="20"/>
        </w:rPr>
      </w:pPr>
      <w:r>
        <w:rPr>
          <w:rFonts w:ascii="Times New Roman" w:hAnsi="Times New Roman"/>
          <w:b/>
          <w:sz w:val="20"/>
        </w:rPr>
        <w:t xml:space="preserve">Industry Overview and Trends </w:t>
      </w:r>
    </w:p>
    <w:p>
      <w:pPr>
        <w:pStyle w:val="TextBody"/>
        <w:spacing w:before="120" w:after="0"/>
        <w:jc w:val="left"/>
        <w:rPr>
          <w:rFonts w:ascii="Times New Roman" w:hAnsi="Times New Roman"/>
          <w:sz w:val="20"/>
        </w:rPr>
      </w:pPr>
      <w:r>
        <w:rPr>
          <w:rFonts w:ascii="Times New Roman" w:hAnsi="Times New Roman"/>
          <w:sz w:val="20"/>
        </w:rPr>
        <w:t xml:space="preserve">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 </w:t>
      </w:r>
    </w:p>
    <w:p>
      <w:pPr>
        <w:pStyle w:val="TextBody"/>
        <w:spacing w:before="360" w:after="0"/>
        <w:jc w:val="left"/>
        <w:rPr>
          <w:rFonts w:ascii="Times New Roman" w:hAnsi="Times New Roman"/>
          <w:b/>
          <w:i/>
          <w:sz w:val="20"/>
        </w:rPr>
      </w:pPr>
      <w:r>
        <w:rPr>
          <w:rFonts w:ascii="Times New Roman" w:hAnsi="Times New Roman"/>
          <w:b/>
          <w:i/>
          <w:sz w:val="20"/>
        </w:rPr>
        <w:t xml:space="preserve">Consumers Are Increasingly Engaging Through Digital Channels </w:t>
      </w:r>
    </w:p>
    <w:p>
      <w:pPr>
        <w:pStyle w:val="TextBody"/>
        <w:spacing w:before="120" w:after="0"/>
        <w:jc w:val="left"/>
        <w:rPr>
          <w:rFonts w:ascii="Times New Roman" w:hAnsi="Times New Roman"/>
          <w:sz w:val="20"/>
        </w:rPr>
      </w:pPr>
      <w:r>
        <w:rPr>
          <w:rFonts w:ascii="Times New Roman" w:hAnsi="Times New Roman"/>
          <w:sz w:val="20"/>
        </w:rPr>
        <w:t xml:space="preserve">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 </w:t>
      </w:r>
    </w:p>
    <w:p>
      <w:pPr>
        <w:pStyle w:val="TextBody"/>
        <w:spacing w:before="240" w:after="0"/>
        <w:jc w:val="left"/>
        <w:rPr>
          <w:rFonts w:ascii="Times New Roman" w:hAnsi="Times New Roman"/>
          <w:sz w:val="20"/>
        </w:rPr>
      </w:pPr>
      <w:r>
        <w:rPr>
          <w:rFonts w:ascii="Times New Roman" w:hAnsi="Times New Roman"/>
          <w:sz w:val="20"/>
        </w:rPr>
        <w:t xml:space="preserve">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 </w:t>
      </w:r>
    </w:p>
    <w:p>
      <w:pPr>
        <w:pStyle w:val="TextBody"/>
        <w:spacing w:before="240" w:after="0"/>
        <w:jc w:val="left"/>
        <w:rPr>
          <w:rFonts w:ascii="Times New Roman" w:hAnsi="Times New Roman"/>
          <w:sz w:val="20"/>
        </w:rPr>
      </w:pPr>
      <w:r>
        <w:rPr>
          <w:rFonts w:ascii="Times New Roman" w:hAnsi="Times New Roman"/>
          <w:sz w:val="20"/>
        </w:rPr>
        <w:t xml:space="preserve">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 </w:t>
      </w:r>
    </w:p>
    <w:p>
      <w:pPr>
        <w:pStyle w:val="TextBody"/>
        <w:spacing w:before="360" w:after="0"/>
        <w:jc w:val="left"/>
        <w:rPr>
          <w:rFonts w:ascii="Times New Roman" w:hAnsi="Times New Roman"/>
          <w:b/>
          <w:i/>
          <w:sz w:val="20"/>
        </w:rPr>
      </w:pPr>
      <w:r>
        <w:rPr>
          <w:rFonts w:ascii="Times New Roman" w:hAnsi="Times New Roman"/>
          <w:b/>
          <w:i/>
          <w:sz w:val="20"/>
        </w:rPr>
        <w:t xml:space="preserve">Merchants have Lost Connectivity to the End Consumer </w:t>
      </w:r>
    </w:p>
    <w:p>
      <w:pPr>
        <w:pStyle w:val="TextBody"/>
        <w:spacing w:before="120" w:after="0"/>
        <w:jc w:val="left"/>
        <w:rPr>
          <w:rFonts w:ascii="Times New Roman" w:hAnsi="Times New Roman"/>
          <w:sz w:val="20"/>
        </w:rPr>
      </w:pPr>
      <w:r>
        <w:rPr>
          <w:rFonts w:ascii="Times New Roman" w:hAnsi="Times New Roman"/>
          <w:sz w:val="20"/>
        </w:rPr>
        <w:t xml:space="preserve">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 </w:t>
      </w:r>
    </w:p>
    <w:p>
      <w:pPr>
        <w:pStyle w:val="TextBody"/>
        <w:spacing w:before="240" w:after="0"/>
        <w:jc w:val="left"/>
        <w:rPr>
          <w:rFonts w:ascii="Times New Roman" w:hAnsi="Times New Roman"/>
          <w:sz w:val="20"/>
        </w:rPr>
      </w:pPr>
      <w:r>
        <w:rPr>
          <w:rFonts w:ascii="Times New Roman" w:hAnsi="Times New Roman"/>
          <w:sz w:val="20"/>
        </w:rPr>
        <w:t xml:space="preserve">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Consumers Expect a Seamless Interaction Between Offline and Online Channels </w:t>
      </w:r>
    </w:p>
    <w:p>
      <w:pPr>
        <w:pStyle w:val="TextBody"/>
        <w:spacing w:before="120" w:after="0"/>
        <w:jc w:val="left"/>
        <w:rPr>
          <w:rFonts w:ascii="Times New Roman" w:hAnsi="Times New Roman"/>
          <w:sz w:val="20"/>
        </w:rPr>
      </w:pPr>
      <w:r>
        <w:rPr>
          <w:rFonts w:ascii="Times New Roman" w:hAnsi="Times New Roman"/>
          <w:sz w:val="20"/>
        </w:rPr>
        <w:t xml:space="preserve">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 </w:t>
      </w:r>
    </w:p>
    <w:p>
      <w:pPr>
        <w:pStyle w:val="TextBody"/>
        <w:spacing w:before="360" w:after="0"/>
        <w:jc w:val="left"/>
        <w:rPr>
          <w:rFonts w:ascii="Times New Roman" w:hAnsi="Times New Roman"/>
          <w:b/>
          <w:i/>
          <w:sz w:val="20"/>
        </w:rPr>
      </w:pPr>
      <w:r>
        <w:rPr>
          <w:rFonts w:ascii="Times New Roman" w:hAnsi="Times New Roman"/>
          <w:b/>
          <w:i/>
          <w:sz w:val="20"/>
        </w:rPr>
        <w:t xml:space="preserve">Merchants Are Struggling to Differentiate </w:t>
      </w:r>
    </w:p>
    <w:p>
      <w:pPr>
        <w:pStyle w:val="TextBody"/>
        <w:spacing w:before="120" w:after="0"/>
        <w:jc w:val="left"/>
        <w:rPr>
          <w:rFonts w:ascii="Times New Roman" w:hAnsi="Times New Roman"/>
          <w:sz w:val="20"/>
        </w:rPr>
      </w:pPr>
      <w:r>
        <w:rPr>
          <w:rFonts w:ascii="Times New Roman" w:hAnsi="Times New Roman"/>
          <w:sz w:val="20"/>
        </w:rPr>
        <w:t xml:space="preserve">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 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 </w:t>
      </w:r>
    </w:p>
    <w:p>
      <w:pPr>
        <w:pStyle w:val="TextBody"/>
        <w:spacing w:before="360" w:after="0"/>
        <w:jc w:val="left"/>
        <w:rPr>
          <w:rFonts w:ascii="Times New Roman" w:hAnsi="Times New Roman"/>
          <w:b/>
          <w:sz w:val="20"/>
        </w:rPr>
      </w:pPr>
      <w:r>
        <w:rPr>
          <w:rFonts w:ascii="Times New Roman" w:hAnsi="Times New Roman"/>
          <w:b/>
          <w:sz w:val="20"/>
        </w:rPr>
        <w:t xml:space="preserve">Complicated Experiences Result in Lost Opportunities with Consumers </w:t>
      </w:r>
    </w:p>
    <w:p>
      <w:pPr>
        <w:pStyle w:val="TextBody"/>
        <w:spacing w:before="120" w:after="0"/>
        <w:jc w:val="left"/>
        <w:rPr>
          <w:rFonts w:ascii="Times New Roman" w:hAnsi="Times New Roman"/>
          <w:sz w:val="20"/>
        </w:rPr>
      </w:pPr>
      <w:r>
        <w:rPr>
          <w:rFonts w:ascii="Times New Roman" w:hAnsi="Times New Roman"/>
          <w:sz w:val="20"/>
        </w:rPr>
        <w:t xml:space="preserve">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 </w:t>
      </w:r>
    </w:p>
    <w:p>
      <w:pPr>
        <w:pStyle w:val="TextBody"/>
        <w:spacing w:before="360" w:after="0"/>
        <w:jc w:val="left"/>
        <w:rPr>
          <w:rFonts w:ascii="Times New Roman" w:hAnsi="Times New Roman"/>
          <w:b/>
          <w:sz w:val="20"/>
        </w:rPr>
      </w:pPr>
      <w:r>
        <w:rPr>
          <w:rFonts w:ascii="Times New Roman" w:hAnsi="Times New Roman"/>
          <w:b/>
          <w:sz w:val="20"/>
        </w:rPr>
        <w:t xml:space="preserve">Our Solution </w:t>
      </w:r>
    </w:p>
    <w:p>
      <w:pPr>
        <w:pStyle w:val="TextBody"/>
        <w:spacing w:before="120" w:after="0"/>
        <w:jc w:val="left"/>
        <w:rPr>
          <w:rFonts w:ascii="Times New Roman" w:hAnsi="Times New Roman"/>
          <w:sz w:val="20"/>
        </w:rPr>
      </w:pPr>
      <w:r>
        <w:rPr>
          <w:rFonts w:ascii="Times New Roman" w:hAnsi="Times New Roman"/>
          <w:sz w:val="20"/>
        </w:rPr>
        <w:t xml:space="preserve">We provide a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w:t>
      </w:r>
    </w:p>
    <w:p>
      <w:pPr>
        <w:pStyle w:val="TextBody"/>
        <w:spacing w:before="240" w:after="0"/>
        <w:jc w:val="left"/>
        <w:rPr>
          <w:rFonts w:ascii="Times New Roman" w:hAnsi="Times New Roman"/>
          <w:sz w:val="20"/>
        </w:rPr>
      </w:pPr>
      <w:r>
        <w:rPr>
          <w:rFonts w:ascii="Times New Roman" w:hAnsi="Times New Roman"/>
          <w:sz w:val="20"/>
        </w:rPr>
        <w:t xml:space="preserve">Our platform provides the following key benefits to merchants: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Instant Checkout. </w:t>
            </w:r>
            <w:r>
              <w:rPr>
                <w:rFonts w:ascii="Times New Roman" w:hAnsi="Times New Roman"/>
                <w:sz w:val="20"/>
              </w:rPr>
              <w:t xml:space="preserve">Rezolves Instant Checkout allows websites to convert passive browsers into actors or buyers with one click directly from the product detail pages on merchant websites. Our Instant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4"/>
        <w:gridCol w:w="9595"/>
      </w:tblGrid>
      <w:tr>
        <w:trPr/>
        <w:tc>
          <w:tcPr>
            <w:tcW w:w="944" w:type="dxa"/>
            <w:tcBorders/>
            <w:shd w:fill="auto" w:val="clear"/>
            <w:vAlign w:val="center"/>
          </w:tcPr>
          <w:p>
            <w:pPr>
              <w:pStyle w:val="TableContents"/>
              <w:spacing w:before="0" w:after="283"/>
              <w:rPr/>
            </w:pPr>
            <w:r>
              <w:rPr/>
              <w:t> </w:t>
            </w:r>
          </w:p>
        </w:tc>
        <w:tc>
          <w:tcPr>
            <w:tcW w:w="959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Anti-counterfeiting Solution</w:t>
            </w:r>
            <w:r>
              <w:rPr>
                <w:rFonts w:ascii="Times New Roman" w:hAnsi="Times New Roman"/>
                <w:sz w:val="20"/>
              </w:rPr>
              <w:t xml:space="preserve">.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Omnichannel Interactions. </w:t>
            </w:r>
            <w:r>
              <w:rPr>
                <w:rFonts w:ascii="Times New Roman" w:hAnsi="Times New Roman"/>
                <w:sz w:val="20"/>
              </w:rPr>
              <w:t xml:space="preserve">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Direct Brand Engagement</w:t>
            </w:r>
            <w:r>
              <w:rPr>
                <w:rFonts w:ascii="Times New Roman" w:hAnsi="Times New Roman"/>
                <w:sz w:val="20"/>
              </w:rPr>
              <w:t xml:space="preserve">.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Seamless Integration with Existing Applications. </w:t>
            </w:r>
            <w:r>
              <w:rPr>
                <w:rFonts w:ascii="Times New Roman" w:hAnsi="Times New Roman"/>
                <w:sz w:val="20"/>
              </w:rPr>
              <w:t xml:space="preserve">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hAnsi="Times New Roman"/>
                <w:i/>
                <w:sz w:val="20"/>
              </w:rPr>
              <w:t>Shop Beautiful</w:t>
            </w:r>
            <w:r>
              <w:rPr>
                <w:rFonts w:ascii="Times New Roman" w:hAnsi="Times New Roman"/>
                <w:sz w:val="20"/>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Actionable Analytics and Insights. </w:t>
            </w:r>
            <w:r>
              <w:rPr>
                <w:rFonts w:ascii="Times New Roman" w:hAnsi="Times New Roman"/>
                <w:sz w:val="20"/>
              </w:rPr>
              <w:t xml:space="preserve">With our platform, we expect merchants will be able to receive direct insights into consumer behavior that 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A Frictionless Consumer Experience. </w:t>
            </w:r>
            <w:r>
              <w:rPr>
                <w:rFonts w:ascii="Times New Roman" w:hAnsi="Times New Roman"/>
                <w:sz w:val="20"/>
              </w:rPr>
              <w:t xml:space="preserve">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 </w:t>
            </w:r>
          </w:p>
        </w:tc>
      </w:tr>
    </w:tbl>
    <w:p>
      <w:pPr>
        <w:pStyle w:val="TextBody"/>
        <w:spacing w:before="0" w:after="0"/>
        <w:jc w:val="left"/>
        <w:rPr/>
      </w:pPr>
      <w:r>
        <w:rPr/>
        <w:t> </w:t>
      </w:r>
    </w:p>
    <w:p>
      <w:pPr>
        <w:pStyle w:val="TextBody"/>
        <w:spacing w:before="0" w:after="0"/>
        <w:jc w:val="center"/>
        <w:rPr/>
      </w:pPr>
      <w:r>
        <w:rPr/>
        <w:drawing>
          <wp:inline distT="0" distB="0" distL="0" distR="0">
            <wp:extent cx="3453765" cy="2007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53765" cy="2007870"/>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We have agreements with distribution and consumer-facing networks, which we refer to as our Channels, to sign up merchants to the Rezolve platform. Our Channels also receive significant benefits from deploying our solutions to their merchant base. </w:t>
      </w:r>
    </w:p>
    <w:p>
      <w:pPr>
        <w:pStyle w:val="TextBody"/>
        <w:spacing w:before="240" w:after="0"/>
        <w:jc w:val="left"/>
        <w:rPr>
          <w:rFonts w:ascii="Times New Roman" w:hAnsi="Times New Roman"/>
          <w:sz w:val="20"/>
        </w:rPr>
      </w:pPr>
      <w:r>
        <w:rPr>
          <w:rFonts w:ascii="Times New Roman" w:hAnsi="Times New Roman"/>
          <w:sz w:val="20"/>
        </w:rPr>
        <w:t xml:space="preserve">Our platform provides the following key benefits to these Channels: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Upsell Opportunities:</w:t>
            </w:r>
            <w:r>
              <w:rPr>
                <w:rFonts w:ascii="Times New Roman" w:hAnsi="Times New Roman"/>
                <w:sz w:val="20"/>
              </w:rPr>
              <w:t xml:space="preserve"> We will collaborate with our Channels to sign up merchants and share with them a portion of the revenue generated from those merchants. The Rezolve platform offers an additional 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Enhanced Offerings:</w:t>
            </w:r>
            <w:r>
              <w:rPr>
                <w:rFonts w:ascii="Times New Roman" w:hAnsi="Times New Roman"/>
                <w:sz w:val="20"/>
              </w:rPr>
              <w:t xml:space="preserve"> The Rezolve platform augments our Channels offerings and services to further retain and attract more merchants onto the platform. Our platform enables our Channels to provide a seamless digital solution for the merchants with minimum investment required. As our Channels expand their merchant network, they further fuel our growth.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3823970" cy="23044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23970" cy="2304415"/>
                    </a:xfrm>
                    <a:prstGeom prst="rect">
                      <a:avLst/>
                    </a:prstGeom>
                  </pic:spPr>
                </pic:pic>
              </a:graphicData>
            </a:graphic>
          </wp:inline>
        </w:drawing>
      </w:r>
      <w:r>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The Opportunity </w:t>
      </w:r>
    </w:p>
    <w:p>
      <w:pPr>
        <w:pStyle w:val="TextBody"/>
        <w:spacing w:before="120" w:after="0"/>
        <w:jc w:val="left"/>
        <w:rPr>
          <w:rFonts w:ascii="Times New Roman" w:hAnsi="Times New Roman"/>
          <w:sz w:val="20"/>
        </w:rPr>
      </w:pPr>
      <w:r>
        <w:rPr>
          <w:rFonts w:ascii="Times New Roman" w:hAnsi="Times New Roman"/>
          <w:sz w:val="20"/>
        </w:rPr>
        <w:t xml:space="preserve">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 </w:t>
      </w:r>
    </w:p>
    <w:p>
      <w:pPr>
        <w:pStyle w:val="TextBody"/>
        <w:spacing w:before="240" w:after="0"/>
        <w:jc w:val="left"/>
        <w:rPr>
          <w:rFonts w:ascii="Times New Roman" w:hAnsi="Times New Roman"/>
          <w:sz w:val="20"/>
        </w:rPr>
      </w:pPr>
      <w:r>
        <w:rPr>
          <w:rFonts w:ascii="Times New Roman" w:hAnsi="Times New Roman"/>
          <w:sz w:val="20"/>
        </w:rPr>
        <w:t xml:space="preserve">Our enterprise SaaS commerce platform has a global reach including in our key geographies: India, the U.S. Latin America, and Europe. We believe that there are significant geographies and distribution channels to expand to as we establish new strategic alliances in new geographies. </w:t>
      </w:r>
    </w:p>
    <w:p>
      <w:pPr>
        <w:pStyle w:val="TextBody"/>
        <w:spacing w:before="240" w:after="0"/>
        <w:jc w:val="left"/>
        <w:rPr>
          <w:rFonts w:ascii="Times New Roman" w:hAnsi="Times New Roman"/>
          <w:sz w:val="20"/>
        </w:rPr>
      </w:pPr>
      <w:r>
        <w:rPr>
          <w:rFonts w:ascii="Times New Roman" w:hAnsi="Times New Roman"/>
          <w:sz w:val="20"/>
        </w:rPr>
        <w:t xml:space="preserve">These geographic markets include India, the U.S., Latin America, and Europe. We have preliminarily established relationships with Channels such as Grupo Carso (Latin America), ACI Worldwide (U.S. and Europe), Concardis (Germany), MobiKwik (India), and CompuTop (Germany), although these Channels are currently pre-revenue. Following the completion of the Pre-Closing Demerger, we will cease operations in China and are currently focused on growing our footprint in other geographic markets, but we are considering re-engaging with the Chinese market in the future. </w:t>
      </w:r>
    </w:p>
    <w:p>
      <w:pPr>
        <w:pStyle w:val="TextBody"/>
        <w:spacing w:before="240" w:after="0"/>
        <w:jc w:val="left"/>
        <w:rPr>
          <w:rFonts w:ascii="Times New Roman" w:hAnsi="Times New Roman"/>
          <w:sz w:val="20"/>
        </w:rPr>
      </w:pPr>
      <w:r>
        <w:rPr>
          <w:rFonts w:ascii="Times New Roman" w:hAnsi="Times New Roman"/>
          <w:sz w:val="20"/>
        </w:rPr>
        <w:t xml:space="preserve">We believe our Act Now and Buy Now offerings will operate in large global market opportunities. Act Now will operate in the Global Search Advertising market that is estimated to be $279 billion in 2023 according to the Statista Digital Market Outlook. </w:t>
      </w:r>
    </w:p>
    <w:p>
      <w:pPr>
        <w:pStyle w:val="TextBody"/>
        <w:spacing w:before="240" w:after="0"/>
        <w:jc w:val="left"/>
        <w:rPr>
          <w:rFonts w:ascii="Times New Roman" w:hAnsi="Times New Roman"/>
          <w:sz w:val="20"/>
        </w:rPr>
      </w:pPr>
      <w:r>
        <w:rPr>
          <w:rFonts w:ascii="Times New Roman" w:hAnsi="Times New Roman"/>
          <w:sz w:val="20"/>
        </w:rPr>
        <w:t xml:space="preserve">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 </w:t>
      </w:r>
    </w:p>
    <w:p>
      <w:pPr>
        <w:pStyle w:val="TextBody"/>
        <w:spacing w:before="240" w:after="0"/>
        <w:jc w:val="left"/>
        <w:rPr>
          <w:rFonts w:ascii="Times New Roman" w:hAnsi="Times New Roman"/>
          <w:sz w:val="20"/>
        </w:rPr>
      </w:pPr>
      <w:r>
        <w:rPr>
          <w:rFonts w:ascii="Times New Roman" w:hAnsi="Times New Roman"/>
          <w:sz w:val="20"/>
        </w:rPr>
        <w:t xml:space="preserve">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 </w:t>
      </w:r>
    </w:p>
    <w:p>
      <w:pPr>
        <w:pStyle w:val="TextBody"/>
        <w:spacing w:before="240" w:after="0"/>
        <w:jc w:val="left"/>
        <w:rPr>
          <w:rFonts w:ascii="Times New Roman" w:hAnsi="Times New Roman"/>
          <w:sz w:val="20"/>
        </w:rPr>
      </w:pPr>
      <w:r>
        <w:rPr>
          <w:rFonts w:ascii="Times New Roman" w:hAnsi="Times New Roman"/>
          <w:sz w:val="20"/>
        </w:rPr>
        <w:t xml:space="preserve">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 </w:t>
      </w:r>
    </w:p>
    <w:p>
      <w:pPr>
        <w:pStyle w:val="TextBody"/>
        <w:spacing w:before="240" w:after="0"/>
        <w:jc w:val="left"/>
        <w:rPr>
          <w:rFonts w:ascii="Times New Roman" w:hAnsi="Times New Roman"/>
          <w:sz w:val="20"/>
        </w:rPr>
      </w:pPr>
      <w:r>
        <w:rPr>
          <w:rFonts w:ascii="Times New Roman" w:hAnsi="Times New Roman"/>
          <w:sz w:val="20"/>
        </w:rPr>
        <w:t xml:space="preserve">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 </w:t>
      </w:r>
    </w:p>
    <w:p>
      <w:pPr>
        <w:pStyle w:val="TextBody"/>
        <w:spacing w:before="240" w:after="0"/>
        <w:jc w:val="left"/>
        <w:rPr>
          <w:rFonts w:ascii="Times New Roman" w:hAnsi="Times New Roman"/>
          <w:sz w:val="20"/>
        </w:rPr>
      </w:pPr>
      <w:r>
        <w:rPr>
          <w:rFonts w:ascii="Times New Roman" w:hAnsi="Times New Roman"/>
          <w:sz w:val="20"/>
        </w:rPr>
        <w:t xml:space="preserve">Key web search statistics: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98% of consumers use the Internet to find a local business in 2022. (BrightLocal survey)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76% of consumers always or regularly read online reviews for local businesses. (BrightLocal survey)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29% of consumers search for local businesses at least every week. (BrightLocal survey) </w:t>
            </w:r>
          </w:p>
        </w:tc>
      </w:tr>
    </w:tbl>
    <w:p>
      <w:pPr>
        <w:pStyle w:val="TextBody"/>
        <w:spacing w:before="360" w:after="0"/>
        <w:jc w:val="left"/>
        <w:rPr>
          <w:rFonts w:ascii="Times New Roman" w:hAnsi="Times New Roman"/>
          <w:b/>
          <w:sz w:val="20"/>
        </w:rPr>
      </w:pPr>
      <w:r>
        <w:rPr>
          <w:rFonts w:ascii="Times New Roman" w:hAnsi="Times New Roman"/>
          <w:b/>
          <w:sz w:val="20"/>
        </w:rPr>
        <w:t xml:space="preserve">Growth Strategy </w:t>
      </w:r>
    </w:p>
    <w:p>
      <w:pPr>
        <w:pStyle w:val="TextBody"/>
        <w:spacing w:before="120" w:after="0"/>
        <w:jc w:val="left"/>
        <w:rPr>
          <w:rFonts w:ascii="Times New Roman" w:hAnsi="Times New Roman"/>
          <w:sz w:val="20"/>
        </w:rPr>
      </w:pPr>
      <w:r>
        <w:rPr>
          <w:rFonts w:ascii="Times New Roman" w:hAnsi="Times New Roman"/>
          <w:sz w:val="20"/>
        </w:rPr>
        <w:t xml:space="preserve">Key elements of our strategy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Scaling Existing Channels.</w:t>
            </w:r>
            <w:r>
              <w:rPr>
                <w:rFonts w:ascii="Times New Roman" w:hAnsi="Times New Roman"/>
                <w:sz w:val="20"/>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Win New Channels</w:t>
            </w:r>
            <w:r>
              <w:rPr>
                <w:rFonts w:ascii="Times New Roman" w:hAnsi="Times New Roman"/>
                <w:sz w:val="20"/>
              </w:rPr>
              <w:t xml:space="preserve">.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New Offering Features</w:t>
            </w:r>
            <w:r>
              <w:rPr>
                <w:rFonts w:ascii="Times New Roman" w:hAnsi="Times New Roman"/>
                <w:sz w:val="20"/>
              </w:rPr>
              <w:t xml:space="preserve">. We plan to add to and expand our platform with further functionality including live event notifications, dynamic coupons, more personalization and personal experiences as well as provided artificial intelligence layers to enable more convenient and segmented merchandizing.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Upsell/Cross Sell</w:t>
            </w:r>
            <w:r>
              <w:rPr>
                <w:rFonts w:ascii="Times New Roman" w:hAnsi="Times New Roman"/>
                <w:sz w:val="20"/>
              </w:rPr>
              <w:t xml:space="preserve">.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Enter New Geographies</w:t>
            </w:r>
            <w:r>
              <w:rPr>
                <w:rFonts w:ascii="Times New Roman" w:hAnsi="Times New Roman"/>
                <w:sz w:val="20"/>
              </w:rPr>
              <w:t xml:space="preserve">. We intend to capitalize on our global growth momentum in India, the U.S., Latin America, East Asia, broader Europe, Australia, Canada and Brazil.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Strategic Acquisitions</w:t>
            </w:r>
            <w:r>
              <w:rPr>
                <w:rFonts w:ascii="Times New Roman" w:hAnsi="Times New Roman"/>
                <w:sz w:val="20"/>
              </w:rPr>
              <w:t xml:space="preserve">.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 </w:t>
            </w:r>
          </w:p>
        </w:tc>
      </w:tr>
    </w:tbl>
    <w:p>
      <w:pPr>
        <w:pStyle w:val="TextBody"/>
        <w:spacing w:before="360" w:after="0"/>
        <w:jc w:val="left"/>
        <w:rPr>
          <w:rFonts w:ascii="Times New Roman" w:hAnsi="Times New Roman"/>
          <w:b/>
          <w:sz w:val="20"/>
        </w:rPr>
      </w:pPr>
      <w:r>
        <w:rPr>
          <w:rFonts w:ascii="Times New Roman" w:hAnsi="Times New Roman"/>
          <w:b/>
          <w:sz w:val="20"/>
        </w:rPr>
        <w:t xml:space="preserve">The Rezolve Platform </w:t>
      </w:r>
    </w:p>
    <w:p>
      <w:pPr>
        <w:pStyle w:val="TextBody"/>
        <w:spacing w:before="120" w:after="0"/>
        <w:jc w:val="left"/>
        <w:rPr>
          <w:rFonts w:ascii="Times New Roman" w:hAnsi="Times New Roman"/>
          <w:sz w:val="20"/>
        </w:rPr>
      </w:pPr>
      <w:r>
        <w:rPr>
          <w:rFonts w:ascii="Times New Roman" w:hAnsi="Times New Roman"/>
          <w:sz w:val="20"/>
        </w:rPr>
        <w:t xml:space="preserve">The cloud-based Rezolve platform integrates the features and functionalities that merchants need to seamlessly transact across different Channels. Capabilities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Customer Loyalty Programs.</w:t>
            </w:r>
            <w:r>
              <w:rPr>
                <w:rFonts w:ascii="Times New Roman" w:hAnsi="Times New Roman"/>
                <w:sz w:val="20"/>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Direct Customer Insights</w:t>
            </w:r>
            <w:r>
              <w:rPr>
                <w:rFonts w:ascii="Times New Roman" w:hAnsi="Times New Roman"/>
                <w:sz w:val="20"/>
              </w:rPr>
              <w:t xml:space="preserve">.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Mobile Vouchering.</w:t>
            </w:r>
            <w:r>
              <w:rPr>
                <w:rFonts w:ascii="Times New Roman" w:hAnsi="Times New Roman"/>
                <w:sz w:val="20"/>
              </w:rPr>
              <w:t xml:space="preserve"> We expect to enable merchants to be more flexible in their offerings to consumers. With the Rezolve platform integrated into merchants apps, consumers are able to scan products and buy them through the app, eliminating the need to wait online in retail stores.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Retailer Point-of-Sale / Back office.</w:t>
            </w:r>
            <w:r>
              <w:rPr>
                <w:rFonts w:ascii="Times New Roman" w:hAnsi="Times New Roman"/>
                <w:sz w:val="20"/>
              </w:rPr>
              <w:t xml:space="preserve"> We expect to provide merchants with a self-service portal, featuring an accessible dashboard to manage shoppable campaigns and to track consumers shopping trends.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Mobile Payments.</w:t>
            </w:r>
            <w:r>
              <w:rPr>
                <w:rFonts w:ascii="Times New Roman" w:hAnsi="Times New Roman"/>
                <w:sz w:val="20"/>
              </w:rPr>
              <w:t xml:space="preserve"> We expect to enhance merchants platforms by making the checkout process frictionless. Consumers only need a mobile device to use the Rezolve platform to instantly buy products that are featured in advertisements or scan and buy products in retail stores.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Ability to Pay Online or Offline.</w:t>
            </w:r>
            <w:r>
              <w:rPr>
                <w:rFonts w:ascii="Times New Roman" w:hAnsi="Times New Roman"/>
                <w:sz w:val="20"/>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 </w:t>
            </w:r>
          </w:p>
        </w:tc>
      </w:tr>
    </w:tbl>
    <w:p>
      <w:pPr>
        <w:pStyle w:val="TextBody"/>
        <w:spacing w:before="360" w:after="0"/>
        <w:jc w:val="left"/>
        <w:rPr>
          <w:rFonts w:ascii="Times New Roman" w:hAnsi="Times New Roman"/>
          <w:b/>
          <w:i/>
          <w:sz w:val="20"/>
        </w:rPr>
      </w:pPr>
      <w:r>
        <w:rPr>
          <w:rFonts w:ascii="Times New Roman" w:hAnsi="Times New Roman"/>
          <w:b/>
          <w:i/>
          <w:sz w:val="20"/>
        </w:rPr>
        <w:t xml:space="preserve">Engagement Opportunities </w:t>
      </w:r>
    </w:p>
    <w:p>
      <w:pPr>
        <w:pStyle w:val="TextBody"/>
        <w:spacing w:before="120" w:after="0"/>
        <w:jc w:val="left"/>
        <w:rPr>
          <w:rFonts w:ascii="Times New Roman" w:hAnsi="Times New Roman"/>
          <w:sz w:val="20"/>
        </w:rPr>
      </w:pPr>
      <w:r>
        <w:rPr>
          <w:rFonts w:ascii="Times New Roman" w:hAnsi="Times New Roman"/>
          <w:sz w:val="20"/>
        </w:rPr>
        <w:t xml:space="preserve">We expect our platform to integrate with and address the following engagement opportunities: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GeoZones.</w:t>
            </w:r>
            <w:r>
              <w:rPr>
                <w:rFonts w:ascii="Times New Roman" w:hAnsi="Times New Roman"/>
                <w:sz w:val="20"/>
              </w:rPr>
              <w:t xml:space="preserve"> Merchants can interact with consumers based on proximity to certain locations.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Media with Audio.</w:t>
            </w:r>
            <w:r>
              <w:rPr>
                <w:rFonts w:ascii="Times New Roman" w:hAnsi="Times New Roman"/>
                <w:sz w:val="20"/>
              </w:rPr>
              <w:t xml:space="preserve"> Merchants can integrate watermarks in broadcast and streaming media.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Visual Events. </w:t>
            </w:r>
            <w:r>
              <w:rPr>
                <w:rFonts w:ascii="Times New Roman" w:hAnsi="Times New Roman"/>
                <w:sz w:val="20"/>
              </w:rPr>
              <w:t xml:space="preserve">Merchants can integrate watermarks in posters, advertising, product labels and merchandise.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Beacons</w:t>
            </w:r>
            <w:r>
              <w:rPr>
                <w:rFonts w:ascii="Times New Roman" w:hAnsi="Times New Roman"/>
                <w:sz w:val="20"/>
              </w:rPr>
              <w:t xml:space="preserve">. Merchants can establish near-proximity beacons which allow near-field proximity engagements (3 inches to 36 inches plus) in both indoor and outdoor locations.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SmartLinks. </w:t>
            </w:r>
            <w:r>
              <w:rPr>
                <w:rFonts w:ascii="Times New Roman" w:hAnsi="Times New Roman"/>
                <w:sz w:val="20"/>
              </w:rPr>
              <w:t xml:space="preserve">Merchants can embed URL links into social media posts and email communications (amongst others) which trigger Instant Checkout and Instant Act engagements.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SmartCodes. </w:t>
            </w:r>
            <w:r>
              <w:rPr>
                <w:rFonts w:ascii="Times New Roman" w:hAnsi="Times New Roman"/>
                <w:sz w:val="20"/>
              </w:rPr>
              <w:t xml:space="preserve">Merchants can establish QR codes integrated with their media with a richer engagement experience for the consumer.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Instant Checkout. </w:t>
            </w:r>
            <w:r>
              <w:rPr>
                <w:rFonts w:ascii="Times New Roman" w:hAnsi="Times New Roman"/>
                <w:sz w:val="20"/>
              </w:rPr>
              <w:t xml:space="preserve">Merchants can embed Buy Now and Act Now buttons on their websites and advertisements for instant engagement and conversion. </w:t>
            </w:r>
          </w:p>
        </w:tc>
      </w:tr>
    </w:tbl>
    <w:p>
      <w:pPr>
        <w:pStyle w:val="TextBody"/>
        <w:spacing w:before="360" w:after="0"/>
        <w:jc w:val="left"/>
        <w:rPr>
          <w:rFonts w:ascii="Times New Roman" w:hAnsi="Times New Roman"/>
          <w:b/>
          <w:i/>
          <w:sz w:val="20"/>
        </w:rPr>
      </w:pPr>
      <w:r>
        <w:rPr>
          <w:rFonts w:ascii="Times New Roman" w:hAnsi="Times New Roman"/>
          <w:b/>
          <w:i/>
          <w:sz w:val="20"/>
        </w:rPr>
        <w:t xml:space="preserve">Transaction Events </w:t>
      </w:r>
    </w:p>
    <w:p>
      <w:pPr>
        <w:pStyle w:val="TextBody"/>
        <w:spacing w:before="120" w:after="0"/>
        <w:jc w:val="left"/>
        <w:rPr>
          <w:rFonts w:ascii="Times New Roman" w:hAnsi="Times New Roman"/>
          <w:sz w:val="20"/>
        </w:rPr>
      </w:pPr>
      <w:r>
        <w:rPr>
          <w:rFonts w:ascii="Times New Roman" w:hAnsi="Times New Roman"/>
          <w:sz w:val="20"/>
        </w:rPr>
        <w:t xml:space="preserve">Using the Rezolve dashboard, we expect that merchants can link a trigger from one of the above Channel opportunities with the following types of events or actions as examples of use cases: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Fast Checkout: </w:t>
            </w:r>
            <w:r>
              <w:rPr>
                <w:rFonts w:ascii="Times New Roman" w:hAnsi="Times New Roman"/>
                <w:sz w:val="20"/>
              </w:rPr>
              <w:t xml:space="preserve">Consumers can scan products, bag and exit the store without waiting in line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Expanding Walls: </w:t>
            </w:r>
            <w:r>
              <w:rPr>
                <w:rFonts w:ascii="Times New Roman" w:hAnsi="Times New Roman"/>
                <w:sz w:val="20"/>
              </w:rPr>
              <w:t xml:space="preserve">Consumers can view a broader selection of products than available in a store (e.g., furniture and clothing) that can be sold from a display wall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Stay at Table or Reserve: </w:t>
            </w:r>
            <w:r>
              <w:rPr>
                <w:rFonts w:ascii="Times New Roman" w:hAnsi="Times New Roman"/>
                <w:sz w:val="20"/>
              </w:rPr>
              <w:t xml:space="preserve">Consumers can scan advertisement or menu, order items, pay and either pick up at counter or have delivered to table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Buy and Fly:</w:t>
            </w:r>
            <w:r>
              <w:rPr>
                <w:rFonts w:ascii="Times New Roman" w:hAnsi="Times New Roman"/>
                <w:sz w:val="20"/>
              </w:rPr>
              <w:t xml:space="preserve"> Consumers can pick up items, scan, buy, bag, leave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e-Ticketing and Access Control: </w:t>
            </w:r>
            <w:r>
              <w:rPr>
                <w:rFonts w:ascii="Times New Roman" w:hAnsi="Times New Roman"/>
                <w:sz w:val="20"/>
              </w:rPr>
              <w:t xml:space="preserve">Tickets are electronically delivered to their handset to enable secure and streamlined access 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Pre-Order Queue-Busting: </w:t>
            </w:r>
            <w:r>
              <w:rPr>
                <w:rFonts w:ascii="Times New Roman" w:hAnsi="Times New Roman"/>
                <w:sz w:val="20"/>
              </w:rPr>
              <w:t xml:space="preserve">Enable supporters to pre-order food, beverage and merchandise from their seat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Location sensitive:</w:t>
            </w:r>
            <w:r>
              <w:rPr>
                <w:rFonts w:ascii="Times New Roman" w:hAnsi="Times New Roman"/>
                <w:sz w:val="20"/>
              </w:rPr>
              <w:t xml:space="preserve"> Offers and promotions nearby, navigate to the location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Instant engagement: </w:t>
            </w:r>
            <w:r>
              <w:rPr>
                <w:rFonts w:ascii="Times New Roman" w:hAnsi="Times New Roman"/>
                <w:sz w:val="20"/>
              </w:rPr>
              <w:t xml:space="preserve">Buy or get more information directly from any form of advertising or directly from posters in shop windows </w:t>
            </w:r>
          </w:p>
        </w:tc>
      </w:tr>
    </w:tbl>
    <w:p>
      <w:pPr>
        <w:pStyle w:val="TextBody"/>
        <w:spacing w:before="360" w:after="0"/>
        <w:jc w:val="left"/>
        <w:rPr>
          <w:rFonts w:ascii="Times New Roman" w:hAnsi="Times New Roman"/>
          <w:b/>
          <w:sz w:val="20"/>
        </w:rPr>
      </w:pPr>
      <w:r>
        <w:rPr>
          <w:rFonts w:ascii="Times New Roman" w:hAnsi="Times New Roman"/>
          <w:b/>
          <w:sz w:val="20"/>
        </w:rPr>
        <w:t xml:space="preserve">Technology </w:t>
      </w:r>
    </w:p>
    <w:p>
      <w:pPr>
        <w:pStyle w:val="TextBody"/>
        <w:spacing w:before="120" w:after="0"/>
        <w:jc w:val="left"/>
        <w:rPr>
          <w:rFonts w:ascii="Times New Roman" w:hAnsi="Times New Roman"/>
          <w:sz w:val="20"/>
        </w:rPr>
      </w:pPr>
      <w:r>
        <w:rPr>
          <w:rFonts w:ascii="Times New Roman" w:hAnsi="Times New Roman"/>
          <w:sz w:val="20"/>
        </w:rPr>
        <w:t xml:space="preserve">The Rezolve platform is a multi-tenant cloud-based system that is engineered for high scalability, reliability and performance. </w:t>
      </w:r>
    </w:p>
    <w:p>
      <w:pPr>
        <w:pStyle w:val="TextBody"/>
        <w:spacing w:before="240" w:after="0"/>
        <w:jc w:val="left"/>
        <w:rPr>
          <w:rFonts w:ascii="Times New Roman" w:hAnsi="Times New Roman"/>
          <w:sz w:val="20"/>
        </w:rPr>
      </w:pPr>
      <w:r>
        <w:rPr>
          <w:rFonts w:ascii="Times New Roman" w:hAnsi="Times New Roman"/>
          <w:sz w:val="20"/>
        </w:rPr>
        <w:t xml:space="preserve">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Security.</w:t>
            </w:r>
            <w:r>
              <w:rPr>
                <w:rFonts w:ascii="Times New Roman" w:hAnsi="Times New Roman"/>
                <w:sz w:val="20"/>
              </w:rPr>
              <w:t xml:space="preserve">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Anti-counterfeiting Solution</w:t>
            </w:r>
            <w:r>
              <w:rPr>
                <w:rFonts w:ascii="Times New Roman" w:hAnsi="Times New Roman"/>
                <w:sz w:val="20"/>
              </w:rPr>
              <w:t xml:space="preserve">.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Artificial Intelligence. </w:t>
            </w:r>
            <w:r>
              <w:rPr>
                <w:rFonts w:ascii="Times New Roman" w:hAnsi="Times New Roman"/>
                <w:sz w:val="20"/>
              </w:rPr>
              <w:t xml:space="preserve">Rezolve utilizes artificial intelligence (AI) to understand user behavior and personalize engagements and promotions on an individual basis. Our AI-driven approach enables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5"/>
        <w:gridCol w:w="9594"/>
      </w:tblGrid>
      <w:tr>
        <w:trPr/>
        <w:tc>
          <w:tcPr>
            <w:tcW w:w="945" w:type="dxa"/>
            <w:tcBorders/>
            <w:shd w:fill="auto" w:val="clear"/>
            <w:vAlign w:val="center"/>
          </w:tcPr>
          <w:p>
            <w:pPr>
              <w:pStyle w:val="TableContents"/>
              <w:spacing w:before="0" w:after="283"/>
              <w:rPr/>
            </w:pPr>
            <w:r>
              <w:rPr/>
              <w:t> </w:t>
            </w:r>
          </w:p>
        </w:tc>
        <w:tc>
          <w:tcPr>
            <w:tcW w:w="9594"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merchants to deliver targeted and relevant experiences to users, leading to enhanced revenue and growth opportunities. At the core of Rezolves AI capabilities is a proprietary machine learning algorithm that processes vast amounts of data collected from user interactions. By analyzing user behavior and preferences, our algorithm identifies patterns and trends that inform the creation of personalized experiences for each user. This understanding of user behavior allows merchants to deliver marketing campaigns, content, offers, and promotions that cater specifically to individual users, leading to higher engagement and conversion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Scalability. </w:t>
            </w:r>
            <w:r>
              <w:rPr>
                <w:rFonts w:ascii="Times New Roman" w:hAnsi="Times New Roman"/>
                <w:sz w:val="20"/>
              </w:rPr>
              <w:t xml:space="preserve">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Resilience.</w:t>
            </w:r>
            <w:r>
              <w:rPr>
                <w:rFonts w:ascii="Times New Roman" w:hAnsi="Times New Roman"/>
                <w:sz w:val="20"/>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Embedded Connectivity.</w:t>
            </w:r>
            <w:r>
              <w:rPr>
                <w:rFonts w:ascii="Times New Roman" w:hAnsi="Times New Roman"/>
                <w:sz w:val="20"/>
              </w:rPr>
              <w:t xml:space="preserve"> Rezolves mobile SDK provides a quick and easy solution to embed and enable Rezolve platform functionality in any Android and iOS app. The accompanying SDK sample app and documents allow third-party developers to quickly leverage the power of our solution.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Central Management. </w:t>
            </w:r>
            <w:r>
              <w:rPr>
                <w:rFonts w:ascii="Times New Roman" w:hAnsi="Times New Roman"/>
                <w:sz w:val="20"/>
              </w:rPr>
              <w:t xml:space="preserve">Rezolve maintains a central management and configuration tool that allows it to quickly setup partners, merchants, payments, apps and index content from its merchants so its available via the SDK.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Analytics</w:t>
            </w:r>
            <w:r>
              <w:rPr>
                <w:rFonts w:ascii="Times New Roman" w:hAnsi="Times New Roman"/>
                <w:sz w:val="20"/>
              </w:rPr>
              <w:t> </w:t>
            </w:r>
            <w:r>
              <w:rPr>
                <w:rFonts w:ascii="Times New Roman" w:hAnsi="Times New Roman"/>
                <w:i/>
                <w:sz w:val="20"/>
              </w:rPr>
              <w:t xml:space="preserve">&amp; Reporting. </w:t>
            </w:r>
            <w:r>
              <w:rPr>
                <w:rFonts w:ascii="Times New Roman" w:hAnsi="Times New Roman"/>
                <w:sz w:val="20"/>
              </w:rPr>
              <w:t xml:space="preserve">Rezolve SDK and Backend Data Ingestor Service gathers metrics on usage, transactions, interactions and feeds it to the Analytics Engine to churn out smart Dashboards and Reports.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Snap-on Integrations.</w:t>
            </w:r>
            <w:r>
              <w:rPr>
                <w:rFonts w:ascii="Times New Roman" w:hAnsi="Times New Roman"/>
                <w:sz w:val="20"/>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Mass Onboarding.</w:t>
            </w:r>
            <w:r>
              <w:rPr>
                <w:rFonts w:ascii="Times New Roman" w:hAnsi="Times New Roman"/>
                <w:sz w:val="20"/>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6"/>
        <w:gridCol w:w="9591"/>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Smart Triggers.</w:t>
            </w:r>
            <w:r>
              <w:rPr>
                <w:rFonts w:ascii="Times New Roman" w:hAnsi="Times New Roman"/>
                <w:sz w:val="20"/>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Developer Friendly.</w:t>
            </w:r>
            <w:r>
              <w:rPr>
                <w:rFonts w:ascii="Times New Roman" w:hAnsi="Times New Roman"/>
                <w:sz w:val="20"/>
              </w:rPr>
              <w:t xml:space="preserve"> Rezolves REST API provides another integration point for any partner or client not using native mobile apps. We can easily support progressive web applications, hybrid applications, web-based services and other applications. </w:t>
            </w:r>
          </w:p>
        </w:tc>
      </w:tr>
    </w:tbl>
    <w:p>
      <w:pPr>
        <w:pStyle w:val="TextBody"/>
        <w:spacing w:before="360" w:after="0"/>
        <w:jc w:val="left"/>
        <w:rPr>
          <w:rFonts w:ascii="Times New Roman" w:hAnsi="Times New Roman"/>
          <w:b/>
          <w:sz w:val="20"/>
        </w:rPr>
      </w:pPr>
      <w:r>
        <w:rPr>
          <w:rFonts w:ascii="Times New Roman" w:hAnsi="Times New Roman"/>
          <w:b/>
          <w:sz w:val="20"/>
        </w:rPr>
        <w:t xml:space="preserve">Our Channels </w:t>
      </w:r>
    </w:p>
    <w:p>
      <w:pPr>
        <w:pStyle w:val="TextBody"/>
        <w:spacing w:before="120" w:after="0"/>
        <w:jc w:val="left"/>
        <w:rPr>
          <w:rFonts w:ascii="Times New Roman" w:hAnsi="Times New Roman"/>
          <w:sz w:val="20"/>
        </w:rPr>
      </w:pPr>
      <w:r>
        <w:rPr>
          <w:rFonts w:ascii="Times New Roman" w:hAnsi="Times New Roman"/>
          <w:sz w:val="20"/>
        </w:rPr>
        <w:t xml:space="preserve">We have preliminarily established relationships with Channels such as Grupo Carso (Latin America), ACI Worldwide (U.S. and Europe), Concardis (Germany), MobiKwik (India), and CompuTop (Germany),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 </w:t>
      </w:r>
    </w:p>
    <w:p>
      <w:pPr>
        <w:pStyle w:val="TextBody"/>
        <w:spacing w:before="360" w:after="0"/>
        <w:jc w:val="left"/>
        <w:rPr>
          <w:rFonts w:ascii="Times New Roman" w:hAnsi="Times New Roman"/>
          <w:b/>
          <w:sz w:val="20"/>
        </w:rPr>
      </w:pPr>
      <w:r>
        <w:rPr>
          <w:rFonts w:ascii="Times New Roman" w:hAnsi="Times New Roman"/>
          <w:b/>
          <w:sz w:val="20"/>
        </w:rPr>
        <w:t xml:space="preserve">Competition </w:t>
      </w:r>
    </w:p>
    <w:p>
      <w:pPr>
        <w:pStyle w:val="TextBody"/>
        <w:spacing w:before="120" w:after="0"/>
        <w:jc w:val="left"/>
        <w:rPr>
          <w:rFonts w:ascii="Times New Roman" w:hAnsi="Times New Roman"/>
          <w:sz w:val="20"/>
        </w:rPr>
      </w:pPr>
      <w:r>
        <w:rPr>
          <w:rFonts w:ascii="Times New Roman" w:hAnsi="Times New Roman"/>
          <w:sz w:val="20"/>
        </w:rPr>
        <w:t xml:space="preserve">Our market is transforming, competitive and highly fragmented, and we expect competition to increase in the future. We believe the principal competitive factors in our market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simplicity and ease of 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integration of multiple Channels;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breadth and depth of functionality;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pace of innovation;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ability to scale;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security and reliability;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support for brand development;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brand recognition and reputation. </w:t>
            </w:r>
          </w:p>
        </w:tc>
      </w:tr>
    </w:tbl>
    <w:p>
      <w:pPr>
        <w:pStyle w:val="TextBody"/>
        <w:spacing w:before="240" w:after="0"/>
        <w:jc w:val="left"/>
        <w:rPr>
          <w:rFonts w:ascii="Times New Roman" w:hAnsi="Times New Roman"/>
          <w:sz w:val="20"/>
        </w:rPr>
      </w:pPr>
      <w:r>
        <w:rPr>
          <w:rFonts w:ascii="Times New Roman" w:hAnsi="Times New Roman"/>
          <w:sz w:val="20"/>
        </w:rPr>
        <w:t xml:space="preserve">With respect to each of these factors, we believe that we provide a number of favorable offerings. </w:t>
      </w:r>
    </w:p>
    <w:p>
      <w:pPr>
        <w:pStyle w:val="TextBody"/>
        <w:spacing w:before="240" w:after="0"/>
        <w:jc w:val="left"/>
        <w:rPr>
          <w:rFonts w:ascii="Times New Roman" w:hAnsi="Times New Roman"/>
          <w:sz w:val="20"/>
        </w:rPr>
      </w:pPr>
      <w:r>
        <w:rPr>
          <w:rFonts w:ascii="Times New Roman" w:hAnsi="Times New Roman"/>
          <w:sz w:val="20"/>
        </w:rPr>
        <w:t xml:space="preserve">We believe no individual competitor offers an integrated, cloud-based commerce platform with comparable functionality to ours. However, certain competitors such as Shopify or BigCommerce or individual merchants with access to large numbers of consumers, may elect to piece together technology from other companies that overlaps with certain functions and features that we provide. </w:t>
      </w:r>
    </w:p>
    <w:p>
      <w:pPr>
        <w:pStyle w:val="TextBody"/>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 </w:t>
      </w:r>
    </w:p>
    <w:p>
      <w:pPr>
        <w:pStyle w:val="TextBody"/>
        <w:spacing w:before="240" w:after="0"/>
        <w:jc w:val="left"/>
        <w:rPr>
          <w:rFonts w:ascii="Times New Roman" w:hAnsi="Times New Roman"/>
          <w:sz w:val="20"/>
        </w:rPr>
      </w:pPr>
      <w:r>
        <w:rPr>
          <w:rFonts w:ascii="Times New Roman" w:hAnsi="Times New Roman"/>
          <w:sz w:val="20"/>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hAnsi="Times New Roman"/>
          <w:i/>
          <w:sz w:val="20"/>
        </w:rPr>
        <w:t>Risk FactorsRisks Related to our Business and Industry</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Employees </w:t>
      </w:r>
    </w:p>
    <w:p>
      <w:pPr>
        <w:pStyle w:val="TextBody"/>
        <w:spacing w:before="120" w:after="0"/>
        <w:jc w:val="left"/>
        <w:rPr>
          <w:rFonts w:ascii="Times New Roman" w:hAnsi="Times New Roman"/>
          <w:sz w:val="20"/>
        </w:rPr>
      </w:pPr>
      <w:r>
        <w:rPr>
          <w:rFonts w:ascii="Times New Roman" w:hAnsi="Times New Roman"/>
          <w:sz w:val="20"/>
        </w:rPr>
        <w:t xml:space="preserve">As of December 31, 2022, we had 70 employees and 90 contractors. None of our employees is represented by a labor organization or is a party to a collective bargaining arrangement. We consider our relationship with our employees to be excellent.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Facilities </w:t>
      </w:r>
    </w:p>
    <w:p>
      <w:pPr>
        <w:pStyle w:val="TextBody"/>
        <w:spacing w:before="120" w:after="0"/>
        <w:jc w:val="left"/>
        <w:rPr>
          <w:rFonts w:ascii="Times New Roman" w:hAnsi="Times New Roman"/>
          <w:sz w:val="20"/>
        </w:rPr>
      </w:pPr>
      <w:r>
        <w:rPr>
          <w:rFonts w:ascii="Times New Roman" w:hAnsi="Times New Roman"/>
          <w:sz w:val="20"/>
        </w:rPr>
        <w:t xml:space="preserve">We are headquartered in London, England, United Kingdom. We do not own any real property. All of our employees based in the United Kingdom work remotely. </w:t>
      </w:r>
    </w:p>
    <w:p>
      <w:pPr>
        <w:pStyle w:val="TextBody"/>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spacing w:before="120" w:after="0"/>
        <w:jc w:val="left"/>
        <w:rPr>
          <w:rFonts w:ascii="Times New Roman" w:hAnsi="Times New Roman"/>
          <w:sz w:val="20"/>
        </w:rPr>
      </w:pPr>
      <w:r>
        <w:rPr>
          <w:rFonts w:ascii="Times New Roman" w:hAnsi="Times New Roman"/>
          <w:sz w:val="20"/>
        </w:rPr>
        <w:t xml:space="preserve">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 </w:t>
      </w:r>
    </w:p>
    <w:p>
      <w:pPr>
        <w:pStyle w:val="TextBody"/>
        <w:spacing w:before="240" w:after="0"/>
        <w:jc w:val="left"/>
        <w:rPr>
          <w:rFonts w:ascii="Times New Roman" w:hAnsi="Times New Roman"/>
          <w:sz w:val="20"/>
        </w:rPr>
      </w:pPr>
      <w:r>
        <w:rPr>
          <w:rFonts w:ascii="Times New Roman" w:hAnsi="Times New Roman"/>
          <w:sz w:val="20"/>
        </w:rPr>
        <w:t xml:space="preserve">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 </w:t>
      </w:r>
    </w:p>
    <w:p>
      <w:pPr>
        <w:pStyle w:val="TextBody"/>
        <w:spacing w:before="240" w:after="0"/>
        <w:jc w:val="left"/>
        <w:rPr>
          <w:rFonts w:ascii="Times New Roman" w:hAnsi="Times New Roman"/>
          <w:sz w:val="20"/>
        </w:rPr>
      </w:pPr>
      <w:r>
        <w:rPr>
          <w:rFonts w:ascii="Times New Roman" w:hAnsi="Times New Roman"/>
          <w:sz w:val="20"/>
        </w:rPr>
        <w:t xml:space="preserve">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 </w:t>
      </w:r>
    </w:p>
    <w:p>
      <w:pPr>
        <w:pStyle w:val="TextBody"/>
        <w:spacing w:before="240" w:after="0"/>
        <w:jc w:val="left"/>
        <w:rPr>
          <w:rFonts w:ascii="Times New Roman" w:hAnsi="Times New Roman"/>
          <w:sz w:val="20"/>
        </w:rPr>
      </w:pPr>
      <w:r>
        <w:rPr>
          <w:rFonts w:ascii="Times New Roman" w:hAnsi="Times New Roman"/>
          <w:sz w:val="20"/>
        </w:rPr>
        <w:t xml:space="preserve">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 </w:t>
      </w:r>
    </w:p>
    <w:p>
      <w:pPr>
        <w:pStyle w:val="TextBody"/>
        <w:spacing w:before="360" w:after="0"/>
        <w:jc w:val="left"/>
        <w:rPr>
          <w:rFonts w:ascii="Times New Roman" w:hAnsi="Times New Roman"/>
          <w:b/>
          <w:sz w:val="20"/>
        </w:rPr>
      </w:pPr>
      <w:r>
        <w:rPr>
          <w:rFonts w:ascii="Times New Roman" w:hAnsi="Times New Roman"/>
          <w:b/>
          <w:sz w:val="20"/>
        </w:rPr>
        <w:t xml:space="preserve">Legal Proceedings </w:t>
      </w:r>
    </w:p>
    <w:p>
      <w:pPr>
        <w:pStyle w:val="TextBody"/>
        <w:spacing w:before="120" w:after="0"/>
        <w:jc w:val="left"/>
        <w:rPr>
          <w:rFonts w:ascii="Times New Roman" w:hAnsi="Times New Roman"/>
          <w:sz w:val="20"/>
        </w:rPr>
      </w:pPr>
      <w:r>
        <w:rPr>
          <w:rFonts w:ascii="Times New Roman" w:hAnsi="Times New Roman"/>
          <w:sz w:val="20"/>
        </w:rPr>
        <w:t xml:space="preserve">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x309194_23"/>
      <w:bookmarkEnd w:id="25"/>
      <w:r>
        <w:rPr>
          <w:rFonts w:ascii="Times New Roman" w:hAnsi="Times New Roman"/>
          <w:b/>
          <w:sz w:val="20"/>
        </w:rPr>
        <w:t xml:space="preserve">REZOLVES MANAGEMENTS DISCUSSION AND ANALYSIS OF </w:t>
      </w:r>
    </w:p>
    <w:p>
      <w:pPr>
        <w:pStyle w:val="TextBody"/>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spacing w:before="240" w:after="0"/>
        <w:jc w:val="left"/>
        <w:rPr>
          <w:rFonts w:ascii="Times New Roman" w:hAnsi="Times New Roman"/>
          <w:i/>
          <w:sz w:val="20"/>
        </w:rPr>
      </w:pPr>
      <w:r>
        <w:rPr>
          <w:rFonts w:ascii="Times New Roman" w:hAnsi="Times New Roman"/>
          <w:i/>
          <w:sz w:val="20"/>
        </w:rPr>
        <w:t xml:space="preserve">In this section, we, us, our and Rezolve refer to Rezolve AI Limited and its subsidiaries prior to the consummation of the Business Combination and to Rezolve PLC and its subsidiaries following the consummation of the Business Combination. </w:t>
      </w:r>
    </w:p>
    <w:p>
      <w:pPr>
        <w:pStyle w:val="TextBody"/>
        <w:spacing w:before="240" w:after="0"/>
        <w:jc w:val="left"/>
        <w:rPr>
          <w:rFonts w:ascii="Times New Roman" w:hAnsi="Times New Roman"/>
          <w:sz w:val="20"/>
        </w:rPr>
      </w:pPr>
      <w:r>
        <w:rPr>
          <w:rFonts w:ascii="Times New Roman" w:hAnsi="Times New Roman"/>
          <w:i/>
          <w:sz w:val="20"/>
        </w:rPr>
        <w:t>The following discussion should be read in conjunction with the Business of Rezolve</w:t>
      </w:r>
      <w:r>
        <w:rPr>
          <w:rFonts w:ascii="Times New Roman" w:hAnsi="Times New Roman"/>
          <w:sz w:val="20"/>
        </w:rPr>
        <w:t>,</w:t>
      </w:r>
      <w:r>
        <w:rPr>
          <w:rFonts w:ascii="Times New Roman" w:hAnsi="Times New Roman"/>
          <w:i/>
          <w:sz w:val="20"/>
        </w:rPr>
        <w:t xml:space="preserve">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provide a mobile commerce and engagement platform, underpinned by machine learning, that enables retailers, brands and manufacturers to engage with consumers in a broad range of locations and settings via their mobile devices and personal computers. 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 </w:t>
      </w:r>
    </w:p>
    <w:p>
      <w:pPr>
        <w:pStyle w:val="TextBody"/>
        <w:spacing w:before="240" w:after="0"/>
        <w:jc w:val="left"/>
        <w:rPr>
          <w:rFonts w:ascii="Times New Roman" w:hAnsi="Times New Roman"/>
          <w:sz w:val="20"/>
        </w:rPr>
      </w:pPr>
      <w:r>
        <w:rPr>
          <w:rFonts w:ascii="Times New Roman" w:hAnsi="Times New Roman"/>
          <w:sz w:val="20"/>
        </w:rPr>
        <w:t xml:space="preserve">Rezolve was incorporated in England and Wales as a private limited company on January 5, 2023 under the name Rezolve Group Limited with company number 14573691 and changed its name on June 5, 2023 to Rezolve AI Limited. Rezolve was re-registered as a public limited 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w:t>
      </w:r>
    </w:p>
    <w:p>
      <w:pPr>
        <w:pStyle w:val="TextBody"/>
        <w:spacing w:before="240" w:after="0"/>
        <w:jc w:val="left"/>
        <w:rPr>
          <w:rFonts w:ascii="Times New Roman" w:hAnsi="Times New Roman"/>
          <w:sz w:val="20"/>
        </w:rPr>
      </w:pPr>
      <w:r>
        <w:rPr>
          <w:rFonts w:ascii="Times New Roman" w:hAnsi="Times New Roman"/>
          <w:sz w:val="20"/>
        </w:rPr>
        <w:t xml:space="preserve">We currently derive revenues through the following offerings: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sale of radio advertisements in our German subsidiary Any Lifestyle Marketing GmbH (ANY) to a single customer, Radio Group GmbH and its related companies, collectively referred to as the Radio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 fees based on sales of ticketing for La Liga football events in Spain. </w:t>
            </w:r>
          </w:p>
        </w:tc>
      </w:tr>
    </w:tbl>
    <w:p>
      <w:pPr>
        <w:pStyle w:val="TextBody"/>
        <w:spacing w:before="360" w:after="0"/>
        <w:jc w:val="left"/>
        <w:rPr>
          <w:rFonts w:ascii="Times New Roman" w:hAnsi="Times New Roman"/>
          <w:b/>
          <w:sz w:val="20"/>
        </w:rPr>
      </w:pPr>
      <w:r>
        <w:rPr>
          <w:rFonts w:ascii="Times New Roman" w:hAnsi="Times New Roman"/>
          <w:b/>
          <w:sz w:val="20"/>
        </w:rPr>
        <w:t xml:space="preserve">Acquisitions </w:t>
      </w:r>
    </w:p>
    <w:p>
      <w:pPr>
        <w:pStyle w:val="TextBody"/>
        <w:spacing w:before="120" w:after="0"/>
        <w:jc w:val="left"/>
        <w:rPr>
          <w:rFonts w:ascii="Times New Roman" w:hAnsi="Times New Roman"/>
          <w:b/>
          <w:i/>
          <w:sz w:val="20"/>
        </w:rPr>
      </w:pPr>
      <w:r>
        <w:rPr>
          <w:rFonts w:ascii="Times New Roman" w:hAnsi="Times New Roman"/>
          <w:b/>
          <w:i/>
          <w:sz w:val="20"/>
        </w:rPr>
        <w:t xml:space="preserve">Any Lifestyle Marketing GmbH </w:t>
      </w:r>
    </w:p>
    <w:p>
      <w:pPr>
        <w:pStyle w:val="TextBody"/>
        <w:spacing w:before="120" w:after="0"/>
        <w:jc w:val="left"/>
        <w:rPr>
          <w:rFonts w:ascii="Times New Roman" w:hAnsi="Times New Roman"/>
          <w:sz w:val="20"/>
        </w:rPr>
      </w:pPr>
      <w:r>
        <w:rPr>
          <w:rFonts w:ascii="Times New Roman" w:hAnsi="Times New Roman"/>
          <w:sz w:val="20"/>
        </w:rPr>
        <w:t xml:space="preserve">On August 30, 2021, the Company acquired Any Lifestyle Marketing GmbH (ANY) from its shareholders including the Radio Group GmbH. ANY was incorporated on August 13, 2021. ANY was established to purchase the rights to sell services of the companies owned by Radio Group GmbH (Radio Group) such as airtime advertisements. ANYs business from incorporation is Radio Groups predecessor marketing business prior to being carved-out and inserted into the newly formed company,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acquired ANY by agreeing to issue 14,427,185 ordinary shares valued at $1.03 per share (the consideration shares). The shares were issued on February 11, 2022. Subject to completion having occurred then on August 30, 2022 (the Settlement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then publicly listed with a valuation of $1 billion or more, Rezolve was to pay $10 million in cash to the sellers of ANY and 9,708,738 of the consideration shares were to be reclassified as deferred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then publicly listed with a valuation of less than $1 billion, Rezolve was to pay $14.86 million in cash to the Sellers of ANY and all consideration shares were to be reclassified as deferred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not then publicly listed and had a valuation of $1 billion or more, Rezolve was to pay $9 million in cash to the sellers of ANY and 8,737,864 of the consideration shares were to be reclassified as deferred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not then publicly listed and had a valuation of less than $1 billion, Rezolve was to pay $14.86 million in cash to the sellers of ANY and all of the consideration shares were to be reclassified as deferred shares. </w:t>
            </w:r>
          </w:p>
        </w:tc>
      </w:tr>
    </w:tbl>
    <w:p>
      <w:pPr>
        <w:pStyle w:val="TextBody"/>
        <w:spacing w:before="240" w:after="0"/>
        <w:jc w:val="left"/>
        <w:rPr>
          <w:rFonts w:ascii="Times New Roman" w:hAnsi="Times New Roman"/>
          <w:sz w:val="20"/>
        </w:rPr>
      </w:pPr>
      <w:r>
        <w:rPr>
          <w:rFonts w:ascii="Times New Roman" w:hAnsi="Times New Roman"/>
          <w:sz w:val="20"/>
        </w:rPr>
        <w:t xml:space="preserve">If the Company failed to pay the cash in any of the above mentioned scenarios by the Settlement Date, the sellers of ANY could re-acquire the shares in ANY and their consideration shares would then be reclassified as deferred shares. </w:t>
      </w:r>
    </w:p>
    <w:p>
      <w:pPr>
        <w:pStyle w:val="TextBody"/>
        <w:spacing w:before="240" w:after="0"/>
        <w:jc w:val="left"/>
        <w:rPr>
          <w:rFonts w:ascii="Times New Roman" w:hAnsi="Times New Roman"/>
          <w:sz w:val="20"/>
        </w:rPr>
      </w:pPr>
      <w:r>
        <w:rPr>
          <w:rFonts w:ascii="Times New Roman" w:hAnsi="Times New Roman"/>
          <w:sz w:val="20"/>
        </w:rPr>
        <w:t xml:space="preserve">On June 10, 2022, the Company and the sellers of ANY entered into a Standstill Agreement, whereby the Settlement Date was extended to December 31, 2022. </w:t>
      </w:r>
    </w:p>
    <w:p>
      <w:pPr>
        <w:pStyle w:val="TextBody"/>
        <w:spacing w:before="240" w:after="0"/>
        <w:jc w:val="left"/>
        <w:rPr>
          <w:rFonts w:ascii="Times New Roman" w:hAnsi="Times New Roman"/>
          <w:sz w:val="20"/>
        </w:rPr>
      </w:pPr>
      <w:r>
        <w:rPr>
          <w:rFonts w:ascii="Times New Roman" w:hAnsi="Times New Roman"/>
          <w:sz w:val="20"/>
        </w:rPr>
        <w:t xml:space="preserve">In addition to the extension, the Company agreed to pay the sellers of ANY 70,000 monthly in each of the four months from September 2022 to December 2022, provided the Company was not yet listed on an internationally recognized stock exchange. </w:t>
      </w:r>
    </w:p>
    <w:p>
      <w:pPr>
        <w:pStyle w:val="TextBody"/>
        <w:spacing w:before="240" w:after="0"/>
        <w:jc w:val="left"/>
        <w:rPr>
          <w:rFonts w:ascii="Times New Roman" w:hAnsi="Times New Roman"/>
          <w:sz w:val="20"/>
        </w:rPr>
      </w:pPr>
      <w:r>
        <w:rPr>
          <w:rFonts w:ascii="Times New Roman" w:hAnsi="Times New Roman"/>
          <w:sz w:val="20"/>
        </w:rPr>
        <w:t xml:space="preserve">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elect within 14 days of the listing of Rezolves Ordinary Shares, Rezolve must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w:t>
      </w:r>
    </w:p>
    <w:p>
      <w:pPr>
        <w:pStyle w:val="TextBody"/>
        <w:spacing w:before="240" w:after="0"/>
        <w:jc w:val="left"/>
        <w:rPr>
          <w:rFonts w:ascii="Times New Roman" w:hAnsi="Times New Roman"/>
          <w:sz w:val="20"/>
        </w:rPr>
      </w:pPr>
      <w:r>
        <w:rPr>
          <w:rFonts w:ascii="Times New Roman" w:hAnsi="Times New Roman"/>
          <w:sz w:val="20"/>
        </w:rPr>
        <w:t xml:space="preserve">If the Company does not consummate the Business Combination by November 30, 2023, the sellers of ANY may terminate the acquisition of ANY. The sellers of ANY may sell up to EUR two million (equivalent to $2,161,600) of their consideration shares within 60 days of the listing to existing shareholders of Rezolve. If the sellers of ANY do not find an interested buyer in the shares within 60 days, the sellers may elect within 14 days after that 60-day period that Rezolve pays the sellers EUR two million (equivalent to $2,161,600) within 10 business days and upon such payment 2,098,640 of the consideration shares (as adjusted as a result of the Pre-Closing Demerger) held by those sellers will be reclassified as deferred shares. If Rezolve fails to make such payment, the sellers of ANY may reverse the acquisition.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was determined to be a variable interest entity with Rezolve to be the primary beneficiary in accordance with the provisions of ASC 810 from August 30, 2021. During the period from the negotiations entered into with the sellers of ANY in December 2022 and indefinitely thereafter, the Company continues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Have the power to direct ANY in a manner which most significantly impacts its economic activity, by having Rezolves chief executive officer and chief commercial officer execute all decisions regarding strategy, budgets and marketing,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to absorb any gains,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obligation to absorb any losses, via requirement to fund ANY for any cash or working capital shortfalls. </w:t>
            </w:r>
          </w:p>
        </w:tc>
      </w:tr>
    </w:tbl>
    <w:p>
      <w:pPr>
        <w:pStyle w:val="TextBody"/>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spacing w:before="120" w:after="0"/>
        <w:jc w:val="left"/>
        <w:rPr>
          <w:rFonts w:ascii="Times New Roman" w:hAnsi="Times New Roman"/>
          <w:sz w:val="20"/>
        </w:rPr>
      </w:pPr>
      <w:r>
        <w:rPr>
          <w:rFonts w:ascii="Times New Roman" w:hAnsi="Times New Roman"/>
          <w:sz w:val="20"/>
        </w:rPr>
        <w:t xml:space="preserve">We believe our future performance will depend on many factors,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Growth from Transactions</w:t>
            </w:r>
            <w:r>
              <w:rPr>
                <w:rFonts w:ascii="Times New Roman" w:hAnsi="Times New Roman"/>
                <w:sz w:val="20"/>
              </w:rPr>
              <w:t xml:space="preserve">: Our growth depends on SaaS subscription fees and commissions earned from merchants transactions with their customers.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New Merchant Acquisition</w:t>
            </w:r>
            <w:r>
              <w:rPr>
                <w:rFonts w:ascii="Times New Roman" w:hAnsi="Times New Roman"/>
                <w:sz w:val="20"/>
              </w:rPr>
              <w:t xml:space="preserve">: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Successful Expansion to Additional Geographies</w:t>
            </w:r>
            <w:r>
              <w:rPr>
                <w:rFonts w:ascii="Times New Roman" w:hAnsi="Times New Roman"/>
                <w:sz w:val="20"/>
              </w:rPr>
              <w:t xml:space="preserve">: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Merchant Retention and Expansion</w:t>
            </w:r>
            <w:r>
              <w:rPr>
                <w:rFonts w:ascii="Times New Roman" w:hAnsi="Times New Roman"/>
                <w:sz w:val="20"/>
              </w:rPr>
              <w:t xml:space="preserve">: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7"/>
        <w:gridCol w:w="315"/>
        <w:gridCol w:w="104"/>
        <w:gridCol w:w="9593"/>
      </w:tblGrid>
      <w:tr>
        <w:trPr/>
        <w:tc>
          <w:tcPr>
            <w:tcW w:w="527"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Offering and service enhancement</w:t>
            </w:r>
            <w:r>
              <w:rPr>
                <w:rFonts w:ascii="Times New Roman" w:hAnsi="Times New Roman"/>
                <w:sz w:val="20"/>
              </w:rPr>
              <w:t xml:space="preserve">: We intend to continue investing in the capabilities of our offerings and services to deliver better value for our users and merchants and address new market opportunities. Additionally, we will work to perfect our platform services, including Instant Act, Instant Checkout, SmartLinks, SmartCodes and the use of watermarking technology for anti-counterfeiting.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Growth through Mergers</w:t>
            </w:r>
            <w:r>
              <w:rPr>
                <w:rFonts w:ascii="Times New Roman" w:hAnsi="Times New Roman"/>
                <w:sz w:val="20"/>
              </w:rPr>
              <w:t> </w:t>
            </w:r>
            <w:r>
              <w:rPr>
                <w:rFonts w:ascii="Times New Roman" w:hAnsi="Times New Roman"/>
                <w:b/>
                <w:sz w:val="20"/>
              </w:rPr>
              <w:t>&amp; Acquisitions</w:t>
            </w:r>
            <w:r>
              <w:rPr>
                <w:rFonts w:ascii="Times New Roman" w:hAnsi="Times New Roman"/>
                <w:sz w:val="20"/>
              </w:rPr>
              <w:t xml:space="preserve">: The growth of our business can be supported by a successful merger agreement with a SPAC and access to financing through capital markets. Additionally, our growth may be supported by acquisitions of businesses where management identifies synergistic growth opportunities.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spacing w:before="120" w:after="0"/>
        <w:jc w:val="left"/>
        <w:rPr>
          <w:rFonts w:ascii="Times New Roman" w:hAnsi="Times New Roman"/>
          <w:b/>
          <w:i/>
          <w:sz w:val="20"/>
        </w:rPr>
      </w:pPr>
      <w:r>
        <w:rPr>
          <w:rFonts w:ascii="Times New Roman" w:hAnsi="Times New Roman"/>
          <w:b/>
          <w:i/>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The core revenues generating part of our business relates to the sale of radio advertisements on the Radio Group radio stations through a single marketing agreement. In addition to the sale of radio advertisements, we generate transaction revenues through the sale of ticketing of football events using our technology with La Liga in Spain. </w:t>
      </w:r>
    </w:p>
    <w:p>
      <w:pPr>
        <w:pStyle w:val="TextBody"/>
        <w:spacing w:before="240" w:after="0"/>
        <w:jc w:val="left"/>
        <w:rPr>
          <w:rFonts w:ascii="Times New Roman" w:hAnsi="Times New Roman"/>
          <w:sz w:val="20"/>
        </w:rPr>
      </w:pPr>
      <w:r>
        <w:rPr>
          <w:rFonts w:ascii="Times New Roman" w:hAnsi="Times New Roman"/>
          <w:sz w:val="20"/>
        </w:rPr>
        <w:t xml:space="preserve">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 </w:t>
      </w:r>
    </w:p>
    <w:p>
      <w:pPr>
        <w:pStyle w:val="TextBody"/>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spacing w:before="120" w:after="0"/>
        <w:jc w:val="left"/>
        <w:rPr>
          <w:rFonts w:ascii="Times New Roman" w:hAnsi="Times New Roman"/>
          <w:sz w:val="20"/>
        </w:rPr>
      </w:pPr>
      <w:r>
        <w:rPr>
          <w:rFonts w:ascii="Times New Roman" w:hAnsi="Times New Roman"/>
          <w:sz w:val="20"/>
        </w:rPr>
        <w:t xml:space="preserve">Operating expenses consist of cost of revenues, employee benefit expenses, consultancy expense, sales and marketing expenses, business development expenses, general and administrative expenses, and depreciation and amortization.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Cost of revenues</w:t>
            </w:r>
            <w:r>
              <w:rPr>
                <w:rFonts w:ascii="Times New Roman" w:hAnsi="Times New Roman"/>
                <w:sz w:val="20"/>
              </w:rPr>
              <w:t xml:space="preserve">: Our cost of revenues consist primarily of the materials and consumables, as well as purchased airtime and distribution of radio advertisements sold in Germany.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Employee Benefit</w:t>
            </w:r>
            <w:r>
              <w:rPr>
                <w:rFonts w:ascii="Times New Roman" w:hAnsi="Times New Roman"/>
                <w:sz w:val="20"/>
              </w:rPr>
              <w:t xml:space="preserve">: Employee benefit expenses primarily consist of salaries, pension contributions and share-based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Consultancy</w:t>
            </w:r>
            <w:r>
              <w:rPr>
                <w:rFonts w:ascii="Times New Roman" w:hAnsi="Times New Roman"/>
                <w:sz w:val="20"/>
              </w:rPr>
              <w:t xml:space="preserve">: Consultancy expenses primarily consist of payments made to the team of developers who contract with Rezolve, as well as fees paid to and share-based compensation paid for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Sales and marketing</w:t>
            </w:r>
            <w:r>
              <w:rPr>
                <w:rFonts w:ascii="Times New Roman" w:hAnsi="Times New Roman"/>
                <w:sz w:val="20"/>
              </w:rPr>
              <w:t xml:space="preserve">: Costs primarily consist of costs incurred by the group for marketing of radio advertisements in Germany and promoting our platform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General and administrative</w:t>
            </w:r>
            <w:r>
              <w:rPr>
                <w:rFonts w:ascii="Times New Roman" w:hAnsi="Times New Roman"/>
                <w:sz w:val="20"/>
              </w:rPr>
              <w:t xml:space="preserve">: Costs consist primarily of finance, legal, human resources, listing and other non-specific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 xml:space="preserve">Business development expenses: </w:t>
            </w:r>
            <w:r>
              <w:rPr>
                <w:rFonts w:ascii="Times New Roman" w:hAnsi="Times New Roman"/>
                <w:sz w:val="20"/>
              </w:rPr>
              <w:t xml:space="preserve">Costs consist of our investments in Rezolve China by Rezolve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primarily consists of amortization of customer list and acquired information technology intangible assets as well as depreciation of fixed tangible assets. We note that all software development expenditure up until the end of December 2022 has been expensed.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Impairment of Goodwill</w:t>
            </w:r>
            <w:r>
              <w:rPr>
                <w:rFonts w:ascii="Times New Roman" w:hAnsi="Times New Roman"/>
                <w:sz w:val="20"/>
              </w:rPr>
              <w:t xml:space="preserve">: Impairment of goodwill in the year ended December 31, 2022 consists of the impairment charge in the Companys German business, ANY. Management determined that indicators of impairment of goodwill existed when future operating profits and cash flows were revised to be lower than initially anticipated when ANY was acquired in 2021. In the year ended December 31, 2022, a goodwill impairment loss of $7.4 million was recognized in the German reporting unit, ANY. The fair value of that reporting unit was estimated using the expected present value of future cash flows. </w:t>
            </w:r>
          </w:p>
        </w:tc>
      </w:tr>
    </w:tbl>
    <w:p>
      <w:pPr>
        <w:pStyle w:val="TextBody"/>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spacing w:before="120" w:after="0"/>
        <w:jc w:val="left"/>
        <w:rPr>
          <w:rFonts w:ascii="Times New Roman" w:hAnsi="Times New Roman"/>
          <w:sz w:val="20"/>
        </w:rPr>
      </w:pPr>
      <w:r>
        <w:rPr>
          <w:rFonts w:ascii="Times New Roman" w:hAnsi="Times New Roman"/>
          <w:sz w:val="20"/>
        </w:rPr>
        <w:t xml:space="preserve">Interest expense consists primarily of costs associated with convertible debt. The group currently has no bank debt and no banking facilities which would incur interest.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Non-Operating Expense </w:t>
      </w:r>
    </w:p>
    <w:p>
      <w:pPr>
        <w:pStyle w:val="TextBody"/>
        <w:spacing w:before="120" w:after="0"/>
        <w:jc w:val="left"/>
        <w:rPr>
          <w:rFonts w:ascii="Times New Roman" w:hAnsi="Times New Roman"/>
          <w:sz w:val="20"/>
        </w:rPr>
      </w:pPr>
      <w:r>
        <w:rPr>
          <w:rFonts w:ascii="Times New Roman" w:hAnsi="Times New Roman"/>
          <w:sz w:val="20"/>
        </w:rPr>
        <w:t xml:space="preserve">Other non-operating income/ (expense), net consist of interest expense including foreign exchange loss, impairment of prepayments and other current assets,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 </w:t>
      </w:r>
    </w:p>
    <w:p>
      <w:pPr>
        <w:pStyle w:val="TextBody"/>
        <w:spacing w:before="360" w:after="0"/>
        <w:jc w:val="left"/>
        <w:rPr>
          <w:rFonts w:ascii="Times New Roman" w:hAnsi="Times New Roman"/>
          <w:b/>
          <w:i/>
          <w:sz w:val="20"/>
        </w:rPr>
      </w:pPr>
      <w:r>
        <w:rPr>
          <w:rFonts w:ascii="Times New Roman" w:hAnsi="Times New Roman"/>
          <w:b/>
          <w:i/>
          <w:sz w:val="20"/>
        </w:rPr>
        <w:t xml:space="preserve">Income Tax Benefit </w:t>
      </w:r>
    </w:p>
    <w:p>
      <w:pPr>
        <w:pStyle w:val="TextBody"/>
        <w:spacing w:before="120" w:after="0"/>
        <w:jc w:val="left"/>
        <w:rPr>
          <w:rFonts w:ascii="Times New Roman" w:hAnsi="Times New Roman"/>
          <w:sz w:val="20"/>
        </w:rPr>
      </w:pPr>
      <w:r>
        <w:rPr>
          <w:rFonts w:ascii="Times New Roman" w:hAnsi="Times New Roman"/>
          <w:sz w:val="20"/>
        </w:rPr>
        <w:t xml:space="preserve">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 </w:t>
      </w:r>
    </w:p>
    <w:p>
      <w:pPr>
        <w:pStyle w:val="TextBody"/>
        <w:spacing w:before="360" w:after="0"/>
        <w:jc w:val="left"/>
        <w:rPr>
          <w:rFonts w:ascii="Times New Roman" w:hAnsi="Times New Roman"/>
          <w:b/>
          <w:sz w:val="20"/>
        </w:rPr>
      </w:pPr>
      <w:r>
        <w:rPr>
          <w:rFonts w:ascii="Times New Roman" w:hAnsi="Times New Roman"/>
          <w:b/>
          <w:sz w:val="20"/>
        </w:rPr>
        <w:t xml:space="preserve">Key Business Metrics </w:t>
      </w:r>
    </w:p>
    <w:p>
      <w:pPr>
        <w:pStyle w:val="TextBody"/>
        <w:spacing w:before="120" w:after="0"/>
        <w:jc w:val="left"/>
        <w:rPr>
          <w:rFonts w:ascii="Times New Roman" w:hAnsi="Times New Roman"/>
          <w:sz w:val="20"/>
        </w:rPr>
      </w:pPr>
      <w:r>
        <w:rPr>
          <w:rFonts w:ascii="Times New Roman" w:hAnsi="Times New Roman"/>
          <w:sz w:val="20"/>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hAnsi="Times New Roman"/>
          <w:i/>
          <w:sz w:val="20"/>
        </w:rPr>
        <w:t>Components of Results of Operations</w:t>
      </w:r>
      <w:r>
        <w:rPr>
          <w:rFonts w:ascii="Times New Roman" w:hAnsi="Times New Roman"/>
          <w:sz w:val="20"/>
        </w:rPr>
        <w:t xml:space="preserve">. Period-on-period revenues growth, EBITDA and total number of merchants are discussed immediately below the following table. The following financial metrics are used by management to monitor and analyze the operational performance of our business.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87"/>
        <w:gridCol w:w="429"/>
        <w:gridCol w:w="146"/>
        <w:gridCol w:w="1257"/>
        <w:gridCol w:w="288"/>
        <w:gridCol w:w="338"/>
        <w:gridCol w:w="146"/>
        <w:gridCol w:w="1257"/>
        <w:gridCol w:w="161"/>
      </w:tblGrid>
      <w:tr>
        <w:trPr/>
        <w:tc>
          <w:tcPr>
            <w:tcW w:w="3987"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343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1" w:type="dxa"/>
            <w:tcBorders/>
            <w:shd w:fill="auto" w:val="clear"/>
            <w:vAlign w:val="bottom"/>
          </w:tcPr>
          <w:p>
            <w:pPr>
              <w:pStyle w:val="TableContents"/>
              <w:spacing w:before="0" w:after="283"/>
              <w:rPr/>
            </w:pPr>
            <w:r>
              <w:rPr/>
              <w:t> </w:t>
            </w:r>
          </w:p>
        </w:tc>
      </w:tr>
      <w:tr>
        <w:trPr/>
        <w:tc>
          <w:tcPr>
            <w:tcW w:w="3987"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4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2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1" w:type="dxa"/>
            <w:tcBorders/>
            <w:shd w:fill="auto" w:val="clear"/>
            <w:vAlign w:val="bottom"/>
          </w:tcPr>
          <w:p>
            <w:pPr>
              <w:pStyle w:val="TableContents"/>
              <w:spacing w:before="0" w:after="283"/>
              <w:rPr/>
            </w:pPr>
            <w:r>
              <w:rPr/>
              <w:t> </w:t>
            </w:r>
          </w:p>
        </w:tc>
      </w:tr>
      <w:tr>
        <w:trPr/>
        <w:tc>
          <w:tcPr>
            <w:tcW w:w="3987"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Operational and Other</w:t>
            </w:r>
          </w:p>
        </w:tc>
        <w:tc>
          <w:tcPr>
            <w:tcW w:w="42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257"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rPr>
                <w:sz w:val="4"/>
                <w:szCs w:val="4"/>
              </w:rPr>
            </w:pPr>
            <w:r>
              <w:rPr>
                <w:sz w:val="4"/>
                <w:szCs w:val="4"/>
              </w:rPr>
            </w:r>
          </w:p>
        </w:tc>
        <w:tc>
          <w:tcPr>
            <w:tcW w:w="3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257"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987" w:type="dxa"/>
            <w:tcBorders/>
            <w:shd w:fill="auto" w:val="clear"/>
          </w:tcPr>
          <w:p>
            <w:pPr>
              <w:pStyle w:val="TableContents"/>
              <w:spacing w:before="0" w:after="0"/>
              <w:rPr>
                <w:rFonts w:ascii="Times New Roman" w:hAnsi="Times New Roman"/>
                <w:b/>
                <w:sz w:val="20"/>
              </w:rPr>
            </w:pPr>
            <w:r>
              <w:rPr>
                <w:rFonts w:ascii="Times New Roman" w:hAnsi="Times New Roman"/>
                <w:b/>
                <w:sz w:val="20"/>
              </w:rPr>
              <w:t>Data:</w:t>
            </w:r>
          </w:p>
        </w:tc>
        <w:tc>
          <w:tcPr>
            <w:tcW w:w="4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257"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257"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987" w:type="dxa"/>
            <w:tcBorders/>
            <w:shd w:fill="CCEEFF" w:val="clear"/>
          </w:tcPr>
          <w:p>
            <w:pPr>
              <w:pStyle w:val="TableContents"/>
              <w:spacing w:before="0" w:after="0"/>
              <w:rPr>
                <w:rFonts w:ascii="Times New Roman" w:hAnsi="Times New Roman"/>
                <w:b/>
                <w:sz w:val="20"/>
              </w:rPr>
            </w:pPr>
            <w:r>
              <w:rPr>
                <w:rFonts w:ascii="Times New Roman" w:hAnsi="Times New Roman"/>
                <w:b/>
                <w:sz w:val="20"/>
              </w:rPr>
              <w:t>Financial</w:t>
            </w:r>
          </w:p>
        </w:tc>
        <w:tc>
          <w:tcPr>
            <w:tcW w:w="42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257"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rPr>
                <w:sz w:val="4"/>
                <w:szCs w:val="4"/>
              </w:rPr>
            </w:pPr>
            <w:r>
              <w:rPr>
                <w:sz w:val="4"/>
                <w:szCs w:val="4"/>
              </w:rPr>
            </w:r>
          </w:p>
        </w:tc>
        <w:tc>
          <w:tcPr>
            <w:tcW w:w="3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257"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987" w:type="dxa"/>
            <w:tcBorders/>
            <w:shd w:fill="auto" w:val="clear"/>
          </w:tcPr>
          <w:p>
            <w:pPr>
              <w:pStyle w:val="TableContents"/>
              <w:spacing w:before="0" w:after="0"/>
              <w:rPr>
                <w:rFonts w:ascii="Times New Roman" w:hAnsi="Times New Roman"/>
                <w:sz w:val="20"/>
              </w:rPr>
            </w:pPr>
            <w:r>
              <w:rPr>
                <w:rFonts w:ascii="Times New Roman" w:hAnsi="Times New Roman"/>
                <w:sz w:val="20"/>
              </w:rPr>
              <w:t>Period-on-period revenues growth (%)</w:t>
            </w:r>
          </w:p>
        </w:tc>
        <w:tc>
          <w:tcPr>
            <w:tcW w:w="4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216</w:t>
            </w:r>
          </w:p>
        </w:tc>
        <w:tc>
          <w:tcPr>
            <w:tcW w:w="2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n/a</w:t>
            </w:r>
          </w:p>
        </w:tc>
        <w:tc>
          <w:tcPr>
            <w:tcW w:w="161" w:type="dxa"/>
            <w:tcBorders/>
            <w:shd w:fill="auto" w:val="clear"/>
            <w:vAlign w:val="bottom"/>
          </w:tcPr>
          <w:p>
            <w:pPr>
              <w:pStyle w:val="TableContents"/>
              <w:spacing w:before="0" w:after="283"/>
              <w:rPr/>
            </w:pPr>
            <w:r>
              <w:rPr/>
              <w:t> </w:t>
            </w:r>
          </w:p>
        </w:tc>
      </w:tr>
      <w:tr>
        <w:trPr/>
        <w:tc>
          <w:tcPr>
            <w:tcW w:w="3987"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42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257" w:type="dxa"/>
            <w:tcBorders/>
            <w:shd w:fill="CCEEFF" w:val="clear"/>
            <w:vAlign w:val="bottom"/>
          </w:tcPr>
          <w:p>
            <w:pPr>
              <w:pStyle w:val="TableContents"/>
              <w:spacing w:before="0" w:after="283"/>
              <w:jc w:val="right"/>
              <w:rPr/>
            </w:pPr>
            <w:r>
              <w:rPr/>
              <w:t>12,325,753</w:t>
            </w:r>
          </w:p>
        </w:tc>
        <w:tc>
          <w:tcPr>
            <w:tcW w:w="288"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257" w:type="dxa"/>
            <w:tcBorders/>
            <w:shd w:fill="CCEEFF" w:val="clear"/>
            <w:vAlign w:val="bottom"/>
          </w:tcPr>
          <w:p>
            <w:pPr>
              <w:pStyle w:val="TableContents"/>
              <w:spacing w:before="0" w:after="283"/>
              <w:jc w:val="right"/>
              <w:rPr/>
            </w:pPr>
            <w:r>
              <w:rPr/>
              <w:t>3,904,574</w:t>
            </w:r>
          </w:p>
        </w:tc>
        <w:tc>
          <w:tcPr>
            <w:tcW w:w="161" w:type="dxa"/>
            <w:tcBorders/>
            <w:shd w:fill="CCEEFF" w:val="clear"/>
            <w:vAlign w:val="bottom"/>
          </w:tcPr>
          <w:p>
            <w:pPr>
              <w:pStyle w:val="TableContents"/>
              <w:spacing w:before="0" w:after="283"/>
              <w:rPr/>
            </w:pPr>
            <w:r>
              <w:rPr/>
              <w:t> </w:t>
            </w:r>
          </w:p>
        </w:tc>
      </w:tr>
      <w:tr>
        <w:trPr/>
        <w:tc>
          <w:tcPr>
            <w:tcW w:w="3987" w:type="dxa"/>
            <w:tcBorders/>
            <w:shd w:fill="auto" w:val="clear"/>
          </w:tcPr>
          <w:p>
            <w:pPr>
              <w:pStyle w:val="TableContents"/>
              <w:spacing w:before="0" w:after="0"/>
              <w:rPr>
                <w:rFonts w:ascii="Times New Roman" w:hAnsi="Times New Roman"/>
                <w:sz w:val="20"/>
              </w:rPr>
            </w:pPr>
            <w:r>
              <w:rPr>
                <w:rFonts w:ascii="Times New Roman" w:hAnsi="Times New Roman"/>
                <w:sz w:val="20"/>
              </w:rPr>
              <w:t>Radio Advertising Revenues</w:t>
            </w:r>
          </w:p>
        </w:tc>
        <w:tc>
          <w:tcPr>
            <w:tcW w:w="4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12,210,593</w:t>
            </w:r>
          </w:p>
        </w:tc>
        <w:tc>
          <w:tcPr>
            <w:tcW w:w="2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3,842,207</w:t>
            </w:r>
          </w:p>
        </w:tc>
        <w:tc>
          <w:tcPr>
            <w:tcW w:w="161" w:type="dxa"/>
            <w:tcBorders/>
            <w:shd w:fill="auto" w:val="clear"/>
            <w:vAlign w:val="bottom"/>
          </w:tcPr>
          <w:p>
            <w:pPr>
              <w:pStyle w:val="TableContents"/>
              <w:spacing w:before="0" w:after="283"/>
              <w:rPr/>
            </w:pPr>
            <w:r>
              <w:rPr/>
              <w:t> </w:t>
            </w:r>
          </w:p>
        </w:tc>
      </w:tr>
      <w:tr>
        <w:trPr/>
        <w:tc>
          <w:tcPr>
            <w:tcW w:w="3987" w:type="dxa"/>
            <w:tcBorders/>
            <w:shd w:fill="CCEEFF" w:val="clear"/>
          </w:tcPr>
          <w:p>
            <w:pPr>
              <w:pStyle w:val="TableContents"/>
              <w:spacing w:before="0" w:after="0"/>
              <w:rPr>
                <w:rFonts w:ascii="Times New Roman" w:hAnsi="Times New Roman"/>
                <w:sz w:val="20"/>
              </w:rPr>
            </w:pPr>
            <w:r>
              <w:rPr>
                <w:rFonts w:ascii="Times New Roman" w:hAnsi="Times New Roman"/>
                <w:sz w:val="20"/>
              </w:rPr>
              <w:t>Transaction Fee Revenues</w:t>
            </w:r>
          </w:p>
        </w:tc>
        <w:tc>
          <w:tcPr>
            <w:tcW w:w="42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pPr>
            <w:r>
              <w:rPr/>
              <w:t>115,160</w:t>
            </w:r>
          </w:p>
        </w:tc>
        <w:tc>
          <w:tcPr>
            <w:tcW w:w="288"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pPr>
            <w:r>
              <w:rPr/>
              <w:t>62,367</w:t>
            </w:r>
          </w:p>
        </w:tc>
        <w:tc>
          <w:tcPr>
            <w:tcW w:w="161" w:type="dxa"/>
            <w:tcBorders/>
            <w:shd w:fill="CCEEFF" w:val="clear"/>
            <w:vAlign w:val="bottom"/>
          </w:tcPr>
          <w:p>
            <w:pPr>
              <w:pStyle w:val="TableContents"/>
              <w:spacing w:before="0" w:after="283"/>
              <w:rPr/>
            </w:pPr>
            <w:r>
              <w:rPr/>
              <w:t> </w:t>
            </w:r>
          </w:p>
        </w:tc>
      </w:tr>
      <w:tr>
        <w:trPr/>
        <w:tc>
          <w:tcPr>
            <w:tcW w:w="3987" w:type="dxa"/>
            <w:tcBorders/>
            <w:shd w:fill="auto" w:val="clear"/>
          </w:tcPr>
          <w:p>
            <w:pPr>
              <w:pStyle w:val="TableContents"/>
              <w:spacing w:before="0" w:after="0"/>
              <w:rPr>
                <w:rFonts w:ascii="Times New Roman" w:hAnsi="Times New Roman"/>
                <w:sz w:val="20"/>
              </w:rPr>
            </w:pPr>
            <w:r>
              <w:rPr>
                <w:rFonts w:ascii="Times New Roman" w:hAnsi="Times New Roman"/>
                <w:sz w:val="20"/>
              </w:rPr>
              <w:t>EBITDA</w:t>
            </w:r>
          </w:p>
        </w:tc>
        <w:tc>
          <w:tcPr>
            <w:tcW w:w="4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257" w:type="dxa"/>
            <w:tcBorders/>
            <w:shd w:fill="auto" w:val="clear"/>
            <w:vAlign w:val="bottom"/>
          </w:tcPr>
          <w:p>
            <w:pPr>
              <w:pStyle w:val="TableContents"/>
              <w:spacing w:before="0" w:after="283"/>
              <w:jc w:val="right"/>
              <w:rPr/>
            </w:pPr>
            <w:r>
              <w:rPr/>
              <w:t>(99,594,074</w:t>
            </w:r>
          </w:p>
        </w:tc>
        <w:tc>
          <w:tcPr>
            <w:tcW w:w="2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257" w:type="dxa"/>
            <w:tcBorders/>
            <w:shd w:fill="auto" w:val="clear"/>
            <w:vAlign w:val="bottom"/>
          </w:tcPr>
          <w:p>
            <w:pPr>
              <w:pStyle w:val="TableContents"/>
              <w:spacing w:before="0" w:after="283"/>
              <w:jc w:val="right"/>
              <w:rPr/>
            </w:pPr>
            <w:r>
              <w:rPr/>
              <w:t>(36,984,144</w:t>
            </w:r>
          </w:p>
        </w:tc>
        <w:tc>
          <w:tcPr>
            <w:tcW w:w="161" w:type="dxa"/>
            <w:tcBorders/>
            <w:shd w:fill="auto" w:val="clear"/>
            <w:vAlign w:val="bottom"/>
          </w:tcPr>
          <w:p>
            <w:pPr>
              <w:pStyle w:val="TableContents"/>
              <w:spacing w:before="0" w:after="283"/>
              <w:rPr/>
            </w:pPr>
            <w:r>
              <w:rPr/>
              <w:t>) </w:t>
            </w:r>
          </w:p>
        </w:tc>
      </w:tr>
      <w:tr>
        <w:trPr/>
        <w:tc>
          <w:tcPr>
            <w:tcW w:w="3987"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Operational</w:t>
            </w:r>
          </w:p>
        </w:tc>
        <w:tc>
          <w:tcPr>
            <w:tcW w:w="42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257" w:type="dxa"/>
            <w:tcBorders/>
            <w:shd w:fill="CCEEFF" w:val="clear"/>
            <w:vAlign w:val="bottom"/>
          </w:tcPr>
          <w:p>
            <w:pPr>
              <w:pStyle w:val="TableContents"/>
              <w:spacing w:before="0" w:after="283"/>
              <w:rPr>
                <w:sz w:val="4"/>
                <w:szCs w:val="4"/>
              </w:rPr>
            </w:pPr>
            <w:r>
              <w:rPr>
                <w:sz w:val="4"/>
                <w:szCs w:val="4"/>
              </w:rPr>
            </w:r>
          </w:p>
        </w:tc>
        <w:tc>
          <w:tcPr>
            <w:tcW w:w="288" w:type="dxa"/>
            <w:tcBorders/>
            <w:shd w:fill="CCEEFF" w:val="clear"/>
            <w:vAlign w:val="bottom"/>
          </w:tcPr>
          <w:p>
            <w:pPr>
              <w:pStyle w:val="TableContents"/>
              <w:spacing w:before="0" w:after="283"/>
              <w:rPr>
                <w:sz w:val="4"/>
                <w:szCs w:val="4"/>
              </w:rPr>
            </w:pPr>
            <w:r>
              <w:rPr>
                <w:sz w:val="4"/>
                <w:szCs w:val="4"/>
              </w:rPr>
            </w:r>
          </w:p>
        </w:tc>
        <w:tc>
          <w:tcPr>
            <w:tcW w:w="3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257"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987" w:type="dxa"/>
            <w:tcBorders/>
            <w:shd w:fill="auto" w:val="clear"/>
          </w:tcPr>
          <w:p>
            <w:pPr>
              <w:pStyle w:val="TableContents"/>
              <w:spacing w:before="0" w:after="0"/>
              <w:rPr>
                <w:rFonts w:ascii="Times New Roman" w:hAnsi="Times New Roman"/>
                <w:sz w:val="20"/>
              </w:rPr>
            </w:pPr>
            <w:r>
              <w:rPr>
                <w:rFonts w:ascii="Times New Roman" w:hAnsi="Times New Roman"/>
                <w:sz w:val="20"/>
              </w:rPr>
              <w:t>Total number of seconds aired</w:t>
            </w:r>
          </w:p>
        </w:tc>
        <w:tc>
          <w:tcPr>
            <w:tcW w:w="4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1,807,288</w:t>
            </w:r>
          </w:p>
        </w:tc>
        <w:tc>
          <w:tcPr>
            <w:tcW w:w="2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2,252,799</w:t>
            </w:r>
          </w:p>
        </w:tc>
        <w:tc>
          <w:tcPr>
            <w:tcW w:w="161" w:type="dxa"/>
            <w:tcBorders/>
            <w:shd w:fill="auto" w:val="clear"/>
            <w:vAlign w:val="bottom"/>
          </w:tcPr>
          <w:p>
            <w:pPr>
              <w:pStyle w:val="TableContents"/>
              <w:spacing w:before="0" w:after="283"/>
              <w:rPr/>
            </w:pPr>
            <w:r>
              <w:rPr/>
              <w:t> </w:t>
            </w:r>
          </w:p>
        </w:tc>
      </w:tr>
      <w:tr>
        <w:trPr/>
        <w:tc>
          <w:tcPr>
            <w:tcW w:w="3987" w:type="dxa"/>
            <w:tcBorders/>
            <w:shd w:fill="CCEEFF" w:val="clear"/>
          </w:tcPr>
          <w:p>
            <w:pPr>
              <w:pStyle w:val="TableContents"/>
              <w:spacing w:before="0" w:after="0"/>
              <w:rPr>
                <w:rFonts w:ascii="Times New Roman" w:hAnsi="Times New Roman"/>
                <w:sz w:val="20"/>
              </w:rPr>
            </w:pPr>
            <w:r>
              <w:rPr>
                <w:rFonts w:ascii="Times New Roman" w:hAnsi="Times New Roman"/>
                <w:sz w:val="20"/>
              </w:rPr>
              <w:t>Total number of advertisements sold</w:t>
            </w:r>
          </w:p>
        </w:tc>
        <w:tc>
          <w:tcPr>
            <w:tcW w:w="429"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pPr>
            <w:r>
              <w:rPr/>
              <w:t>92,529</w:t>
            </w:r>
          </w:p>
        </w:tc>
        <w:tc>
          <w:tcPr>
            <w:tcW w:w="288" w:type="dxa"/>
            <w:tcBorders/>
            <w:shd w:fill="CCEEFF" w:val="cle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57" w:type="dxa"/>
            <w:tcBorders/>
            <w:shd w:fill="CCEEFF" w:val="clear"/>
            <w:vAlign w:val="bottom"/>
          </w:tcPr>
          <w:p>
            <w:pPr>
              <w:pStyle w:val="TableContents"/>
              <w:spacing w:before="0" w:after="283"/>
              <w:jc w:val="right"/>
              <w:rPr/>
            </w:pPr>
            <w:r>
              <w:rPr/>
              <w:t>103,310</w:t>
            </w:r>
          </w:p>
        </w:tc>
        <w:tc>
          <w:tcPr>
            <w:tcW w:w="161" w:type="dxa"/>
            <w:tcBorders/>
            <w:shd w:fill="CCEEFF" w:val="clear"/>
            <w:vAlign w:val="bottom"/>
          </w:tcPr>
          <w:p>
            <w:pPr>
              <w:pStyle w:val="TableContents"/>
              <w:spacing w:before="0" w:after="283"/>
              <w:rPr/>
            </w:pPr>
            <w:r>
              <w:rPr/>
              <w:t> </w:t>
            </w:r>
          </w:p>
        </w:tc>
      </w:tr>
      <w:tr>
        <w:trPr/>
        <w:tc>
          <w:tcPr>
            <w:tcW w:w="3987" w:type="dxa"/>
            <w:tcBorders/>
            <w:shd w:fill="auto" w:val="clear"/>
          </w:tcPr>
          <w:p>
            <w:pPr>
              <w:pStyle w:val="TableContents"/>
              <w:spacing w:before="0" w:after="0"/>
              <w:rPr>
                <w:rFonts w:ascii="Times New Roman" w:hAnsi="Times New Roman"/>
                <w:sz w:val="20"/>
              </w:rPr>
            </w:pPr>
            <w:r>
              <w:rPr>
                <w:rFonts w:ascii="Times New Roman" w:hAnsi="Times New Roman"/>
                <w:sz w:val="20"/>
              </w:rPr>
              <w:t>Total ticketing revenues transactions</w:t>
            </w:r>
          </w:p>
        </w:tc>
        <w:tc>
          <w:tcPr>
            <w:tcW w:w="429"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37,142</w:t>
            </w:r>
          </w:p>
        </w:tc>
        <w:tc>
          <w:tcPr>
            <w:tcW w:w="288" w:type="dxa"/>
            <w:tcBorders/>
            <w:shd w:fill="auto" w:val="cle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57"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b/>
          <w:i/>
          <w:sz w:val="20"/>
        </w:rPr>
      </w:pPr>
      <w:r>
        <w:rPr>
          <w:rFonts w:ascii="Times New Roman" w:hAnsi="Times New Roman"/>
          <w:b/>
          <w:i/>
          <w:sz w:val="20"/>
        </w:rPr>
        <w:t xml:space="preserve">Period-on-period revenues growth (%) </w:t>
      </w:r>
    </w:p>
    <w:p>
      <w:pPr>
        <w:pStyle w:val="TextBody"/>
        <w:spacing w:before="120" w:after="0"/>
        <w:jc w:val="left"/>
        <w:rPr>
          <w:rFonts w:ascii="Times New Roman" w:hAnsi="Times New Roman"/>
          <w:sz w:val="20"/>
        </w:rPr>
      </w:pPr>
      <w:r>
        <w:rPr>
          <w:rFonts w:ascii="Times New Roman" w:hAnsi="Times New Roman"/>
          <w:sz w:val="20"/>
        </w:rPr>
        <w:t xml:space="preserve">We define period-on-period revenues growth as a percentage change for revenues derived from merchants between different periods. </w:t>
      </w:r>
    </w:p>
    <w:p>
      <w:pPr>
        <w:pStyle w:val="TextBody"/>
        <w:spacing w:before="360" w:after="0"/>
        <w:jc w:val="left"/>
        <w:rPr>
          <w:rFonts w:ascii="Times New Roman" w:hAnsi="Times New Roman"/>
          <w:b/>
          <w:i/>
          <w:sz w:val="20"/>
        </w:rPr>
      </w:pPr>
      <w:r>
        <w:rPr>
          <w:rFonts w:ascii="Times New Roman" w:hAnsi="Times New Roman"/>
          <w:b/>
          <w:i/>
          <w:sz w:val="20"/>
        </w:rPr>
        <w:t xml:space="preserve">EBITDA </w:t>
      </w:r>
    </w:p>
    <w:p>
      <w:pPr>
        <w:pStyle w:val="TextBody"/>
        <w:spacing w:before="120" w:after="0"/>
        <w:jc w:val="left"/>
        <w:rPr>
          <w:rFonts w:ascii="Times New Roman" w:hAnsi="Times New Roman"/>
          <w:sz w:val="20"/>
        </w:rPr>
      </w:pPr>
      <w:r>
        <w:rPr>
          <w:rFonts w:ascii="Times New Roman" w:hAnsi="Times New Roman"/>
          <w:sz w:val="20"/>
        </w:rPr>
        <w:t xml:space="preserve">We define EBITDA as net income (loss) adjusted for interest expense, income tax, depreciation of property and equipment and amortization of acquired intangibles. EBITDA should not be considered as a substitute 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measures of financial performance reported in accordance with GAAP. Although it is frequently used by investors and securities analysts in their evaluations of companies, EBITDA has limitations as an analytical tool,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EBITDA does not reflect changes in, or cash requirements for, our working capital needs or contractual commitments;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EBITDA does not reflect our interest expense, or the cash requirements to service interest or principal payments on, our indebtedness;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EBITDA does not reflect our tax expense or the cash requirements to pay our taxes;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EBITDA does not reflect the impact on earnings or changes resulting from matters that we consider not to be indicative of our future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or amortized will often need to be replaced in the future, and EBITDA does not reflect any cash requirements for these replacements;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companies may calculate EBITDA differently than we do. </w:t>
            </w:r>
          </w:p>
        </w:tc>
      </w:tr>
    </w:tbl>
    <w:p>
      <w:pPr>
        <w:pStyle w:val="TextBody"/>
        <w:spacing w:before="240" w:after="0"/>
        <w:jc w:val="left"/>
        <w:rPr>
          <w:rFonts w:ascii="Times New Roman" w:hAnsi="Times New Roman"/>
          <w:sz w:val="20"/>
        </w:rPr>
      </w:pPr>
      <w:r>
        <w:rPr>
          <w:rFonts w:ascii="Times New Roman" w:hAnsi="Times New Roman"/>
          <w:sz w:val="20"/>
        </w:rPr>
        <w:t xml:space="preserve">We compensate for the inherent limitations associated with using EBITDA through disclosure of these limitations, presentation of the Rezolve Financial Statements in accordance with GAAP and reconciliation of EBITDA and to the most directly comparable GAAP measure, net income (loss). </w:t>
      </w:r>
    </w:p>
    <w:p>
      <w:pPr>
        <w:pStyle w:val="TextBody"/>
        <w:spacing w:before="240" w:after="0"/>
        <w:jc w:val="left"/>
        <w:rPr>
          <w:rFonts w:ascii="Times New Roman" w:hAnsi="Times New Roman"/>
          <w:sz w:val="20"/>
        </w:rPr>
      </w:pPr>
      <w:r>
        <w:rPr>
          <w:rFonts w:ascii="Times New Roman" w:hAnsi="Times New Roman"/>
          <w:sz w:val="20"/>
        </w:rPr>
        <w:t xml:space="preserve">The table below provides a reconciliation of our net income (loss) to EBITDA: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884"/>
        <w:gridCol w:w="339"/>
        <w:gridCol w:w="145"/>
        <w:gridCol w:w="1487"/>
        <w:gridCol w:w="155"/>
        <w:gridCol w:w="339"/>
        <w:gridCol w:w="145"/>
        <w:gridCol w:w="1354"/>
        <w:gridCol w:w="161"/>
      </w:tblGrid>
      <w:tr>
        <w:trPr/>
        <w:tc>
          <w:tcPr>
            <w:tcW w:w="388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88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36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1" w:type="dxa"/>
            <w:tcBorders/>
            <w:shd w:fill="auto" w:val="clear"/>
            <w:vAlign w:val="bottom"/>
          </w:tcPr>
          <w:p>
            <w:pPr>
              <w:pStyle w:val="TableContents"/>
              <w:spacing w:before="0" w:after="283"/>
              <w:rPr/>
            </w:pPr>
            <w:r>
              <w:rPr/>
              <w:t> </w:t>
            </w:r>
          </w:p>
        </w:tc>
      </w:tr>
      <w:tr>
        <w:trPr/>
        <w:tc>
          <w:tcPr>
            <w:tcW w:w="3884"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6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9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1" w:type="dxa"/>
            <w:tcBorders/>
            <w:shd w:fill="auto" w:val="clear"/>
            <w:vAlign w:val="bottom"/>
          </w:tcPr>
          <w:p>
            <w:pPr>
              <w:pStyle w:val="TableContents"/>
              <w:spacing w:before="0" w:after="283"/>
              <w:rPr/>
            </w:pPr>
            <w:r>
              <w:rPr/>
              <w:t> </w:t>
            </w:r>
          </w:p>
        </w:tc>
      </w:tr>
      <w:tr>
        <w:trPr/>
        <w:tc>
          <w:tcPr>
            <w:tcW w:w="3884" w:type="dxa"/>
            <w:tcBorders/>
            <w:shd w:fill="CCEEFF" w:val="clear"/>
          </w:tcPr>
          <w:p>
            <w:pPr>
              <w:pStyle w:val="TableContents"/>
              <w:spacing w:before="0" w:after="0"/>
              <w:rPr>
                <w:rFonts w:ascii="Times New Roman" w:hAnsi="Times New Roman"/>
                <w:sz w:val="20"/>
              </w:rPr>
            </w:pPr>
            <w:r>
              <w:rPr>
                <w:rFonts w:ascii="Times New Roman" w:hAnsi="Times New Roman"/>
                <w:sz w:val="20"/>
              </w:rPr>
              <w:t>Net income (loss)</w:t>
            </w:r>
          </w:p>
        </w:tc>
        <w:tc>
          <w:tcPr>
            <w:tcW w:w="33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487" w:type="dxa"/>
            <w:tcBorders/>
            <w:shd w:fill="CCEEFF" w:val="clear"/>
            <w:vAlign w:val="bottom"/>
          </w:tcPr>
          <w:p>
            <w:pPr>
              <w:pStyle w:val="TableContents"/>
              <w:spacing w:before="0" w:after="283"/>
              <w:jc w:val="right"/>
              <w:rPr/>
            </w:pPr>
            <w:r>
              <w:rPr/>
              <w:t>(104,105,438</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354" w:type="dxa"/>
            <w:tcBorders/>
            <w:shd w:fill="CCEEFF" w:val="clear"/>
            <w:vAlign w:val="bottom"/>
          </w:tcPr>
          <w:p>
            <w:pPr>
              <w:pStyle w:val="TableContents"/>
              <w:spacing w:before="0" w:after="283"/>
              <w:jc w:val="right"/>
              <w:rPr/>
            </w:pPr>
            <w:r>
              <w:rPr/>
              <w:t>(37,719,474</w:t>
            </w:r>
          </w:p>
        </w:tc>
        <w:tc>
          <w:tcPr>
            <w:tcW w:w="161" w:type="dxa"/>
            <w:tcBorders/>
            <w:shd w:fill="CCEEFF" w:val="clear"/>
            <w:vAlign w:val="bottom"/>
          </w:tcPr>
          <w:p>
            <w:pPr>
              <w:pStyle w:val="TableContents"/>
              <w:spacing w:before="0" w:after="283"/>
              <w:rPr/>
            </w:pPr>
            <w:r>
              <w:rPr/>
              <w:t>) </w:t>
            </w:r>
          </w:p>
        </w:tc>
      </w:tr>
      <w:tr>
        <w:trPr/>
        <w:tc>
          <w:tcPr>
            <w:tcW w:w="3884" w:type="dxa"/>
            <w:tcBorders/>
            <w:shd w:fill="auto" w:val="clear"/>
          </w:tcPr>
          <w:p>
            <w:pPr>
              <w:pStyle w:val="TableContents"/>
              <w:spacing w:before="0" w:after="0"/>
              <w:rPr>
                <w:rFonts w:ascii="Times New Roman" w:hAnsi="Times New Roman"/>
                <w:sz w:val="20"/>
              </w:rPr>
            </w:pPr>
            <w:r>
              <w:rPr>
                <w:rFonts w:ascii="Times New Roman" w:hAnsi="Times New Roman"/>
                <w:sz w:val="20"/>
              </w:rPr>
              <w:t>Add (subtract)</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48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35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884"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33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7" w:type="dxa"/>
            <w:tcBorders/>
            <w:shd w:fill="CCEEFF" w:val="clear"/>
            <w:vAlign w:val="bottom"/>
          </w:tcPr>
          <w:p>
            <w:pPr>
              <w:pStyle w:val="TableContents"/>
              <w:spacing w:before="0" w:after="283"/>
              <w:jc w:val="right"/>
              <w:rPr/>
            </w:pPr>
            <w:r>
              <w:rPr/>
              <w:t>3,884,698</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4" w:type="dxa"/>
            <w:tcBorders/>
            <w:shd w:fill="CCEEFF" w:val="clear"/>
            <w:vAlign w:val="bottom"/>
          </w:tcPr>
          <w:p>
            <w:pPr>
              <w:pStyle w:val="TableContents"/>
              <w:spacing w:before="0" w:after="283"/>
              <w:jc w:val="right"/>
              <w:rPr/>
            </w:pPr>
            <w:r>
              <w:rPr/>
              <w:t>301,594</w:t>
            </w:r>
          </w:p>
        </w:tc>
        <w:tc>
          <w:tcPr>
            <w:tcW w:w="161" w:type="dxa"/>
            <w:tcBorders/>
            <w:shd w:fill="CCEEFF" w:val="clear"/>
            <w:vAlign w:val="bottom"/>
          </w:tcPr>
          <w:p>
            <w:pPr>
              <w:pStyle w:val="TableContents"/>
              <w:spacing w:before="0" w:after="283"/>
              <w:rPr/>
            </w:pPr>
            <w:r>
              <w:rPr/>
              <w:t> </w:t>
            </w:r>
          </w:p>
        </w:tc>
      </w:tr>
      <w:tr>
        <w:trPr/>
        <w:tc>
          <w:tcPr>
            <w:tcW w:w="3884"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income tax expense (benefit)</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7" w:type="dxa"/>
            <w:tcBorders/>
            <w:shd w:fill="auto" w:val="clear"/>
            <w:vAlign w:val="bottom"/>
          </w:tcPr>
          <w:p>
            <w:pPr>
              <w:pStyle w:val="TableContents"/>
              <w:spacing w:before="0" w:after="283"/>
              <w:jc w:val="right"/>
              <w:rPr/>
            </w:pPr>
            <w:r>
              <w:rPr/>
              <w:t>(115,447</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4" w:type="dxa"/>
            <w:tcBorders/>
            <w:shd w:fill="auto" w:val="clear"/>
            <w:vAlign w:val="bottom"/>
          </w:tcPr>
          <w:p>
            <w:pPr>
              <w:pStyle w:val="TableContents"/>
              <w:spacing w:before="0" w:after="283"/>
              <w:jc w:val="right"/>
              <w:rPr/>
            </w:pPr>
            <w:r>
              <w:rPr/>
              <w:t>(26,755</w:t>
            </w:r>
          </w:p>
        </w:tc>
        <w:tc>
          <w:tcPr>
            <w:tcW w:w="161" w:type="dxa"/>
            <w:tcBorders/>
            <w:shd w:fill="auto" w:val="clear"/>
            <w:vAlign w:val="bottom"/>
          </w:tcPr>
          <w:p>
            <w:pPr>
              <w:pStyle w:val="TableContents"/>
              <w:spacing w:before="0" w:after="283"/>
              <w:rPr/>
            </w:pPr>
            <w:r>
              <w:rPr/>
              <w:t>) </w:t>
            </w:r>
          </w:p>
        </w:tc>
      </w:tr>
      <w:tr>
        <w:trPr/>
        <w:tc>
          <w:tcPr>
            <w:tcW w:w="3884"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33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7" w:type="dxa"/>
            <w:tcBorders/>
            <w:shd w:fill="CCEEFF" w:val="clear"/>
            <w:vAlign w:val="bottom"/>
          </w:tcPr>
          <w:p>
            <w:pPr>
              <w:pStyle w:val="TableContents"/>
              <w:spacing w:before="0" w:after="283"/>
              <w:jc w:val="right"/>
              <w:rPr/>
            </w:pPr>
            <w:r>
              <w:rPr/>
              <w:t>742,113</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4" w:type="dxa"/>
            <w:tcBorders/>
            <w:shd w:fill="CCEEFF" w:val="clear"/>
            <w:vAlign w:val="bottom"/>
          </w:tcPr>
          <w:p>
            <w:pPr>
              <w:pStyle w:val="TableContents"/>
              <w:spacing w:before="0" w:after="283"/>
              <w:jc w:val="right"/>
              <w:rPr/>
            </w:pPr>
            <w:r>
              <w:rPr/>
              <w:t>460,491</w:t>
            </w:r>
          </w:p>
        </w:tc>
        <w:tc>
          <w:tcPr>
            <w:tcW w:w="161" w:type="dxa"/>
            <w:tcBorders/>
            <w:shd w:fill="CCEEFF" w:val="clear"/>
            <w:vAlign w:val="bottom"/>
          </w:tcPr>
          <w:p>
            <w:pPr>
              <w:pStyle w:val="TableContents"/>
              <w:spacing w:before="0" w:after="283"/>
              <w:rPr/>
            </w:pPr>
            <w:r>
              <w:rPr/>
              <w:t> </w:t>
            </w:r>
          </w:p>
        </w:tc>
      </w:tr>
      <w:tr>
        <w:trPr/>
        <w:tc>
          <w:tcPr>
            <w:tcW w:w="3884"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84" w:type="dxa"/>
            <w:tcBorders/>
            <w:shd w:fill="auto" w:val="clear"/>
          </w:tcPr>
          <w:p>
            <w:pPr>
              <w:pStyle w:val="TableContents"/>
              <w:spacing w:before="0" w:after="0"/>
              <w:rPr>
                <w:rFonts w:ascii="Times New Roman" w:hAnsi="Times New Roman"/>
                <w:sz w:val="20"/>
              </w:rPr>
            </w:pPr>
            <w:r>
              <w:rPr>
                <w:rFonts w:ascii="Times New Roman" w:hAnsi="Times New Roman"/>
                <w:sz w:val="20"/>
              </w:rPr>
              <w:t>EBITDA</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487" w:type="dxa"/>
            <w:tcBorders/>
            <w:shd w:fill="auto" w:val="clear"/>
            <w:vAlign w:val="bottom"/>
          </w:tcPr>
          <w:p>
            <w:pPr>
              <w:pStyle w:val="TableContents"/>
              <w:spacing w:before="0" w:after="283"/>
              <w:jc w:val="right"/>
              <w:rPr/>
            </w:pPr>
            <w:r>
              <w:rPr/>
              <w:t>(99,594,074</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354" w:type="dxa"/>
            <w:tcBorders/>
            <w:shd w:fill="auto" w:val="clear"/>
            <w:vAlign w:val="bottom"/>
          </w:tcPr>
          <w:p>
            <w:pPr>
              <w:pStyle w:val="TableContents"/>
              <w:spacing w:before="0" w:after="283"/>
              <w:jc w:val="right"/>
              <w:rPr/>
            </w:pPr>
            <w:r>
              <w:rPr/>
              <w:t>(36,984,144</w:t>
            </w:r>
          </w:p>
        </w:tc>
        <w:tc>
          <w:tcPr>
            <w:tcW w:w="161" w:type="dxa"/>
            <w:tcBorders/>
            <w:shd w:fill="auto" w:val="clear"/>
            <w:vAlign w:val="bottom"/>
          </w:tcPr>
          <w:p>
            <w:pPr>
              <w:pStyle w:val="TableContents"/>
              <w:spacing w:before="0" w:after="283"/>
              <w:rPr/>
            </w:pPr>
            <w:r>
              <w:rPr/>
              <w:t>) </w:t>
            </w:r>
          </w:p>
        </w:tc>
      </w:tr>
      <w:tr>
        <w:trPr/>
        <w:tc>
          <w:tcPr>
            <w:tcW w:w="3884"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We have booked transaction-related costs in each of the years ended December 31, 2022 and December 31, 2021. PCAOB audit and U.S. legal counsel costs for the periods under review have been accrued as incurred in the year ended December 31, 2022. </w:t>
      </w:r>
    </w:p>
    <w:p>
      <w:pPr>
        <w:pStyle w:val="TextBody"/>
        <w:spacing w:before="360" w:after="0"/>
        <w:jc w:val="left"/>
        <w:rPr>
          <w:rFonts w:ascii="Times New Roman" w:hAnsi="Times New Roman"/>
          <w:b/>
          <w:i/>
          <w:sz w:val="20"/>
        </w:rPr>
      </w:pPr>
      <w:r>
        <w:rPr>
          <w:rFonts w:ascii="Times New Roman" w:hAnsi="Times New Roman"/>
          <w:b/>
          <w:i/>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or contractual commitments;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our interest expense, or the cash requirements to service interest or principal payments on, our indebtedness;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our tax expense or the cash requirements to pay our taxes;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does not reflect the impact on earnings or changes resulting from matters that we consider not to be indicative of our future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or amortized will often need to be replaced in the future, and Adjusted EBITDA does not reflect any cash requirements for these replacements;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companies may calculate Adjusted EBITDA differently than we do. </w:t>
            </w:r>
          </w:p>
        </w:tc>
      </w:tr>
    </w:tbl>
    <w:p>
      <w:pPr>
        <w:pStyle w:val="TextBody"/>
        <w:spacing w:before="240" w:after="0"/>
        <w:jc w:val="left"/>
        <w:rPr>
          <w:rFonts w:ascii="Times New Roman" w:hAnsi="Times New Roman"/>
          <w:sz w:val="20"/>
        </w:rPr>
      </w:pPr>
      <w:r>
        <w:rPr>
          <w:rFonts w:ascii="Times New Roman" w:hAnsi="Times New Roman"/>
          <w:sz w:val="20"/>
        </w:rPr>
        <w:t xml:space="preserve">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 </w:t>
      </w:r>
    </w:p>
    <w:p>
      <w:pPr>
        <w:pStyle w:val="TextBody"/>
        <w:spacing w:before="240" w:after="0"/>
        <w:jc w:val="left"/>
        <w:rPr>
          <w:rFonts w:ascii="Times New Roman" w:hAnsi="Times New Roman"/>
          <w:sz w:val="20"/>
        </w:rPr>
      </w:pPr>
      <w:r>
        <w:rPr>
          <w:rFonts w:ascii="Times New Roman" w:hAnsi="Times New Roman"/>
          <w:sz w:val="20"/>
        </w:rPr>
        <w:t xml:space="preserve">The table below provides a reconciliation of our net income (loss) to Adjusted EBITDA: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883"/>
        <w:gridCol w:w="335"/>
        <w:gridCol w:w="146"/>
        <w:gridCol w:w="1491"/>
        <w:gridCol w:w="156"/>
        <w:gridCol w:w="335"/>
        <w:gridCol w:w="146"/>
        <w:gridCol w:w="1358"/>
        <w:gridCol w:w="159"/>
      </w:tblGrid>
      <w:tr>
        <w:trPr/>
        <w:tc>
          <w:tcPr>
            <w:tcW w:w="388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88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363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59"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6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59" w:type="dxa"/>
            <w:tcBorders/>
            <w:shd w:fill="auto" w:val="clear"/>
            <w:vAlign w:val="bottom"/>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Net income (loss)</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491" w:type="dxa"/>
            <w:tcBorders/>
            <w:shd w:fill="CCEEFF" w:val="clear"/>
            <w:vAlign w:val="bottom"/>
          </w:tcPr>
          <w:p>
            <w:pPr>
              <w:pStyle w:val="TableContents"/>
              <w:spacing w:before="0" w:after="283"/>
              <w:jc w:val="right"/>
              <w:rPr/>
            </w:pPr>
            <w:r>
              <w:rPr/>
              <w:t>(104,105,438</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358" w:type="dxa"/>
            <w:tcBorders/>
            <w:shd w:fill="CCEEFF" w:val="clear"/>
            <w:vAlign w:val="bottom"/>
          </w:tcPr>
          <w:p>
            <w:pPr>
              <w:pStyle w:val="TableContents"/>
              <w:spacing w:before="0" w:after="283"/>
              <w:jc w:val="right"/>
              <w:rPr/>
            </w:pPr>
            <w:r>
              <w:rPr/>
              <w:t>(37,719,474</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Add (subtract)</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49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358"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3,884,698</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58" w:type="dxa"/>
            <w:tcBorders/>
            <w:shd w:fill="CCEEFF" w:val="clear"/>
            <w:vAlign w:val="bottom"/>
          </w:tcPr>
          <w:p>
            <w:pPr>
              <w:pStyle w:val="TableContents"/>
              <w:spacing w:before="0" w:after="283"/>
              <w:jc w:val="right"/>
              <w:rPr/>
            </w:pPr>
            <w:r>
              <w:rPr/>
              <w:t>301,594</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income tax expense (benefit)</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(115,447</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58" w:type="dxa"/>
            <w:tcBorders/>
            <w:shd w:fill="auto" w:val="clear"/>
            <w:vAlign w:val="bottom"/>
          </w:tcPr>
          <w:p>
            <w:pPr>
              <w:pStyle w:val="TableContents"/>
              <w:spacing w:before="0" w:after="283"/>
              <w:jc w:val="right"/>
              <w:rPr/>
            </w:pPr>
            <w:r>
              <w:rPr/>
              <w:t>(26,755</w:t>
            </w:r>
          </w:p>
        </w:tc>
        <w:tc>
          <w:tcPr>
            <w:tcW w:w="159" w:type="dxa"/>
            <w:tcBorders/>
            <w:shd w:fill="auto" w:val="clear"/>
            <w:vAlign w:val="bottom"/>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742,113</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58" w:type="dxa"/>
            <w:tcBorders/>
            <w:shd w:fill="CCEEFF" w:val="clear"/>
            <w:vAlign w:val="bottom"/>
          </w:tcPr>
          <w:p>
            <w:pPr>
              <w:pStyle w:val="TableContents"/>
              <w:spacing w:before="0" w:after="283"/>
              <w:jc w:val="right"/>
              <w:rPr/>
            </w:pPr>
            <w:r>
              <w:rPr/>
              <w:t>460,491</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9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5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EBITDA</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491" w:type="dxa"/>
            <w:tcBorders/>
            <w:shd w:fill="auto" w:val="clear"/>
            <w:vAlign w:val="bottom"/>
          </w:tcPr>
          <w:p>
            <w:pPr>
              <w:pStyle w:val="TableContents"/>
              <w:spacing w:before="0" w:after="283"/>
              <w:jc w:val="right"/>
              <w:rPr/>
            </w:pPr>
            <w:r>
              <w:rPr/>
              <w:t>(99,594,074</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358" w:type="dxa"/>
            <w:tcBorders/>
            <w:shd w:fill="auto" w:val="clear"/>
            <w:vAlign w:val="bottom"/>
          </w:tcPr>
          <w:p>
            <w:pPr>
              <w:pStyle w:val="TableContents"/>
              <w:spacing w:before="0" w:after="283"/>
              <w:jc w:val="right"/>
              <w:rPr/>
            </w:pPr>
            <w:r>
              <w:rPr/>
              <w:t>(36,984,144</w:t>
            </w:r>
          </w:p>
        </w:tc>
        <w:tc>
          <w:tcPr>
            <w:tcW w:w="159"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491"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358"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Add (subtract)</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49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358"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Unrealized foreign exchange (gain) loss</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(277,838</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58" w:type="dxa"/>
            <w:tcBorders/>
            <w:shd w:fill="auto" w:val="clear"/>
            <w:vAlign w:val="bottom"/>
          </w:tcPr>
          <w:p>
            <w:pPr>
              <w:pStyle w:val="TableContents"/>
              <w:spacing w:before="0" w:after="283"/>
              <w:jc w:val="right"/>
              <w:rPr/>
            </w:pPr>
            <w:r>
              <w:rPr/>
              <w:t>714,914</w:t>
            </w:r>
          </w:p>
        </w:tc>
        <w:tc>
          <w:tcPr>
            <w:tcW w:w="159" w:type="dxa"/>
            <w:tcBorders/>
            <w:shd w:fill="auto" w:val="clear"/>
            <w:vAlign w:val="bottom"/>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7,418,302</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58"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prepayments and other current assets</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731,940</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58"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accounts receivable</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334,952</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58"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Business development expenses</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7,136,168</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58" w:type="dxa"/>
            <w:tcBorders/>
            <w:shd w:fill="auto" w:val="clear"/>
            <w:vAlign w:val="bottom"/>
          </w:tcPr>
          <w:p>
            <w:pPr>
              <w:pStyle w:val="TableContents"/>
              <w:spacing w:before="0" w:after="283"/>
              <w:jc w:val="right"/>
              <w:rPr/>
            </w:pPr>
            <w:r>
              <w:rPr/>
              <w:t>5,207,046</w:t>
            </w:r>
          </w:p>
        </w:tc>
        <w:tc>
          <w:tcPr>
            <w:tcW w:w="159" w:type="dxa"/>
            <w:tcBorders/>
            <w:shd w:fill="auto" w:val="clear"/>
            <w:vAlign w:val="bottom"/>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Share based compensation issued to related parties</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39,501,701</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58" w:type="dxa"/>
            <w:tcBorders/>
            <w:shd w:fill="CCEEFF" w:val="clear"/>
            <w:vAlign w:val="bottom"/>
          </w:tcPr>
          <w:p>
            <w:pPr>
              <w:pStyle w:val="TableContents"/>
              <w:spacing w:before="0" w:after="283"/>
              <w:jc w:val="right"/>
              <w:rPr/>
            </w:pPr>
            <w:r>
              <w:rPr/>
              <w:t>13,227,220</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Share based compensation for consultancy services</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jc w:val="right"/>
              <w:rPr/>
            </w:pPr>
            <w:r>
              <w:rPr/>
              <w:t>18,417,816</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58" w:type="dxa"/>
            <w:tcBorders/>
            <w:shd w:fill="auto" w:val="clear"/>
            <w:vAlign w:val="bottom"/>
          </w:tcPr>
          <w:p>
            <w:pPr>
              <w:pStyle w:val="TableContents"/>
              <w:spacing w:before="0" w:after="283"/>
              <w:jc w:val="right"/>
              <w:rPr/>
            </w:pPr>
            <w:r>
              <w:rPr/>
              <w:t>3,460,799</w:t>
            </w:r>
          </w:p>
        </w:tc>
        <w:tc>
          <w:tcPr>
            <w:tcW w:w="159" w:type="dxa"/>
            <w:tcBorders/>
            <w:shd w:fill="auto" w:val="clear"/>
            <w:vAlign w:val="bottom"/>
          </w:tcPr>
          <w:p>
            <w:pPr>
              <w:pStyle w:val="TableContents"/>
              <w:spacing w:before="0" w:after="283"/>
              <w:rPr/>
            </w:pPr>
            <w:r>
              <w:rPr/>
              <w:t> </w:t>
            </w:r>
          </w:p>
        </w:tc>
      </w:tr>
      <w:tr>
        <w:trPr/>
        <w:tc>
          <w:tcPr>
            <w:tcW w:w="3883" w:type="dxa"/>
            <w:tcBorders/>
            <w:shd w:fill="CCEEFF" w:val="clear"/>
          </w:tcPr>
          <w:p>
            <w:pPr>
              <w:pStyle w:val="TableContents"/>
              <w:spacing w:before="0" w:after="0"/>
              <w:rPr>
                <w:rFonts w:ascii="Times New Roman" w:hAnsi="Times New Roman"/>
                <w:sz w:val="20"/>
              </w:rPr>
            </w:pPr>
            <w:r>
              <w:rPr>
                <w:rFonts w:ascii="Times New Roman" w:hAnsi="Times New Roman"/>
                <w:sz w:val="20"/>
              </w:rPr>
              <w:t>Employee and Other Share-based compensation</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91" w:type="dxa"/>
            <w:tcBorders/>
            <w:shd w:fill="CCEEFF" w:val="clear"/>
            <w:vAlign w:val="bottom"/>
          </w:tcPr>
          <w:p>
            <w:pPr>
              <w:pStyle w:val="TableContents"/>
              <w:spacing w:before="0" w:after="283"/>
              <w:jc w:val="right"/>
              <w:rPr/>
            </w:pPr>
            <w:r>
              <w:rPr/>
              <w:t>2,115,015</w:t>
            </w:r>
          </w:p>
        </w:tc>
        <w:tc>
          <w:tcPr>
            <w:tcW w:w="156"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58" w:type="dxa"/>
            <w:tcBorders/>
            <w:shd w:fill="CCEEFF" w:val="clear"/>
            <w:vAlign w:val="bottom"/>
          </w:tcPr>
          <w:p>
            <w:pPr>
              <w:pStyle w:val="TableContents"/>
              <w:spacing w:before="0" w:after="283"/>
              <w:jc w:val="right"/>
              <w:rPr/>
            </w:pPr>
            <w:r>
              <w:rPr/>
              <w:t>1,029,779</w:t>
            </w:r>
          </w:p>
        </w:tc>
        <w:tc>
          <w:tcPr>
            <w:tcW w:w="159" w:type="dxa"/>
            <w:tcBorders/>
            <w:shd w:fill="CCEEFF"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9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5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883" w:type="dxa"/>
            <w:tcBorders/>
            <w:shd w:fill="auto" w:val="clear"/>
          </w:tcPr>
          <w:p>
            <w:pPr>
              <w:pStyle w:val="TableContents"/>
              <w:spacing w:before="0" w:after="0"/>
              <w:rPr>
                <w:rFonts w:ascii="Times New Roman" w:hAnsi="Times New Roman"/>
                <w:sz w:val="20"/>
              </w:rPr>
            </w:pPr>
            <w:r>
              <w:rPr>
                <w:rFonts w:ascii="Times New Roman" w:hAnsi="Times New Roman"/>
                <w:sz w:val="20"/>
              </w:rPr>
              <w:t>Adjusted EBITDA</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491" w:type="dxa"/>
            <w:tcBorders/>
            <w:shd w:fill="auto" w:val="clear"/>
            <w:vAlign w:val="bottom"/>
          </w:tcPr>
          <w:p>
            <w:pPr>
              <w:pStyle w:val="TableContents"/>
              <w:spacing w:before="0" w:after="283"/>
              <w:jc w:val="right"/>
              <w:rPr/>
            </w:pPr>
            <w:r>
              <w:rPr/>
              <w:t>(24,216,018</w:t>
            </w:r>
          </w:p>
        </w:tc>
        <w:tc>
          <w:tcPr>
            <w:tcW w:w="156"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358" w:type="dxa"/>
            <w:tcBorders/>
            <w:shd w:fill="auto" w:val="clear"/>
            <w:vAlign w:val="bottom"/>
          </w:tcPr>
          <w:p>
            <w:pPr>
              <w:pStyle w:val="TableContents"/>
              <w:spacing w:before="0" w:after="283"/>
              <w:jc w:val="right"/>
              <w:rPr/>
            </w:pPr>
            <w:r>
              <w:rPr/>
              <w:t>(13,344,386</w:t>
            </w:r>
          </w:p>
        </w:tc>
        <w:tc>
          <w:tcPr>
            <w:tcW w:w="159" w:type="dxa"/>
            <w:tcBorders/>
            <w:shd w:fill="auto" w:val="clear"/>
            <w:vAlign w:val="bottom"/>
          </w:tcPr>
          <w:p>
            <w:pPr>
              <w:pStyle w:val="TableContents"/>
              <w:spacing w:before="0" w:after="283"/>
              <w:rPr/>
            </w:pPr>
            <w:r>
              <w:rPr/>
              <w:t>) </w:t>
            </w:r>
          </w:p>
        </w:tc>
      </w:tr>
      <w:tr>
        <w:trPr/>
        <w:tc>
          <w:tcPr>
            <w:tcW w:w="3883"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9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58"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i/>
          <w:sz w:val="20"/>
        </w:rPr>
      </w:pPr>
      <w:r>
        <w:rPr>
          <w:rFonts w:ascii="Times New Roman" w:hAnsi="Times New Roman"/>
          <w:b/>
          <w:i/>
          <w:sz w:val="20"/>
        </w:rPr>
        <w:t xml:space="preserve">Total Number of Merchants </w:t>
      </w:r>
    </w:p>
    <w:p>
      <w:pPr>
        <w:pStyle w:val="TextBody"/>
        <w:spacing w:before="120" w:after="0"/>
        <w:jc w:val="left"/>
        <w:rPr>
          <w:rFonts w:ascii="Times New Roman" w:hAnsi="Times New Roman"/>
          <w:sz w:val="20"/>
        </w:rPr>
      </w:pPr>
      <w:r>
        <w:rPr>
          <w:rFonts w:ascii="Times New Roman" w:hAnsi="Times New Roman"/>
          <w:sz w:val="20"/>
        </w:rPr>
        <w:t xml:space="preserve">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The following tables set forth our consolidated statements of operations in dollar amounts and as a percentage of total revenues for each period presented: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08"/>
        <w:gridCol w:w="332"/>
        <w:gridCol w:w="145"/>
        <w:gridCol w:w="1482"/>
        <w:gridCol w:w="155"/>
        <w:gridCol w:w="332"/>
        <w:gridCol w:w="145"/>
        <w:gridCol w:w="1350"/>
        <w:gridCol w:w="160"/>
      </w:tblGrid>
      <w:tr>
        <w:trPr/>
        <w:tc>
          <w:tcPr>
            <w:tcW w:w="390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360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0" w:type="dxa"/>
            <w:tcBorders/>
            <w:shd w:fill="auto"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0" w:type="dxa"/>
            <w:tcBorders/>
            <w:shd w:fill="auto" w:val="clear"/>
            <w:vAlign w:val="bottom"/>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4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35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Radio advertisements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482" w:type="dxa"/>
            <w:tcBorders/>
            <w:shd w:fill="auto" w:val="clear"/>
            <w:vAlign w:val="bottom"/>
          </w:tcPr>
          <w:p>
            <w:pPr>
              <w:pStyle w:val="TableContents"/>
              <w:spacing w:before="0" w:after="283"/>
              <w:jc w:val="right"/>
              <w:rPr/>
            </w:pPr>
            <w:r>
              <w:rPr/>
              <w:t>12,210,593</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350" w:type="dxa"/>
            <w:tcBorders/>
            <w:shd w:fill="auto" w:val="clear"/>
            <w:vAlign w:val="bottom"/>
          </w:tcPr>
          <w:p>
            <w:pPr>
              <w:pStyle w:val="TableContents"/>
              <w:spacing w:before="0" w:after="283"/>
              <w:jc w:val="right"/>
              <w:rPr/>
            </w:pPr>
            <w:r>
              <w:rPr/>
              <w:t>3,842,207</w:t>
            </w:r>
          </w:p>
        </w:tc>
        <w:tc>
          <w:tcPr>
            <w:tcW w:w="160" w:type="dxa"/>
            <w:tcBorders/>
            <w:shd w:fill="auto" w:val="clear"/>
            <w:vAlign w:val="bottom"/>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115,160</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62,367</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Total revenues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12,325,753</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3,904,574</w:t>
            </w:r>
          </w:p>
        </w:tc>
        <w:tc>
          <w:tcPr>
            <w:tcW w:w="160" w:type="dxa"/>
            <w:tcBorders/>
            <w:shd w:fill="auto"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48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35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Cost of revenues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5,318,599</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1,741,022</w:t>
            </w:r>
          </w:p>
        </w:tc>
        <w:tc>
          <w:tcPr>
            <w:tcW w:w="160" w:type="dxa"/>
            <w:tcBorders/>
            <w:shd w:fill="auto" w:val="clear"/>
            <w:vAlign w:val="bottom"/>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Employee benefit expenses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10,666,299</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18,418,778</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Consultancy expenses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67,681,543</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8,599,630</w:t>
            </w:r>
          </w:p>
        </w:tc>
        <w:tc>
          <w:tcPr>
            <w:tcW w:w="160" w:type="dxa"/>
            <w:tcBorders/>
            <w:shd w:fill="auto" w:val="clear"/>
            <w:vAlign w:val="bottom"/>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Sales and marketing expenses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3,123,820</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387,085</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Business development expenses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7,136,168</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5,207,046</w:t>
            </w:r>
          </w:p>
        </w:tc>
        <w:tc>
          <w:tcPr>
            <w:tcW w:w="160" w:type="dxa"/>
            <w:tcBorders/>
            <w:shd w:fill="auto" w:val="clear"/>
            <w:vAlign w:val="bottom"/>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9,823,776</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5,324,468</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p>
            <w:pPr>
              <w:pStyle w:val="TableContents"/>
              <w:spacing w:before="0" w:after="20"/>
              <w:rPr>
                <w:rFonts w:ascii="Times New Roman" w:hAnsi="Times New Roman"/>
                <w:sz w:val="20"/>
              </w:rPr>
            </w:pPr>
            <w:r>
              <w:rPr>
                <w:rFonts w:ascii="Times New Roman" w:hAnsi="Times New Roman"/>
                <w:sz w:val="20"/>
              </w:rPr>
              <w:t>expenses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742,113</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460,491</w:t>
            </w:r>
          </w:p>
        </w:tc>
        <w:tc>
          <w:tcPr>
            <w:tcW w:w="160" w:type="dxa"/>
            <w:tcBorders/>
            <w:shd w:fill="auto" w:val="clear"/>
            <w:vAlign w:val="bottom"/>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7,418,302</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111,910,620</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40,138,520</w:t>
            </w:r>
          </w:p>
        </w:tc>
        <w:tc>
          <w:tcPr>
            <w:tcW w:w="160" w:type="dxa"/>
            <w:tcBorders/>
            <w:shd w:fill="auto"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loss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(99,584,867</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(36,233,946</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Other expenses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48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35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(3,884,698</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(301,594</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Other non-operating expense, net</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(751,320</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(1,210,690</w:t>
            </w:r>
          </w:p>
        </w:tc>
        <w:tc>
          <w:tcPr>
            <w:tcW w:w="160" w:type="dxa"/>
            <w:tcBorders/>
            <w:shd w:fill="auto"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Total other expenses</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(4,636,018</w:t>
            </w:r>
          </w:p>
        </w:tc>
        <w:tc>
          <w:tcPr>
            <w:tcW w:w="15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(1,512,284</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Loss before taxes</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(104,220,885</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350" w:type="dxa"/>
            <w:tcBorders/>
            <w:shd w:fill="auto" w:val="clear"/>
            <w:vAlign w:val="bottom"/>
          </w:tcPr>
          <w:p>
            <w:pPr>
              <w:pStyle w:val="TableContents"/>
              <w:spacing w:before="0" w:after="283"/>
              <w:jc w:val="right"/>
              <w:rPr/>
            </w:pPr>
            <w:r>
              <w:rPr/>
              <w:t>(37,746,230</w:t>
            </w:r>
          </w:p>
        </w:tc>
        <w:tc>
          <w:tcPr>
            <w:tcW w:w="160" w:type="dxa"/>
            <w:tcBorders/>
            <w:shd w:fill="auto"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benefit</w:t>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115,447</w:t>
            </w:r>
          </w:p>
        </w:tc>
        <w:tc>
          <w:tcPr>
            <w:tcW w:w="155" w:type="dxa"/>
            <w:tcBorders/>
            <w:shd w:fill="CCEEFF" w:val="clear"/>
            <w:vAlign w:val="bottom"/>
          </w:tcPr>
          <w:p>
            <w:pPr>
              <w:pStyle w:val="TableContents"/>
              <w:spacing w:before="0" w:after="283"/>
              <w:rPr>
                <w:sz w:val="4"/>
                <w:szCs w:val="4"/>
              </w:rPr>
            </w:pPr>
            <w:r>
              <w:rPr>
                <w:sz w:val="4"/>
                <w:szCs w:val="4"/>
              </w:rPr>
            </w:r>
          </w:p>
        </w:tc>
        <w:tc>
          <w:tcPr>
            <w:tcW w:w="332"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350" w:type="dxa"/>
            <w:tcBorders/>
            <w:shd w:fill="CCEEFF" w:val="clear"/>
            <w:vAlign w:val="bottom"/>
          </w:tcPr>
          <w:p>
            <w:pPr>
              <w:pStyle w:val="TableContents"/>
              <w:spacing w:before="0" w:after="283"/>
              <w:jc w:val="right"/>
              <w:rPr/>
            </w:pPr>
            <w:r>
              <w:rPr/>
              <w:t>26,755</w:t>
            </w:r>
          </w:p>
        </w:tc>
        <w:tc>
          <w:tcPr>
            <w:tcW w:w="160" w:type="dxa"/>
            <w:tcBorders/>
            <w:shd w:fill="CCEEFF"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8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35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908" w:type="dxa"/>
            <w:tcBorders/>
            <w:shd w:fill="auto" w:val="clear"/>
          </w:tcPr>
          <w:p>
            <w:pPr>
              <w:pStyle w:val="TableContents"/>
              <w:spacing w:before="0" w:after="0"/>
              <w:rPr>
                <w:rFonts w:ascii="Times New Roman" w:hAnsi="Times New Roman"/>
                <w:sz w:val="20"/>
              </w:rPr>
            </w:pPr>
            <w:r>
              <w:rPr>
                <w:rFonts w:ascii="Times New Roman" w:hAnsi="Times New Roman"/>
                <w:sz w:val="20"/>
              </w:rPr>
              <w:t>Net loss for the year</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482" w:type="dxa"/>
            <w:tcBorders/>
            <w:shd w:fill="auto" w:val="clear"/>
            <w:vAlign w:val="bottom"/>
          </w:tcPr>
          <w:p>
            <w:pPr>
              <w:pStyle w:val="TableContents"/>
              <w:spacing w:before="0" w:after="283"/>
              <w:jc w:val="right"/>
              <w:rPr/>
            </w:pPr>
            <w:r>
              <w:rPr/>
              <w:t>(104,105,438</w:t>
            </w:r>
          </w:p>
        </w:tc>
        <w:tc>
          <w:tcPr>
            <w:tcW w:w="15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350" w:type="dxa"/>
            <w:tcBorders/>
            <w:shd w:fill="auto" w:val="clear"/>
            <w:vAlign w:val="bottom"/>
          </w:tcPr>
          <w:p>
            <w:pPr>
              <w:pStyle w:val="TableContents"/>
              <w:spacing w:before="0" w:after="283"/>
              <w:jc w:val="right"/>
              <w:rPr/>
            </w:pPr>
            <w:r>
              <w:rPr/>
              <w:t>(37,719,475</w:t>
            </w:r>
          </w:p>
        </w:tc>
        <w:tc>
          <w:tcPr>
            <w:tcW w:w="160" w:type="dxa"/>
            <w:tcBorders/>
            <w:shd w:fill="auto" w:val="clear"/>
            <w:vAlign w:val="bottom"/>
          </w:tcPr>
          <w:p>
            <w:pPr>
              <w:pStyle w:val="TableContents"/>
              <w:spacing w:before="0" w:after="283"/>
              <w:rPr/>
            </w:pPr>
            <w:r>
              <w:rPr/>
              <w:t>) </w:t>
            </w:r>
          </w:p>
        </w:tc>
      </w:tr>
      <w:tr>
        <w:trPr/>
        <w:tc>
          <w:tcPr>
            <w:tcW w:w="3908"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48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350"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Comparison of year ended December 31, 2022 and 2021 </w:t>
      </w:r>
    </w:p>
    <w:p>
      <w:pPr>
        <w:pStyle w:val="TextBody"/>
        <w:spacing w:before="120" w:after="0"/>
        <w:jc w:val="left"/>
        <w:rPr>
          <w:rFonts w:ascii="Times New Roman" w:hAnsi="Times New Roman"/>
          <w:b/>
          <w:i/>
          <w:sz w:val="20"/>
        </w:rPr>
      </w:pPr>
      <w:r>
        <w:rPr>
          <w:rFonts w:ascii="Times New Roman" w:hAnsi="Times New Roman"/>
          <w:b/>
          <w:i/>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The following shows total revenues from sale of radio advertisements and ticketing transactions for the year ended December 31, 2022, as compared to the year ended December 31, 2021: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570"/>
        <w:gridCol w:w="295"/>
        <w:gridCol w:w="164"/>
        <w:gridCol w:w="1297"/>
        <w:gridCol w:w="60"/>
        <w:gridCol w:w="295"/>
        <w:gridCol w:w="164"/>
        <w:gridCol w:w="1149"/>
        <w:gridCol w:w="60"/>
        <w:gridCol w:w="295"/>
        <w:gridCol w:w="140"/>
        <w:gridCol w:w="1100"/>
        <w:gridCol w:w="60"/>
        <w:gridCol w:w="295"/>
        <w:gridCol w:w="60"/>
        <w:gridCol w:w="410"/>
        <w:gridCol w:w="281"/>
      </w:tblGrid>
      <w:tr>
        <w:trPr/>
        <w:tc>
          <w:tcPr>
            <w:tcW w:w="357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357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312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206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281" w:type="dxa"/>
            <w:tcBorders/>
            <w:shd w:fill="auto" w:val="clear"/>
            <w:vAlign w:val="bottom"/>
          </w:tcPr>
          <w:p>
            <w:pPr>
              <w:pStyle w:val="TableContents"/>
              <w:spacing w:before="0" w:after="283"/>
              <w:rPr/>
            </w:pPr>
            <w:r>
              <w:rPr/>
              <w:t> </w:t>
            </w:r>
          </w:p>
        </w:tc>
      </w:tr>
      <w:tr>
        <w:trPr/>
        <w:tc>
          <w:tcPr>
            <w:tcW w:w="357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4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281" w:type="dxa"/>
            <w:tcBorders/>
            <w:shd w:fill="auto" w:val="clear"/>
            <w:vAlign w:val="bottom"/>
          </w:tcPr>
          <w:p>
            <w:pPr>
              <w:pStyle w:val="TableContents"/>
              <w:spacing w:before="0" w:after="283"/>
              <w:rPr/>
            </w:pPr>
            <w:r>
              <w:rPr/>
              <w:t> </w:t>
            </w:r>
          </w:p>
        </w:tc>
      </w:tr>
      <w:tr>
        <w:trPr/>
        <w:tc>
          <w:tcPr>
            <w:tcW w:w="3570"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29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29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14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10"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r>
      <w:tr>
        <w:trPr/>
        <w:tc>
          <w:tcPr>
            <w:tcW w:w="3570" w:type="dxa"/>
            <w:tcBorders/>
            <w:shd w:fill="auto" w:val="clear"/>
          </w:tcPr>
          <w:p>
            <w:pPr>
              <w:pStyle w:val="TableContents"/>
              <w:spacing w:before="0" w:after="0"/>
              <w:rPr>
                <w:rFonts w:ascii="Times New Roman" w:hAnsi="Times New Roman"/>
                <w:sz w:val="20"/>
              </w:rPr>
            </w:pPr>
            <w:r>
              <w:rPr>
                <w:rFonts w:ascii="Times New Roman" w:hAnsi="Times New Roman"/>
                <w:sz w:val="20"/>
              </w:rPr>
              <w:t>Radio advertisements</w:t>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297" w:type="dxa"/>
            <w:tcBorders/>
            <w:shd w:fill="auto" w:val="clear"/>
            <w:vAlign w:val="bottom"/>
          </w:tcPr>
          <w:p>
            <w:pPr>
              <w:pStyle w:val="TableContents"/>
              <w:spacing w:before="0" w:after="283"/>
              <w:jc w:val="right"/>
              <w:rPr/>
            </w:pPr>
            <w:r>
              <w:rPr/>
              <w:t>12,210,593</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149" w:type="dxa"/>
            <w:tcBorders/>
            <w:shd w:fill="auto" w:val="clear"/>
            <w:vAlign w:val="bottom"/>
          </w:tcPr>
          <w:p>
            <w:pPr>
              <w:pStyle w:val="TableContents"/>
              <w:spacing w:before="0" w:after="283"/>
              <w:jc w:val="right"/>
              <w:rPr/>
            </w:pPr>
            <w:r>
              <w:rPr/>
              <w:t>3,842,207</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8,368,386</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218</w:t>
            </w:r>
          </w:p>
        </w:tc>
        <w:tc>
          <w:tcPr>
            <w:tcW w:w="281" w:type="dxa"/>
            <w:tcBorders/>
            <w:shd w:fill="auto" w:val="clear"/>
            <w:vAlign w:val="bottom"/>
          </w:tcPr>
          <w:p>
            <w:pPr>
              <w:pStyle w:val="TableContents"/>
              <w:spacing w:before="0" w:after="283"/>
              <w:rPr/>
            </w:pPr>
            <w:r>
              <w:rPr/>
              <w:t>% </w:t>
            </w:r>
          </w:p>
        </w:tc>
      </w:tr>
      <w:tr>
        <w:trPr/>
        <w:tc>
          <w:tcPr>
            <w:tcW w:w="3570"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29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115,160</w:t>
            </w:r>
          </w:p>
        </w:tc>
        <w:tc>
          <w:tcPr>
            <w:tcW w:w="6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149" w:type="dxa"/>
            <w:tcBorders/>
            <w:shd w:fill="CCEEFF" w:val="clear"/>
            <w:vAlign w:val="bottom"/>
          </w:tcPr>
          <w:p>
            <w:pPr>
              <w:pStyle w:val="TableContents"/>
              <w:spacing w:before="0" w:after="283"/>
              <w:jc w:val="right"/>
              <w:rPr/>
            </w:pPr>
            <w:r>
              <w:rPr/>
              <w:t>62,367</w:t>
            </w:r>
          </w:p>
        </w:tc>
        <w:tc>
          <w:tcPr>
            <w:tcW w:w="6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52,793</w:t>
            </w:r>
          </w:p>
        </w:tc>
        <w:tc>
          <w:tcPr>
            <w:tcW w:w="6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10" w:type="dxa"/>
            <w:tcBorders/>
            <w:shd w:fill="CCEEFF" w:val="clear"/>
            <w:vAlign w:val="bottom"/>
          </w:tcPr>
          <w:p>
            <w:pPr>
              <w:pStyle w:val="TableContents"/>
              <w:spacing w:before="0" w:after="283"/>
              <w:jc w:val="right"/>
              <w:rPr/>
            </w:pPr>
            <w:r>
              <w:rPr/>
              <w:t>85</w:t>
            </w:r>
          </w:p>
        </w:tc>
        <w:tc>
          <w:tcPr>
            <w:tcW w:w="281" w:type="dxa"/>
            <w:tcBorders/>
            <w:shd w:fill="CCEEFF" w:val="clear"/>
            <w:vAlign w:val="bottom"/>
          </w:tcPr>
          <w:p>
            <w:pPr>
              <w:pStyle w:val="TableContents"/>
              <w:spacing w:before="0" w:after="283"/>
              <w:rPr/>
            </w:pPr>
            <w:r>
              <w:rPr/>
              <w:t>% </w:t>
            </w:r>
          </w:p>
        </w:tc>
      </w:tr>
      <w:tr>
        <w:trPr/>
        <w:tc>
          <w:tcPr>
            <w:tcW w:w="3570"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14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r>
      <w:tr>
        <w:trPr/>
        <w:tc>
          <w:tcPr>
            <w:tcW w:w="3570" w:type="dxa"/>
            <w:tcBorders/>
            <w:shd w:fill="auto" w:val="clear"/>
          </w:tcPr>
          <w:p>
            <w:pPr>
              <w:pStyle w:val="TableContents"/>
              <w:spacing w:before="0" w:after="0"/>
              <w:rPr>
                <w:rFonts w:ascii="Times New Roman" w:hAnsi="Times New Roman"/>
                <w:sz w:val="20"/>
              </w:rPr>
            </w:pPr>
            <w:r>
              <w:rPr>
                <w:rFonts w:ascii="Times New Roman" w:hAnsi="Times New Roman"/>
                <w:sz w:val="20"/>
              </w:rPr>
              <w:t>Total revenues</w:t>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297" w:type="dxa"/>
            <w:tcBorders/>
            <w:shd w:fill="auto" w:val="clear"/>
            <w:vAlign w:val="bottom"/>
          </w:tcPr>
          <w:p>
            <w:pPr>
              <w:pStyle w:val="TableContents"/>
              <w:spacing w:before="0" w:after="283"/>
              <w:jc w:val="right"/>
              <w:rPr/>
            </w:pPr>
            <w:r>
              <w:rPr/>
              <w:t>12,325,753</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149" w:type="dxa"/>
            <w:tcBorders/>
            <w:shd w:fill="auto" w:val="clear"/>
            <w:vAlign w:val="bottom"/>
          </w:tcPr>
          <w:p>
            <w:pPr>
              <w:pStyle w:val="TableContents"/>
              <w:spacing w:before="0" w:after="283"/>
              <w:jc w:val="right"/>
              <w:rPr/>
            </w:pPr>
            <w:r>
              <w:rPr/>
              <w:t>3,904,574</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8,421,179</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jc w:val="right"/>
              <w:rPr/>
            </w:pPr>
            <w:r>
              <w:rPr/>
              <w:t>216</w:t>
            </w:r>
          </w:p>
        </w:tc>
        <w:tc>
          <w:tcPr>
            <w:tcW w:w="281" w:type="dxa"/>
            <w:tcBorders/>
            <w:shd w:fill="auto" w:val="clear"/>
            <w:vAlign w:val="bottom"/>
          </w:tcPr>
          <w:p>
            <w:pPr>
              <w:pStyle w:val="TableContents"/>
              <w:spacing w:before="0" w:after="283"/>
              <w:rPr/>
            </w:pPr>
            <w:r>
              <w:rPr/>
              <w:t>% </w:t>
            </w:r>
          </w:p>
        </w:tc>
      </w:tr>
      <w:tr>
        <w:trPr/>
        <w:tc>
          <w:tcPr>
            <w:tcW w:w="3570"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129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114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Revenues increased from $3.9 million for the year ended December 31, 2021 as compared to $12.3 million for the year ended December 31, 2022 is primarily attributable to the sale of Radio advertisements representing a full year of ownership of ANY compared to four months in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spacing w:before="120" w:after="0"/>
        <w:jc w:val="left"/>
        <w:rPr>
          <w:rFonts w:ascii="Times New Roman" w:hAnsi="Times New Roman"/>
          <w:sz w:val="20"/>
        </w:rPr>
      </w:pPr>
      <w:r>
        <w:rPr>
          <w:rFonts w:ascii="Times New Roman" w:hAnsi="Times New Roman"/>
          <w:sz w:val="20"/>
        </w:rPr>
        <w:t xml:space="preserve">The following shows operating expenses for the year ended December 31, 2022, as compared to the year ended December 31, 2021: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462"/>
        <w:gridCol w:w="237"/>
        <w:gridCol w:w="153"/>
        <w:gridCol w:w="1303"/>
        <w:gridCol w:w="60"/>
        <w:gridCol w:w="237"/>
        <w:gridCol w:w="153"/>
        <w:gridCol w:w="1214"/>
        <w:gridCol w:w="60"/>
        <w:gridCol w:w="237"/>
        <w:gridCol w:w="153"/>
        <w:gridCol w:w="1213"/>
        <w:gridCol w:w="164"/>
        <w:gridCol w:w="237"/>
        <w:gridCol w:w="60"/>
        <w:gridCol w:w="381"/>
        <w:gridCol w:w="371"/>
      </w:tblGrid>
      <w:tr>
        <w:trPr/>
        <w:tc>
          <w:tcPr>
            <w:tcW w:w="346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r>
      <w:tr>
        <w:trPr/>
        <w:tc>
          <w:tcPr>
            <w:tcW w:w="34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312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220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371" w:type="dxa"/>
            <w:tcBorders/>
            <w:shd w:fill="auto" w:val="clear"/>
            <w:vAlign w:val="bottom"/>
          </w:tcPr>
          <w:p>
            <w:pPr>
              <w:pStyle w:val="TableContents"/>
              <w:spacing w:before="0" w:after="283"/>
              <w:rPr/>
            </w:pPr>
            <w:r>
              <w:rPr/>
              <w:t> </w:t>
            </w:r>
          </w:p>
        </w:tc>
      </w:tr>
      <w:tr>
        <w:trPr/>
        <w:tc>
          <w:tcPr>
            <w:tcW w:w="3462"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4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44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371"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30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21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1213"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sz w:val="4"/>
                <w:szCs w:val="4"/>
              </w:rPr>
            </w:pPr>
            <w:r>
              <w:rPr>
                <w:sz w:val="4"/>
                <w:szCs w:val="4"/>
              </w:rPr>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81" w:type="dxa"/>
            <w:tcBorders/>
            <w:shd w:fill="CCEEFF" w:val="clear"/>
            <w:vAlign w:val="bottom"/>
          </w:tcPr>
          <w:p>
            <w:pPr>
              <w:pStyle w:val="TableContents"/>
              <w:spacing w:before="0" w:after="283"/>
              <w:rPr>
                <w:sz w:val="4"/>
                <w:szCs w:val="4"/>
              </w:rPr>
            </w:pPr>
            <w:r>
              <w:rPr>
                <w:sz w:val="4"/>
                <w:szCs w:val="4"/>
              </w:rPr>
            </w:r>
          </w:p>
        </w:tc>
        <w:tc>
          <w:tcPr>
            <w:tcW w:w="371" w:type="dxa"/>
            <w:tcBorders/>
            <w:shd w:fill="CCEEFF" w:val="clear"/>
            <w:vAlign w:val="bottom"/>
          </w:tcPr>
          <w:p>
            <w:pPr>
              <w:pStyle w:val="TableContents"/>
              <w:spacing w:before="0" w:after="283"/>
              <w:rPr>
                <w:sz w:val="4"/>
                <w:szCs w:val="4"/>
              </w:rPr>
            </w:pPr>
            <w:r>
              <w:rPr>
                <w:sz w:val="4"/>
                <w:szCs w:val="4"/>
              </w:rPr>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Cost of revenues</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303" w:type="dxa"/>
            <w:tcBorders/>
            <w:shd w:fill="auto" w:val="clear"/>
            <w:vAlign w:val="bottom"/>
          </w:tcPr>
          <w:p>
            <w:pPr>
              <w:pStyle w:val="TableContents"/>
              <w:spacing w:before="0" w:after="283"/>
              <w:jc w:val="right"/>
              <w:rPr/>
            </w:pPr>
            <w:r>
              <w:rPr/>
              <w:t>5,318,599</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214" w:type="dxa"/>
            <w:tcBorders/>
            <w:shd w:fill="auto" w:val="clear"/>
            <w:vAlign w:val="bottom"/>
          </w:tcPr>
          <w:p>
            <w:pPr>
              <w:pStyle w:val="TableContents"/>
              <w:spacing w:before="0" w:after="283"/>
              <w:jc w:val="right"/>
              <w:rPr/>
            </w:pPr>
            <w:r>
              <w:rPr/>
              <w:t>1,741,022</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213" w:type="dxa"/>
            <w:tcBorders/>
            <w:shd w:fill="auto" w:val="clear"/>
            <w:vAlign w:val="bottom"/>
          </w:tcPr>
          <w:p>
            <w:pPr>
              <w:pStyle w:val="TableContents"/>
              <w:spacing w:before="0" w:after="283"/>
              <w:jc w:val="right"/>
              <w:rPr/>
            </w:pPr>
            <w:r>
              <w:rPr/>
              <w:t>3,577,577</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205</w:t>
            </w:r>
          </w:p>
        </w:tc>
        <w:tc>
          <w:tcPr>
            <w:tcW w:w="371"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Employee benefit expenses</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10,666,299</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18,418,778</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(7,752,479</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pPr>
            <w:r>
              <w:rPr/>
              <w:t>(42</w:t>
            </w:r>
          </w:p>
        </w:tc>
        <w:tc>
          <w:tcPr>
            <w:tcW w:w="371"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Consultancy expenses</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pPr>
            <w:r>
              <w:rPr/>
              <w:t>67,681,543</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pPr>
            <w:r>
              <w:rPr/>
              <w:t>8,599,630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59,081,913</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687</w:t>
            </w:r>
          </w:p>
        </w:tc>
        <w:tc>
          <w:tcPr>
            <w:tcW w:w="371"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Sales and marketing expenses</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3,123,820</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387,085</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2,736,735</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pPr>
            <w:r>
              <w:rPr/>
              <w:t>707</w:t>
            </w:r>
          </w:p>
        </w:tc>
        <w:tc>
          <w:tcPr>
            <w:tcW w:w="371"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Business development expenses</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pPr>
            <w:r>
              <w:rPr/>
              <w:t>7,136,168</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pPr>
            <w:r>
              <w:rPr/>
              <w:t>5,207,046</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1,929,122</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37</w:t>
            </w:r>
          </w:p>
        </w:tc>
        <w:tc>
          <w:tcPr>
            <w:tcW w:w="371"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9,823,776</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5,324,468</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4,499,308</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pPr>
            <w:r>
              <w:rPr/>
              <w:t>85</w:t>
            </w:r>
          </w:p>
        </w:tc>
        <w:tc>
          <w:tcPr>
            <w:tcW w:w="371" w:type="dxa"/>
            <w:tcBorders/>
            <w:shd w:fill="CCEEFF" w:val="clear"/>
            <w:vAlign w:val="bottom"/>
          </w:tcPr>
          <w:p>
            <w:pPr>
              <w:pStyle w:val="TableContents"/>
              <w:spacing w:before="0" w:after="283"/>
              <w:rPr/>
            </w:pPr>
            <w:r>
              <w:rPr/>
              <w:t>% </w:t>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 expenses</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pPr>
            <w:r>
              <w:rPr/>
              <w:t>742,113</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14" w:type="dxa"/>
            <w:tcBorders/>
            <w:shd w:fill="auto" w:val="clear"/>
            <w:vAlign w:val="bottom"/>
          </w:tcPr>
          <w:p>
            <w:pPr>
              <w:pStyle w:val="TableContents"/>
              <w:spacing w:before="0" w:after="283"/>
              <w:jc w:val="right"/>
              <w:rPr/>
            </w:pPr>
            <w:r>
              <w:rPr/>
              <w:t>460,491</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13" w:type="dxa"/>
            <w:tcBorders/>
            <w:shd w:fill="auto" w:val="clear"/>
            <w:vAlign w:val="bottom"/>
          </w:tcPr>
          <w:p>
            <w:pPr>
              <w:pStyle w:val="TableContents"/>
              <w:spacing w:before="0" w:after="283"/>
              <w:jc w:val="right"/>
              <w:rPr/>
            </w:pPr>
            <w:r>
              <w:rPr/>
              <w:t>281,622</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61</w:t>
            </w:r>
          </w:p>
        </w:tc>
        <w:tc>
          <w:tcPr>
            <w:tcW w:w="371" w:type="dxa"/>
            <w:tcBorders/>
            <w:shd w:fill="auto" w:val="clear"/>
            <w:vAlign w:val="bottom"/>
          </w:tcPr>
          <w:p>
            <w:pPr>
              <w:pStyle w:val="TableContents"/>
              <w:spacing w:before="0" w:after="283"/>
              <w:rPr/>
            </w:pPr>
            <w:r>
              <w:rPr/>
              <w:t>% </w:t>
            </w:r>
          </w:p>
        </w:tc>
      </w:tr>
      <w:tr>
        <w:trPr/>
        <w:tc>
          <w:tcPr>
            <w:tcW w:w="3462"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7,418,302</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13" w:type="dxa"/>
            <w:tcBorders/>
            <w:shd w:fill="CCEEFF" w:val="clear"/>
            <w:vAlign w:val="bottom"/>
          </w:tcPr>
          <w:p>
            <w:pPr>
              <w:pStyle w:val="TableContents"/>
              <w:spacing w:before="0" w:after="283"/>
              <w:jc w:val="right"/>
              <w:rPr/>
            </w:pPr>
            <w:r>
              <w:rPr/>
              <w:t>7,418,302</w:t>
            </w:r>
          </w:p>
        </w:tc>
        <w:tc>
          <w:tcPr>
            <w:tcW w:w="16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jc w:val="right"/>
              <w:rPr/>
            </w:pPr>
            <w:r>
              <w:rPr/>
              <w:t>100</w:t>
            </w:r>
          </w:p>
        </w:tc>
        <w:tc>
          <w:tcPr>
            <w:tcW w:w="371" w:type="dxa"/>
            <w:tcBorders/>
            <w:shd w:fill="CCEEFF" w:val="clear"/>
            <w:vAlign w:val="bottom"/>
          </w:tcPr>
          <w:p>
            <w:pPr>
              <w:pStyle w:val="TableContents"/>
              <w:spacing w:before="0" w:after="283"/>
              <w:rPr/>
            </w:pPr>
            <w:r>
              <w:rPr/>
              <w:t>% </w:t>
            </w:r>
          </w:p>
        </w:tc>
      </w:tr>
      <w:tr>
        <w:trPr/>
        <w:tc>
          <w:tcPr>
            <w:tcW w:w="3462"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0"/>
              <w:rPr/>
            </w:pPr>
            <w:r>
              <w:rPr/>
              <w:t> </w:t>
            </w:r>
          </w:p>
        </w:tc>
        <w:tc>
          <w:tcPr>
            <w:tcW w:w="13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0"/>
              <w:rPr/>
            </w:pPr>
            <w:r>
              <w:rPr/>
              <w:t> </w:t>
            </w:r>
          </w:p>
        </w:tc>
        <w:tc>
          <w:tcPr>
            <w:tcW w:w="121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single" w:sz="2" w:space="1" w:color="000000"/>
              </w:pBdr>
              <w:spacing w:before="0" w:after="0"/>
              <w:rPr/>
            </w:pPr>
            <w:r>
              <w:rPr/>
              <w:t> </w:t>
            </w:r>
          </w:p>
        </w:tc>
        <w:tc>
          <w:tcPr>
            <w:tcW w:w="1213"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r>
      <w:tr>
        <w:trPr/>
        <w:tc>
          <w:tcPr>
            <w:tcW w:w="3462" w:type="dxa"/>
            <w:tcBorders/>
            <w:shd w:fill="auto"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303" w:type="dxa"/>
            <w:tcBorders/>
            <w:shd w:fill="auto" w:val="clear"/>
            <w:vAlign w:val="bottom"/>
          </w:tcPr>
          <w:p>
            <w:pPr>
              <w:pStyle w:val="TableContents"/>
              <w:spacing w:before="0" w:after="283"/>
              <w:jc w:val="right"/>
              <w:rPr/>
            </w:pPr>
            <w:r>
              <w:rPr/>
              <w:t>111,910,620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214" w:type="dxa"/>
            <w:tcBorders/>
            <w:shd w:fill="auto" w:val="clear"/>
            <w:vAlign w:val="bottom"/>
          </w:tcPr>
          <w:p>
            <w:pPr>
              <w:pStyle w:val="TableContents"/>
              <w:spacing w:before="0" w:after="283"/>
              <w:jc w:val="right"/>
              <w:rPr/>
            </w:pPr>
            <w:r>
              <w:rPr/>
              <w:t>40,138,520</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1213" w:type="dxa"/>
            <w:tcBorders/>
            <w:shd w:fill="auto" w:val="clear"/>
            <w:vAlign w:val="bottom"/>
          </w:tcPr>
          <w:p>
            <w:pPr>
              <w:pStyle w:val="TableContents"/>
              <w:spacing w:before="0" w:after="283"/>
              <w:jc w:val="right"/>
              <w:rPr/>
            </w:pPr>
            <w:r>
              <w:rPr/>
              <w:t>71,772,100</w:t>
            </w:r>
          </w:p>
        </w:tc>
        <w:tc>
          <w:tcPr>
            <w:tcW w:w="16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jc w:val="right"/>
              <w:rPr/>
            </w:pPr>
            <w:r>
              <w:rPr/>
              <w:t>179</w:t>
            </w:r>
          </w:p>
        </w:tc>
        <w:tc>
          <w:tcPr>
            <w:tcW w:w="371" w:type="dxa"/>
            <w:tcBorders/>
            <w:shd w:fill="auto" w:val="clear"/>
            <w:vAlign w:val="bottom"/>
          </w:tcPr>
          <w:p>
            <w:pPr>
              <w:pStyle w:val="TableContents"/>
              <w:spacing w:before="0" w:after="283"/>
              <w:rPr/>
            </w:pPr>
            <w:r>
              <w:rPr/>
              <w:t>% </w:t>
            </w:r>
          </w:p>
        </w:tc>
      </w:tr>
      <w:tr>
        <w:trPr/>
        <w:tc>
          <w:tcPr>
            <w:tcW w:w="3462"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0"/>
              <w:rPr/>
            </w:pPr>
            <w:r>
              <w:rPr/>
              <w:t> </w:t>
            </w:r>
          </w:p>
        </w:tc>
        <w:tc>
          <w:tcPr>
            <w:tcW w:w="130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0"/>
              <w:rPr/>
            </w:pPr>
            <w:r>
              <w:rPr/>
              <w:t> </w:t>
            </w:r>
          </w:p>
        </w:tc>
        <w:tc>
          <w:tcPr>
            <w:tcW w:w="121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pBdr>
                <w:top w:val="double" w:sz="6" w:space="1" w:color="000000"/>
              </w:pBdr>
              <w:spacing w:before="0" w:after="0"/>
              <w:rPr/>
            </w:pPr>
            <w:r>
              <w:rPr/>
              <w:t> </w:t>
            </w:r>
          </w:p>
        </w:tc>
        <w:tc>
          <w:tcPr>
            <w:tcW w:w="1213"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Percentages have been rounded for presentation purposes and may differ from unrounded results. </w:t>
      </w:r>
    </w:p>
    <w:p>
      <w:pPr>
        <w:pStyle w:val="TextBody"/>
        <w:spacing w:before="360" w:after="0"/>
        <w:jc w:val="left"/>
        <w:rPr>
          <w:rFonts w:ascii="Times New Roman" w:hAnsi="Times New Roman"/>
          <w:i/>
          <w:sz w:val="20"/>
        </w:rPr>
      </w:pPr>
      <w:r>
        <w:rPr>
          <w:rFonts w:ascii="Times New Roman" w:hAnsi="Times New Roman"/>
          <w:i/>
          <w:sz w:val="20"/>
        </w:rPr>
        <w:t xml:space="preserve">Cost of Revenues </w:t>
      </w:r>
    </w:p>
    <w:p>
      <w:pPr>
        <w:pStyle w:val="TextBody"/>
        <w:spacing w:before="120" w:after="0"/>
        <w:jc w:val="left"/>
        <w:rPr>
          <w:rFonts w:ascii="Times New Roman" w:hAnsi="Times New Roman"/>
          <w:sz w:val="20"/>
        </w:rPr>
      </w:pPr>
      <w:r>
        <w:rPr>
          <w:rFonts w:ascii="Times New Roman" w:hAnsi="Times New Roman"/>
          <w:sz w:val="20"/>
        </w:rPr>
        <w:t xml:space="preserve">Cost of revenues have increased by $3.6 million, for the year ended December 31, 2022, compared to the year ended December 31, 2021. This was primarily due to a full year of ownership of ANY for the year ended December 31, 2022, compared to four months of ownership in 2021. </w:t>
      </w:r>
    </w:p>
    <w:p>
      <w:pPr>
        <w:pStyle w:val="TextBody"/>
        <w:spacing w:before="360" w:after="0"/>
        <w:jc w:val="left"/>
        <w:rPr>
          <w:rFonts w:ascii="Times New Roman" w:hAnsi="Times New Roman"/>
          <w:i/>
          <w:sz w:val="20"/>
        </w:rPr>
      </w:pPr>
      <w:r>
        <w:rPr>
          <w:rFonts w:ascii="Times New Roman" w:hAnsi="Times New Roman"/>
          <w:i/>
          <w:sz w:val="20"/>
        </w:rPr>
        <w:t xml:space="preserve">Employee Benefit Expenses </w:t>
      </w:r>
    </w:p>
    <w:p>
      <w:pPr>
        <w:pStyle w:val="TextBody"/>
        <w:spacing w:before="120" w:after="0"/>
        <w:jc w:val="left"/>
        <w:rPr>
          <w:rFonts w:ascii="Times New Roman" w:hAnsi="Times New Roman"/>
          <w:sz w:val="20"/>
        </w:rPr>
      </w:pPr>
      <w:r>
        <w:rPr>
          <w:rFonts w:ascii="Times New Roman" w:hAnsi="Times New Roman"/>
          <w:sz w:val="20"/>
        </w:rPr>
        <w:t xml:space="preserve">Employee benefit expenses decreased by $7.8 million, for the year ended December 31, 2022, compared to the year ended December 31, 2021. This was primarily due to a share-based payment of $13.2 million paid to the CEO in 2021, offset by the following in 2022: a $2.1 million employee share based compensation charge, an increase in payroll costs of $2.1 million for a full year of ownership of ANY, and an increase in UK payroll costs of $1.5 million due to a higher number of employees to manage support functions as well as activity linked to the expansion of the Companys business. </w:t>
      </w:r>
    </w:p>
    <w:p>
      <w:pPr>
        <w:pStyle w:val="TextBody"/>
        <w:spacing w:before="360" w:after="0"/>
        <w:jc w:val="left"/>
        <w:rPr>
          <w:rFonts w:ascii="Times New Roman" w:hAnsi="Times New Roman"/>
          <w:i/>
          <w:sz w:val="20"/>
        </w:rPr>
      </w:pPr>
      <w:r>
        <w:rPr>
          <w:rFonts w:ascii="Times New Roman" w:hAnsi="Times New Roman"/>
          <w:i/>
          <w:sz w:val="20"/>
        </w:rPr>
        <w:t xml:space="preserve">Consultancy Expenses </w:t>
      </w:r>
    </w:p>
    <w:p>
      <w:pPr>
        <w:pStyle w:val="TextBody"/>
        <w:spacing w:before="120" w:after="0"/>
        <w:jc w:val="left"/>
        <w:rPr>
          <w:rFonts w:ascii="Times New Roman" w:hAnsi="Times New Roman"/>
          <w:sz w:val="20"/>
        </w:rPr>
      </w:pPr>
      <w:r>
        <w:rPr>
          <w:rFonts w:ascii="Times New Roman" w:hAnsi="Times New Roman"/>
          <w:sz w:val="20"/>
        </w:rPr>
        <w:t xml:space="preserve">Consultancy expenses increased by $59.1 million for the year ended December 31, 2022, compared to the year ended December 31, 2021 primarily due to share-based compensation charges of $33.4 million issued to a related-party organization (DBLP Sea Cow Ltd), $6.2 million of share-based compensation related to two directors of Rezolve Limited and $18.4 million issued to a consultant for advisory services. These fees were paid primarily in relation to capital raising activities.  </w:t>
      </w:r>
    </w:p>
    <w:p>
      <w:pPr>
        <w:pStyle w:val="TextBody"/>
        <w:spacing w:before="360" w:after="0"/>
        <w:jc w:val="left"/>
        <w:rPr>
          <w:rFonts w:ascii="Times New Roman" w:hAnsi="Times New Roman"/>
          <w:i/>
          <w:sz w:val="20"/>
        </w:rPr>
      </w:pPr>
      <w:r>
        <w:rPr>
          <w:rFonts w:ascii="Times New Roman" w:hAnsi="Times New Roman"/>
          <w:i/>
          <w:sz w:val="20"/>
        </w:rPr>
        <w:t xml:space="preserve">Sales and Marketing Expenses </w:t>
      </w:r>
    </w:p>
    <w:p>
      <w:pPr>
        <w:pStyle w:val="TextBody"/>
        <w:spacing w:before="120" w:after="0"/>
        <w:jc w:val="left"/>
        <w:rPr>
          <w:rFonts w:ascii="Times New Roman" w:hAnsi="Times New Roman"/>
          <w:sz w:val="20"/>
        </w:rPr>
      </w:pPr>
      <w:r>
        <w:rPr>
          <w:rFonts w:ascii="Times New Roman" w:hAnsi="Times New Roman"/>
          <w:sz w:val="20"/>
        </w:rPr>
        <w:t xml:space="preserve">Sales and marketing expenses increased by $2.7 million, for the year ended December 31, 2022, compared to the year ended December 31, 2021. This was primarily due to a full year of ownership of ANY compared to four months in 2021. </w:t>
      </w:r>
    </w:p>
    <w:p>
      <w:pPr>
        <w:pStyle w:val="TextBody"/>
        <w:spacing w:before="360" w:after="0"/>
        <w:jc w:val="left"/>
        <w:rPr>
          <w:rFonts w:ascii="Times New Roman" w:hAnsi="Times New Roman"/>
          <w:i/>
          <w:sz w:val="20"/>
        </w:rPr>
      </w:pPr>
      <w:r>
        <w:rPr>
          <w:rFonts w:ascii="Times New Roman" w:hAnsi="Times New Roman"/>
          <w:i/>
          <w:sz w:val="20"/>
        </w:rPr>
        <w:t xml:space="preserve">Business Development Expenses </w:t>
      </w:r>
    </w:p>
    <w:p>
      <w:pPr>
        <w:pStyle w:val="TextBody"/>
        <w:spacing w:before="120" w:after="0"/>
        <w:jc w:val="left"/>
        <w:rPr>
          <w:rFonts w:ascii="Times New Roman" w:hAnsi="Times New Roman"/>
          <w:sz w:val="20"/>
        </w:rPr>
      </w:pPr>
      <w:r>
        <w:rPr>
          <w:rFonts w:ascii="Times New Roman" w:hAnsi="Times New Roman"/>
          <w:sz w:val="20"/>
        </w:rPr>
        <w:t xml:space="preserve">Business development expenses increased by $1.9 million reflect the costs incurred by Rezolve Limited in funding our platform activities in China.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General and Administrative expenses increased by $4.5 million, for the year ended December 31, 2022, compared to the year ended December 31, 2021. The was primarily related to a full year of ownership of ANY compared to four months in 2021 of $0.8 million, an increase $2.8 million in exceptional costs related to legal and audit costs due to Rezolves planned listing. </w:t>
      </w:r>
    </w:p>
    <w:p>
      <w:pPr>
        <w:pStyle w:val="TextBody"/>
        <w:spacing w:before="360" w:after="0"/>
        <w:jc w:val="left"/>
        <w:rPr>
          <w:rFonts w:ascii="Times New Roman" w:hAnsi="Times New Roman"/>
          <w:i/>
          <w:sz w:val="20"/>
        </w:rPr>
      </w:pPr>
      <w:r>
        <w:rPr>
          <w:rFonts w:ascii="Times New Roman" w:hAnsi="Times New Roman"/>
          <w:i/>
          <w:sz w:val="20"/>
        </w:rPr>
        <w:t xml:space="preserve">Depreciation and Amortization Expenses </w:t>
      </w:r>
    </w:p>
    <w:p>
      <w:pPr>
        <w:pStyle w:val="TextBody"/>
        <w:spacing w:before="120" w:after="0"/>
        <w:jc w:val="left"/>
        <w:rPr>
          <w:rFonts w:ascii="Times New Roman" w:hAnsi="Times New Roman"/>
          <w:sz w:val="20"/>
        </w:rPr>
      </w:pPr>
      <w:r>
        <w:rPr>
          <w:rFonts w:ascii="Times New Roman" w:hAnsi="Times New Roman"/>
          <w:sz w:val="20"/>
        </w:rPr>
        <w:t xml:space="preserve">Depreciation and amortization expenses increased by $0.3 million, for the year ended December 31, 2022, compared to the year ended December 31, 2021. This was primarily due to a customer list intangible asset acquired in 2021 as part of the acquisition of ANY. </w:t>
      </w:r>
    </w:p>
    <w:p>
      <w:pPr>
        <w:pStyle w:val="TextBody"/>
        <w:spacing w:before="360" w:after="0"/>
        <w:jc w:val="left"/>
        <w:rPr>
          <w:rFonts w:ascii="Times New Roman" w:hAnsi="Times New Roman"/>
          <w:i/>
          <w:sz w:val="20"/>
        </w:rPr>
      </w:pPr>
      <w:r>
        <w:rPr>
          <w:rFonts w:ascii="Times New Roman" w:hAnsi="Times New Roman"/>
          <w:i/>
          <w:sz w:val="20"/>
        </w:rPr>
        <w:t xml:space="preserve">Impairment of goodwill </w:t>
      </w:r>
    </w:p>
    <w:p>
      <w:pPr>
        <w:pStyle w:val="TextBody"/>
        <w:spacing w:before="120" w:after="0"/>
        <w:jc w:val="left"/>
        <w:rPr>
          <w:rFonts w:ascii="Times New Roman" w:hAnsi="Times New Roman"/>
          <w:sz w:val="20"/>
        </w:rPr>
      </w:pPr>
      <w:r>
        <w:rPr>
          <w:rFonts w:ascii="Times New Roman" w:hAnsi="Times New Roman"/>
          <w:sz w:val="20"/>
        </w:rPr>
        <w:t xml:space="preserve">Impairment of goodwill in the year ended December 31, 2022 increased by $7.4 million primarily due to the impairment charge in ANY. We determined that indicators of impairment of goodwill existed when future operating profits and cash flows were revised to be lower than initially anticipated when ANY was acquired in 2021. In the year ended December 31, 2022, a goodwill impairment loss of $7.3 million was recognized in ANY. The fair value of that reporting unit was estimated using the expected present value of future cash flows. </w:t>
      </w:r>
    </w:p>
    <w:p>
      <w:pPr>
        <w:pStyle w:val="TextBody"/>
        <w:spacing w:before="360" w:after="0"/>
        <w:jc w:val="left"/>
        <w:rPr>
          <w:rFonts w:ascii="Times New Roman" w:hAnsi="Times New Roman"/>
          <w:i/>
          <w:sz w:val="20"/>
        </w:rPr>
      </w:pPr>
      <w:r>
        <w:rPr>
          <w:rFonts w:ascii="Times New Roman" w:hAnsi="Times New Roman"/>
          <w:i/>
          <w:sz w:val="20"/>
        </w:rPr>
        <w:t xml:space="preserve">Other Expenses </w:t>
      </w:r>
    </w:p>
    <w:p>
      <w:pPr>
        <w:pStyle w:val="TextBody"/>
        <w:spacing w:before="120" w:after="0"/>
        <w:jc w:val="left"/>
        <w:rPr>
          <w:rFonts w:ascii="Times New Roman" w:hAnsi="Times New Roman"/>
          <w:sz w:val="20"/>
        </w:rPr>
      </w:pPr>
      <w:r>
        <w:rPr>
          <w:rFonts w:ascii="Times New Roman" w:hAnsi="Times New Roman"/>
          <w:sz w:val="20"/>
        </w:rPr>
        <w:t xml:space="preserve">The following shows interest expense and other non-operating income for the year ended December 31, 2022, as compared to the year ended December 31, 2021: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815"/>
        <w:gridCol w:w="309"/>
        <w:gridCol w:w="140"/>
        <w:gridCol w:w="1006"/>
        <w:gridCol w:w="60"/>
        <w:gridCol w:w="309"/>
        <w:gridCol w:w="140"/>
        <w:gridCol w:w="1006"/>
        <w:gridCol w:w="60"/>
        <w:gridCol w:w="309"/>
        <w:gridCol w:w="140"/>
        <w:gridCol w:w="1006"/>
        <w:gridCol w:w="162"/>
        <w:gridCol w:w="308"/>
        <w:gridCol w:w="60"/>
        <w:gridCol w:w="509"/>
        <w:gridCol w:w="356"/>
      </w:tblGrid>
      <w:tr>
        <w:trPr/>
        <w:tc>
          <w:tcPr>
            <w:tcW w:w="381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381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66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21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356" w:type="dxa"/>
            <w:tcBorders/>
            <w:shd w:fill="auto" w:val="clear"/>
            <w:vAlign w:val="bottom"/>
          </w:tcPr>
          <w:p>
            <w:pPr>
              <w:pStyle w:val="TableContents"/>
              <w:spacing w:before="0" w:after="283"/>
              <w:rPr/>
            </w:pPr>
            <w:r>
              <w:rPr/>
              <w:t> </w:t>
            </w:r>
          </w:p>
        </w:tc>
      </w:tr>
      <w:tr>
        <w:trPr/>
        <w:tc>
          <w:tcPr>
            <w:tcW w:w="3815"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2"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5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356" w:type="dxa"/>
            <w:tcBorders/>
            <w:shd w:fill="auto" w:val="clear"/>
            <w:vAlign w:val="bottom"/>
          </w:tcPr>
          <w:p>
            <w:pPr>
              <w:pStyle w:val="TableContents"/>
              <w:spacing w:before="0" w:after="283"/>
              <w:rPr/>
            </w:pPr>
            <w:r>
              <w:rPr/>
              <w:t> </w:t>
            </w:r>
          </w:p>
        </w:tc>
      </w:tr>
      <w:tr>
        <w:trPr/>
        <w:tc>
          <w:tcPr>
            <w:tcW w:w="3815" w:type="dxa"/>
            <w:tcBorders/>
            <w:shd w:fill="CCEEFF" w:val="clear"/>
          </w:tcPr>
          <w:p>
            <w:pPr>
              <w:pStyle w:val="TableContents"/>
              <w:spacing w:before="0" w:after="0"/>
              <w:rPr>
                <w:rFonts w:ascii="Times New Roman" w:hAnsi="Times New Roman"/>
                <w:sz w:val="20"/>
              </w:rPr>
            </w:pPr>
            <w:r>
              <w:rPr>
                <w:rFonts w:ascii="Times New Roman" w:hAnsi="Times New Roman"/>
                <w:sz w:val="20"/>
              </w:rPr>
              <w:t>Other expenses</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c>
          <w:tcPr>
            <w:tcW w:w="3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09" w:type="dxa"/>
            <w:tcBorders/>
            <w:shd w:fill="CCEEFF" w:val="clear"/>
            <w:vAlign w:val="bottom"/>
          </w:tcPr>
          <w:p>
            <w:pPr>
              <w:pStyle w:val="TableContents"/>
              <w:spacing w:before="0" w:after="283"/>
              <w:rPr>
                <w:sz w:val="4"/>
                <w:szCs w:val="4"/>
              </w:rPr>
            </w:pPr>
            <w:r>
              <w:rPr>
                <w:sz w:val="4"/>
                <w:szCs w:val="4"/>
              </w:rPr>
            </w:r>
          </w:p>
        </w:tc>
        <w:tc>
          <w:tcPr>
            <w:tcW w:w="356" w:type="dxa"/>
            <w:tcBorders/>
            <w:shd w:fill="CCEEFF" w:val="clear"/>
            <w:vAlign w:val="bottom"/>
          </w:tcPr>
          <w:p>
            <w:pPr>
              <w:pStyle w:val="TableContents"/>
              <w:spacing w:before="0" w:after="283"/>
              <w:rPr>
                <w:sz w:val="4"/>
                <w:szCs w:val="4"/>
              </w:rPr>
            </w:pPr>
            <w:r>
              <w:rPr>
                <w:sz w:val="4"/>
                <w:szCs w:val="4"/>
              </w:rPr>
            </w:r>
          </w:p>
        </w:tc>
      </w:tr>
      <w:tr>
        <w:trPr/>
        <w:tc>
          <w:tcPr>
            <w:tcW w:w="3815"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6" w:type="dxa"/>
            <w:tcBorders/>
            <w:shd w:fill="auto" w:val="clear"/>
            <w:vAlign w:val="bottom"/>
          </w:tcPr>
          <w:p>
            <w:pPr>
              <w:pStyle w:val="TableContents"/>
              <w:spacing w:before="0" w:after="283"/>
              <w:jc w:val="right"/>
              <w:rPr/>
            </w:pPr>
            <w:r>
              <w:rPr/>
              <w:t>3,884,698</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6" w:type="dxa"/>
            <w:tcBorders/>
            <w:shd w:fill="auto" w:val="clear"/>
            <w:vAlign w:val="bottom"/>
          </w:tcPr>
          <w:p>
            <w:pPr>
              <w:pStyle w:val="TableContents"/>
              <w:spacing w:before="0" w:after="283"/>
              <w:jc w:val="right"/>
              <w:rPr/>
            </w:pPr>
            <w:r>
              <w:rPr/>
              <w:t>301,594</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6" w:type="dxa"/>
            <w:tcBorders/>
            <w:shd w:fill="auto" w:val="clear"/>
            <w:vAlign w:val="bottom"/>
          </w:tcPr>
          <w:p>
            <w:pPr>
              <w:pStyle w:val="TableContents"/>
              <w:spacing w:before="0" w:after="283"/>
              <w:jc w:val="right"/>
              <w:rPr/>
            </w:pPr>
            <w:r>
              <w:rPr/>
              <w:t>3,583,104</w:t>
            </w:r>
          </w:p>
        </w:tc>
        <w:tc>
          <w:tcPr>
            <w:tcW w:w="162"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pPr>
            <w:r>
              <w:rPr/>
              <w:t>1188</w:t>
            </w:r>
          </w:p>
        </w:tc>
        <w:tc>
          <w:tcPr>
            <w:tcW w:w="356" w:type="dxa"/>
            <w:tcBorders/>
            <w:shd w:fill="auto" w:val="clear"/>
            <w:vAlign w:val="bottom"/>
          </w:tcPr>
          <w:p>
            <w:pPr>
              <w:pStyle w:val="TableContents"/>
              <w:spacing w:before="0" w:after="283"/>
              <w:rPr/>
            </w:pPr>
            <w:r>
              <w:rPr/>
              <w:t>% </w:t>
            </w:r>
          </w:p>
        </w:tc>
      </w:tr>
      <w:tr>
        <w:trPr/>
        <w:tc>
          <w:tcPr>
            <w:tcW w:w="3815" w:type="dxa"/>
            <w:tcBorders/>
            <w:shd w:fill="CCEEFF" w:val="clear"/>
          </w:tcPr>
          <w:p>
            <w:pPr>
              <w:pStyle w:val="TableContents"/>
              <w:spacing w:before="0" w:after="0"/>
              <w:rPr>
                <w:rFonts w:ascii="Times New Roman" w:hAnsi="Times New Roman"/>
                <w:sz w:val="20"/>
              </w:rPr>
            </w:pPr>
            <w:r>
              <w:rPr>
                <w:rFonts w:ascii="Times New Roman" w:hAnsi="Times New Roman"/>
                <w:sz w:val="20"/>
              </w:rPr>
              <w:t>Other non-operating expense, net</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pPr>
            <w:r>
              <w:rPr/>
              <w:t>751,320</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pPr>
            <w:r>
              <w:rPr/>
              <w:t>1,210,690</w:t>
            </w:r>
          </w:p>
        </w:tc>
        <w:tc>
          <w:tcPr>
            <w:tcW w:w="60"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pPr>
            <w:r>
              <w:rPr/>
              <w:t>(459,370</w:t>
            </w:r>
          </w:p>
        </w:tc>
        <w:tc>
          <w:tcPr>
            <w:tcW w:w="162"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jc w:val="right"/>
              <w:rPr/>
            </w:pPr>
            <w:r>
              <w:rPr/>
              <w:t>(38</w:t>
            </w:r>
          </w:p>
        </w:tc>
        <w:tc>
          <w:tcPr>
            <w:tcW w:w="356" w:type="dxa"/>
            <w:tcBorders/>
            <w:shd w:fill="CCEEFF" w:val="clear"/>
            <w:vAlign w:val="bottom"/>
          </w:tcPr>
          <w:p>
            <w:pPr>
              <w:pStyle w:val="TableContents"/>
              <w:spacing w:before="0" w:after="283"/>
              <w:rPr/>
            </w:pPr>
            <w:r>
              <w:rPr/>
              <w:t>)% </w:t>
            </w:r>
          </w:p>
        </w:tc>
      </w:tr>
      <w:tr>
        <w:trPr/>
        <w:tc>
          <w:tcPr>
            <w:tcW w:w="381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r>
      <w:tr>
        <w:trPr/>
        <w:tc>
          <w:tcPr>
            <w:tcW w:w="3815" w:type="dxa"/>
            <w:tcBorders/>
            <w:shd w:fill="auto" w:val="clear"/>
          </w:tcPr>
          <w:p>
            <w:pPr>
              <w:pStyle w:val="TableContents"/>
              <w:spacing w:before="0" w:after="0"/>
              <w:rPr>
                <w:rFonts w:ascii="Times New Roman" w:hAnsi="Times New Roman"/>
                <w:sz w:val="20"/>
              </w:rPr>
            </w:pPr>
            <w:r>
              <w:rPr>
                <w:rFonts w:ascii="Times New Roman" w:hAnsi="Times New Roman"/>
                <w:sz w:val="20"/>
              </w:rPr>
              <w:t>Total other expense, net</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6" w:type="dxa"/>
            <w:tcBorders/>
            <w:shd w:fill="auto" w:val="clear"/>
            <w:vAlign w:val="bottom"/>
          </w:tcPr>
          <w:p>
            <w:pPr>
              <w:pStyle w:val="TableContents"/>
              <w:spacing w:before="0" w:after="283"/>
              <w:jc w:val="right"/>
              <w:rPr/>
            </w:pPr>
            <w:r>
              <w:rPr/>
              <w:t>4,636,018</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06" w:type="dxa"/>
            <w:tcBorders/>
            <w:shd w:fill="auto" w:val="clear"/>
            <w:vAlign w:val="bottom"/>
          </w:tcPr>
          <w:p>
            <w:pPr>
              <w:pStyle w:val="TableContents"/>
              <w:spacing w:before="0" w:after="283"/>
              <w:jc w:val="right"/>
              <w:rPr/>
            </w:pPr>
            <w:r>
              <w:rPr/>
              <w:t>1,512,284</w:t>
            </w:r>
          </w:p>
        </w:tc>
        <w:tc>
          <w:tcPr>
            <w:tcW w:w="6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spacing w:before="0" w:after="283"/>
              <w:jc w:val="right"/>
              <w:rPr/>
            </w:pPr>
            <w:r>
              <w:rPr/>
              <w:t>3,123,734</w:t>
            </w:r>
          </w:p>
        </w:tc>
        <w:tc>
          <w:tcPr>
            <w:tcW w:w="162"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r>
      <w:tr>
        <w:trPr/>
        <w:tc>
          <w:tcPr>
            <w:tcW w:w="3815"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0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Interest expense increased by $3.6 million for the year ended December 31, 2022 as compared to the year ended December 31, 2021. This was primarily due to a full year of drawing down the convertible loan notes issued in December 2021. </w:t>
      </w:r>
    </w:p>
    <w:p>
      <w:pPr>
        <w:pStyle w:val="TextBody"/>
        <w:spacing w:before="240" w:after="0"/>
        <w:jc w:val="left"/>
        <w:rPr>
          <w:rFonts w:ascii="Times New Roman" w:hAnsi="Times New Roman"/>
          <w:sz w:val="20"/>
        </w:rPr>
      </w:pPr>
      <w:r>
        <w:rPr>
          <w:rFonts w:ascii="Times New Roman" w:hAnsi="Times New Roman"/>
          <w:sz w:val="20"/>
        </w:rPr>
        <w:t xml:space="preserve">Other non-operating expense decreased by $0.5 million for the year ended December 31, 2022 as compared to the year ended December 31, 2021. This was primarily due to an impairment of accounts receivable of $0.3 million, and impairment of inventory of $0.7 million and a decrease in foreign exchange losses of $0.5 million. </w:t>
      </w:r>
    </w:p>
    <w:p>
      <w:pPr>
        <w:pStyle w:val="TextBody"/>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In 2022 and 2021, we financed our operations in large part with cash flows from financing activities through cash proceeds from issuances of common and preferred stock as well as a senior secured convertible loan. In addition, we raised additional funds from convertible loan notes. </w:t>
      </w:r>
    </w:p>
    <w:p>
      <w:pPr>
        <w:pStyle w:val="TextBody"/>
        <w:spacing w:before="360" w:after="0"/>
        <w:jc w:val="left"/>
        <w:rPr>
          <w:rFonts w:ascii="Times New Roman" w:hAnsi="Times New Roman"/>
          <w:b/>
          <w:i/>
          <w:sz w:val="20"/>
        </w:rPr>
      </w:pPr>
      <w:r>
        <w:rPr>
          <w:rFonts w:ascii="Times New Roman" w:hAnsi="Times New Roman"/>
          <w:b/>
          <w:i/>
          <w:sz w:val="20"/>
        </w:rPr>
        <w:t xml:space="preserve">Yorkville Capital Commitment </w:t>
      </w:r>
    </w:p>
    <w:p>
      <w:pPr>
        <w:pStyle w:val="TextBody"/>
        <w:spacing w:before="120" w:after="0"/>
        <w:jc w:val="left"/>
        <w:rPr>
          <w:rFonts w:ascii="Times New Roman" w:hAnsi="Times New Roman"/>
          <w:sz w:val="20"/>
        </w:rPr>
      </w:pPr>
      <w:r>
        <w:rPr>
          <w:rFonts w:ascii="Times New Roman" w:hAnsi="Times New Roman"/>
          <w:sz w:val="20"/>
        </w:rPr>
        <w:t xml:space="preserve">On February 23, 2023, Rezolve Limited executed a $250 million standby equity purchase agreement providing a capital commitment facility from YA II PN, LTD ( YA), a Cayman Islands exempt limited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partnership, in the form of a share subscription facility. Under the agreement, YA will provide Rezolve with up to $250 million in equity capital for a 36-month term following a public listing of the Companys Ordinary Shares. Rezolve will not be obligated to draw the full $250 million but can do so in part or in whole at its discretion, but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The purchase price for YA is 97% of the Market Price, which is defined as the lowest of the daily VWAPs of the Ordinary Shares during the three consecutive days before delivery of an advance notice by Rezolve to YA. Rezolve will control both the timing and amount of all drawdowns and will issue stock to YA on each drawn down from the facility. The Company will pay a commitment fee in an amount equal to 1.25 % of the $250 million Commitment Amount (the Commitment Fee), which at the option of the Company, the Company may pay (i) by the issuance of Ordinary Shares (collectively, the Commitment Shares) to YA in two installments as follows: (a) on the Effective Date (the sixth trading day following the closing of the Business Combination), the Company will issue to YA such number of Ordinary Shares as is equal to one half of the Commitment Fee divided by $10, and (b) on the nine-month anniversary of the Effective Date, the Company will issue to YA such number of Ordinary Shares as is equal to one-half of the Commitment Fee divided by the average of the daily VWAPs of the Ordinary Shares during the five trading days prior to the nine-month anniversary of the Effective Date; or (ii) in cash by wire transfer to YA in two equal installments on the Effective Date and on the nine-month anniversary of the Effective Date. </w:t>
      </w:r>
    </w:p>
    <w:p>
      <w:pPr>
        <w:pStyle w:val="TextBody"/>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$39,625,000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 </w:t>
      </w:r>
    </w:p>
    <w:p>
      <w:pPr>
        <w:pStyle w:val="TextBody"/>
        <w:spacing w:before="240" w:after="0"/>
        <w:jc w:val="left"/>
        <w:rPr>
          <w:rFonts w:ascii="Times New Roman" w:hAnsi="Times New Roman"/>
          <w:sz w:val="20"/>
        </w:rPr>
      </w:pPr>
      <w:r>
        <w:rPr>
          <w:rFonts w:ascii="Times New Roman" w:hAnsi="Times New Roman"/>
          <w:sz w:val="20"/>
        </w:rPr>
        <w:t xml:space="preserve">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 </w:t>
      </w:r>
    </w:p>
    <w:p>
      <w:pPr>
        <w:pStyle w:val="TextBody"/>
        <w:spacing w:before="240" w:after="0"/>
        <w:jc w:val="left"/>
        <w:rPr>
          <w:rFonts w:ascii="Times New Roman" w:hAnsi="Times New Roman"/>
          <w:sz w:val="20"/>
        </w:rPr>
      </w:pPr>
      <w:r>
        <w:rPr>
          <w:rFonts w:ascii="Times New Roman" w:hAnsi="Times New Roman"/>
          <w:sz w:val="20"/>
        </w:rPr>
        <w:t xml:space="preserve">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 </w:t>
      </w:r>
    </w:p>
    <w:p>
      <w:pPr>
        <w:pStyle w:val="TextBody"/>
        <w:spacing w:before="240" w:after="0"/>
        <w:jc w:val="left"/>
        <w:rPr>
          <w:rFonts w:ascii="Times New Roman" w:hAnsi="Times New Roman"/>
          <w:sz w:val="20"/>
        </w:rPr>
      </w:pPr>
      <w:r>
        <w:rPr>
          <w:rFonts w:ascii="Times New Roman" w:hAnsi="Times New Roman"/>
          <w:sz w:val="20"/>
        </w:rPr>
        <w:t xml:space="preserve">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 </w:t>
      </w:r>
    </w:p>
    <w:p>
      <w:pPr>
        <w:pStyle w:val="TextBody"/>
        <w:spacing w:before="360" w:after="0"/>
        <w:jc w:val="left"/>
        <w:rPr>
          <w:rFonts w:ascii="Times New Roman" w:hAnsi="Times New Roman"/>
          <w:b/>
          <w:i/>
          <w:sz w:val="20"/>
        </w:rPr>
      </w:pPr>
      <w:r>
        <w:rPr>
          <w:rFonts w:ascii="Times New Roman" w:hAnsi="Times New Roman"/>
          <w:b/>
          <w:i/>
          <w:sz w:val="20"/>
        </w:rPr>
        <w:t xml:space="preserve">Balance Sheet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our unrestricted cash and cash equivalents on our balance sheet and undrawn amounts under our revolving credit facility as of December 31, 2022 and December 31, 2021: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50"/>
        <w:gridCol w:w="377"/>
        <w:gridCol w:w="140"/>
        <w:gridCol w:w="756"/>
        <w:gridCol w:w="60"/>
        <w:gridCol w:w="377"/>
        <w:gridCol w:w="140"/>
        <w:gridCol w:w="1242"/>
        <w:gridCol w:w="67"/>
      </w:tblGrid>
      <w:tr>
        <w:trPr/>
        <w:tc>
          <w:tcPr>
            <w:tcW w:w="485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48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71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67" w:type="dxa"/>
            <w:tcBorders/>
            <w:shd w:fill="auto" w:val="clear"/>
            <w:vAlign w:val="bottom"/>
          </w:tcPr>
          <w:p>
            <w:pPr>
              <w:pStyle w:val="TableContents"/>
              <w:spacing w:before="0" w:after="283"/>
              <w:rPr/>
            </w:pPr>
            <w:r>
              <w:rPr/>
              <w:t> </w:t>
            </w:r>
          </w:p>
        </w:tc>
      </w:tr>
      <w:tr>
        <w:trPr/>
        <w:tc>
          <w:tcPr>
            <w:tcW w:w="485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7" w:type="dxa"/>
            <w:tcBorders/>
            <w:shd w:fill="auto" w:val="clear"/>
            <w:vAlign w:val="bottom"/>
          </w:tcPr>
          <w:p>
            <w:pPr>
              <w:pStyle w:val="TableContents"/>
              <w:spacing w:before="0" w:after="283"/>
              <w:rPr/>
            </w:pPr>
            <w:r>
              <w:rPr/>
              <w:t> </w:t>
            </w:r>
          </w:p>
        </w:tc>
      </w:tr>
      <w:tr>
        <w:trPr/>
        <w:tc>
          <w:tcPr>
            <w:tcW w:w="4850" w:type="dxa"/>
            <w:tcBorders/>
            <w:shd w:fill="CCEEFF" w:val="clear"/>
          </w:tcPr>
          <w:p>
            <w:pPr>
              <w:pStyle w:val="TableContents"/>
              <w:spacing w:before="0" w:after="0"/>
              <w:rPr>
                <w:rFonts w:ascii="Times New Roman" w:hAnsi="Times New Roman"/>
                <w:sz w:val="20"/>
              </w:rPr>
            </w:pPr>
            <w:r>
              <w:rPr>
                <w:rFonts w:ascii="Times New Roman" w:hAnsi="Times New Roman"/>
                <w:sz w:val="20"/>
              </w:rPr>
              <w:t>Unrestricted cash and cash equivalents</w:t>
            </w:r>
          </w:p>
        </w:tc>
        <w:tc>
          <w:tcPr>
            <w:tcW w:w="3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6" w:type="dxa"/>
            <w:tcBorders/>
            <w:shd w:fill="CCEEFF" w:val="clear"/>
            <w:vAlign w:val="bottom"/>
          </w:tcPr>
          <w:p>
            <w:pPr>
              <w:pStyle w:val="TableContents"/>
              <w:spacing w:before="0" w:after="283"/>
              <w:jc w:val="right"/>
              <w:rPr/>
            </w:pPr>
            <w:r>
              <w:rPr/>
              <w:t>41,709</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2,690,024</w:t>
            </w:r>
          </w:p>
        </w:tc>
        <w:tc>
          <w:tcPr>
            <w:tcW w:w="67" w:type="dxa"/>
            <w:tcBorders/>
            <w:shd w:fill="CCEEFF" w:val="clear"/>
            <w:vAlign w:val="bottom"/>
          </w:tcPr>
          <w:p>
            <w:pPr>
              <w:pStyle w:val="TableContents"/>
              <w:spacing w:before="0" w:after="283"/>
              <w:rPr/>
            </w:pPr>
            <w:r>
              <w:rPr/>
              <w:t> </w:t>
            </w:r>
          </w:p>
        </w:tc>
      </w:tr>
      <w:tr>
        <w:trPr/>
        <w:tc>
          <w:tcPr>
            <w:tcW w:w="4850" w:type="dxa"/>
            <w:tcBorders/>
            <w:shd w:fill="auto" w:val="clear"/>
          </w:tcPr>
          <w:p>
            <w:pPr>
              <w:pStyle w:val="TableContents"/>
              <w:spacing w:before="0" w:after="0"/>
              <w:rPr>
                <w:rFonts w:ascii="Times New Roman" w:hAnsi="Times New Roman"/>
                <w:sz w:val="20"/>
              </w:rPr>
            </w:pPr>
            <w:r>
              <w:rPr>
                <w:rFonts w:ascii="Times New Roman" w:hAnsi="Times New Roman"/>
                <w:sz w:val="20"/>
              </w:rPr>
              <w:t>Undrawn convertible notes</w:t>
            </w:r>
          </w:p>
        </w:tc>
        <w:tc>
          <w:tcPr>
            <w:tcW w:w="3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42" w:type="dxa"/>
            <w:tcBorders/>
            <w:shd w:fill="auto" w:val="clear"/>
            <w:vAlign w:val="bottom"/>
          </w:tcPr>
          <w:p>
            <w:pPr>
              <w:pStyle w:val="TableContents"/>
              <w:spacing w:before="0" w:after="283"/>
              <w:jc w:val="right"/>
              <w:rPr/>
            </w:pPr>
            <w:r>
              <w:rPr/>
              <w:t>17,500,000</w:t>
            </w:r>
          </w:p>
        </w:tc>
        <w:tc>
          <w:tcPr>
            <w:tcW w:w="67" w:type="dxa"/>
            <w:tcBorders/>
            <w:shd w:fill="auto" w:val="clear"/>
            <w:vAlign w:val="bottom"/>
          </w:tcPr>
          <w:p>
            <w:pPr>
              <w:pStyle w:val="TableContents"/>
              <w:spacing w:before="0" w:after="283"/>
              <w:rPr>
                <w:sz w:val="4"/>
                <w:szCs w:val="4"/>
              </w:rPr>
            </w:pPr>
            <w:r>
              <w:rPr>
                <w:sz w:val="4"/>
                <w:szCs w:val="4"/>
              </w:rPr>
            </w:r>
          </w:p>
        </w:tc>
      </w:tr>
      <w:tr>
        <w:trPr/>
        <w:tc>
          <w:tcPr>
            <w:tcW w:w="4850" w:type="dxa"/>
            <w:tcBorders/>
            <w:shd w:fill="auto" w:val="clear"/>
            <w:vAlign w:val="bottom"/>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42"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4850" w:type="dxa"/>
            <w:tcBorders/>
            <w:shd w:fill="CCEEFF" w:val="clear"/>
          </w:tcPr>
          <w:p>
            <w:pPr>
              <w:pStyle w:val="TableContents"/>
              <w:spacing w:before="0" w:after="0"/>
              <w:rPr>
                <w:rFonts w:ascii="Times New Roman" w:hAnsi="Times New Roman"/>
                <w:sz w:val="20"/>
              </w:rPr>
            </w:pPr>
            <w:r>
              <w:rPr>
                <w:rFonts w:ascii="Times New Roman" w:hAnsi="Times New Roman"/>
                <w:sz w:val="20"/>
              </w:rPr>
              <w:t>Available liquidity</w:t>
            </w:r>
          </w:p>
        </w:tc>
        <w:tc>
          <w:tcPr>
            <w:tcW w:w="3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6" w:type="dxa"/>
            <w:tcBorders/>
            <w:shd w:fill="CCEEFF" w:val="clear"/>
            <w:vAlign w:val="bottom"/>
          </w:tcPr>
          <w:p>
            <w:pPr>
              <w:pStyle w:val="TableContents"/>
              <w:spacing w:before="0" w:after="283"/>
              <w:jc w:val="right"/>
              <w:rPr/>
            </w:pPr>
            <w:r>
              <w:rPr/>
              <w:t>41,709</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20,190,024</w:t>
            </w:r>
          </w:p>
        </w:tc>
        <w:tc>
          <w:tcPr>
            <w:tcW w:w="67" w:type="dxa"/>
            <w:tcBorders/>
            <w:shd w:fill="CCEEFF" w:val="clear"/>
            <w:vAlign w:val="bottom"/>
          </w:tcPr>
          <w:p>
            <w:pPr>
              <w:pStyle w:val="TableContents"/>
              <w:spacing w:before="0" w:after="283"/>
              <w:rPr/>
            </w:pPr>
            <w:r>
              <w:rPr/>
              <w:t> </w:t>
            </w:r>
          </w:p>
        </w:tc>
      </w:tr>
      <w:tr>
        <w:trPr/>
        <w:tc>
          <w:tcPr>
            <w:tcW w:w="4850" w:type="dxa"/>
            <w:tcBorders/>
            <w:shd w:fill="auto" w:val="clear"/>
            <w:vAlign w:val="bottom"/>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42"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Cash Flows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67"/>
        <w:gridCol w:w="347"/>
        <w:gridCol w:w="146"/>
        <w:gridCol w:w="1369"/>
        <w:gridCol w:w="156"/>
        <w:gridCol w:w="347"/>
        <w:gridCol w:w="146"/>
        <w:gridCol w:w="1369"/>
        <w:gridCol w:w="162"/>
      </w:tblGrid>
      <w:tr>
        <w:trPr/>
        <w:tc>
          <w:tcPr>
            <w:tcW w:w="396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96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353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2" w:type="dxa"/>
            <w:tcBorders/>
            <w:shd w:fill="auto"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5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2"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3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369" w:type="dxa"/>
            <w:tcBorders/>
            <w:shd w:fill="CCEEFF" w:val="clear"/>
            <w:vAlign w:val="bottom"/>
          </w:tcPr>
          <w:p>
            <w:pPr>
              <w:pStyle w:val="TableContents"/>
              <w:spacing w:before="0" w:after="283"/>
              <w:jc w:val="right"/>
              <w:rPr/>
            </w:pPr>
            <w:r>
              <w:rPr/>
              <w:t>(26,762,920</w:t>
            </w:r>
          </w:p>
        </w:tc>
        <w:tc>
          <w:tcPr>
            <w:tcW w:w="15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369" w:type="dxa"/>
            <w:tcBorders/>
            <w:shd w:fill="CCEEFF" w:val="clear"/>
            <w:vAlign w:val="bottom"/>
          </w:tcPr>
          <w:p>
            <w:pPr>
              <w:pStyle w:val="TableContents"/>
              <w:spacing w:before="0" w:after="283"/>
              <w:jc w:val="right"/>
              <w:rPr/>
            </w:pPr>
            <w:r>
              <w:rPr/>
              <w:t>(20,448,886</w:t>
            </w:r>
          </w:p>
        </w:tc>
        <w:tc>
          <w:tcPr>
            <w:tcW w:w="162"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pPr>
            <w:r>
              <w:rPr/>
              <w:t>(25,973</w:t>
            </w:r>
          </w:p>
        </w:tc>
        <w:tc>
          <w:tcPr>
            <w:tcW w:w="15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pPr>
            <w:r>
              <w:rPr/>
              <w:t>(117,936</w:t>
            </w:r>
          </w:p>
        </w:tc>
        <w:tc>
          <w:tcPr>
            <w:tcW w:w="162" w:type="dxa"/>
            <w:tcBorders/>
            <w:shd w:fill="auto" w:val="clear"/>
            <w:vAlign w:val="bottom"/>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3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jc w:val="right"/>
              <w:rPr/>
            </w:pPr>
            <w:r>
              <w:rPr/>
              <w:t>23,999,920</w:t>
            </w:r>
          </w:p>
        </w:tc>
        <w:tc>
          <w:tcPr>
            <w:tcW w:w="15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jc w:val="right"/>
              <w:rPr/>
            </w:pPr>
            <w:r>
              <w:rPr/>
              <w:t>18,785,517</w:t>
            </w:r>
          </w:p>
        </w:tc>
        <w:tc>
          <w:tcPr>
            <w:tcW w:w="162" w:type="dxa"/>
            <w:tcBorders/>
            <w:shd w:fill="CCEEFF" w:val="clear"/>
            <w:vAlign w:val="bottom"/>
          </w:tcPr>
          <w:p>
            <w:pPr>
              <w:pStyle w:val="TableContents"/>
              <w:spacing w:before="0" w:after="283"/>
              <w:rPr/>
            </w:pPr>
            <w:r>
              <w:rPr/>
              <w:t> </w:t>
            </w:r>
          </w:p>
        </w:tc>
      </w:tr>
      <w:tr>
        <w:trPr/>
        <w:tc>
          <w:tcPr>
            <w:tcW w:w="3967" w:type="dxa"/>
            <w:tcBorders/>
            <w:shd w:fill="auto" w:val="clear"/>
          </w:tcPr>
          <w:p>
            <w:pPr>
              <w:pStyle w:val="TableContents"/>
              <w:spacing w:before="0" w:after="0"/>
              <w:rPr>
                <w:rFonts w:ascii="Times New Roman" w:hAnsi="Times New Roman"/>
                <w:sz w:val="20"/>
              </w:rPr>
            </w:pPr>
            <w:r>
              <w:rPr>
                <w:rFonts w:ascii="Times New Roman" w:hAnsi="Times New Roman"/>
                <w:sz w:val="20"/>
              </w:rPr>
              <w:t>Effect of exchange rate changes on cash and cash equivalents</w:t>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pPr>
            <w:r>
              <w:rPr/>
              <w:t>140,658</w:t>
            </w:r>
          </w:p>
        </w:tc>
        <w:tc>
          <w:tcPr>
            <w:tcW w:w="156"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pPr>
            <w:r>
              <w:rPr/>
              <w:t>(84,440</w:t>
            </w:r>
          </w:p>
        </w:tc>
        <w:tc>
          <w:tcPr>
            <w:tcW w:w="162" w:type="dxa"/>
            <w:tcBorders/>
            <w:shd w:fill="auto"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6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69"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3967" w:type="dxa"/>
            <w:tcBorders/>
            <w:shd w:fill="CCEEFF" w:val="clear"/>
          </w:tcPr>
          <w:p>
            <w:pPr>
              <w:pStyle w:val="TableContents"/>
              <w:spacing w:before="0" w:after="0"/>
              <w:rPr>
                <w:rFonts w:ascii="Times New Roman" w:hAnsi="Times New Roman"/>
                <w:sz w:val="20"/>
              </w:rPr>
            </w:pPr>
            <w:r>
              <w:rPr>
                <w:rFonts w:ascii="Times New Roman" w:hAnsi="Times New Roman"/>
                <w:sz w:val="20"/>
              </w:rPr>
              <w:t>Net (decrease) increase in cash and cash equivalents</w:t>
            </w:r>
          </w:p>
        </w:tc>
        <w:tc>
          <w:tcPr>
            <w:tcW w:w="3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369" w:type="dxa"/>
            <w:tcBorders/>
            <w:shd w:fill="CCEEFF" w:val="clear"/>
            <w:vAlign w:val="bottom"/>
          </w:tcPr>
          <w:p>
            <w:pPr>
              <w:pStyle w:val="TableContents"/>
              <w:spacing w:before="0" w:after="283"/>
              <w:jc w:val="right"/>
              <w:rPr/>
            </w:pPr>
            <w:r>
              <w:rPr/>
              <w:t>(2,648,315</w:t>
            </w:r>
          </w:p>
        </w:tc>
        <w:tc>
          <w:tcPr>
            <w:tcW w:w="156"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369" w:type="dxa"/>
            <w:tcBorders/>
            <w:shd w:fill="CCEEFF" w:val="clear"/>
            <w:vAlign w:val="bottom"/>
          </w:tcPr>
          <w:p>
            <w:pPr>
              <w:pStyle w:val="TableContents"/>
              <w:spacing w:before="0" w:after="283"/>
              <w:jc w:val="right"/>
              <w:rPr/>
            </w:pPr>
            <w:r>
              <w:rPr/>
              <w:t>(1,849,875</w:t>
            </w:r>
          </w:p>
        </w:tc>
        <w:tc>
          <w:tcPr>
            <w:tcW w:w="162" w:type="dxa"/>
            <w:tcBorders/>
            <w:shd w:fill="CCEEFF" w:val="clear"/>
            <w:vAlign w:val="bottom"/>
          </w:tcPr>
          <w:p>
            <w:pPr>
              <w:pStyle w:val="TableContents"/>
              <w:spacing w:before="0" w:after="283"/>
              <w:rPr/>
            </w:pPr>
            <w:r>
              <w:rPr/>
              <w:t>) </w:t>
            </w:r>
          </w:p>
        </w:tc>
      </w:tr>
      <w:tr>
        <w:trPr/>
        <w:tc>
          <w:tcPr>
            <w:tcW w:w="3967"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69"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369"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operating activities was $26.8 million for the year ended December 31, 2022, which resulted from a net loss of $104.1 million from operating activities, adjusted for non-cash items such as share-based compensation of $60.0 million, $7.4 million impairment of goodwill, impairments of $1.1 million, interest expense of $3.9 million and of changes in working capital of $4.6 million primarily due to an increase in trade payables and accrued liabilities of $4.6 million. </w:t>
      </w:r>
    </w:p>
    <w:p>
      <w:pPr>
        <w:pStyle w:val="TextBody"/>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financing activities of $24.0 million for the year ended December 31, 2022 was due to proceeds from issuance of convertible loans of $21.5 million and $2.5 million from proceeds from issuance of ordinary shares. </w:t>
      </w:r>
    </w:p>
    <w:p>
      <w:pPr>
        <w:pStyle w:val="TextBody"/>
        <w:spacing w:before="360" w:after="0"/>
        <w:jc w:val="left"/>
        <w:rPr>
          <w:rFonts w:ascii="Times New Roman" w:hAnsi="Times New Roman"/>
          <w:b/>
          <w:i/>
          <w:sz w:val="20"/>
        </w:rPr>
      </w:pPr>
      <w:r>
        <w:rPr>
          <w:rFonts w:ascii="Times New Roman" w:hAnsi="Times New Roman"/>
          <w:b/>
          <w:i/>
          <w:sz w:val="20"/>
        </w:rPr>
        <w:t xml:space="preserve">Debt Obligations </w:t>
      </w:r>
    </w:p>
    <w:p>
      <w:pPr>
        <w:pStyle w:val="TextBody"/>
        <w:spacing w:before="120" w:after="0"/>
        <w:jc w:val="left"/>
        <w:rPr>
          <w:rFonts w:ascii="Times New Roman" w:hAnsi="Times New Roman"/>
          <w:sz w:val="20"/>
        </w:rPr>
      </w:pPr>
      <w:r>
        <w:rPr>
          <w:rFonts w:ascii="Times New Roman" w:hAnsi="Times New Roman"/>
          <w:sz w:val="20"/>
        </w:rPr>
        <w:t xml:space="preserve">We have debt outstanding to DBLP Sea Cow Limited (a company incorporated in the Seychelles) (DBLP), which is wholly legally owned by Daniel Wagner and beneficially owned by John Wagner, in the amounts of $175,000 and $477,077, an aggregate of $652,077. There are no formal loan documents in place and no interest is payable.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we have a secured convertible Loan Note Instrument in respect of $39,625,000 in aggregate principal amount of loan notes of $1.00 each in the capital of Rezolve. </w:t>
      </w:r>
    </w:p>
    <w:p>
      <w:pPr>
        <w:pStyle w:val="TextBody"/>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spacing w:before="120" w:after="0"/>
        <w:jc w:val="left"/>
        <w:rPr>
          <w:rFonts w:ascii="Times New Roman" w:hAnsi="Times New Roman"/>
          <w:sz w:val="20"/>
        </w:rPr>
      </w:pPr>
      <w:r>
        <w:rPr>
          <w:rFonts w:ascii="Times New Roman" w:hAnsi="Times New Roman"/>
          <w:sz w:val="20"/>
        </w:rPr>
        <w:t xml:space="preserve">As of December 31, 2022, we did not have any significant off-balance sheet arrangements, as defined in Item 303(a)(4)(ii) of Regulation S-K. </w:t>
      </w:r>
    </w:p>
    <w:p>
      <w:pPr>
        <w:pStyle w:val="TextBody"/>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spacing w:before="120" w:after="0"/>
        <w:jc w:val="left"/>
        <w:rPr>
          <w:rFonts w:ascii="Times New Roman" w:hAnsi="Times New Roman"/>
          <w:sz w:val="20"/>
        </w:rPr>
      </w:pPr>
      <w:r>
        <w:rPr>
          <w:rFonts w:ascii="Times New Roman" w:hAnsi="Times New Roman"/>
          <w:sz w:val="20"/>
        </w:rPr>
        <w:t xml:space="preserve">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 </w:t>
      </w:r>
    </w:p>
    <w:p>
      <w:pPr>
        <w:pStyle w:val="TextBody"/>
        <w:spacing w:before="240" w:after="0"/>
        <w:jc w:val="left"/>
        <w:rPr>
          <w:rFonts w:ascii="Times New Roman" w:hAnsi="Times New Roman"/>
          <w:sz w:val="20"/>
        </w:rPr>
      </w:pPr>
      <w:r>
        <w:rPr>
          <w:rFonts w:ascii="Times New Roman" w:hAnsi="Times New Roman"/>
          <w:sz w:val="20"/>
        </w:rPr>
        <w:t xml:space="preserve">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 </w:t>
      </w:r>
    </w:p>
    <w:p>
      <w:pPr>
        <w:pStyle w:val="TextBody"/>
        <w:spacing w:before="240" w:after="0"/>
        <w:jc w:val="left"/>
        <w:rPr>
          <w:rFonts w:ascii="Times New Roman" w:hAnsi="Times New Roman"/>
          <w:sz w:val="20"/>
        </w:rPr>
      </w:pPr>
      <w:r>
        <w:rPr>
          <w:rFonts w:ascii="Times New Roman" w:hAnsi="Times New Roman"/>
          <w:sz w:val="20"/>
        </w:rPr>
        <w:t xml:space="preserve">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 </w:t>
      </w:r>
    </w:p>
    <w:p>
      <w:pPr>
        <w:pStyle w:val="TextBody"/>
        <w:spacing w:before="240" w:after="0"/>
        <w:jc w:val="left"/>
        <w:rPr>
          <w:rFonts w:ascii="Times New Roman" w:hAnsi="Times New Roman"/>
          <w:sz w:val="20"/>
        </w:rPr>
      </w:pPr>
      <w:r>
        <w:rPr>
          <w:rFonts w:ascii="Times New Roman" w:hAnsi="Times New Roman"/>
          <w:sz w:val="20"/>
        </w:rPr>
        <w:t xml:space="preserve">On January 3, 2023, the board of directors of Rezolve Limited approved a plan to restructure its business and assets by way of a corporate de-merger. Subsequently, on January 5, 2023, an application to the local tax authorities, His Majestys Revenue and Customs (HMRC) was filed in respect of a proposed solvent liquidation procedure by way of a members voluntary liquidation (MVL) under section 110 of the Insolvency Act, 1986 to effect the corporate demerger (the Demerger). </w:t>
      </w:r>
    </w:p>
    <w:p>
      <w:pPr>
        <w:pStyle w:val="TextBody"/>
        <w:spacing w:before="240" w:after="0"/>
        <w:jc w:val="left"/>
        <w:rPr>
          <w:rFonts w:ascii="Times New Roman" w:hAnsi="Times New Roman"/>
          <w:sz w:val="20"/>
        </w:rPr>
      </w:pPr>
      <w:r>
        <w:rPr>
          <w:rFonts w:ascii="Times New Roman" w:hAnsi="Times New Roman"/>
          <w:sz w:val="20"/>
        </w:rPr>
        <w:t xml:space="preserve">Under the Demerger, Rezolve AI Limited will acquire all assets of Rezolve Limited, except for the China Business. Nine Stone is expected to be sold to a third party and Rezolve China will be dissolved. Rezolve Limited will be liquidated by way of an MVL in the course of this process. In exchange for the assets of Rezolve Limited, former shareholders of Rezolve Limited will be issued shares in the Company in proportion to their previous shareholdings in Rezolve Limited. On May 3, 2023, HMRC gave a tax clearance in respect of the Demerger. </w:t>
      </w:r>
    </w:p>
    <w:p>
      <w:pPr>
        <w:pStyle w:val="TextBody"/>
        <w:spacing w:before="240" w:after="0"/>
        <w:jc w:val="left"/>
        <w:rPr>
          <w:rFonts w:ascii="Times New Roman" w:hAnsi="Times New Roman"/>
          <w:sz w:val="20"/>
        </w:rPr>
      </w:pPr>
      <w:r>
        <w:rPr>
          <w:rFonts w:ascii="Times New Roman" w:hAnsi="Times New Roman"/>
          <w:sz w:val="20"/>
        </w:rPr>
        <w:t xml:space="preserve">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our financial position, results of operations or cash flows is disclosed in Note 3 to the Rezolve Financial Statements included elsewhere in this filing. </w:t>
      </w:r>
    </w:p>
    <w:p>
      <w:pPr>
        <w:pStyle w:val="TextBody"/>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spacing w:before="120" w:after="0"/>
        <w:jc w:val="left"/>
        <w:rPr>
          <w:rFonts w:ascii="Times New Roman" w:hAnsi="Times New Roman"/>
          <w:b/>
          <w:i/>
          <w:sz w:val="20"/>
        </w:rPr>
      </w:pPr>
      <w:r>
        <w:rPr>
          <w:rFonts w:ascii="Times New Roman" w:hAnsi="Times New Roman"/>
          <w:b/>
          <w:i/>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We have no interest rate risk, as the interest rate on our senior secured convertible loan notes is fixed, and the accrued interest converts into ordinary shares upon completion of a listing on a recognized stock exchange.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principal amount outstanding of our senior secured convertible loan notes was $24.0 million. We carry the senior secured convertible loan notes at face value on our consolidated balance sheets. We do not have any material debt issuance costs. </w:t>
      </w:r>
    </w:p>
    <w:p>
      <w:pPr>
        <w:pStyle w:val="TextBody"/>
        <w:spacing w:before="360" w:after="0"/>
        <w:jc w:val="left"/>
        <w:rPr>
          <w:rFonts w:ascii="Times New Roman" w:hAnsi="Times New Roman"/>
          <w:b/>
          <w:i/>
          <w:sz w:val="20"/>
        </w:rPr>
      </w:pPr>
      <w:r>
        <w:rPr>
          <w:rFonts w:ascii="Times New Roman" w:hAnsi="Times New Roman"/>
          <w:b/>
          <w:i/>
          <w:sz w:val="20"/>
        </w:rPr>
        <w:t xml:space="preserve">Foreign Currency Risk </w:t>
      </w:r>
    </w:p>
    <w:p>
      <w:pPr>
        <w:pStyle w:val="TextBody"/>
        <w:spacing w:before="120" w:after="0"/>
        <w:jc w:val="left"/>
        <w:rPr>
          <w:rFonts w:ascii="Times New Roman" w:hAnsi="Times New Roman"/>
          <w:sz w:val="20"/>
        </w:rPr>
      </w:pPr>
      <w:r>
        <w:rPr>
          <w:rFonts w:ascii="Times New Roman" w:hAnsi="Times New Roman"/>
          <w:sz w:val="20"/>
        </w:rPr>
        <w:t xml:space="preserve">All of our revenue is denominated in the Euro (EUR) since our sales are primarily in Germany. Based upon our level of operations for the year ended December 31, 2022, a sensitivity analysis shows that a 10% appreciation or depreciation in the EUR against the dollar would have increased or decreased, respectively, our revenue for the years ended December 31, 2022 and 2021 by approximately $1.2 million and $0.3 million respectively. </w:t>
      </w:r>
    </w:p>
    <w:p>
      <w:pPr>
        <w:pStyle w:val="TextBody"/>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spacing w:before="120" w:after="0"/>
        <w:jc w:val="left"/>
        <w:rPr>
          <w:rFonts w:ascii="Times New Roman" w:hAnsi="Times New Roman"/>
          <w:sz w:val="20"/>
        </w:rPr>
      </w:pPr>
      <w:r>
        <w:rPr>
          <w:rFonts w:ascii="Times New Roman" w:hAnsi="Times New Roman"/>
          <w:sz w:val="20"/>
        </w:rPr>
        <w:t xml:space="preserve">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 xml:space="preserve">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309194_24"/>
      <w:bookmarkEnd w:id="26"/>
      <w:r>
        <w:rPr>
          <w:rFonts w:ascii="Times New Roman" w:hAnsi="Times New Roman"/>
          <w:b/>
          <w:sz w:val="20"/>
        </w:rPr>
        <w:t xml:space="preserve">MANAGEMENT AND COMPENSATION OF REZOLVE </w:t>
      </w:r>
    </w:p>
    <w:p>
      <w:pPr>
        <w:pStyle w:val="TextBody"/>
        <w:spacing w:before="240" w:after="0"/>
        <w:jc w:val="left"/>
        <w:rPr>
          <w:rFonts w:ascii="Times New Roman" w:hAnsi="Times New Roman"/>
          <w:b/>
          <w:sz w:val="20"/>
        </w:rPr>
      </w:pPr>
      <w:r>
        <w:rPr>
          <w:rFonts w:ascii="Times New Roman" w:hAnsi="Times New Roman"/>
          <w:b/>
          <w:sz w:val="20"/>
        </w:rPr>
        <w:t xml:space="preserve">Management of Rezolve Following the Business Combination </w:t>
      </w:r>
    </w:p>
    <w:p>
      <w:pPr>
        <w:pStyle w:val="TextBody"/>
        <w:spacing w:before="120" w:after="0"/>
        <w:jc w:val="left"/>
        <w:rPr>
          <w:rFonts w:ascii="Times New Roman" w:hAnsi="Times New Roman"/>
          <w:sz w:val="20"/>
        </w:rPr>
      </w:pPr>
      <w:r>
        <w:rPr>
          <w:rFonts w:ascii="Times New Roman" w:hAnsi="Times New Roman"/>
          <w:sz w:val="20"/>
        </w:rPr>
        <w:t xml:space="preserve">As contemplated by the Business Combination Agreement, Rezolves board of directors following the Business Combination will be comprised of eight directors (provided that Daniel Wagner shall have the right to appoint an additional director to the Board from time to time). </w:t>
      </w:r>
    </w:p>
    <w:p>
      <w:pPr>
        <w:pStyle w:val="TextBody"/>
        <w:spacing w:before="240" w:after="0"/>
        <w:jc w:val="left"/>
        <w:rPr>
          <w:rFonts w:ascii="Times New Roman" w:hAnsi="Times New Roman"/>
          <w:sz w:val="20"/>
        </w:rPr>
      </w:pPr>
      <w:r>
        <w:rPr>
          <w:rFonts w:ascii="Times New Roman" w:hAnsi="Times New Roman"/>
          <w:sz w:val="20"/>
        </w:rPr>
        <w:t xml:space="preserve">The following sets forth certain information concerning the persons who are expected to serve as Rezolves directors and executive officers following the consummation of the Business Combination, including their ages, as of May 31,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22"/>
        <w:gridCol w:w="195"/>
        <w:gridCol w:w="427"/>
        <w:gridCol w:w="195"/>
        <w:gridCol w:w="6600"/>
      </w:tblGrid>
      <w:tr>
        <w:trPr/>
        <w:tc>
          <w:tcPr>
            <w:tcW w:w="312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6600" w:type="dxa"/>
            <w:tcBorders/>
            <w:shd w:fill="auto" w:val="clear"/>
            <w:vAlign w:val="center"/>
          </w:tcPr>
          <w:p>
            <w:pPr>
              <w:pStyle w:val="TableContents"/>
              <w:spacing w:before="0" w:after="283"/>
              <w:rPr>
                <w:sz w:val="4"/>
                <w:szCs w:val="4"/>
              </w:rPr>
            </w:pPr>
            <w:r>
              <w:rPr>
                <w:sz w:val="4"/>
                <w:szCs w:val="4"/>
              </w:rPr>
            </w:r>
          </w:p>
        </w:tc>
      </w:tr>
      <w:tr>
        <w:trPr/>
        <w:tc>
          <w:tcPr>
            <w:tcW w:w="312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95" w:type="dxa"/>
            <w:tcBorders/>
            <w:shd w:fill="auto" w:val="clear"/>
            <w:vAlign w:val="bottom"/>
          </w:tcPr>
          <w:p>
            <w:pPr>
              <w:pStyle w:val="TableContents"/>
              <w:spacing w:before="0" w:after="283"/>
              <w:rPr/>
            </w:pPr>
            <w:r>
              <w:rPr/>
              <w:t>  </w:t>
            </w:r>
          </w:p>
        </w:tc>
        <w:tc>
          <w:tcPr>
            <w:tcW w:w="427" w:type="dxa"/>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195" w:type="dxa"/>
            <w:tcBorders/>
            <w:shd w:fill="auto" w:val="clear"/>
            <w:vAlign w:val="bottom"/>
          </w:tcPr>
          <w:p>
            <w:pPr>
              <w:pStyle w:val="TableContents"/>
              <w:spacing w:before="0" w:after="283"/>
              <w:rPr/>
            </w:pPr>
            <w:r>
              <w:rPr/>
              <w:t>  </w:t>
            </w:r>
          </w:p>
        </w:tc>
        <w:tc>
          <w:tcPr>
            <w:tcW w:w="660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Daniel Wagner</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59</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CEO, and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John Wagner</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90</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Anthony Sharp</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60</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Sir David Wright</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78</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Stephen Perry</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62</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Derek Smith</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77</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Douglas Lurio</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66</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Stephen Herbert</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60</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Non-executive director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Peter Vesco</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60</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Chief Commercial Officer and General Manager (EMEA)</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Richard Burchill</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51</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Chief Financial Officer</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Sauvik Banerjjee</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47</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CEO Products, Technology, and Digital Services</w:t>
            </w:r>
          </w:p>
        </w:tc>
      </w:tr>
      <w:tr>
        <w:trPr/>
        <w:tc>
          <w:tcPr>
            <w:tcW w:w="3122" w:type="dxa"/>
            <w:tcBorders/>
            <w:shd w:fill="auto" w:val="clear"/>
          </w:tcPr>
          <w:p>
            <w:pPr>
              <w:pStyle w:val="TableContents"/>
              <w:spacing w:before="0" w:after="0"/>
              <w:rPr>
                <w:rFonts w:ascii="Times New Roman" w:hAnsi="Times New Roman"/>
                <w:sz w:val="20"/>
              </w:rPr>
            </w:pPr>
            <w:r>
              <w:rPr>
                <w:rFonts w:ascii="Times New Roman" w:hAnsi="Times New Roman"/>
                <w:sz w:val="20"/>
              </w:rPr>
              <w:t>Salman Ahmad</w:t>
            </w:r>
          </w:p>
        </w:tc>
        <w:tc>
          <w:tcPr>
            <w:tcW w:w="195" w:type="dxa"/>
            <w:tcBorders/>
            <w:shd w:fill="auto" w:val="clear"/>
            <w:vAlign w:val="bottom"/>
          </w:tcPr>
          <w:p>
            <w:pPr>
              <w:pStyle w:val="TableContents"/>
              <w:spacing w:before="0" w:after="283"/>
              <w:rPr/>
            </w:pPr>
            <w:r>
              <w:rPr/>
              <w:t>  </w:t>
            </w:r>
          </w:p>
        </w:tc>
        <w:tc>
          <w:tcPr>
            <w:tcW w:w="427" w:type="dxa"/>
            <w:tcBorders/>
            <w:shd w:fill="auto" w:val="clear"/>
          </w:tcPr>
          <w:p>
            <w:pPr>
              <w:pStyle w:val="TableContents"/>
              <w:spacing w:before="0" w:after="283"/>
              <w:jc w:val="center"/>
              <w:rPr/>
            </w:pPr>
            <w:r>
              <w:rPr/>
              <w:t>49</w:t>
            </w:r>
          </w:p>
        </w:tc>
        <w:tc>
          <w:tcPr>
            <w:tcW w:w="195" w:type="dxa"/>
            <w:tcBorders/>
            <w:shd w:fill="auto" w:val="clear"/>
            <w:vAlign w:val="bottom"/>
          </w:tcPr>
          <w:p>
            <w:pPr>
              <w:pStyle w:val="TableContents"/>
              <w:spacing w:before="0" w:after="283"/>
              <w:rPr/>
            </w:pPr>
            <w:r>
              <w:rPr/>
              <w:t>  </w:t>
            </w:r>
          </w:p>
        </w:tc>
        <w:tc>
          <w:tcPr>
            <w:tcW w:w="6600" w:type="dxa"/>
            <w:tcBorders/>
            <w:shd w:fill="auto" w:val="clear"/>
          </w:tcPr>
          <w:p>
            <w:pPr>
              <w:pStyle w:val="TableContents"/>
              <w:spacing w:before="0" w:after="283"/>
              <w:jc w:val="center"/>
              <w:rPr/>
            </w:pPr>
            <w:r>
              <w:rPr/>
              <w:t>Chief Technology Officer</w:t>
            </w:r>
          </w:p>
        </w:tc>
      </w:tr>
    </w:tbl>
    <w:p>
      <w:pPr>
        <w:pStyle w:val="TextBody"/>
        <w:spacing w:before="240" w:after="0"/>
        <w:jc w:val="left"/>
        <w:rPr>
          <w:rFonts w:ascii="Times New Roman" w:hAnsi="Times New Roman"/>
          <w:sz w:val="20"/>
        </w:rPr>
      </w:pPr>
      <w:r>
        <w:rPr>
          <w:rFonts w:ascii="Times New Roman" w:hAnsi="Times New Roman"/>
          <w:sz w:val="20"/>
        </w:rPr>
        <w:t xml:space="preserve">Biographical information concerning the directors and executive officers listed above is set forth below. </w:t>
      </w:r>
    </w:p>
    <w:p>
      <w:pPr>
        <w:pStyle w:val="TextBody"/>
        <w:spacing w:before="360" w:after="0"/>
        <w:jc w:val="left"/>
        <w:rPr>
          <w:rFonts w:ascii="Times New Roman" w:hAnsi="Times New Roman"/>
          <w:b/>
          <w:i/>
          <w:sz w:val="20"/>
        </w:rPr>
      </w:pPr>
      <w:r>
        <w:rPr>
          <w:rFonts w:ascii="Times New Roman" w:hAnsi="Times New Roman"/>
          <w:b/>
          <w:i/>
          <w:sz w:val="20"/>
        </w:rPr>
        <w:t xml:space="preserve">Executive Director </w:t>
      </w:r>
    </w:p>
    <w:p>
      <w:pPr>
        <w:pStyle w:val="TextBody"/>
        <w:spacing w:before="120" w:after="0"/>
        <w:jc w:val="left"/>
        <w:rPr>
          <w:rFonts w:ascii="Times New Roman" w:hAnsi="Times New Roman"/>
          <w:sz w:val="20"/>
        </w:rPr>
      </w:pPr>
      <w:r>
        <w:rPr>
          <w:rFonts w:ascii="Times New Roman" w:hAnsi="Times New Roman"/>
          <w:i/>
          <w:sz w:val="20"/>
        </w:rPr>
        <w:t>Daniel Wagner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 </w:t>
      </w:r>
    </w:p>
    <w:p>
      <w:pPr>
        <w:pStyle w:val="TextBody"/>
        <w:spacing w:before="360" w:after="0"/>
        <w:jc w:val="left"/>
        <w:rPr>
          <w:rFonts w:ascii="Times New Roman" w:hAnsi="Times New Roman"/>
          <w:b/>
          <w:i/>
          <w:sz w:val="20"/>
        </w:rPr>
      </w:pPr>
      <w:r>
        <w:rPr>
          <w:rFonts w:ascii="Times New Roman" w:hAnsi="Times New Roman"/>
          <w:b/>
          <w:i/>
          <w:sz w:val="20"/>
        </w:rPr>
        <w:t xml:space="preserve">Non-Executive Directors </w:t>
      </w:r>
    </w:p>
    <w:p>
      <w:pPr>
        <w:pStyle w:val="TextBody"/>
        <w:spacing w:before="120" w:after="0"/>
        <w:jc w:val="left"/>
        <w:rPr>
          <w:rFonts w:ascii="Times New Roman" w:hAnsi="Times New Roman"/>
          <w:i/>
          <w:sz w:val="20"/>
        </w:rPr>
      </w:pPr>
      <w:r>
        <w:rPr>
          <w:rFonts w:ascii="Times New Roman" w:hAnsi="Times New Roman"/>
          <w:i/>
          <w:sz w:val="20"/>
        </w:rPr>
        <w:t xml:space="preserve">Stephen Perry. </w:t>
      </w:r>
    </w:p>
    <w:p>
      <w:pPr>
        <w:pStyle w:val="TextBody"/>
        <w:spacing w:before="120" w:after="0"/>
        <w:jc w:val="left"/>
        <w:rPr>
          <w:rFonts w:ascii="Times New Roman" w:hAnsi="Times New Roman"/>
          <w:sz w:val="20"/>
        </w:rPr>
      </w:pPr>
      <w:r>
        <w:rPr>
          <w:rFonts w:ascii="Times New Roman" w:hAnsi="Times New Roman"/>
          <w:sz w:val="20"/>
        </w:rPr>
        <w:t xml:space="preserve">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 </w:t>
      </w:r>
    </w:p>
    <w:p>
      <w:pPr>
        <w:pStyle w:val="TextBody"/>
        <w:spacing w:before="360" w:after="0"/>
        <w:jc w:val="left"/>
        <w:rPr>
          <w:rFonts w:ascii="Times New Roman" w:hAnsi="Times New Roman"/>
          <w:i/>
          <w:sz w:val="20"/>
        </w:rPr>
      </w:pPr>
      <w:r>
        <w:rPr>
          <w:rFonts w:ascii="Times New Roman" w:hAnsi="Times New Roman"/>
          <w:i/>
          <w:sz w:val="20"/>
        </w:rPr>
        <w:t xml:space="preserve">Dr. Derek Smith. </w:t>
      </w:r>
    </w:p>
    <w:p>
      <w:pPr>
        <w:pStyle w:val="TextBody"/>
        <w:spacing w:before="120" w:after="0"/>
        <w:jc w:val="left"/>
        <w:rPr>
          <w:rFonts w:ascii="Times New Roman" w:hAnsi="Times New Roman"/>
          <w:sz w:val="20"/>
        </w:rPr>
      </w:pPr>
      <w:r>
        <w:rPr>
          <w:rFonts w:ascii="Times New Roman" w:hAnsi="Times New Roman"/>
          <w:sz w:val="20"/>
        </w:rPr>
        <w:t xml:space="preserve">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 </w:t>
      </w:r>
    </w:p>
    <w:p>
      <w:pPr>
        <w:pStyle w:val="TextBody"/>
        <w:spacing w:before="360" w:after="0"/>
        <w:jc w:val="left"/>
        <w:rPr>
          <w:rFonts w:ascii="Times New Roman" w:hAnsi="Times New Roman"/>
          <w:i/>
          <w:sz w:val="20"/>
        </w:rPr>
      </w:pPr>
      <w:r>
        <w:rPr>
          <w:rFonts w:ascii="Times New Roman" w:hAnsi="Times New Roman"/>
          <w:i/>
          <w:sz w:val="20"/>
        </w:rPr>
        <w:t xml:space="preserve">John Wagner. </w:t>
      </w:r>
    </w:p>
    <w:p>
      <w:pPr>
        <w:pStyle w:val="TextBody"/>
        <w:spacing w:before="120" w:after="0"/>
        <w:jc w:val="left"/>
        <w:rPr>
          <w:rFonts w:ascii="Times New Roman" w:hAnsi="Times New Roman"/>
          <w:sz w:val="20"/>
        </w:rPr>
      </w:pPr>
      <w:r>
        <w:rPr>
          <w:rFonts w:ascii="Times New Roman" w:hAnsi="Times New Roman"/>
          <w:sz w:val="20"/>
        </w:rPr>
        <w:t xml:space="preserve">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 </w:t>
      </w:r>
    </w:p>
    <w:p>
      <w:pPr>
        <w:pStyle w:val="TextBody"/>
        <w:spacing w:before="360" w:after="0"/>
        <w:jc w:val="left"/>
        <w:rPr>
          <w:rFonts w:ascii="Times New Roman" w:hAnsi="Times New Roman"/>
          <w:i/>
          <w:sz w:val="20"/>
        </w:rPr>
      </w:pPr>
      <w:r>
        <w:rPr>
          <w:rFonts w:ascii="Times New Roman" w:hAnsi="Times New Roman"/>
          <w:i/>
          <w:sz w:val="20"/>
        </w:rPr>
        <w:t xml:space="preserve">Anthony Sharp. </w:t>
      </w:r>
    </w:p>
    <w:p>
      <w:pPr>
        <w:pStyle w:val="TextBody"/>
        <w:spacing w:before="120" w:after="0"/>
        <w:jc w:val="left"/>
        <w:rPr>
          <w:rFonts w:ascii="Times New Roman" w:hAnsi="Times New Roman"/>
          <w:sz w:val="20"/>
        </w:rPr>
      </w:pPr>
      <w:r>
        <w:rPr>
          <w:rFonts w:ascii="Times New Roman" w:hAnsi="Times New Roman"/>
          <w:sz w:val="20"/>
        </w:rPr>
        <w:t xml:space="preserve">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 </w:t>
      </w:r>
    </w:p>
    <w:p>
      <w:pPr>
        <w:pStyle w:val="TextBody"/>
        <w:spacing w:before="360" w:after="0"/>
        <w:jc w:val="left"/>
        <w:rPr>
          <w:rFonts w:ascii="Times New Roman" w:hAnsi="Times New Roman"/>
          <w:sz w:val="20"/>
        </w:rPr>
      </w:pPr>
      <w:r>
        <w:rPr>
          <w:rFonts w:ascii="Times New Roman" w:hAnsi="Times New Roman"/>
          <w:i/>
          <w:sz w:val="20"/>
        </w:rPr>
        <w:t>Sir David Wright.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 </w:t>
      </w:r>
    </w:p>
    <w:p>
      <w:pPr>
        <w:pStyle w:val="TextBody"/>
        <w:spacing w:before="360" w:after="0"/>
        <w:jc w:val="left"/>
        <w:rPr>
          <w:rFonts w:ascii="Times New Roman" w:hAnsi="Times New Roman"/>
          <w:i/>
          <w:sz w:val="20"/>
        </w:rPr>
      </w:pPr>
      <w:r>
        <w:rPr>
          <w:rFonts w:ascii="Times New Roman" w:hAnsi="Times New Roman"/>
          <w:i/>
          <w:sz w:val="20"/>
        </w:rPr>
        <w:t xml:space="preserve">Douglas Lurio. </w:t>
      </w:r>
    </w:p>
    <w:p>
      <w:pPr>
        <w:pStyle w:val="TextBody"/>
        <w:spacing w:before="120" w:after="0"/>
        <w:jc w:val="left"/>
        <w:rPr>
          <w:rFonts w:ascii="Times New Roman" w:hAnsi="Times New Roman"/>
          <w:sz w:val="20"/>
        </w:rPr>
      </w:pPr>
      <w:r>
        <w:rPr>
          <w:rFonts w:ascii="Times New Roman" w:hAnsi="Times New Roman"/>
          <w:sz w:val="20"/>
        </w:rPr>
        <w:t xml:space="preserve">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 </w:t>
      </w:r>
    </w:p>
    <w:p>
      <w:pPr>
        <w:pStyle w:val="TextBody"/>
        <w:spacing w:before="360" w:after="0"/>
        <w:jc w:val="left"/>
        <w:rPr>
          <w:rFonts w:ascii="Times New Roman" w:hAnsi="Times New Roman"/>
          <w:i/>
          <w:sz w:val="20"/>
        </w:rPr>
      </w:pPr>
      <w:r>
        <w:rPr>
          <w:rFonts w:ascii="Times New Roman" w:hAnsi="Times New Roman"/>
          <w:i/>
          <w:sz w:val="20"/>
        </w:rPr>
        <w:t xml:space="preserve">Stephen Herbert. </w:t>
      </w:r>
    </w:p>
    <w:p>
      <w:pPr>
        <w:pStyle w:val="TextBody"/>
        <w:spacing w:before="120" w:after="0"/>
        <w:jc w:val="left"/>
        <w:rPr>
          <w:rFonts w:ascii="Times New Roman" w:hAnsi="Times New Roman"/>
          <w:sz w:val="20"/>
        </w:rPr>
      </w:pPr>
      <w:r>
        <w:rPr>
          <w:rFonts w:ascii="Times New Roman" w:hAnsi="Times New Roman"/>
          <w:sz w:val="20"/>
        </w:rPr>
        <w:t xml:space="preserve">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 </w:t>
      </w:r>
    </w:p>
    <w:p>
      <w:pPr>
        <w:pStyle w:val="TextBody"/>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spacing w:before="120" w:after="0"/>
        <w:jc w:val="left"/>
        <w:rPr>
          <w:rFonts w:ascii="Times New Roman" w:hAnsi="Times New Roman"/>
          <w:i/>
          <w:sz w:val="20"/>
        </w:rPr>
      </w:pPr>
      <w:r>
        <w:rPr>
          <w:rFonts w:ascii="Times New Roman" w:hAnsi="Times New Roman"/>
          <w:i/>
          <w:sz w:val="20"/>
        </w:rPr>
        <w:t xml:space="preserve">Peter Vesco. </w:t>
      </w:r>
    </w:p>
    <w:p>
      <w:pPr>
        <w:pStyle w:val="TextBody"/>
        <w:spacing w:before="120" w:after="0"/>
        <w:jc w:val="left"/>
        <w:rPr>
          <w:rFonts w:ascii="Times New Roman" w:hAnsi="Times New Roman"/>
          <w:sz w:val="20"/>
        </w:rPr>
      </w:pPr>
      <w:r>
        <w:rPr>
          <w:rFonts w:ascii="Times New Roman" w:hAnsi="Times New Roman"/>
          <w:sz w:val="20"/>
        </w:rPr>
        <w:t xml:space="preserve">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 </w:t>
      </w:r>
    </w:p>
    <w:p>
      <w:pPr>
        <w:pStyle w:val="TextBody"/>
        <w:spacing w:before="360" w:after="0"/>
        <w:jc w:val="left"/>
        <w:rPr>
          <w:rFonts w:ascii="Times New Roman" w:hAnsi="Times New Roman"/>
          <w:i/>
          <w:sz w:val="20"/>
        </w:rPr>
      </w:pPr>
      <w:r>
        <w:rPr>
          <w:rFonts w:ascii="Times New Roman" w:hAnsi="Times New Roman"/>
          <w:i/>
          <w:sz w:val="20"/>
        </w:rPr>
        <w:t xml:space="preserve">Richard Burchill. </w:t>
      </w:r>
    </w:p>
    <w:p>
      <w:pPr>
        <w:pStyle w:val="TextBody"/>
        <w:spacing w:before="120" w:after="0"/>
        <w:jc w:val="left"/>
        <w:rPr>
          <w:rFonts w:ascii="Times New Roman" w:hAnsi="Times New Roman"/>
          <w:sz w:val="20"/>
        </w:rPr>
      </w:pPr>
      <w:r>
        <w:rPr>
          <w:rFonts w:ascii="Times New Roman" w:hAnsi="Times New Roman"/>
          <w:sz w:val="20"/>
        </w:rPr>
        <w:t xml:space="preserve">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 </w:t>
      </w:r>
    </w:p>
    <w:p>
      <w:pPr>
        <w:pStyle w:val="TextBody"/>
        <w:spacing w:before="360" w:after="0"/>
        <w:jc w:val="left"/>
        <w:rPr>
          <w:rFonts w:ascii="Times New Roman" w:hAnsi="Times New Roman"/>
          <w:i/>
          <w:sz w:val="20"/>
        </w:rPr>
      </w:pPr>
      <w:r>
        <w:rPr>
          <w:rFonts w:ascii="Times New Roman" w:hAnsi="Times New Roman"/>
          <w:i/>
          <w:sz w:val="20"/>
        </w:rPr>
        <w:t xml:space="preserve">Sauvik Banerjjee. </w:t>
      </w:r>
    </w:p>
    <w:p>
      <w:pPr>
        <w:pStyle w:val="TextBody"/>
        <w:spacing w:before="120" w:after="0"/>
        <w:jc w:val="left"/>
        <w:rPr>
          <w:rFonts w:ascii="Times New Roman" w:hAnsi="Times New Roman"/>
          <w:sz w:val="20"/>
        </w:rPr>
      </w:pPr>
      <w:r>
        <w:rPr>
          <w:rFonts w:ascii="Times New Roman" w:hAnsi="Times New Roman"/>
          <w:sz w:val="20"/>
        </w:rPr>
        <w:t xml:space="preserve">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Dr. Salman Ahmad. </w:t>
      </w:r>
    </w:p>
    <w:p>
      <w:pPr>
        <w:pStyle w:val="TextBody"/>
        <w:spacing w:before="120" w:after="0"/>
        <w:jc w:val="left"/>
        <w:rPr>
          <w:rFonts w:ascii="Times New Roman" w:hAnsi="Times New Roman"/>
          <w:sz w:val="20"/>
        </w:rPr>
      </w:pPr>
      <w:r>
        <w:rPr>
          <w:rFonts w:ascii="Times New Roman" w:hAnsi="Times New Roman"/>
          <w:sz w:val="20"/>
        </w:rPr>
        <w:t xml:space="preserve">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 </w:t>
      </w:r>
    </w:p>
    <w:p>
      <w:pPr>
        <w:pStyle w:val="TextBody"/>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spacing w:before="120" w:after="0"/>
        <w:jc w:val="left"/>
        <w:rPr>
          <w:rFonts w:ascii="Times New Roman" w:hAnsi="Times New Roman"/>
          <w:sz w:val="20"/>
        </w:rPr>
      </w:pPr>
      <w:r>
        <w:rPr>
          <w:rFonts w:ascii="Times New Roman" w:hAnsi="Times New Roman"/>
          <w:sz w:val="20"/>
        </w:rPr>
        <w:t xml:space="preserve">Except for Daniel Wagner, CEO and director, being the son of John Wagner, a non-executive director on the board of directors, there are no family relationships between any of the executive officers and directors. </w:t>
      </w:r>
    </w:p>
    <w:p>
      <w:pPr>
        <w:pStyle w:val="TextBody"/>
        <w:spacing w:before="360" w:after="0"/>
        <w:jc w:val="left"/>
        <w:rPr>
          <w:rFonts w:ascii="Times New Roman" w:hAnsi="Times New Roman"/>
          <w:b/>
          <w:sz w:val="20"/>
        </w:rPr>
      </w:pPr>
      <w:r>
        <w:rPr>
          <w:rFonts w:ascii="Times New Roman" w:hAnsi="Times New Roman"/>
          <w:b/>
          <w:sz w:val="20"/>
        </w:rPr>
        <w:t xml:space="preserve">Foreign Private Issuer Exemption </w:t>
      </w:r>
    </w:p>
    <w:p>
      <w:pPr>
        <w:pStyle w:val="TextBody"/>
        <w:spacing w:before="120" w:after="0"/>
        <w:jc w:val="left"/>
        <w:rPr>
          <w:rFonts w:ascii="Times New Roman" w:hAnsi="Times New Roman"/>
          <w:sz w:val="20"/>
        </w:rPr>
      </w:pPr>
      <w:r>
        <w:rPr>
          <w:rFonts w:ascii="Times New Roman" w:hAnsi="Times New Roman"/>
          <w:sz w:val="20"/>
        </w:rPr>
        <w:t xml:space="preserve">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filing quarterly reports on Form 10-Q containing unaudited financial and other specified information or current reports on Form 8-K upon the occurrence of specified significant events;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Section 16 under the Exchange Act, which requires insiders to file public reports of their securities ownership and trading activities and provides for liability for insiders who profit from trades in a short period of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the Nasdaq rules applicable to domestic issuers requiring disclosure within four business days of any determination to grant a waiver of the code of business conduct and ethics to directors and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the requirement that our board have a compensation committee that is composed entirely of independent directors with a written charter addressing the committees purpose and responsibilities;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 </w:t>
            </w:r>
          </w:p>
        </w:tc>
      </w:tr>
    </w:tbl>
    <w:p>
      <w:pPr>
        <w:pStyle w:val="TextBody"/>
        <w:spacing w:before="240" w:after="0"/>
        <w:jc w:val="left"/>
        <w:rPr>
          <w:rFonts w:ascii="Times New Roman" w:hAnsi="Times New Roman"/>
          <w:sz w:val="20"/>
        </w:rPr>
      </w:pPr>
      <w:r>
        <w:rPr>
          <w:rFonts w:ascii="Times New Roman" w:hAnsi="Times New Roman"/>
          <w:sz w:val="20"/>
        </w:rPr>
        <w:t xml:space="preserve">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Controlled Company Exemption </w:t>
      </w:r>
    </w:p>
    <w:p>
      <w:pPr>
        <w:pStyle w:val="TextBody"/>
        <w:spacing w:before="120" w:after="0"/>
        <w:jc w:val="left"/>
        <w:rPr>
          <w:rFonts w:ascii="Times New Roman" w:hAnsi="Times New Roman"/>
          <w:sz w:val="20"/>
        </w:rPr>
      </w:pPr>
      <w:r>
        <w:rPr>
          <w:rFonts w:ascii="Times New Roman" w:hAnsi="Times New Roman"/>
          <w:sz w:val="20"/>
        </w:rPr>
        <w:t xml:space="preserve">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a majority of the board of directors consist of independent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we have a compensation committee that is composed entirely of independent directors with a written charter addressing the committees purpose and responsibilities;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that we have a nominating and corporate governance committee that is composed entirely of independent directors with a written charter addressing the committees purpose and responsibilities;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requirement for an annual performance evaluation of the nominating and corporate governance and compensation committees. </w:t>
            </w:r>
          </w:p>
        </w:tc>
      </w:tr>
    </w:tbl>
    <w:p>
      <w:pPr>
        <w:pStyle w:val="TextBody"/>
        <w:spacing w:before="240" w:after="0"/>
        <w:jc w:val="left"/>
        <w:rPr>
          <w:rFonts w:ascii="Times New Roman" w:hAnsi="Times New Roman"/>
          <w:sz w:val="20"/>
        </w:rPr>
      </w:pPr>
      <w:r>
        <w:rPr>
          <w:rFonts w:ascii="Times New Roman" w:hAnsi="Times New Roman"/>
          <w:sz w:val="20"/>
        </w:rPr>
        <w:t xml:space="preserve">In the event that we cease to be a controlled company and our shares continue to be listed on the Nasdaq, we will be required to comply with these provisions within the applicable transition periods. </w:t>
      </w:r>
    </w:p>
    <w:p>
      <w:pPr>
        <w:pStyle w:val="TextBody"/>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spacing w:before="120" w:after="0"/>
        <w:jc w:val="left"/>
        <w:rPr>
          <w:rFonts w:ascii="Times New Roman" w:hAnsi="Times New Roman"/>
          <w:sz w:val="20"/>
        </w:rPr>
      </w:pPr>
      <w:r>
        <w:rPr>
          <w:rFonts w:ascii="Times New Roman" w:hAnsi="Times New Roman"/>
          <w:sz w:val="20"/>
        </w:rPr>
        <w:t xml:space="preserve">We intend to structure our corporate governance in a manner that we and Armada believe will closely align our interests with those of our shareholders following the Business Combination. Notable features of this corporate governance include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least one of our directors will qualify as an audit committee financial expert as defined by the SEC;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plan to implement a range of other corporate governance practices. </w:t>
            </w:r>
          </w:p>
        </w:tc>
      </w:tr>
    </w:tbl>
    <w:p>
      <w:pPr>
        <w:pStyle w:val="TextBody"/>
        <w:spacing w:before="360" w:after="0"/>
        <w:jc w:val="left"/>
        <w:rPr>
          <w:rFonts w:ascii="Times New Roman" w:hAnsi="Times New Roman"/>
          <w:b/>
          <w:sz w:val="20"/>
        </w:rPr>
      </w:pPr>
      <w:r>
        <w:rPr>
          <w:rFonts w:ascii="Times New Roman" w:hAnsi="Times New Roman"/>
          <w:b/>
          <w:sz w:val="20"/>
        </w:rPr>
        <w:t xml:space="preserve">Independence of Directors </w:t>
      </w:r>
    </w:p>
    <w:p>
      <w:pPr>
        <w:pStyle w:val="TextBody"/>
        <w:spacing w:before="120" w:after="0"/>
        <w:jc w:val="left"/>
        <w:rPr>
          <w:rFonts w:ascii="Times New Roman" w:hAnsi="Times New Roman"/>
          <w:sz w:val="20"/>
        </w:rPr>
      </w:pPr>
      <w:r>
        <w:rPr>
          <w:rFonts w:ascii="Times New Roman" w:hAnsi="Times New Roman"/>
          <w:sz w:val="20"/>
        </w:rPr>
        <w:t xml:space="preserve">We expect that upon consummation of the Business Combination,                  members of our board will be independent directors and our board will have audit, remuneration and nominating and corporate governance committees. We expect we will adopt standard practices of the United Kingdom with respect to the independence of directors serving on the remuneration and nominating and corporate governance committees. </w:t>
      </w:r>
    </w:p>
    <w:p>
      <w:pPr>
        <w:pStyle w:val="TextBody"/>
        <w:spacing w:before="360" w:after="0"/>
        <w:jc w:val="left"/>
        <w:rPr>
          <w:rFonts w:ascii="Times New Roman" w:hAnsi="Times New Roman"/>
          <w:b/>
          <w:sz w:val="20"/>
        </w:rPr>
      </w:pPr>
      <w:r>
        <w:rPr>
          <w:rFonts w:ascii="Times New Roman" w:hAnsi="Times New Roman"/>
          <w:b/>
          <w:sz w:val="20"/>
        </w:rPr>
        <w:t xml:space="preserve">Rezolve Board of Directors Composition </w:t>
      </w:r>
    </w:p>
    <w:p>
      <w:pPr>
        <w:pStyle w:val="TextBody"/>
        <w:spacing w:before="120" w:after="0"/>
        <w:jc w:val="left"/>
        <w:rPr>
          <w:rFonts w:ascii="Times New Roman" w:hAnsi="Times New Roman"/>
          <w:sz w:val="20"/>
        </w:rPr>
      </w:pPr>
      <w:r>
        <w:rPr>
          <w:rFonts w:ascii="Times New Roman" w:hAnsi="Times New Roman"/>
          <w:sz w:val="20"/>
        </w:rPr>
        <w:t xml:space="preserve">We expect our board of directors following the Business Combination to be comprised of eight directors (provided that Daniel Wagner shall have the right to appoint an additional director to the Board from time to time),                  of whom will qualify as independent directors as defined in the Nasdaq listing requirements. Daniel Wagner will serve as the Chairman of the board of directors and Anthony Sharp will serve as deputy Chairman. </w:t>
      </w:r>
    </w:p>
    <w:p>
      <w:pPr>
        <w:pStyle w:val="TextBody"/>
        <w:spacing w:before="240" w:after="0"/>
        <w:jc w:val="left"/>
        <w:rPr>
          <w:rFonts w:ascii="Times New Roman" w:hAnsi="Times New Roman"/>
          <w:sz w:val="20"/>
        </w:rPr>
      </w:pPr>
      <w:r>
        <w:rPr>
          <w:rFonts w:ascii="Times New Roman" w:hAnsi="Times New Roman"/>
          <w:sz w:val="20"/>
        </w:rPr>
        <w:t xml:space="preserve">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             . Messrs.            ,             and             are Class II directors and will serve until our annual meeting in             . Messrs.            ,              and             are Class III directors and will serve until our annual meeting in             . </w:t>
      </w:r>
    </w:p>
    <w:p>
      <w:pPr>
        <w:pStyle w:val="TextBody"/>
        <w:spacing w:before="240" w:after="0"/>
        <w:jc w:val="left"/>
        <w:rPr>
          <w:rFonts w:ascii="Times New Roman" w:hAnsi="Times New Roman"/>
          <w:sz w:val="20"/>
        </w:rPr>
      </w:pPr>
      <w:r>
        <w:rPr>
          <w:rFonts w:ascii="Times New Roman" w:hAnsi="Times New Roman"/>
          <w:sz w:val="20"/>
        </w:rPr>
        <w:t xml:space="preserve">Upon completion of the Business Combination, the board of directors has determined that                 and                 would satisfy the general independence requirements under SEC and Nasdaq rules. Audit committee members must also satisfy the independence criteria set forth in Rule 10A-3 under the Exchange Act and the listing requirements of the Nasdaq. </w:t>
      </w:r>
    </w:p>
    <w:p>
      <w:pPr>
        <w:pStyle w:val="TextBody"/>
        <w:spacing w:before="360" w:after="0"/>
        <w:jc w:val="left"/>
        <w:rPr>
          <w:rFonts w:ascii="Times New Roman" w:hAnsi="Times New Roman"/>
          <w:b/>
          <w:sz w:val="20"/>
        </w:rPr>
      </w:pPr>
      <w:r>
        <w:rPr>
          <w:rFonts w:ascii="Times New Roman" w:hAnsi="Times New Roman"/>
          <w:b/>
          <w:sz w:val="20"/>
        </w:rPr>
        <w:t xml:space="preserve">Role of Rezolve Board of Directors in Risk Oversight </w:t>
      </w:r>
    </w:p>
    <w:p>
      <w:pPr>
        <w:pStyle w:val="TextBody"/>
        <w:spacing w:before="120" w:after="0"/>
        <w:jc w:val="left"/>
        <w:rPr>
          <w:rFonts w:ascii="Times New Roman" w:hAnsi="Times New Roman"/>
          <w:sz w:val="20"/>
        </w:rPr>
      </w:pPr>
      <w:r>
        <w:rPr>
          <w:rFonts w:ascii="Times New Roman" w:hAnsi="Times New Roman"/>
          <w:sz w:val="20"/>
        </w:rPr>
        <w:t xml:space="preserve">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 </w:t>
      </w:r>
    </w:p>
    <w:p>
      <w:pPr>
        <w:pStyle w:val="TextBody"/>
        <w:spacing w:before="360" w:after="0"/>
        <w:jc w:val="left"/>
        <w:rPr>
          <w:rFonts w:ascii="Times New Roman" w:hAnsi="Times New Roman"/>
          <w:b/>
          <w:sz w:val="20"/>
        </w:rPr>
      </w:pPr>
      <w:r>
        <w:rPr>
          <w:rFonts w:ascii="Times New Roman" w:hAnsi="Times New Roman"/>
          <w:b/>
          <w:sz w:val="20"/>
        </w:rPr>
        <w:t xml:space="preserve">Committees of the Rezolve Board of Directors </w:t>
      </w:r>
    </w:p>
    <w:p>
      <w:pPr>
        <w:pStyle w:val="TextBody"/>
        <w:spacing w:before="120" w:after="0"/>
        <w:jc w:val="left"/>
        <w:rPr>
          <w:rFonts w:ascii="Times New Roman" w:hAnsi="Times New Roman"/>
          <w:sz w:val="20"/>
        </w:rPr>
      </w:pPr>
      <w:r>
        <w:rPr>
          <w:rFonts w:ascii="Times New Roman" w:hAnsi="Times New Roman"/>
          <w:sz w:val="20"/>
        </w:rPr>
        <w:t xml:space="preserve">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 </w:t>
      </w:r>
    </w:p>
    <w:p>
      <w:pPr>
        <w:pStyle w:val="TextBody"/>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spacing w:before="120" w:after="0"/>
        <w:jc w:val="left"/>
        <w:rPr>
          <w:rFonts w:ascii="Times New Roman" w:hAnsi="Times New Roman"/>
          <w:sz w:val="20"/>
        </w:rPr>
      </w:pPr>
      <w:r>
        <w:rPr>
          <w:rFonts w:ascii="Times New Roman" w:hAnsi="Times New Roman"/>
          <w:sz w:val="20"/>
        </w:rPr>
        <w:t xml:space="preserve">Our audit committee will be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meeting with our independent registered accounting firm regarding, among other issues, audits, and adequacy of our accounting and control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monitoring the independence of the independent registered public accounting firm;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verifying the rotation of the lead (or coordinating) audit partner having primary responsibility for the audit and the audit partner responsible for reviewing the audit as required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inquiring and discussing with management our compliance with applicable laws and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pre-approving all audit services and permitted non-audit services to be performed by our independent registered public accounting firm, including the fees and terms of the services to be performed;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appointing or replacing the independent registered public accounting firm;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reports which raise material issues regarding our financial statements or accounting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our policies on risk assessment and risk management;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related person transactions. </w:t>
            </w:r>
          </w:p>
        </w:tc>
      </w:tr>
    </w:tbl>
    <w:p>
      <w:pPr>
        <w:pStyle w:val="TextBody"/>
        <w:spacing w:before="240" w:after="0"/>
        <w:jc w:val="left"/>
        <w:rPr>
          <w:rFonts w:ascii="Times New Roman" w:hAnsi="Times New Roman"/>
          <w:sz w:val="20"/>
        </w:rPr>
      </w:pPr>
      <w:r>
        <w:rPr>
          <w:rFonts w:ascii="Times New Roman" w:hAnsi="Times New Roman"/>
          <w:sz w:val="20"/>
        </w:rPr>
        <w:t xml:space="preserve">Rezolves audit committee will initially consist of                  and                  with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 </w:t>
      </w:r>
    </w:p>
    <w:p>
      <w:pPr>
        <w:pStyle w:val="TextBody"/>
        <w:spacing w:before="360" w:after="0"/>
        <w:jc w:val="left"/>
        <w:rPr>
          <w:rFonts w:ascii="Times New Roman" w:hAnsi="Times New Roman"/>
          <w:b/>
          <w:i/>
          <w:sz w:val="20"/>
        </w:rPr>
      </w:pPr>
      <w:r>
        <w:rPr>
          <w:rFonts w:ascii="Times New Roman" w:hAnsi="Times New Roman"/>
          <w:b/>
          <w:i/>
          <w:sz w:val="20"/>
        </w:rPr>
        <w:t xml:space="preserve">Remuneration Committee </w:t>
      </w:r>
    </w:p>
    <w:p>
      <w:pPr>
        <w:pStyle w:val="TextBody"/>
        <w:spacing w:before="120" w:after="0"/>
        <w:jc w:val="left"/>
        <w:rPr>
          <w:rFonts w:ascii="Times New Roman" w:hAnsi="Times New Roman"/>
          <w:sz w:val="20"/>
        </w:rPr>
      </w:pPr>
      <w:r>
        <w:rPr>
          <w:rFonts w:ascii="Times New Roman" w:hAnsi="Times New Roman"/>
          <w:sz w:val="20"/>
        </w:rPr>
        <w:t xml:space="preserve">Our remuneration committee will be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compensation of all of our other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our executive compensation policies and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implementing and administering our incentive compensation equity-based remuneration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assisting management in complying with any disclosure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approving all special perquisites, special cash payments and other special compensation and benefit arrangements for our officers and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evaluating and recommending changes, if appropriate, to the remuneration for directors.;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retaining and overseeing any compensation consultants. </w:t>
            </w:r>
          </w:p>
        </w:tc>
      </w:tr>
    </w:tbl>
    <w:p>
      <w:pPr>
        <w:pStyle w:val="TextBody"/>
        <w:spacing w:before="240" w:after="0"/>
        <w:jc w:val="left"/>
        <w:rPr>
          <w:rFonts w:ascii="Times New Roman" w:hAnsi="Times New Roman"/>
          <w:sz w:val="20"/>
        </w:rPr>
      </w:pPr>
      <w:r>
        <w:rPr>
          <w:rFonts w:ascii="Times New Roman" w:hAnsi="Times New Roman"/>
          <w:sz w:val="20"/>
        </w:rPr>
        <w:t xml:space="preserve">Our remuneration committee will initially consist of                  and                  with                  serving as the chair of the committee. Our board of directors will adopt a written terms of reference for the remuneration committee, which will be available on our website after adoption. </w:t>
      </w:r>
    </w:p>
    <w:p>
      <w:pPr>
        <w:pStyle w:val="TextBody"/>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Our nominating and corporate governance committee will be responsible for,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individuals qualified to become members of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recommending to our board of directors the persons to be nominated for election as directors and to each of the committees of our board of directors;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of directors with respect to our board leadership 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making recommendations to our board of directors with respect to management succession planning;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our board of directors corporate governance principles. </w:t>
            </w:r>
          </w:p>
        </w:tc>
      </w:tr>
    </w:tbl>
    <w:p>
      <w:pPr>
        <w:pStyle w:val="TextBody"/>
        <w:spacing w:before="240" w:after="0"/>
        <w:jc w:val="left"/>
        <w:rPr>
          <w:rFonts w:ascii="Times New Roman" w:hAnsi="Times New Roman"/>
          <w:sz w:val="20"/>
        </w:rPr>
      </w:pPr>
      <w:r>
        <w:rPr>
          <w:rFonts w:ascii="Times New Roman" w:hAnsi="Times New Roman"/>
          <w:sz w:val="20"/>
        </w:rPr>
        <w:t xml:space="preserve">Our nominating and corporate governance committee will initially consist of                  and                  with                 serving as the chair of the committee. Our board of directors will adopt a written terms of reference for the nominating and corporate governance committee, which will be available on our website after adoption. </w:t>
      </w:r>
    </w:p>
    <w:p>
      <w:pPr>
        <w:pStyle w:val="TextBody"/>
        <w:spacing w:before="360" w:after="0"/>
        <w:jc w:val="left"/>
        <w:rPr>
          <w:rFonts w:ascii="Times New Roman" w:hAnsi="Times New Roman"/>
          <w:b/>
          <w:sz w:val="20"/>
        </w:rPr>
      </w:pPr>
      <w:r>
        <w:rPr>
          <w:rFonts w:ascii="Times New Roman" w:hAnsi="Times New Roman"/>
          <w:b/>
          <w:sz w:val="20"/>
        </w:rPr>
        <w:t xml:space="preserve">Code of Ethics </w:t>
      </w:r>
    </w:p>
    <w:p>
      <w:pPr>
        <w:pStyle w:val="TextBody"/>
        <w:spacing w:before="120" w:after="0"/>
        <w:jc w:val="left"/>
        <w:rPr>
          <w:rFonts w:ascii="Times New Roman" w:hAnsi="Times New Roman"/>
          <w:sz w:val="20"/>
        </w:rPr>
      </w:pPr>
      <w:r>
        <w:rPr>
          <w:rFonts w:ascii="Times New Roman" w:hAnsi="Times New Roman"/>
          <w:sz w:val="20"/>
        </w:rPr>
        <w:t xml:space="preserve">Our board of directors will adopt a Code of Ethics applicable to our directors, executive officers and team members that complies with the rules and regulations of the SEC and Nasdaq. The Code of Ethics will be available on our website. </w:t>
      </w:r>
    </w:p>
    <w:p>
      <w:pPr>
        <w:pStyle w:val="TextBody"/>
        <w:spacing w:before="360" w:after="0"/>
        <w:jc w:val="left"/>
        <w:rPr>
          <w:rFonts w:ascii="Times New Roman" w:hAnsi="Times New Roman"/>
          <w:b/>
          <w:sz w:val="20"/>
        </w:rPr>
      </w:pPr>
      <w:r>
        <w:rPr>
          <w:rFonts w:ascii="Times New Roman" w:hAnsi="Times New Roman"/>
          <w:b/>
          <w:sz w:val="20"/>
        </w:rPr>
        <w:t xml:space="preserve">Limitation on Liability and Indemnification of Officers and Directors </w:t>
      </w:r>
    </w:p>
    <w:p>
      <w:pPr>
        <w:pStyle w:val="TextBody"/>
        <w:spacing w:before="120" w:after="0"/>
        <w:jc w:val="left"/>
        <w:rPr>
          <w:rFonts w:ascii="Times New Roman" w:hAnsi="Times New Roman"/>
          <w:sz w:val="20"/>
        </w:rPr>
      </w:pPr>
      <w:r>
        <w:rPr>
          <w:rFonts w:ascii="Times New Roman" w:hAnsi="Times New Roman"/>
          <w:sz w:val="20"/>
        </w:rPr>
        <w:t xml:space="preserve">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w:t>
      </w:r>
    </w:p>
    <w:p>
      <w:pPr>
        <w:pStyle w:val="TextBody"/>
        <w:spacing w:before="240" w:after="0"/>
        <w:jc w:val="left"/>
        <w:rPr>
          <w:rFonts w:ascii="Times New Roman" w:hAnsi="Times New Roman"/>
          <w:sz w:val="20"/>
        </w:rPr>
      </w:pPr>
      <w:r>
        <w:rPr>
          <w:rFonts w:ascii="Times New Roman" w:hAnsi="Times New Roman"/>
          <w:sz w:val="20"/>
        </w:rPr>
        <w:t xml:space="preserve">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 </w:t>
      </w:r>
    </w:p>
    <w:p>
      <w:pPr>
        <w:pStyle w:val="TextBody"/>
        <w:spacing w:before="240" w:after="0"/>
        <w:jc w:val="left"/>
        <w:rPr>
          <w:rFonts w:ascii="Times New Roman" w:hAnsi="Times New Roman"/>
          <w:sz w:val="20"/>
        </w:rPr>
      </w:pPr>
      <w:r>
        <w:rPr>
          <w:rFonts w:ascii="Times New Roman" w:hAnsi="Times New Roman"/>
          <w:sz w:val="20"/>
        </w:rPr>
        <w:t xml:space="preserve">Rezolve believes that these provisions, the insurance and the indemnity agreements are necessary to attract and retain talented and experienced officers and directors. </w:t>
      </w:r>
    </w:p>
    <w:p>
      <w:pPr>
        <w:pStyle w:val="TextBody"/>
        <w:spacing w:before="240" w:after="0"/>
        <w:jc w:val="left"/>
        <w:rPr>
          <w:rFonts w:ascii="Times New Roman" w:hAnsi="Times New Roman"/>
          <w:sz w:val="20"/>
        </w:rPr>
      </w:pPr>
      <w:r>
        <w:rPr>
          <w:rFonts w:ascii="Times New Roman" w:hAnsi="Times New Roman"/>
          <w:sz w:val="20"/>
        </w:rPr>
        <w:t>For further details on the indemnity provisions referred to in the articles of association of Rezolve, see the section entitled </w:t>
      </w:r>
      <w:r>
        <w:rPr>
          <w:rFonts w:ascii="Times New Roman" w:hAnsi="Times New Roman"/>
          <w:i/>
          <w:sz w:val="20"/>
        </w:rPr>
        <w:t>Description of Rezolve Ordinary Shares and Articles of Association</w:t>
      </w:r>
      <w:r>
        <w:rPr>
          <w:rFonts w:ascii="Times New Roman" w:hAnsi="Times New Roman"/>
          <w:sz w:val="20"/>
        </w:rPr>
        <w:t xml:space="preserve"> of this proxy statement/prospectus, and for a summary of the indemnification agreement, see the section entitled Indemnification Agreements with Officers and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Executive Officer and Director Compensation </w:t>
      </w:r>
    </w:p>
    <w:p>
      <w:pPr>
        <w:pStyle w:val="TextBody"/>
        <w:spacing w:before="120" w:after="0"/>
        <w:jc w:val="left"/>
        <w:rPr>
          <w:rFonts w:ascii="Times New Roman" w:hAnsi="Times New Roman"/>
          <w:sz w:val="20"/>
        </w:rPr>
      </w:pPr>
      <w:r>
        <w:rPr>
          <w:rFonts w:ascii="Times New Roman" w:hAnsi="Times New Roman"/>
          <w:sz w:val="20"/>
        </w:rPr>
        <w:t xml:space="preserve">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 </w:t>
      </w:r>
    </w:p>
    <w:p>
      <w:pPr>
        <w:pStyle w:val="TextBody"/>
        <w:spacing w:before="360" w:after="0"/>
        <w:jc w:val="left"/>
        <w:rPr>
          <w:rFonts w:ascii="Times New Roman" w:hAnsi="Times New Roman"/>
          <w:b/>
          <w:sz w:val="20"/>
        </w:rPr>
      </w:pPr>
      <w:r>
        <w:rPr>
          <w:rFonts w:ascii="Times New Roman" w:hAnsi="Times New Roman"/>
          <w:b/>
          <w:sz w:val="20"/>
        </w:rPr>
        <w:t xml:space="preserve">Executive Officer and Director Compensation Following Completion of the Proposed Transactions </w:t>
      </w:r>
    </w:p>
    <w:p>
      <w:pPr>
        <w:pStyle w:val="TextBody"/>
        <w:spacing w:before="120" w:after="0"/>
        <w:jc w:val="left"/>
        <w:rPr>
          <w:rFonts w:ascii="Times New Roman" w:hAnsi="Times New Roman"/>
          <w:sz w:val="20"/>
        </w:rPr>
      </w:pPr>
      <w:r>
        <w:rPr>
          <w:rFonts w:ascii="Times New Roman" w:hAnsi="Times New Roman"/>
          <w:sz w:val="20"/>
        </w:rPr>
        <w:t xml:space="preserve">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 </w:t>
      </w:r>
    </w:p>
    <w:p>
      <w:pPr>
        <w:pStyle w:val="TextBody"/>
        <w:spacing w:before="360" w:after="0"/>
        <w:jc w:val="left"/>
        <w:rPr>
          <w:rFonts w:ascii="Times New Roman" w:hAnsi="Times New Roman"/>
          <w:b/>
          <w:i/>
          <w:sz w:val="20"/>
        </w:rPr>
      </w:pPr>
      <w:r>
        <w:rPr>
          <w:rFonts w:ascii="Times New Roman" w:hAnsi="Times New Roman"/>
          <w:b/>
          <w:i/>
          <w:sz w:val="20"/>
        </w:rPr>
        <w:t xml:space="preserve">Service Agreement with Daniel Wagner </w:t>
      </w:r>
    </w:p>
    <w:p>
      <w:pPr>
        <w:pStyle w:val="TextBody"/>
        <w:spacing w:before="120" w:after="0"/>
        <w:jc w:val="left"/>
        <w:rPr>
          <w:rFonts w:ascii="Times New Roman" w:hAnsi="Times New Roman"/>
          <w:sz w:val="20"/>
        </w:rPr>
      </w:pPr>
      <w:r>
        <w:rPr>
          <w:rFonts w:ascii="Times New Roman" w:hAnsi="Times New Roman"/>
          <w:sz w:val="20"/>
        </w:rPr>
        <w:t xml:space="preserve">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 </w:t>
      </w:r>
    </w:p>
    <w:p>
      <w:pPr>
        <w:pStyle w:val="TextBody"/>
        <w:spacing w:before="240" w:after="0"/>
        <w:jc w:val="left"/>
        <w:rPr>
          <w:rFonts w:ascii="Times New Roman" w:hAnsi="Times New Roman"/>
          <w:sz w:val="20"/>
        </w:rPr>
      </w:pPr>
      <w:r>
        <w:rPr>
          <w:rFonts w:ascii="Times New Roman" w:hAnsi="Times New Roman"/>
          <w:sz w:val="20"/>
        </w:rPr>
        <w:t xml:space="preserve">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 </w:t>
      </w:r>
    </w:p>
    <w:p>
      <w:pPr>
        <w:pStyle w:val="TextBody"/>
        <w:spacing w:before="360" w:after="0"/>
        <w:jc w:val="left"/>
        <w:rPr>
          <w:rFonts w:ascii="Times New Roman" w:hAnsi="Times New Roman"/>
          <w:b/>
          <w:i/>
          <w:sz w:val="20"/>
        </w:rPr>
      </w:pPr>
      <w:r>
        <w:rPr>
          <w:rFonts w:ascii="Times New Roman" w:hAnsi="Times New Roman"/>
          <w:b/>
          <w:i/>
          <w:sz w:val="20"/>
        </w:rPr>
        <w:t xml:space="preserve">Service Agreement with Richard Burchill </w:t>
      </w:r>
    </w:p>
    <w:p>
      <w:pPr>
        <w:pStyle w:val="TextBody"/>
        <w:spacing w:before="120" w:after="0"/>
        <w:jc w:val="left"/>
        <w:rPr>
          <w:rFonts w:ascii="Times New Roman" w:hAnsi="Times New Roman"/>
          <w:sz w:val="20"/>
        </w:rPr>
      </w:pPr>
      <w:r>
        <w:rPr>
          <w:rFonts w:ascii="Times New Roman" w:hAnsi="Times New Roman"/>
          <w:sz w:val="20"/>
        </w:rPr>
        <w:t xml:space="preserve">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 </w:t>
      </w:r>
    </w:p>
    <w:p>
      <w:pPr>
        <w:pStyle w:val="TextBody"/>
        <w:spacing w:before="240" w:after="0"/>
        <w:jc w:val="left"/>
        <w:rPr>
          <w:rFonts w:ascii="Times New Roman" w:hAnsi="Times New Roman"/>
          <w:sz w:val="20"/>
        </w:rPr>
      </w:pPr>
      <w:r>
        <w:rPr>
          <w:rFonts w:ascii="Times New Roman" w:hAnsi="Times New Roman"/>
          <w:sz w:val="20"/>
        </w:rPr>
        <w:t xml:space="preserve">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Non-executive Director Letters of Appointment (John Wagner, Anthony Sharp, Sir David Wright, Derek Smith, Stephen Perry, Douglas Lurio and Stephen Herbert) </w:t>
      </w:r>
    </w:p>
    <w:p>
      <w:pPr>
        <w:pStyle w:val="TextBody"/>
        <w:spacing w:before="120" w:after="0"/>
        <w:jc w:val="left"/>
        <w:rPr>
          <w:rFonts w:ascii="Times New Roman" w:hAnsi="Times New Roman"/>
          <w:b/>
          <w:i/>
          <w:sz w:val="20"/>
        </w:rPr>
      </w:pPr>
      <w:r>
        <w:rPr>
          <w:rFonts w:ascii="Times New Roman" w:hAnsi="Times New Roman"/>
          <w:b/>
          <w:i/>
          <w:sz w:val="20"/>
        </w:rPr>
        <w:t xml:space="preserve">Terms of non-executive director appointment letters (John Wagner, Anthony Sharp, Sir David Wright, Derek Smith, and Stephen Perry) </w:t>
      </w:r>
    </w:p>
    <w:p>
      <w:pPr>
        <w:pStyle w:val="TextBody"/>
        <w:spacing w:before="120" w:after="0"/>
        <w:jc w:val="left"/>
        <w:rPr>
          <w:rFonts w:ascii="Times New Roman" w:hAnsi="Times New Roman"/>
          <w:sz w:val="20"/>
        </w:rPr>
      </w:pPr>
      <w:r>
        <w:rPr>
          <w:rFonts w:ascii="Times New Roman" w:hAnsi="Times New Roman"/>
          <w:sz w:val="20"/>
        </w:rPr>
        <w:t xml:space="preserve">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 </w:t>
      </w:r>
    </w:p>
    <w:p>
      <w:pPr>
        <w:pStyle w:val="TextBody"/>
        <w:spacing w:before="240" w:after="0"/>
        <w:jc w:val="left"/>
        <w:rPr>
          <w:rFonts w:ascii="Times New Roman" w:hAnsi="Times New Roman"/>
          <w:sz w:val="20"/>
        </w:rPr>
      </w:pPr>
      <w:r>
        <w:rPr>
          <w:rFonts w:ascii="Times New Roman" w:hAnsi="Times New Roman"/>
          <w:sz w:val="20"/>
        </w:rPr>
        <w:t xml:space="preserve">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 </w:t>
      </w:r>
    </w:p>
    <w:p>
      <w:pPr>
        <w:pStyle w:val="TextBody"/>
        <w:spacing w:before="360" w:after="0"/>
        <w:jc w:val="left"/>
        <w:rPr>
          <w:rFonts w:ascii="Times New Roman" w:hAnsi="Times New Roman"/>
          <w:b/>
          <w:i/>
          <w:sz w:val="20"/>
        </w:rPr>
      </w:pPr>
      <w:r>
        <w:rPr>
          <w:rFonts w:ascii="Times New Roman" w:hAnsi="Times New Roman"/>
          <w:b/>
          <w:i/>
          <w:sz w:val="20"/>
        </w:rPr>
        <w:t xml:space="preserve">Terms of non-executive director appointment letters (Douglas Lurio and Stephen Herbert) </w:t>
      </w:r>
    </w:p>
    <w:p>
      <w:pPr>
        <w:pStyle w:val="TextBody"/>
        <w:spacing w:before="120" w:after="0"/>
        <w:jc w:val="left"/>
        <w:rPr>
          <w:rFonts w:ascii="Times New Roman" w:hAnsi="Times New Roman"/>
          <w:sz w:val="20"/>
        </w:rPr>
      </w:pPr>
      <w:r>
        <w:rPr>
          <w:rFonts w:ascii="Times New Roman" w:hAnsi="Times New Roman"/>
          <w:sz w:val="20"/>
        </w:rPr>
        <w:t xml:space="preserve">Rezolve will enter into letters of appointment with the above named non-executive directors on the same terms as set out above with the exception of the term of appointment, which will be for a period of one year. </w:t>
      </w:r>
    </w:p>
    <w:p>
      <w:pPr>
        <w:pStyle w:val="TextBody"/>
        <w:spacing w:before="360" w:after="0"/>
        <w:jc w:val="left"/>
        <w:rPr>
          <w:rFonts w:ascii="Times New Roman" w:hAnsi="Times New Roman"/>
          <w:b/>
          <w:i/>
          <w:sz w:val="20"/>
        </w:rPr>
      </w:pPr>
      <w:r>
        <w:rPr>
          <w:rFonts w:ascii="Times New Roman" w:hAnsi="Times New Roman"/>
          <w:b/>
          <w:i/>
          <w:sz w:val="20"/>
        </w:rPr>
        <w:t xml:space="preserve">Equity Compensation - Long Term Incentive Plan </w:t>
      </w:r>
    </w:p>
    <w:p>
      <w:pPr>
        <w:pStyle w:val="TextBody"/>
        <w:spacing w:before="120" w:after="0"/>
        <w:jc w:val="left"/>
        <w:rPr>
          <w:rFonts w:ascii="Times New Roman" w:hAnsi="Times New Roman"/>
          <w:sz w:val="20"/>
        </w:rPr>
      </w:pPr>
      <w:r>
        <w:rPr>
          <w:rFonts w:ascii="Times New Roman" w:hAnsi="Times New Roman"/>
          <w:sz w:val="20"/>
        </w:rPr>
        <w:t xml:space="preserve">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 </w:t>
      </w:r>
    </w:p>
    <w:p>
      <w:pPr>
        <w:pStyle w:val="TextBody"/>
        <w:spacing w:before="240" w:after="0"/>
        <w:jc w:val="left"/>
        <w:rPr>
          <w:rFonts w:ascii="Times New Roman" w:hAnsi="Times New Roman"/>
          <w:sz w:val="20"/>
        </w:rPr>
      </w:pPr>
      <w:r>
        <w:rPr>
          <w:rFonts w:ascii="Times New Roman" w:hAnsi="Times New Roman"/>
          <w:sz w:val="20"/>
        </w:rPr>
        <w:t xml:space="preserve">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 </w:t>
      </w:r>
    </w:p>
    <w:p>
      <w:pPr>
        <w:pStyle w:val="TextBody"/>
        <w:spacing w:before="240" w:after="0"/>
        <w:jc w:val="left"/>
        <w:rPr>
          <w:rFonts w:ascii="Times New Roman" w:hAnsi="Times New Roman"/>
          <w:sz w:val="20"/>
        </w:rPr>
      </w:pPr>
      <w:r>
        <w:rPr>
          <w:rFonts w:ascii="Times New Roman" w:hAnsi="Times New Roman"/>
          <w:sz w:val="20"/>
        </w:rPr>
        <w:t xml:space="preserve">The aggregate number of Rezolve Ordinary Shares that will be available for issuance under the Rezolve Incentive Equity Plan will initially be equal to 10% of the fully diluted and issued equity securities post-Closing less any amount issued or reserved for issuance pursuant to any Other Arrangements. Separately, the Rezolve Options will represent approximately                  Rezolve Ordinary Shares that will be issued subject to the completion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Following the completion of the Business Combination, the remuneration committee may make grants of awards under the Rezolve Incentive Equity Plan to key employees, in forms and amounts to be determined by the remuneration committee. In 2023, the right to grant and determine who shall be granted one half of the awards has been delegated to Daniel Wagner for the whole of 2023. No final decisions have been made with respect to grants of equity awards under the Rezolve Incentive Equity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more information, please see  </w:t>
      </w:r>
      <w:r>
        <w:rPr>
          <w:rFonts w:ascii="Times New Roman" w:hAnsi="Times New Roman"/>
          <w:i/>
          <w:sz w:val="20"/>
        </w:rPr>
        <w:t>Proposal No. 3The Incentive Equity Plan Proposal</w:t>
      </w:r>
      <w:r>
        <w:rPr>
          <w:rFonts w:ascii="Times New Roman" w:hAnsi="Times New Roman"/>
          <w:sz w:val="20"/>
        </w:rPr>
        <w:t xml:space="preserve"> elsewhere in this proxy statement/prospectus. </w:t>
      </w:r>
    </w:p>
    <w:p>
      <w:pPr>
        <w:pStyle w:val="TextBody"/>
        <w:spacing w:before="360" w:after="0"/>
        <w:jc w:val="left"/>
        <w:rPr>
          <w:rFonts w:ascii="Times New Roman" w:hAnsi="Times New Roman"/>
          <w:b/>
          <w:sz w:val="20"/>
        </w:rPr>
      </w:pPr>
      <w:r>
        <w:rPr>
          <w:rFonts w:ascii="Times New Roman" w:hAnsi="Times New Roman"/>
          <w:b/>
          <w:sz w:val="20"/>
        </w:rPr>
        <w:t xml:space="preserve">Management and Compensation of Armada Prior to the Business Combination </w:t>
      </w:r>
    </w:p>
    <w:p>
      <w:pPr>
        <w:pStyle w:val="TextBody"/>
        <w:spacing w:before="120" w:after="0"/>
        <w:jc w:val="left"/>
        <w:rPr>
          <w:rFonts w:ascii="Times New Roman" w:hAnsi="Times New Roman"/>
          <w:sz w:val="20"/>
        </w:rPr>
      </w:pPr>
      <w:r>
        <w:rPr>
          <w:rFonts w:ascii="Times New Roman" w:hAnsi="Times New Roman"/>
          <w:sz w:val="20"/>
        </w:rPr>
        <w:t xml:space="preserve">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 </w:t>
      </w:r>
    </w:p>
    <w:p>
      <w:pPr>
        <w:pStyle w:val="TextBody"/>
        <w:spacing w:before="240" w:after="0"/>
        <w:jc w:val="left"/>
        <w:rPr>
          <w:rFonts w:ascii="Times New Roman" w:hAnsi="Times New Roman"/>
          <w:sz w:val="20"/>
        </w:rPr>
      </w:pPr>
      <w:r>
        <w:rPr>
          <w:rFonts w:ascii="Times New Roman" w:hAnsi="Times New Roman"/>
          <w:sz w:val="20"/>
        </w:rPr>
        <w:t xml:space="preserve">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tx309194_25"/>
      <w:bookmarkEnd w:id="27"/>
      <w:r>
        <w:rPr>
          <w:rFonts w:ascii="Times New Roman" w:hAnsi="Times New Roman"/>
          <w:b/>
          <w:sz w:val="20"/>
        </w:rPr>
        <w:t xml:space="preserve">BENEFICIAL OWNERSHIP OF SECURITIES </w:t>
      </w:r>
    </w:p>
    <w:p>
      <w:pPr>
        <w:pStyle w:val="TextBody"/>
        <w:spacing w:before="240" w:after="0"/>
        <w:jc w:val="left"/>
        <w:rPr>
          <w:rFonts w:ascii="Times New Roman" w:hAnsi="Times New Roman"/>
          <w:b/>
          <w:sz w:val="20"/>
        </w:rPr>
      </w:pPr>
      <w:r>
        <w:rPr>
          <w:rFonts w:ascii="Times New Roman" w:hAnsi="Times New Roman"/>
          <w:b/>
          <w:sz w:val="20"/>
        </w:rPr>
        <w:t xml:space="preserve">Security Ownership of Certain Beneficial Owners and Management of Armada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common stock of Armada as of June 15, 2023,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known by us to be the beneficial owner of more than 5% of outstanding shares of Armada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Armadas named executive officers and directors;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Armadas executive officers and directors as a group. </w:t>
            </w:r>
          </w:p>
        </w:tc>
      </w:tr>
    </w:tbl>
    <w:p>
      <w:pPr>
        <w:pStyle w:val="TextBody"/>
        <w:spacing w:before="240" w:after="0"/>
        <w:jc w:val="left"/>
        <w:rPr>
          <w:rFonts w:ascii="Times New Roman" w:hAnsi="Times New Roman"/>
          <w:sz w:val="20"/>
        </w:rPr>
      </w:pPr>
      <w:r>
        <w:rPr>
          <w:rFonts w:ascii="Times New Roman" w:hAnsi="Times New Roman"/>
          <w:sz w:val="20"/>
        </w:rPr>
        <w:t xml:space="preserve">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17"/>
        <w:gridCol w:w="332"/>
        <w:gridCol w:w="85"/>
        <w:gridCol w:w="1419"/>
        <w:gridCol w:w="350"/>
        <w:gridCol w:w="261"/>
        <w:gridCol w:w="144"/>
        <w:gridCol w:w="1362"/>
        <w:gridCol w:w="282"/>
      </w:tblGrid>
      <w:tr>
        <w:trPr/>
        <w:tc>
          <w:tcPr>
            <w:tcW w:w="4617"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4617" w:type="dxa"/>
            <w:tcBorders/>
            <w:shd w:fill="auto" w:val="clear"/>
            <w:vAlign w:val="bottom"/>
          </w:tcPr>
          <w:p>
            <w:pPr>
              <w:pStyle w:val="TableContents"/>
              <w:spacing w:before="0" w:after="283"/>
              <w:rPr>
                <w:b/>
              </w:rPr>
            </w:pPr>
            <w:r>
              <w:rPr>
                <w:b/>
              </w:rPr>
              <w:t>Name and Address of Beneficial Owner</w:t>
            </w:r>
          </w:p>
        </w:tc>
        <w:tc>
          <w:tcPr>
            <w:tcW w:w="332" w:type="dxa"/>
            <w:tcBorders/>
            <w:shd w:fill="auto" w:val="clear"/>
            <w:vAlign w:val="bottom"/>
          </w:tcPr>
          <w:p>
            <w:pPr>
              <w:pStyle w:val="TableContents"/>
              <w:spacing w:before="0" w:after="283"/>
              <w:rPr/>
            </w:pPr>
            <w:r>
              <w:rPr/>
              <w:t>  </w:t>
            </w:r>
          </w:p>
        </w:tc>
        <w:tc>
          <w:tcPr>
            <w:tcW w:w="1504" w:type="dxa"/>
            <w:gridSpan w:val="2"/>
            <w:tcBorders/>
            <w:shd w:fill="auto" w:val="clear"/>
            <w:vAlign w:val="bottom"/>
          </w:tcPr>
          <w:p>
            <w:pPr>
              <w:pStyle w:val="TableContents"/>
              <w:spacing w:before="0" w:after="0"/>
              <w:jc w:val="center"/>
              <w:rPr>
                <w:rFonts w:ascii="Times New Roman" w:hAnsi="Times New Roman"/>
                <w:b/>
                <w:sz w:val="18"/>
              </w:rPr>
            </w:pPr>
            <w:r>
              <w:rPr>
                <w:rFonts w:ascii="Times New Roman" w:hAnsi="Times New Roman"/>
                <w:b/>
                <w:sz w:val="18"/>
              </w:rPr>
              <w:t>Number of Shares</w:t>
            </w:r>
          </w:p>
          <w:p>
            <w:pPr>
              <w:pStyle w:val="TableContents"/>
              <w:spacing w:before="0" w:after="20"/>
              <w:jc w:val="center"/>
              <w:rPr>
                <w:rFonts w:ascii="Times New Roman" w:hAnsi="Times New Roman"/>
                <w:b/>
                <w:sz w:val="18"/>
              </w:rPr>
            </w:pPr>
            <w:r>
              <w:rPr>
                <w:rFonts w:ascii="Times New Roman" w:hAnsi="Times New Roman"/>
                <w:b/>
                <w:sz w:val="18"/>
              </w:rPr>
              <w:t>Beneficially Owned</w:t>
            </w:r>
          </w:p>
        </w:tc>
        <w:tc>
          <w:tcPr>
            <w:tcW w:w="35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506" w:type="dxa"/>
            <w:gridSpan w:val="2"/>
            <w:tcBorders/>
            <w:shd w:fill="auto" w:val="clear"/>
            <w:vAlign w:val="bottom"/>
          </w:tcPr>
          <w:p>
            <w:pPr>
              <w:pStyle w:val="TableContents"/>
              <w:spacing w:before="0" w:after="0"/>
              <w:jc w:val="center"/>
              <w:rPr>
                <w:rFonts w:ascii="Times New Roman" w:hAnsi="Times New Roman"/>
                <w:b/>
                <w:sz w:val="18"/>
              </w:rPr>
            </w:pPr>
            <w:r>
              <w:rPr>
                <w:rFonts w:ascii="Times New Roman" w:hAnsi="Times New Roman"/>
                <w:b/>
                <w:sz w:val="18"/>
              </w:rPr>
              <w:t>Percent of Class</w:t>
            </w:r>
          </w:p>
          <w:p>
            <w:pPr>
              <w:pStyle w:val="TableContents"/>
              <w:spacing w:before="0" w:after="20"/>
              <w:jc w:val="center"/>
              <w:rPr>
                <w:rFonts w:ascii="Times New Roman" w:hAnsi="Times New Roman"/>
                <w:b/>
                <w:sz w:val="18"/>
              </w:rPr>
            </w:pPr>
            <w:r>
              <w:rPr>
                <w:rFonts w:ascii="Times New Roman" w:hAnsi="Times New Roman"/>
                <w:b/>
                <w:sz w:val="18"/>
              </w:rPr>
              <w:t>Beneficially Owned</w:t>
            </w:r>
          </w:p>
        </w:tc>
        <w:tc>
          <w:tcPr>
            <w:tcW w:w="282" w:type="dxa"/>
            <w:tcBorders/>
            <w:shd w:fill="auto" w:val="clear"/>
            <w:vAlign w:val="bottom"/>
          </w:tcPr>
          <w:p>
            <w:pPr>
              <w:pStyle w:val="TableContents"/>
              <w:spacing w:before="0" w:after="283"/>
              <w:rPr/>
            </w:pPr>
            <w:r>
              <w:rPr/>
              <w:t> </w:t>
            </w:r>
          </w:p>
        </w:tc>
      </w:tr>
      <w:tr>
        <w:trPr/>
        <w:tc>
          <w:tcPr>
            <w:tcW w:w="4617" w:type="dxa"/>
            <w:tcBorders/>
            <w:shd w:fill="CCEEFF" w:val="clear"/>
          </w:tcPr>
          <w:p>
            <w:pPr>
              <w:pStyle w:val="TableContents"/>
              <w:spacing w:before="0" w:after="0"/>
              <w:rPr>
                <w:rFonts w:ascii="Times New Roman" w:hAnsi="Times New Roman"/>
                <w:sz w:val="20"/>
              </w:rPr>
            </w:pPr>
            <w:r>
              <w:rPr>
                <w:rFonts w:ascii="Times New Roman" w:hAnsi="Times New Roman"/>
                <w:sz w:val="20"/>
              </w:rPr>
              <w:t>Stephen P. Herbert</w:t>
            </w:r>
          </w:p>
        </w:tc>
        <w:tc>
          <w:tcPr>
            <w:tcW w:w="332"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5,392,000</w:t>
            </w:r>
          </w:p>
        </w:tc>
        <w:tc>
          <w:tcPr>
            <w:tcW w:w="350" w:type="dxa"/>
            <w:tcBorders/>
            <w:shd w:fill="CCEEFF" w:val="clear"/>
            <w:vAlign w:val="bottom"/>
          </w:tcPr>
          <w:p>
            <w:pPr>
              <w:pStyle w:val="TableContents"/>
              <w:spacing w:before="0" w:after="283"/>
              <w:rPr/>
            </w:pPr>
            <w:r>
              <w:rPr/>
              <w:t>(1) </w:t>
            </w:r>
          </w:p>
        </w:tc>
        <w:tc>
          <w:tcPr>
            <w:tcW w:w="2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58.49</w:t>
            </w:r>
          </w:p>
        </w:tc>
        <w:tc>
          <w:tcPr>
            <w:tcW w:w="282" w:type="dxa"/>
            <w:tcBorders/>
            <w:shd w:fill="CCEEFF" w:val="clear"/>
            <w:vAlign w:val="bottom"/>
          </w:tcPr>
          <w:p>
            <w:pPr>
              <w:pStyle w:val="TableContents"/>
              <w:spacing w:before="0" w:after="283"/>
              <w:rPr/>
            </w:pPr>
            <w:r>
              <w:rPr/>
              <w:t>% </w:t>
            </w:r>
          </w:p>
        </w:tc>
      </w:tr>
      <w:tr>
        <w:trPr/>
        <w:tc>
          <w:tcPr>
            <w:tcW w:w="4617" w:type="dxa"/>
            <w:tcBorders/>
            <w:shd w:fill="auto" w:val="clear"/>
          </w:tcPr>
          <w:p>
            <w:pPr>
              <w:pStyle w:val="TableContents"/>
              <w:spacing w:before="0" w:after="0"/>
              <w:rPr>
                <w:rFonts w:ascii="Times New Roman" w:hAnsi="Times New Roman"/>
                <w:sz w:val="20"/>
              </w:rPr>
            </w:pPr>
            <w:r>
              <w:rPr>
                <w:rFonts w:ascii="Times New Roman" w:hAnsi="Times New Roman"/>
                <w:sz w:val="20"/>
              </w:rPr>
              <w:t>Douglas M. Lurio</w:t>
            </w:r>
          </w:p>
        </w:tc>
        <w:tc>
          <w:tcPr>
            <w:tcW w:w="332"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5,392,000</w:t>
            </w:r>
          </w:p>
        </w:tc>
        <w:tc>
          <w:tcPr>
            <w:tcW w:w="350" w:type="dxa"/>
            <w:tcBorders/>
            <w:shd w:fill="auto" w:val="clear"/>
            <w:vAlign w:val="bottom"/>
          </w:tcPr>
          <w:p>
            <w:pPr>
              <w:pStyle w:val="TableContents"/>
              <w:spacing w:before="0" w:after="283"/>
              <w:rPr/>
            </w:pPr>
            <w:r>
              <w:rPr/>
              <w:t>(2) </w:t>
            </w:r>
          </w:p>
        </w:tc>
        <w:tc>
          <w:tcPr>
            <w:tcW w:w="2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jc w:val="right"/>
              <w:rPr/>
            </w:pPr>
            <w:r>
              <w:rPr/>
              <w:t>58.49</w:t>
            </w:r>
          </w:p>
        </w:tc>
        <w:tc>
          <w:tcPr>
            <w:tcW w:w="282" w:type="dxa"/>
            <w:tcBorders/>
            <w:shd w:fill="auto" w:val="clear"/>
            <w:vAlign w:val="bottom"/>
          </w:tcPr>
          <w:p>
            <w:pPr>
              <w:pStyle w:val="TableContents"/>
              <w:spacing w:before="0" w:after="283"/>
              <w:rPr/>
            </w:pPr>
            <w:r>
              <w:rPr/>
              <w:t>% </w:t>
            </w:r>
          </w:p>
        </w:tc>
      </w:tr>
      <w:tr>
        <w:trPr/>
        <w:tc>
          <w:tcPr>
            <w:tcW w:w="4617" w:type="dxa"/>
            <w:tcBorders/>
            <w:shd w:fill="CCEEFF" w:val="clear"/>
          </w:tcPr>
          <w:p>
            <w:pPr>
              <w:pStyle w:val="TableContents"/>
              <w:spacing w:before="0" w:after="0"/>
              <w:rPr>
                <w:rFonts w:ascii="Times New Roman" w:hAnsi="Times New Roman"/>
                <w:sz w:val="20"/>
              </w:rPr>
            </w:pPr>
            <w:r>
              <w:rPr>
                <w:rFonts w:ascii="Times New Roman" w:hAnsi="Times New Roman"/>
                <w:sz w:val="20"/>
              </w:rPr>
              <w:t>Mohammad A. Khan</w:t>
            </w:r>
          </w:p>
        </w:tc>
        <w:tc>
          <w:tcPr>
            <w:tcW w:w="332"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35,000</w:t>
            </w:r>
          </w:p>
        </w:tc>
        <w:tc>
          <w:tcPr>
            <w:tcW w:w="35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rPr/>
            </w:pPr>
            <w:r>
              <w:rPr/>
              <w:t>* </w:t>
            </w:r>
          </w:p>
        </w:tc>
      </w:tr>
      <w:tr>
        <w:trPr/>
        <w:tc>
          <w:tcPr>
            <w:tcW w:w="4617" w:type="dxa"/>
            <w:tcBorders/>
            <w:shd w:fill="auto" w:val="clear"/>
          </w:tcPr>
          <w:p>
            <w:pPr>
              <w:pStyle w:val="TableContents"/>
              <w:spacing w:before="0" w:after="0"/>
              <w:rPr>
                <w:rFonts w:ascii="Times New Roman" w:hAnsi="Times New Roman"/>
                <w:sz w:val="20"/>
              </w:rPr>
            </w:pPr>
            <w:r>
              <w:rPr>
                <w:rFonts w:ascii="Times New Roman" w:hAnsi="Times New Roman"/>
                <w:sz w:val="20"/>
              </w:rPr>
              <w:t>Thomas A. Decker</w:t>
            </w:r>
          </w:p>
        </w:tc>
        <w:tc>
          <w:tcPr>
            <w:tcW w:w="332"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35,000</w:t>
            </w:r>
          </w:p>
        </w:tc>
        <w:tc>
          <w:tcPr>
            <w:tcW w:w="35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rPr/>
            </w:pPr>
            <w:r>
              <w:rPr/>
              <w:t>* </w:t>
            </w:r>
          </w:p>
        </w:tc>
      </w:tr>
      <w:tr>
        <w:trPr/>
        <w:tc>
          <w:tcPr>
            <w:tcW w:w="4617" w:type="dxa"/>
            <w:tcBorders/>
            <w:shd w:fill="CCEEFF" w:val="clear"/>
          </w:tcPr>
          <w:p>
            <w:pPr>
              <w:pStyle w:val="TableContents"/>
              <w:spacing w:before="0" w:after="0"/>
              <w:rPr>
                <w:rFonts w:ascii="Times New Roman" w:hAnsi="Times New Roman"/>
                <w:sz w:val="20"/>
              </w:rPr>
            </w:pPr>
            <w:r>
              <w:rPr>
                <w:rFonts w:ascii="Times New Roman" w:hAnsi="Times New Roman"/>
                <w:sz w:val="20"/>
              </w:rPr>
              <w:t>Celso L. White</w:t>
            </w:r>
          </w:p>
        </w:tc>
        <w:tc>
          <w:tcPr>
            <w:tcW w:w="332"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35,000</w:t>
            </w:r>
          </w:p>
        </w:tc>
        <w:tc>
          <w:tcPr>
            <w:tcW w:w="35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rPr/>
            </w:pPr>
            <w:r>
              <w:rPr/>
              <w:t>* </w:t>
            </w:r>
          </w:p>
        </w:tc>
      </w:tr>
      <w:tr>
        <w:trPr/>
        <w:tc>
          <w:tcPr>
            <w:tcW w:w="4617" w:type="dxa"/>
            <w:tcBorders/>
            <w:shd w:fill="auto" w:val="clear"/>
          </w:tcPr>
          <w:p>
            <w:pPr>
              <w:pStyle w:val="TableContents"/>
              <w:spacing w:before="0" w:after="0"/>
              <w:rPr>
                <w:rFonts w:ascii="Times New Roman" w:hAnsi="Times New Roman"/>
                <w:sz w:val="20"/>
              </w:rPr>
            </w:pPr>
            <w:r>
              <w:rPr>
                <w:rFonts w:ascii="Times New Roman" w:hAnsi="Times New Roman"/>
                <w:sz w:val="20"/>
              </w:rPr>
              <w:t>Armada Sponsor LLC</w:t>
            </w:r>
          </w:p>
        </w:tc>
        <w:tc>
          <w:tcPr>
            <w:tcW w:w="332"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5,342,000</w:t>
            </w:r>
          </w:p>
        </w:tc>
        <w:tc>
          <w:tcPr>
            <w:tcW w:w="350" w:type="dxa"/>
            <w:tcBorders/>
            <w:shd w:fill="auto" w:val="clear"/>
            <w:vAlign w:val="bottom"/>
          </w:tcPr>
          <w:p>
            <w:pPr>
              <w:pStyle w:val="TableContents"/>
              <w:spacing w:before="0" w:after="283"/>
              <w:rPr/>
            </w:pPr>
            <w:r>
              <w:rPr/>
              <w:t>(3) </w:t>
            </w:r>
          </w:p>
        </w:tc>
        <w:tc>
          <w:tcPr>
            <w:tcW w:w="261"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362" w:type="dxa"/>
            <w:tcBorders/>
            <w:shd w:fill="auto" w:val="clear"/>
            <w:vAlign w:val="bottom"/>
          </w:tcPr>
          <w:p>
            <w:pPr>
              <w:pStyle w:val="TableContents"/>
              <w:spacing w:before="0" w:after="283"/>
              <w:jc w:val="right"/>
              <w:rPr/>
            </w:pPr>
            <w:r>
              <w:rPr/>
              <w:t>57.95</w:t>
            </w:r>
          </w:p>
        </w:tc>
        <w:tc>
          <w:tcPr>
            <w:tcW w:w="282" w:type="dxa"/>
            <w:tcBorders/>
            <w:shd w:fill="auto" w:val="clear"/>
            <w:vAlign w:val="bottom"/>
          </w:tcPr>
          <w:p>
            <w:pPr>
              <w:pStyle w:val="TableContents"/>
              <w:spacing w:before="0" w:after="283"/>
              <w:rPr/>
            </w:pPr>
            <w:r>
              <w:rPr/>
              <w:t>% </w:t>
            </w:r>
          </w:p>
        </w:tc>
      </w:tr>
      <w:tr>
        <w:trPr/>
        <w:tc>
          <w:tcPr>
            <w:tcW w:w="4617" w:type="dxa"/>
            <w:tcBorders/>
            <w:shd w:fill="CCEEFF" w:val="clear"/>
          </w:tcPr>
          <w:p>
            <w:pPr>
              <w:pStyle w:val="TableContents"/>
              <w:spacing w:before="0" w:after="0"/>
              <w:rPr>
                <w:rFonts w:ascii="Times New Roman" w:hAnsi="Times New Roman"/>
                <w:sz w:val="20"/>
              </w:rPr>
            </w:pPr>
            <w:r>
              <w:rPr>
                <w:rFonts w:ascii="Times New Roman" w:hAnsi="Times New Roman"/>
                <w:sz w:val="20"/>
              </w:rPr>
              <w:t>All directors and executive officers as a group (five individuals)</w:t>
            </w:r>
          </w:p>
        </w:tc>
        <w:tc>
          <w:tcPr>
            <w:tcW w:w="332"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5,547,000</w:t>
            </w:r>
          </w:p>
        </w:tc>
        <w:tc>
          <w:tcPr>
            <w:tcW w:w="35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60.17</w:t>
            </w:r>
          </w:p>
        </w:tc>
        <w:tc>
          <w:tcPr>
            <w:tcW w:w="282"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(1) </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(2) </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(3)</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w:t>
            </w:r>
          </w:p>
        </w:tc>
      </w:tr>
    </w:tbl>
    <w:p>
      <w:pPr>
        <w:pStyle w:val="TextBody"/>
        <w:spacing w:before="360" w:after="0"/>
        <w:jc w:val="left"/>
        <w:rPr>
          <w:rFonts w:ascii="Times New Roman" w:hAnsi="Times New Roman"/>
          <w:b/>
          <w:sz w:val="20"/>
        </w:rPr>
      </w:pPr>
      <w:r>
        <w:rPr>
          <w:rFonts w:ascii="Times New Roman" w:hAnsi="Times New Roman"/>
          <w:b/>
          <w:sz w:val="20"/>
        </w:rPr>
        <w:t xml:space="preserve">Security Ownership of Certain Beneficial Owners and Management of Rezolve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Rezolve Ordinary Shares as of the Record Date and immediately following consummation of the Business Combination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who is expected to be the beneficial owner of more than 5% of the outstanding Rezolve Ordinary Shares immediately following the Closing;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who will become a named executive officer or director of Rezolve following the Closing;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executive officers and directors of Rezolve following the Closing, as a group. </w:t>
            </w:r>
          </w:p>
        </w:tc>
      </w:tr>
    </w:tbl>
    <w:p>
      <w:pPr>
        <w:pStyle w:val="TextBody"/>
        <w:spacing w:before="240" w:after="0"/>
        <w:jc w:val="left"/>
        <w:rPr>
          <w:rFonts w:ascii="Times New Roman" w:hAnsi="Times New Roman"/>
          <w:sz w:val="20"/>
        </w:rPr>
      </w:pPr>
      <w:r>
        <w:rPr>
          <w:rFonts w:ascii="Times New Roman" w:hAnsi="Times New Roman"/>
          <w:sz w:val="20"/>
        </w:rPr>
        <w:t xml:space="preserve">The expected beneficial ownership of Rezolves Ordinary Shares post-combination assumes two scenarios: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Minimum Redemptions: This presentation assumes that no public shareholders of Armada exercise redemption rights with respect to their public shares for a pro rata share of cash in the Trust Account.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Assuming Max Redemptions: This presentation assumes that                  shares of Armada common stock are redeemed for their pro rata share of the cash in the Trust Account in connection with the Armada Share Redemptions. This scenario gives effect to Armada Share Redemptions of                  shares of Armada common stock for aggregate redemption payments of $                 million at a redemption price of approximately $                 per share based on the investments held in the Trust Account as of                 . </w:t>
            </w:r>
          </w:p>
        </w:tc>
      </w:tr>
    </w:tbl>
    <w:p>
      <w:pPr>
        <w:pStyle w:val="TextBody"/>
        <w:spacing w:before="240" w:after="0"/>
        <w:jc w:val="left"/>
        <w:rPr>
          <w:rFonts w:ascii="Times New Roman" w:hAnsi="Times New Roman"/>
          <w:sz w:val="20"/>
        </w:rPr>
      </w:pPr>
      <w:r>
        <w:rPr>
          <w:rFonts w:ascii="Times New Roman" w:hAnsi="Times New Roman"/>
          <w:sz w:val="20"/>
        </w:rPr>
        <w:t xml:space="preserve">Based on the foregoing assumptions, we estimate that there would be                  Rezolve Ordinary Shares issued and outstanding immediately following the Closing in the minimum redemption scenario, and                  Rezolve Ordinary Shares issued and outstanding immediately following 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The information presented in the table below is as of May 17, 2023. Unless otherwise indicated, Rezolve believes that all persons named in the table below have sole voting and investment power with respect to the securities beneficially owned by them. </w:t>
      </w:r>
    </w:p>
    <w:p>
      <w:pPr>
        <w:pStyle w:val="TextBody"/>
        <w:spacing w:before="240" w:after="0"/>
        <w:jc w:val="left"/>
        <w:rPr>
          <w:rFonts w:ascii="Times New Roman" w:hAnsi="Times New Roman"/>
          <w:sz w:val="20"/>
        </w:rPr>
      </w:pPr>
      <w:r>
        <w:rPr>
          <w:rFonts w:ascii="Times New Roman" w:hAnsi="Times New Roman"/>
          <w:sz w:val="20"/>
        </w:rPr>
        <w:t xml:space="preserve">Unless otherwise indicated, the business address of each of the following owners is 3rd Floor, 80 New Bond Street, London, W1S 1SB, United Kingdom.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325"/>
        <w:gridCol w:w="144"/>
        <w:gridCol w:w="91"/>
        <w:gridCol w:w="1516"/>
        <w:gridCol w:w="91"/>
        <w:gridCol w:w="203"/>
        <w:gridCol w:w="91"/>
        <w:gridCol w:w="861"/>
        <w:gridCol w:w="277"/>
        <w:gridCol w:w="86"/>
        <w:gridCol w:w="72"/>
        <w:gridCol w:w="1189"/>
        <w:gridCol w:w="733"/>
        <w:gridCol w:w="97"/>
        <w:gridCol w:w="125"/>
        <w:gridCol w:w="135"/>
        <w:gridCol w:w="60"/>
        <w:gridCol w:w="144"/>
        <w:gridCol w:w="72"/>
        <w:gridCol w:w="1189"/>
        <w:gridCol w:w="624"/>
        <w:gridCol w:w="85"/>
        <w:gridCol w:w="130"/>
        <w:gridCol w:w="130"/>
        <w:gridCol w:w="69"/>
      </w:tblGrid>
      <w:tr>
        <w:trPr/>
        <w:tc>
          <w:tcPr>
            <w:tcW w:w="2325"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32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85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Pre-Business Combination(1)(7)</w:t>
            </w:r>
          </w:p>
        </w:tc>
        <w:tc>
          <w:tcPr>
            <w:tcW w:w="27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4785"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Post-Business Combination(1)(7)</w:t>
            </w:r>
          </w:p>
        </w:tc>
        <w:tc>
          <w:tcPr>
            <w:tcW w:w="69" w:type="dxa"/>
            <w:tcBorders/>
            <w:shd w:fill="auto" w:val="clear"/>
            <w:vAlign w:val="bottom"/>
          </w:tcPr>
          <w:p>
            <w:pPr>
              <w:pStyle w:val="TableContents"/>
              <w:spacing w:before="0" w:after="283"/>
              <w:rPr/>
            </w:pPr>
            <w:r>
              <w:rPr/>
              <w:t> </w:t>
            </w:r>
          </w:p>
        </w:tc>
      </w:tr>
      <w:tr>
        <w:trPr/>
        <w:tc>
          <w:tcPr>
            <w:tcW w:w="2325"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gridSpan w:val="2"/>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35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Assuming Minimum</w:t>
              <w:br/>
              <w:t>Redemption</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23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Assuming Max</w:t>
              <w:br/>
              <w:t>Redemption</w:t>
            </w:r>
          </w:p>
        </w:tc>
        <w:tc>
          <w:tcPr>
            <w:tcW w:w="69" w:type="dxa"/>
            <w:tcBorders/>
            <w:shd w:fill="auto" w:val="clear"/>
            <w:vAlign w:val="bottom"/>
          </w:tcPr>
          <w:p>
            <w:pPr>
              <w:pStyle w:val="TableContents"/>
              <w:spacing w:before="0" w:after="283"/>
              <w:rPr/>
            </w:pPr>
            <w:r>
              <w:rPr/>
              <w:t> </w:t>
            </w:r>
          </w:p>
        </w:tc>
      </w:tr>
      <w:tr>
        <w:trPr/>
        <w:tc>
          <w:tcPr>
            <w:tcW w:w="232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Shareholder</w:t>
            </w:r>
          </w:p>
        </w:tc>
        <w:tc>
          <w:tcPr>
            <w:tcW w:w="144" w:type="dxa"/>
            <w:tcBorders/>
            <w:shd w:fill="auto" w:val="clear"/>
            <w:vAlign w:val="bottom"/>
          </w:tcPr>
          <w:p>
            <w:pPr>
              <w:pStyle w:val="TableContents"/>
              <w:spacing w:before="0" w:after="283"/>
              <w:rPr/>
            </w:pPr>
            <w:r>
              <w:rPr/>
              <w:t>  </w:t>
            </w:r>
          </w:p>
        </w:tc>
        <w:tc>
          <w:tcPr>
            <w:tcW w:w="160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Shares Held</w:t>
            </w:r>
          </w:p>
        </w:tc>
        <w:tc>
          <w:tcPr>
            <w:tcW w:w="9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27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Held</w:t>
            </w:r>
          </w:p>
        </w:tc>
        <w:tc>
          <w:tcPr>
            <w:tcW w:w="733"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2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Held</w:t>
            </w:r>
          </w:p>
        </w:tc>
        <w:tc>
          <w:tcPr>
            <w:tcW w:w="624"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9" w:type="dxa"/>
            <w:tcBorders/>
            <w:shd w:fill="auto" w:val="clear"/>
            <w:vAlign w:val="bottom"/>
          </w:tcPr>
          <w:p>
            <w:pPr>
              <w:pStyle w:val="TableContents"/>
              <w:spacing w:before="0" w:after="283"/>
              <w:rPr/>
            </w:pPr>
            <w:r>
              <w:rPr/>
              <w:t> </w:t>
            </w:r>
          </w:p>
        </w:tc>
      </w:tr>
      <w:tr>
        <w:trPr/>
        <w:tc>
          <w:tcPr>
            <w:tcW w:w="2325" w:type="dxa"/>
            <w:tcBorders/>
            <w:shd w:fill="CCEEFF" w:val="clear"/>
          </w:tcPr>
          <w:p>
            <w:pPr>
              <w:pStyle w:val="TableContents"/>
              <w:spacing w:before="0" w:after="0"/>
              <w:rPr>
                <w:rFonts w:ascii="Times New Roman" w:hAnsi="Times New Roman"/>
                <w:i/>
                <w:sz w:val="20"/>
              </w:rPr>
            </w:pPr>
            <w:r>
              <w:rPr>
                <w:rFonts w:ascii="Times New Roman" w:hAnsi="Times New Roman"/>
                <w:i/>
                <w:sz w:val="20"/>
              </w:rPr>
              <w:t>5% Holders</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 Limited(2)</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Igor Lychagov</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Brooks Newmark</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Daniel Wagner</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Apeiron Investment Group Limited</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Armada Sponsor LLC</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516" w:type="dxa"/>
            <w:tcBorders/>
            <w:shd w:fill="CCEEFF" w:val="clear"/>
            <w:vAlign w:val="bottom"/>
          </w:tcPr>
          <w:p>
            <w:pPr>
              <w:pStyle w:val="TableContents"/>
              <w:spacing w:before="0" w:after="283"/>
              <w:jc w:val="right"/>
              <w:rPr/>
            </w:pPr>
            <w:r>
              <w:rPr/>
              <w:t>5,342,000</w:t>
            </w:r>
          </w:p>
        </w:tc>
        <w:tc>
          <w:tcPr>
            <w:tcW w:w="9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57.95</w:t>
            </w:r>
          </w:p>
        </w:tc>
        <w:tc>
          <w:tcPr>
            <w:tcW w:w="27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4,628,943</w:t>
            </w:r>
          </w:p>
        </w:tc>
        <w:tc>
          <w:tcPr>
            <w:tcW w:w="733" w:type="dxa"/>
            <w:tcBorders/>
            <w:shd w:fill="CCEEFF" w:val="clear"/>
            <w:vAlign w:val="bottom"/>
          </w:tcPr>
          <w:p>
            <w:pPr>
              <w:pStyle w:val="TableContents"/>
              <w:spacing w:before="0" w:after="283"/>
              <w:rPr/>
            </w:pPr>
            <w:r>
              <w:rPr/>
              <w:t>(3)(4)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4,629,443</w:t>
            </w:r>
          </w:p>
        </w:tc>
        <w:tc>
          <w:tcPr>
            <w:tcW w:w="624" w:type="dxa"/>
            <w:tcBorders/>
            <w:shd w:fill="CCEEFF" w:val="clear"/>
            <w:vAlign w:val="bottom"/>
          </w:tcPr>
          <w:p>
            <w:pPr>
              <w:pStyle w:val="TableContents"/>
              <w:spacing w:before="0" w:after="283"/>
              <w:rPr/>
            </w:pPr>
            <w:r>
              <w:rPr/>
              <w:t>(3)(4) </w:t>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i/>
                <w:sz w:val="20"/>
              </w:rPr>
            </w:pPr>
            <w:r>
              <w:rPr>
                <w:rFonts w:ascii="Times New Roman" w:hAnsi="Times New Roman"/>
                <w:i/>
                <w:sz w:val="20"/>
              </w:rPr>
              <w:t>Directors and Executive Officers of Rezolve Post-Proposed Transactions</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Daniel Wagner(8)</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John Wagner(2)</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Anthony Sharp</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Sir David Wright</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Stephen Perry</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Derek Smith</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Douglas Lurio</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1516" w:type="dxa"/>
            <w:tcBorders/>
            <w:shd w:fill="CCEEFF" w:val="clear"/>
            <w:vAlign w:val="bottom"/>
          </w:tcPr>
          <w:p>
            <w:pPr>
              <w:pStyle w:val="TableContents"/>
              <w:spacing w:before="0" w:after="283"/>
              <w:jc w:val="right"/>
              <w:rPr/>
            </w:pPr>
            <w:r>
              <w:rPr/>
              <w:t>5,392,000</w:t>
            </w:r>
          </w:p>
        </w:tc>
        <w:tc>
          <w:tcPr>
            <w:tcW w:w="91"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t>58.49</w:t>
            </w:r>
          </w:p>
        </w:tc>
        <w:tc>
          <w:tcPr>
            <w:tcW w:w="27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4,678,943</w:t>
            </w:r>
          </w:p>
        </w:tc>
        <w:tc>
          <w:tcPr>
            <w:tcW w:w="733" w:type="dxa"/>
            <w:tcBorders/>
            <w:shd w:fill="CCEEFF" w:val="clear"/>
            <w:vAlign w:val="bottom"/>
          </w:tcPr>
          <w:p>
            <w:pPr>
              <w:pStyle w:val="TableContents"/>
              <w:spacing w:before="0" w:after="283"/>
              <w:rPr/>
            </w:pPr>
            <w:r>
              <w:rPr/>
              <w:t>(3)(5)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4,678,943</w:t>
            </w:r>
          </w:p>
        </w:tc>
        <w:tc>
          <w:tcPr>
            <w:tcW w:w="624" w:type="dxa"/>
            <w:tcBorders/>
            <w:shd w:fill="CCEEFF" w:val="clear"/>
            <w:vAlign w:val="bottom"/>
          </w:tcPr>
          <w:p>
            <w:pPr>
              <w:pStyle w:val="TableContents"/>
              <w:spacing w:before="0" w:after="283"/>
              <w:rPr/>
            </w:pPr>
            <w:r>
              <w:rPr/>
              <w:t>(3)(5) </w:t>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Stephen Herbert</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1516" w:type="dxa"/>
            <w:tcBorders/>
            <w:shd w:fill="auto" w:val="clear"/>
            <w:vAlign w:val="bottom"/>
          </w:tcPr>
          <w:p>
            <w:pPr>
              <w:pStyle w:val="TableContents"/>
              <w:spacing w:before="0" w:after="283"/>
              <w:jc w:val="right"/>
              <w:rPr/>
            </w:pPr>
            <w:r>
              <w:rPr/>
              <w:t>5,392,000</w:t>
            </w:r>
          </w:p>
        </w:tc>
        <w:tc>
          <w:tcPr>
            <w:tcW w:w="91"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t>58.49</w:t>
            </w:r>
          </w:p>
        </w:tc>
        <w:tc>
          <w:tcPr>
            <w:tcW w:w="277"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4,678,943</w:t>
            </w:r>
          </w:p>
        </w:tc>
        <w:tc>
          <w:tcPr>
            <w:tcW w:w="733" w:type="dxa"/>
            <w:tcBorders/>
            <w:shd w:fill="auto" w:val="clear"/>
            <w:vAlign w:val="bottom"/>
          </w:tcPr>
          <w:p>
            <w:pPr>
              <w:pStyle w:val="TableContents"/>
              <w:spacing w:before="0" w:after="283"/>
              <w:rPr/>
            </w:pPr>
            <w:r>
              <w:rPr/>
              <w:t>(3)(6) </w:t>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4,678,943</w:t>
            </w:r>
          </w:p>
        </w:tc>
        <w:tc>
          <w:tcPr>
            <w:tcW w:w="624" w:type="dxa"/>
            <w:tcBorders/>
            <w:shd w:fill="auto" w:val="clear"/>
            <w:vAlign w:val="bottom"/>
          </w:tcPr>
          <w:p>
            <w:pPr>
              <w:pStyle w:val="TableContents"/>
              <w:spacing w:before="0" w:after="283"/>
              <w:rPr/>
            </w:pPr>
            <w:r>
              <w:rPr/>
              <w:t>(3)(6) </w:t>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Peter Vesco</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Richard Burchill</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2325" w:type="dxa"/>
            <w:tcBorders/>
            <w:shd w:fill="CCEEFF" w:val="clear"/>
          </w:tcPr>
          <w:p>
            <w:pPr>
              <w:pStyle w:val="TableContents"/>
              <w:spacing w:before="0" w:after="0"/>
              <w:rPr>
                <w:rFonts w:ascii="Times New Roman" w:hAnsi="Times New Roman"/>
                <w:sz w:val="20"/>
              </w:rPr>
            </w:pPr>
            <w:r>
              <w:rPr>
                <w:rFonts w:ascii="Times New Roman" w:hAnsi="Times New Roman"/>
                <w:sz w:val="20"/>
              </w:rPr>
              <w:t>Sauvik Banerjjee</w:t>
            </w:r>
          </w:p>
        </w:tc>
        <w:tc>
          <w:tcPr>
            <w:tcW w:w="144"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516" w:type="dxa"/>
            <w:tcBorders/>
            <w:shd w:fill="CCEEFF" w:val="clear"/>
            <w:vAlign w:val="bottom"/>
          </w:tcPr>
          <w:p>
            <w:pPr>
              <w:pStyle w:val="TableContents"/>
              <w:spacing w:before="0" w:after="283"/>
              <w:rPr>
                <w:sz w:val="4"/>
                <w:szCs w:val="4"/>
              </w:rPr>
            </w:pPr>
            <w:r>
              <w:rPr>
                <w:sz w:val="4"/>
                <w:szCs w:val="4"/>
              </w:rPr>
            </w:r>
          </w:p>
        </w:tc>
        <w:tc>
          <w:tcPr>
            <w:tcW w:w="91"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733"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sz w:val="4"/>
                <w:szCs w:val="4"/>
              </w:rPr>
            </w:pPr>
            <w:r>
              <w:rPr>
                <w:sz w:val="4"/>
                <w:szCs w:val="4"/>
              </w:rPr>
            </w:r>
          </w:p>
        </w:tc>
        <w:tc>
          <w:tcPr>
            <w:tcW w:w="1189" w:type="dxa"/>
            <w:tcBorders/>
            <w:shd w:fill="CCEEFF" w:val="clear"/>
            <w:vAlign w:val="bottom"/>
          </w:tcPr>
          <w:p>
            <w:pPr>
              <w:pStyle w:val="TableContents"/>
              <w:spacing w:before="0" w:after="283"/>
              <w:rPr>
                <w:sz w:val="4"/>
                <w:szCs w:val="4"/>
              </w:rPr>
            </w:pPr>
            <w:r>
              <w:rPr>
                <w:sz w:val="4"/>
                <w:szCs w:val="4"/>
              </w:rPr>
            </w:r>
          </w:p>
        </w:tc>
        <w:tc>
          <w:tcPr>
            <w:tcW w:w="624"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25" w:type="dxa"/>
            <w:tcBorders/>
            <w:shd w:fill="auto" w:val="clear"/>
          </w:tcPr>
          <w:p>
            <w:pPr>
              <w:pStyle w:val="TableContents"/>
              <w:spacing w:before="0" w:after="0"/>
              <w:rPr>
                <w:rFonts w:ascii="Times New Roman" w:hAnsi="Times New Roman"/>
                <w:sz w:val="20"/>
              </w:rPr>
            </w:pPr>
            <w:r>
              <w:rPr>
                <w:rFonts w:ascii="Times New Roman" w:hAnsi="Times New Roman"/>
                <w:sz w:val="20"/>
              </w:rPr>
              <w:t>All executive officers and directors as a group (individuals)</w:t>
            </w:r>
          </w:p>
        </w:tc>
        <w:tc>
          <w:tcPr>
            <w:tcW w:w="144"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516"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(1)</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(2)</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DBLP Sea Cow Limited is wholly legally owned by Daniel Wagner and is wholly beneficially owned by John Wagner. Accordingly, all the shares in the name of DBLP Sea Cow Limited are included as beneficially owned by John Wagner.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(3)</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713,057 Founder Shares are allocated to the Non-Redeeming Stockholders by the Sponsor pursuant to the Non-Redemption Agreements.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(4)</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459,500 Private Placement Shares, (ii) 4,169, 500 Founder Shares, and (iii) 205,000 shares of Armada Common Stock held by Armadas directors and officers.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(5)</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50,000 shares of Armada Common Stock held by Douglas Lurio directly and 4,629,443 shares of Armada Common Stock held by the Sponsor, of which Douglas Lurio and Stephen Herbert are managing members. Accordingly, all securities held by the Sponsor may ultimately be deemed to be beneficially held by Stephen Herbert and Douglas Lurio.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(6)</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50,000 shares of Armada Common Stock held by Stephen Herbert directly and 4,629,443 shares of Armada Common Stock held by the Sponsor, of which Stephen Herbert and Douglas Lurio are managing members. Accordingly, all securities held by the Sponsor may ultimately be deemed to be beneficially held by Stephen Herbert and Douglas Lurio.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(7)</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(8)</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Although the estimated number of Resolve Ordinary Shares issued and outstanding immediately following the Closing is not available as of the date of this proxy statement/prospectus, Daniel Wagner is expected to have the right to vote at least 75% of the outstanding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tx309194_26"/>
      <w:bookmarkEnd w:id="28"/>
      <w:r>
        <w:rPr>
          <w:rFonts w:ascii="Times New Roman" w:hAnsi="Times New Roman"/>
          <w:b/>
          <w:sz w:val="20"/>
        </w:rPr>
        <w:t xml:space="preserve">SHARES ELIGIBLE FOR FUTURE SALE </w:t>
      </w:r>
    </w:p>
    <w:p>
      <w:pPr>
        <w:pStyle w:val="TextBody"/>
        <w:spacing w:before="240" w:after="0"/>
        <w:jc w:val="left"/>
        <w:rPr>
          <w:rFonts w:ascii="Times New Roman" w:hAnsi="Times New Roman"/>
          <w:sz w:val="20"/>
        </w:rPr>
      </w:pPr>
      <w:r>
        <w:rPr>
          <w:rFonts w:ascii="Times New Roman" w:hAnsi="Times New Roman"/>
          <w:sz w:val="20"/>
        </w:rPr>
        <w:t xml:space="preserve">Upon the Closing, Rezolve will have                  Rezolve Ordinary Shares, nominal value of                  each, authorized and, based on the assumptions set out elsewhere in this proxy statement/prospectus, up to                  Rezolve Ordinary Shares issued and outstanding, assuming no shares of Armada Common Stock are redeemed in connection with the Business Combination and                  shares held by the Armada Initial Shareholders that will be subject to certain lock-up arrangements. In addition, Rezolve is expected to have                  Rezolve Warrants issued and outstanding, each Rezolve Warrant exercisable for one Rezolve Ordinary Share at                  per share. All of the Rezolve Ordinary Shares issued to the Armada stockholders in connection with the Business Combination will be freely transferable by persons other than by Rezolves affiliates or Armadas affiliates without restriction or further registration under the Securities Act. </w:t>
      </w:r>
    </w:p>
    <w:p>
      <w:pPr>
        <w:pStyle w:val="TextBody"/>
        <w:spacing w:before="240" w:after="0"/>
        <w:jc w:val="left"/>
        <w:rPr>
          <w:rFonts w:ascii="Times New Roman" w:hAnsi="Times New Roman"/>
          <w:sz w:val="20"/>
        </w:rPr>
      </w:pPr>
      <w:r>
        <w:rPr>
          <w:rFonts w:ascii="Times New Roman" w:hAnsi="Times New Roman"/>
          <w:sz w:val="20"/>
        </w:rPr>
        <w:t xml:space="preserve">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tx309194_27"/>
      <w:bookmarkEnd w:id="29"/>
      <w:r>
        <w:rPr>
          <w:rFonts w:ascii="Times New Roman" w:hAnsi="Times New Roman"/>
          <w:b/>
          <w:sz w:val="20"/>
        </w:rPr>
        <w:t xml:space="preserve">CERTAIN RELATIONSHIPS AND RELATED PERSON TRANSACTIONS </w:t>
      </w:r>
    </w:p>
    <w:p>
      <w:pPr>
        <w:pStyle w:val="TextBody"/>
        <w:spacing w:before="240" w:after="0"/>
        <w:jc w:val="left"/>
        <w:rPr>
          <w:rFonts w:ascii="Times New Roman" w:hAnsi="Times New Roman"/>
          <w:b/>
          <w:sz w:val="20"/>
        </w:rPr>
      </w:pPr>
      <w:r>
        <w:rPr>
          <w:rFonts w:ascii="Times New Roman" w:hAnsi="Times New Roman"/>
          <w:b/>
          <w:sz w:val="20"/>
        </w:rPr>
        <w:t xml:space="preserve">Armada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 </w:t>
      </w:r>
    </w:p>
    <w:p>
      <w:pPr>
        <w:pStyle w:val="TextBody"/>
        <w:spacing w:before="240" w:after="0"/>
        <w:jc w:val="left"/>
        <w:rPr>
          <w:rFonts w:ascii="Times New Roman" w:hAnsi="Times New Roman"/>
          <w:sz w:val="20"/>
        </w:rPr>
      </w:pPr>
      <w:r>
        <w:rPr>
          <w:rFonts w:ascii="Times New Roman" w:hAnsi="Times New Roman"/>
          <w:sz w:val="20"/>
        </w:rPr>
        <w:t xml:space="preserve">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 </w:t>
      </w:r>
    </w:p>
    <w:p>
      <w:pPr>
        <w:pStyle w:val="TextBody"/>
        <w:spacing w:before="240" w:after="0"/>
        <w:jc w:val="left"/>
        <w:rPr>
          <w:rFonts w:ascii="Times New Roman" w:hAnsi="Times New Roman"/>
          <w:sz w:val="20"/>
        </w:rPr>
      </w:pPr>
      <w:r>
        <w:rPr>
          <w:rFonts w:ascii="Times New Roman" w:hAnsi="Times New Roman"/>
          <w:sz w:val="20"/>
        </w:rPr>
        <w:t xml:space="preserve">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 </w:t>
      </w:r>
    </w:p>
    <w:p>
      <w:pPr>
        <w:pStyle w:val="TextBody"/>
        <w:spacing w:before="240" w:after="0"/>
        <w:jc w:val="left"/>
        <w:rPr>
          <w:rFonts w:ascii="Times New Roman" w:hAnsi="Times New Roman"/>
          <w:sz w:val="20"/>
        </w:rPr>
      </w:pPr>
      <w:r>
        <w:rPr>
          <w:rFonts w:ascii="Times New Roman" w:hAnsi="Times New Roman"/>
          <w:sz w:val="20"/>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Times New Roman" w:hAnsi="Times New Roman"/>
          <w:i/>
          <w:sz w:val="20"/>
        </w:rPr>
        <w:t>The Business Combination Proposal  Ancillary Agreements  Investor Rights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 month for these services. Armada believes, based on rents and fees for similar services, that these fees are at least as favorable as it could have obtained from an unaffiliated person. </w:t>
      </w:r>
    </w:p>
    <w:p>
      <w:pPr>
        <w:pStyle w:val="TextBody"/>
        <w:spacing w:before="240" w:after="0"/>
        <w:jc w:val="left"/>
        <w:rPr>
          <w:rFonts w:ascii="Times New Roman" w:hAnsi="Times New Roman"/>
          <w:sz w:val="20"/>
        </w:rPr>
      </w:pPr>
      <w:r>
        <w:rPr>
          <w:rFonts w:ascii="Times New Roman" w:hAnsi="Times New Roman"/>
          <w:sz w:val="20"/>
        </w:rPr>
        <w:t xml:space="preserve">On May 9, 2022, the Armadas sponsor loaned Armada the aggregate amount of $483,034 in order to assist Armada to fund its working capital needs. The loan is evidenced by two promissory notes in the aggregate principal amount of $483,034 from Armada, as maker, to Armadas sponsor, as payee. </w:t>
      </w:r>
    </w:p>
    <w:p>
      <w:pPr>
        <w:pStyle w:val="TextBody"/>
        <w:spacing w:before="240" w:after="0"/>
        <w:jc w:val="left"/>
        <w:rPr>
          <w:rFonts w:ascii="Times New Roman" w:hAnsi="Times New Roman"/>
          <w:sz w:val="20"/>
        </w:rPr>
      </w:pPr>
      <w:r>
        <w:rPr>
          <w:rFonts w:ascii="Times New Roman" w:hAnsi="Times New Roman"/>
          <w:sz w:val="20"/>
        </w:rPr>
        <w:t xml:space="preserve">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 </w:t>
      </w:r>
    </w:p>
    <w:p>
      <w:pPr>
        <w:pStyle w:val="TextBody"/>
        <w:spacing w:before="240" w:after="0"/>
        <w:jc w:val="left"/>
        <w:rPr>
          <w:rFonts w:ascii="Times New Roman" w:hAnsi="Times New Roman"/>
          <w:sz w:val="20"/>
        </w:rPr>
      </w:pPr>
      <w:r>
        <w:rPr>
          <w:rFonts w:ascii="Times New Roman" w:hAnsi="Times New Roman"/>
          <w:sz w:val="20"/>
        </w:rPr>
        <w:t xml:space="preserve">During July 2022, Armada fully repaid one of the promissory notes in the amount of $187,034 which represented monies loaned to Armada for the payment of Delaware franchise taxes. Armada utilized the interest earned on the trust account to repay the promissory note. Armada also paid $44,246 on behalf of Armadas sponsor for tax services in August and September 2022. The aggregate balance outstanding under all promissory notes was $2,201,754 and $251,754 as of March 31, 2023 and September 30, 2022, respectively. </w:t>
      </w:r>
    </w:p>
    <w:p>
      <w:pPr>
        <w:pStyle w:val="TextBody"/>
        <w:spacing w:before="240" w:after="0"/>
        <w:jc w:val="left"/>
        <w:rPr>
          <w:rFonts w:ascii="Times New Roman" w:hAnsi="Times New Roman"/>
          <w:sz w:val="20"/>
        </w:rPr>
      </w:pPr>
      <w:r>
        <w:rPr>
          <w:rFonts w:ascii="Times New Roman" w:hAnsi="Times New Roman"/>
          <w:sz w:val="20"/>
        </w:rPr>
        <w:t xml:space="preserve">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 </w:t>
      </w:r>
    </w:p>
    <w:p>
      <w:pPr>
        <w:pStyle w:val="TextBody"/>
        <w:spacing w:before="240" w:after="0"/>
        <w:jc w:val="left"/>
        <w:rPr>
          <w:rFonts w:ascii="Times New Roman" w:hAnsi="Times New Roman"/>
          <w:sz w:val="20"/>
        </w:rPr>
      </w:pPr>
      <w:r>
        <w:rPr>
          <w:rFonts w:ascii="Times New Roman" w:hAnsi="Times New Roman"/>
          <w:sz w:val="20"/>
        </w:rPr>
        <w:t xml:space="preserve">Armada has entered into agreements with our officers and directors to provide contractual indemnification in addition to the indemnification provided for in its amended and restated certificate of incorporation. </w:t>
      </w:r>
    </w:p>
    <w:p>
      <w:pPr>
        <w:pStyle w:val="TextBody"/>
        <w:spacing w:before="240" w:after="0"/>
        <w:jc w:val="left"/>
        <w:rPr>
          <w:rFonts w:ascii="Times New Roman" w:hAnsi="Times New Roman"/>
          <w:sz w:val="20"/>
        </w:rPr>
      </w:pPr>
      <w:r>
        <w:rPr>
          <w:rFonts w:ascii="Times New Roman" w:hAnsi="Times New Roman"/>
          <w:sz w:val="20"/>
        </w:rPr>
        <w:t xml:space="preserve">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Armada Policy Regarding Transactions with Related Persons </w:t>
      </w:r>
    </w:p>
    <w:p>
      <w:pPr>
        <w:pStyle w:val="TextBody"/>
        <w:spacing w:before="120" w:after="0"/>
        <w:jc w:val="left"/>
        <w:rPr>
          <w:rFonts w:ascii="Times New Roman" w:hAnsi="Times New Roman"/>
          <w:sz w:val="20"/>
        </w:rPr>
      </w:pPr>
      <w:r>
        <w:rPr>
          <w:rFonts w:ascii="Times New Roman" w:hAnsi="Times New Roman"/>
          <w:sz w:val="20"/>
        </w:rPr>
        <w:t xml:space="preserve">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 </w:t>
      </w:r>
    </w:p>
    <w:p>
      <w:pPr>
        <w:pStyle w:val="TextBody"/>
        <w:spacing w:before="240" w:after="0"/>
        <w:jc w:val="left"/>
        <w:rPr>
          <w:rFonts w:ascii="Times New Roman" w:hAnsi="Times New Roman"/>
          <w:sz w:val="20"/>
        </w:rPr>
      </w:pPr>
      <w:r>
        <w:rPr>
          <w:rFonts w:ascii="Times New Roman" w:hAnsi="Times New Roman"/>
          <w:sz w:val="20"/>
        </w:rPr>
        <w:t xml:space="preserve">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These procedures are intended to determine whether any such related party transaction impairs the independence of a director or presents a conflict of interest on the part of a director, employee or officer. </w:t>
      </w:r>
    </w:p>
    <w:p>
      <w:pPr>
        <w:pStyle w:val="TextBody"/>
        <w:spacing w:before="240" w:after="0"/>
        <w:jc w:val="left"/>
        <w:rPr>
          <w:rFonts w:ascii="Times New Roman" w:hAnsi="Times New Roman"/>
          <w:sz w:val="20"/>
        </w:rPr>
      </w:pPr>
      <w:r>
        <w:rPr>
          <w:rFonts w:ascii="Times New Roman" w:hAnsi="Times New Roman"/>
          <w:sz w:val="20"/>
        </w:rPr>
        <w:t xml:space="preserve">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 </w:t>
      </w:r>
    </w:p>
    <w:p>
      <w:pPr>
        <w:pStyle w:val="TextBody"/>
        <w:spacing w:before="360" w:after="0"/>
        <w:jc w:val="left"/>
        <w:rPr>
          <w:rFonts w:ascii="Times New Roman" w:hAnsi="Times New Roman"/>
          <w:b/>
          <w:sz w:val="20"/>
        </w:rPr>
      </w:pPr>
      <w:r>
        <w:rPr>
          <w:rFonts w:ascii="Times New Roman" w:hAnsi="Times New Roman"/>
          <w:b/>
          <w:sz w:val="20"/>
        </w:rPr>
        <w:t xml:space="preserve">Rezolve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The following is a description of related-party transactions that Rezolve has entered into since January 1, 2019. </w:t>
      </w:r>
    </w:p>
    <w:p>
      <w:pPr>
        <w:pStyle w:val="TextBody"/>
        <w:spacing w:before="360" w:after="0"/>
        <w:jc w:val="left"/>
        <w:rPr>
          <w:rFonts w:ascii="Times New Roman" w:hAnsi="Times New Roman"/>
          <w:b/>
          <w:i/>
          <w:sz w:val="20"/>
        </w:rPr>
      </w:pPr>
      <w:r>
        <w:rPr>
          <w:rFonts w:ascii="Times New Roman" w:hAnsi="Times New Roman"/>
          <w:b/>
          <w:i/>
          <w:sz w:val="20"/>
        </w:rPr>
        <w:t xml:space="preserve">Relationship with Daniel Wagner </w:t>
      </w:r>
    </w:p>
    <w:p>
      <w:pPr>
        <w:pStyle w:val="TextBody"/>
        <w:spacing w:before="120" w:after="0"/>
        <w:jc w:val="left"/>
        <w:rPr>
          <w:rFonts w:ascii="Times New Roman" w:hAnsi="Times New Roman"/>
          <w:sz w:val="20"/>
        </w:rPr>
      </w:pPr>
      <w:r>
        <w:rPr>
          <w:rFonts w:ascii="Times New Roman" w:hAnsi="Times New Roman"/>
          <w:sz w:val="20"/>
        </w:rPr>
        <w:t xml:space="preserve">We have debt outstanding to DBLP Sea Cow Limited (a company incorporated in the Seychelles) (DBLP), which is wholly legally owned by Daniel Wagner and beneficially owned by John Wagner, in the amounts of $175,000 and $477,077, an aggregate of $652,077. There are no formal loan documents in place and no interest is payable. </w:t>
      </w:r>
    </w:p>
    <w:p>
      <w:pPr>
        <w:pStyle w:val="TextBody"/>
        <w:spacing w:before="240" w:after="0"/>
        <w:jc w:val="left"/>
        <w:rPr>
          <w:rFonts w:ascii="Times New Roman" w:hAnsi="Times New Roman"/>
          <w:sz w:val="20"/>
        </w:rPr>
      </w:pPr>
      <w:r>
        <w:rPr>
          <w:rFonts w:ascii="Times New Roman" w:hAnsi="Times New Roman"/>
          <w:sz w:val="20"/>
        </w:rPr>
        <w:t xml:space="preserve">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 </w:t>
      </w:r>
    </w:p>
    <w:p>
      <w:pPr>
        <w:pStyle w:val="TextBody"/>
        <w:spacing w:before="360" w:after="0"/>
        <w:jc w:val="left"/>
        <w:rPr>
          <w:rFonts w:ascii="Times New Roman" w:hAnsi="Times New Roman"/>
          <w:b/>
          <w:i/>
          <w:sz w:val="20"/>
        </w:rPr>
      </w:pPr>
      <w:r>
        <w:rPr>
          <w:rFonts w:ascii="Times New Roman" w:hAnsi="Times New Roman"/>
          <w:b/>
          <w:i/>
          <w:sz w:val="20"/>
        </w:rPr>
        <w:t xml:space="preserve">Indemnification Agreements with Officers and Directors </w:t>
      </w:r>
    </w:p>
    <w:p>
      <w:pPr>
        <w:pStyle w:val="TextBody"/>
        <w:spacing w:before="120" w:after="0"/>
        <w:jc w:val="left"/>
        <w:rPr>
          <w:rFonts w:ascii="Times New Roman" w:hAnsi="Times New Roman"/>
          <w:sz w:val="20"/>
        </w:rPr>
      </w:pPr>
      <w:r>
        <w:rPr>
          <w:rFonts w:ascii="Times New Roman" w:hAnsi="Times New Roman"/>
          <w:sz w:val="20"/>
        </w:rPr>
        <w:t xml:space="preserve">On or before Closing, Rezolve shall enter into indemnification agreements with each of its directors and officers. The agreements will provide the indemnitees with contractual rights to indemnification and expense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 </w:t>
      </w:r>
    </w:p>
    <w:p>
      <w:pPr>
        <w:pStyle w:val="TextBody"/>
        <w:spacing w:before="240" w:after="0"/>
        <w:jc w:val="left"/>
        <w:rPr>
          <w:rFonts w:ascii="Times New Roman" w:hAnsi="Times New Roman"/>
          <w:sz w:val="20"/>
        </w:rPr>
      </w:pPr>
      <w:r>
        <w:rPr>
          <w:rFonts w:ascii="Times New Roman" w:hAnsi="Times New Roman"/>
          <w:sz w:val="20"/>
        </w:rPr>
        <w:t xml:space="preserve">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 </w:t>
      </w:r>
    </w:p>
    <w:p>
      <w:pPr>
        <w:pStyle w:val="TextBody"/>
        <w:spacing w:before="360" w:after="0"/>
        <w:jc w:val="left"/>
        <w:rPr>
          <w:rFonts w:ascii="Times New Roman" w:hAnsi="Times New Roman"/>
          <w:b/>
          <w:i/>
          <w:sz w:val="20"/>
        </w:rPr>
      </w:pPr>
      <w:r>
        <w:rPr>
          <w:rFonts w:ascii="Times New Roman" w:hAnsi="Times New Roman"/>
          <w:b/>
          <w:i/>
          <w:sz w:val="20"/>
        </w:rPr>
        <w:t xml:space="preserve">Policies and Procedures for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person who is, or at any time during the applicable period was, one of Rezolves executive officers or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person who is known by Rezolve to be the beneficial owner of more than 5% of Rezolve voting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firm, corporation or other entity in which any of the foregoing persons is a partner or principal, or in a similar position, or in which such person has a 10% or greater beneficial ownership interest. </w:t>
            </w:r>
          </w:p>
        </w:tc>
      </w:tr>
    </w:tbl>
    <w:p>
      <w:pPr>
        <w:pStyle w:val="TextBody"/>
        <w:spacing w:before="240" w:after="0"/>
        <w:jc w:val="left"/>
        <w:rPr>
          <w:rFonts w:ascii="Times New Roman" w:hAnsi="Times New Roman"/>
          <w:sz w:val="20"/>
        </w:rPr>
      </w:pPr>
      <w:r>
        <w:rPr>
          <w:rFonts w:ascii="Times New Roman" w:hAnsi="Times New Roman"/>
          <w:sz w:val="20"/>
        </w:rPr>
        <w:t xml:space="preserve">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 </w:t>
      </w:r>
    </w:p>
    <w:p>
      <w:pPr>
        <w:pStyle w:val="TextBody"/>
        <w:spacing w:before="360" w:after="0"/>
        <w:jc w:val="left"/>
        <w:rPr>
          <w:rFonts w:ascii="Times New Roman" w:hAnsi="Times New Roman"/>
          <w:b/>
          <w:sz w:val="20"/>
        </w:rPr>
      </w:pPr>
      <w:r>
        <w:rPr>
          <w:rFonts w:ascii="Times New Roman" w:hAnsi="Times New Roman"/>
          <w:b/>
          <w:sz w:val="20"/>
        </w:rPr>
        <w:t xml:space="preserve">Transactions Related to the Business Combination </w:t>
      </w:r>
    </w:p>
    <w:p>
      <w:pPr>
        <w:pStyle w:val="TextBody"/>
        <w:spacing w:before="120" w:after="0"/>
        <w:jc w:val="left"/>
        <w:rPr>
          <w:rFonts w:ascii="Times New Roman" w:hAnsi="Times New Roman"/>
          <w:sz w:val="20"/>
        </w:rPr>
      </w:pPr>
      <w:r>
        <w:rPr>
          <w:rFonts w:ascii="Times New Roman" w:hAnsi="Times New Roman"/>
          <w:sz w:val="20"/>
        </w:rPr>
        <w:t xml:space="preserve">In connection with the Business Combination, the parties entered into a number of agreements, including the Transaction Support Agreements, the Convertible Loan Subscription Agreement, and the Investors Rights Agreement. For further information, see Business Combination Proposal.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tx309194_28"/>
      <w:bookmarkEnd w:id="30"/>
      <w:r>
        <w:rPr>
          <w:rFonts w:ascii="Times New Roman" w:hAnsi="Times New Roman"/>
          <w:b/>
          <w:sz w:val="20"/>
        </w:rPr>
        <w:t xml:space="preserve">DESCRIPTION OF REZOLVE ORDINARY SHARES, ARTICLES OF </w:t>
      </w:r>
    </w:p>
    <w:p>
      <w:pPr>
        <w:pStyle w:val="TextBody"/>
        <w:spacing w:before="0" w:after="0"/>
        <w:jc w:val="center"/>
        <w:rPr>
          <w:rFonts w:ascii="Times New Roman" w:hAnsi="Times New Roman"/>
          <w:b/>
          <w:sz w:val="20"/>
        </w:rPr>
      </w:pPr>
      <w:r>
        <w:rPr>
          <w:rFonts w:ascii="Times New Roman" w:hAnsi="Times New Roman"/>
          <w:b/>
          <w:sz w:val="20"/>
        </w:rPr>
        <w:t xml:space="preserve">ASSOCIATION AND CERTAIN LEGAL CONSIDERATIONS </w:t>
      </w:r>
    </w:p>
    <w:p>
      <w:pPr>
        <w:pStyle w:val="TextBody"/>
        <w:spacing w:before="240" w:after="0"/>
        <w:jc w:val="left"/>
        <w:rPr>
          <w:rFonts w:ascii="Times New Roman" w:hAnsi="Times New Roman"/>
          <w:b/>
          <w:sz w:val="20"/>
        </w:rPr>
      </w:pPr>
      <w:r>
        <w:rPr>
          <w:rFonts w:ascii="Times New Roman" w:hAnsi="Times New Roman"/>
          <w:b/>
          <w:sz w:val="20"/>
        </w:rPr>
        <w:t xml:space="preserve">Introduction </w:t>
      </w:r>
    </w:p>
    <w:p>
      <w:pPr>
        <w:pStyle w:val="TextBody"/>
        <w:spacing w:before="120" w:after="0"/>
        <w:jc w:val="left"/>
        <w:rPr>
          <w:rFonts w:ascii="Times New Roman" w:hAnsi="Times New Roman"/>
          <w:sz w:val="20"/>
        </w:rPr>
      </w:pPr>
      <w:r>
        <w:rPr>
          <w:rFonts w:ascii="Times New Roman" w:hAnsi="Times New Roman"/>
          <w:sz w:val="20"/>
        </w:rPr>
        <w:t xml:space="preserve">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 </w:t>
      </w:r>
    </w:p>
    <w:p>
      <w:pPr>
        <w:pStyle w:val="TextBody"/>
        <w:spacing w:before="360" w:after="0"/>
        <w:jc w:val="left"/>
        <w:rPr>
          <w:rFonts w:ascii="Times New Roman" w:hAnsi="Times New Roman"/>
          <w:b/>
          <w:sz w:val="20"/>
        </w:rPr>
      </w:pPr>
      <w:r>
        <w:rPr>
          <w:rFonts w:ascii="Times New Roman" w:hAnsi="Times New Roman"/>
          <w:b/>
          <w:sz w:val="20"/>
        </w:rPr>
        <w:t xml:space="preserve">General Description of Rezolve Ordinary Shares </w:t>
      </w:r>
    </w:p>
    <w:p>
      <w:pPr>
        <w:pStyle w:val="TextBody"/>
        <w:spacing w:before="120" w:after="0"/>
        <w:jc w:val="left"/>
        <w:rPr>
          <w:rFonts w:ascii="Times New Roman" w:hAnsi="Times New Roman"/>
          <w:sz w:val="20"/>
        </w:rPr>
      </w:pPr>
      <w:r>
        <w:rPr>
          <w:rFonts w:ascii="Times New Roman" w:hAnsi="Times New Roman"/>
          <w:sz w:val="20"/>
        </w:rPr>
        <w:t xml:space="preserve">Rezolve Ordinary Shares to be issued in connection with the Merger will comprise a single class of ordinary shares with a nominal value of £0.001 each. </w:t>
      </w:r>
    </w:p>
    <w:p>
      <w:pPr>
        <w:pStyle w:val="TextBody"/>
        <w:spacing w:before="240" w:after="0"/>
        <w:jc w:val="left"/>
        <w:rPr>
          <w:rFonts w:ascii="Times New Roman" w:hAnsi="Times New Roman"/>
          <w:sz w:val="20"/>
        </w:rPr>
      </w:pPr>
      <w:r>
        <w:rPr>
          <w:rFonts w:ascii="Times New Roman" w:hAnsi="Times New Roman"/>
          <w:sz w:val="20"/>
        </w:rPr>
        <w:t xml:space="preserve">The following information is a summary of Rezolve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Shares carry the right to receive dividends and distributions paid by Rezolve,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UK Companies Act, any equity securities issued by Rezolve for cash must first be offered to Rezolve shareholders in proportion to their existing holdings of Rezolve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UK Companies Act allows for the disapplication of pre-emption rights, which may be waived by a special resolution of not less than three quarters of Rezolve shareholders, either generally or specifically, for a maximum period not exceeding five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 </w:t>
            </w:r>
          </w:p>
        </w:tc>
      </w:tr>
    </w:tbl>
    <w:p>
      <w:pPr>
        <w:pStyle w:val="TextBody"/>
        <w:spacing w:before="240" w:after="0"/>
        <w:jc w:val="left"/>
        <w:rPr>
          <w:rFonts w:ascii="Times New Roman" w:hAnsi="Times New Roman"/>
          <w:sz w:val="20"/>
        </w:rPr>
      </w:pPr>
      <w:r>
        <w:rPr>
          <w:rFonts w:ascii="Times New Roman" w:hAnsi="Times New Roman"/>
          <w:sz w:val="20"/>
        </w:rPr>
        <w:t xml:space="preserve">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 </w:t>
      </w:r>
    </w:p>
    <w:p>
      <w:pPr>
        <w:pStyle w:val="TextBody"/>
        <w:spacing w:before="240" w:after="0"/>
        <w:jc w:val="left"/>
        <w:rPr>
          <w:rFonts w:ascii="Times New Roman" w:hAnsi="Times New Roman"/>
          <w:sz w:val="20"/>
        </w:rPr>
      </w:pPr>
      <w:r>
        <w:rPr>
          <w:rFonts w:ascii="Times New Roman" w:hAnsi="Times New Roman"/>
          <w:sz w:val="20"/>
        </w:rPr>
        <w:t xml:space="preserve">Rezolve may convert Rezolve Shares into deferred shares of £0.001 each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 </w:t>
      </w:r>
    </w:p>
    <w:p>
      <w:pPr>
        <w:pStyle w:val="TextBody"/>
        <w:spacing w:before="240" w:after="0"/>
        <w:jc w:val="left"/>
        <w:rPr>
          <w:rFonts w:ascii="Times New Roman" w:hAnsi="Times New Roman"/>
          <w:sz w:val="20"/>
        </w:rPr>
      </w:pPr>
      <w:r>
        <w:rPr>
          <w:rFonts w:ascii="Times New Roman" w:hAnsi="Times New Roman"/>
          <w:sz w:val="20"/>
        </w:rPr>
        <w:t xml:space="preserve">If at any time an employee or consultant (other than the Rezolve Founder) ceases to be an employee or consultant of or to Rezolve or any subsidiary (such that he or she is neither an employee or consultant of or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 </w:t>
      </w:r>
    </w:p>
    <w:p>
      <w:pPr>
        <w:pStyle w:val="TextBody"/>
        <w:spacing w:before="360" w:after="0"/>
        <w:jc w:val="left"/>
        <w:rPr>
          <w:rFonts w:ascii="Times New Roman" w:hAnsi="Times New Roman"/>
          <w:b/>
          <w:i/>
          <w:sz w:val="20"/>
        </w:rPr>
      </w:pPr>
      <w:r>
        <w:rPr>
          <w:rFonts w:ascii="Times New Roman" w:hAnsi="Times New Roman"/>
          <w:b/>
          <w:i/>
          <w:sz w:val="20"/>
        </w:rPr>
        <w:t xml:space="preserve">Share Register </w:t>
      </w:r>
    </w:p>
    <w:p>
      <w:pPr>
        <w:pStyle w:val="TextBody"/>
        <w:spacing w:before="120" w:after="0"/>
        <w:jc w:val="left"/>
        <w:rPr>
          <w:rFonts w:ascii="Times New Roman" w:hAnsi="Times New Roman"/>
          <w:sz w:val="20"/>
        </w:rPr>
      </w:pPr>
      <w:r>
        <w:rPr>
          <w:rFonts w:ascii="Times New Roman" w:hAnsi="Times New Roman"/>
          <w:sz w:val="20"/>
        </w:rPr>
        <w:t xml:space="preserve">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 </w:t>
      </w:r>
    </w:p>
    <w:p>
      <w:pPr>
        <w:pStyle w:val="TextBody"/>
        <w:spacing w:before="240" w:after="0"/>
        <w:jc w:val="left"/>
        <w:rPr>
          <w:rFonts w:ascii="Times New Roman" w:hAnsi="Times New Roman"/>
          <w:sz w:val="20"/>
        </w:rPr>
      </w:pPr>
      <w:r>
        <w:rPr>
          <w:rFonts w:ascii="Times New Roman" w:hAnsi="Times New Roman"/>
          <w:sz w:val="20"/>
        </w:rPr>
        <w:t xml:space="preserve">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 </w:t>
      </w:r>
    </w:p>
    <w:p>
      <w:pPr>
        <w:pStyle w:val="TextBody"/>
        <w:spacing w:before="240" w:after="0"/>
        <w:jc w:val="left"/>
        <w:rPr>
          <w:rFonts w:ascii="Times New Roman" w:hAnsi="Times New Roman"/>
          <w:sz w:val="20"/>
        </w:rPr>
      </w:pPr>
      <w:r>
        <w:rPr>
          <w:rFonts w:ascii="Times New Roman" w:hAnsi="Times New Roman"/>
          <w:sz w:val="20"/>
        </w:rPr>
        <w:t xml:space="preserve">Rezolve, any of its shareholders or any other affected person may apply to the court for rectification of the share register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any person, without sufficient cause, is wrongly entered in or omitted from Rezolves register of shareholders;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is a default or unnecessary delay in entering on the register the fact of any person having ceased to be a shareholder or on which Rezolve has a lien, provided that such refusal does not prevent dealings in the shares taking place on an open and proper basis. </w:t>
            </w:r>
          </w:p>
        </w:tc>
      </w:tr>
    </w:tbl>
    <w:p>
      <w:pPr>
        <w:pStyle w:val="TextBody"/>
        <w:spacing w:before="360" w:after="0"/>
        <w:jc w:val="left"/>
        <w:rPr>
          <w:rFonts w:ascii="Times New Roman" w:hAnsi="Times New Roman"/>
          <w:b/>
          <w:sz w:val="20"/>
        </w:rPr>
      </w:pPr>
      <w:r>
        <w:rPr>
          <w:rFonts w:ascii="Times New Roman" w:hAnsi="Times New Roman"/>
          <w:b/>
          <w:sz w:val="20"/>
        </w:rPr>
        <w:t xml:space="preserve">Warrants </w:t>
      </w:r>
    </w:p>
    <w:p>
      <w:pPr>
        <w:pStyle w:val="TextBody"/>
        <w:spacing w:before="120" w:after="0"/>
        <w:jc w:val="left"/>
        <w:rPr>
          <w:rFonts w:ascii="Times New Roman" w:hAnsi="Times New Roman"/>
          <w:sz w:val="20"/>
        </w:rPr>
      </w:pPr>
      <w:r>
        <w:rPr>
          <w:rFonts w:ascii="Times New Roman" w:hAnsi="Times New Roman"/>
          <w:sz w:val="20"/>
        </w:rPr>
        <w:t xml:space="preserve">Armada has in issue a number of Armada Units consisting of one share of Armada Common Stock and one-half of one redeemable Armada Warrant (which trades on Nasdaq under the symbol AACIW). Each whole Armada Warrant entitles the holder to purchase one share of Armada Common Stock at a price of $11.50 per share, subject to adjustment. Pursuant to the Business Combination Agreement, upon the consummation of the Business Combination, each issued and outstanding Armada Warrant immediately prior to the Merger Effective Time will be exchanged for                  Rezolve Warrant. The Rezolve Warrants will be on terms substantially the same as the terms of the existing Armada Warrants (other than terms in the latter that refer to the Business Combination and other than where incompatible with English law), and which are summarized below. </w:t>
      </w:r>
    </w:p>
    <w:p>
      <w:pPr>
        <w:pStyle w:val="TextBody"/>
        <w:spacing w:before="240" w:after="0"/>
        <w:jc w:val="left"/>
        <w:rPr>
          <w:rFonts w:ascii="Times New Roman" w:hAnsi="Times New Roman"/>
          <w:sz w:val="20"/>
        </w:rPr>
      </w:pPr>
      <w:r>
        <w:rPr>
          <w:rFonts w:ascii="Times New Roman" w:hAnsi="Times New Roman"/>
          <w:sz w:val="20"/>
        </w:rPr>
        <w:t xml:space="preserve">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 New York City time on the earlier to occur of (i)                 years from the consummation of the Business Combination, (ii) the date on which the warrants are redeemed, and (iii) the liquidation of Rezolve. </w:t>
      </w:r>
    </w:p>
    <w:p>
      <w:pPr>
        <w:pStyle w:val="TextBody"/>
        <w:spacing w:before="240" w:after="0"/>
        <w:jc w:val="left"/>
        <w:rPr>
          <w:rFonts w:ascii="Times New Roman" w:hAnsi="Times New Roman"/>
          <w:sz w:val="20"/>
        </w:rPr>
      </w:pPr>
      <w:r>
        <w:rPr>
          <w:rFonts w:ascii="Times New Roman" w:hAnsi="Times New Roman"/>
          <w:sz w:val="20"/>
        </w:rPr>
        <w:t xml:space="preserve">Rezolve, in its sole discretion at any time after the Rezolve Warrants become exercisable and upon not less than 30 days prior written notice of redemption to each Rezolve Warrant holder, may call the Rezolve Warrants for redemption at a price of $0.01 per warrant, and subject to any restrictions under the UK Companies Act and any requirements for registration, qualification or disclosure applicable in any jurisdiction deemed necessary by Rezolve. </w:t>
      </w:r>
    </w:p>
    <w:p>
      <w:pPr>
        <w:pStyle w:val="TextBody"/>
        <w:spacing w:before="240" w:after="0"/>
        <w:jc w:val="left"/>
        <w:rPr>
          <w:rFonts w:ascii="Times New Roman" w:hAnsi="Times New Roman"/>
          <w:sz w:val="20"/>
        </w:rPr>
      </w:pPr>
      <w:r>
        <w:rPr>
          <w:rFonts w:ascii="Times New Roman" w:hAnsi="Times New Roman"/>
          <w:sz w:val="20"/>
        </w:rPr>
        <w:t xml:space="preserve">If Rezolve calls the warrants for redemption as described above, Rezolves management will have the discretion to require all holders that wish to exercise Rezolve Warrants to do so on a cashless basis. In such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event, each holder would pay the exercise price by surrendering the Rezolve Warrants for that number of Rezolve Ordinary Shares equal to the quotient obtained by dividing (x) the product of the number of Rezolve Ordinary Shares underlying the Rezolve Warrants, multiplied by the difference between the exercise price of the Rezolve Warrants and the fair market value (defined below) by (y) the fair market value. The fair market value for this purpose shall mean the average reported last sale price of the Rezolve Ordinary Shares for the five trading days ending on the third trading day prior to the date on which the notice of redemption is sent to the holders of Rezolve Warrants. The ability for warrants to be exercised on such a cashless basis will be in the sole discretion of Rezolve and subject to any restrictions under the UK Companies Act. </w:t>
      </w:r>
    </w:p>
    <w:p>
      <w:pPr>
        <w:pStyle w:val="TextBody"/>
        <w:spacing w:before="240" w:after="0"/>
        <w:jc w:val="left"/>
        <w:rPr>
          <w:rFonts w:ascii="Times New Roman" w:hAnsi="Times New Roman"/>
          <w:sz w:val="20"/>
        </w:rPr>
      </w:pPr>
      <w:r>
        <w:rPr>
          <w:rFonts w:ascii="Times New Roman" w:hAnsi="Times New Roman"/>
          <w:sz w:val="20"/>
        </w:rPr>
        <w:t xml:space="preserve">Finally, the Rezolve Warrants are subject to adjustments arising due to certain corporate actions,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4"/>
        <w:gridCol w:w="9595"/>
      </w:tblGrid>
      <w:tr>
        <w:trPr/>
        <w:tc>
          <w:tcPr>
            <w:tcW w:w="420" w:type="dxa"/>
            <w:tcBorders/>
            <w:shd w:fill="auto" w:val="clear"/>
            <w:vAlign w:val="center"/>
          </w:tcPr>
          <w:p>
            <w:pPr>
              <w:pStyle w:val="TableContents"/>
              <w:spacing w:before="0" w:after="283"/>
              <w:rPr/>
            </w:pPr>
            <w:r>
              <w:rPr/>
              <w:t> </w:t>
            </w:r>
          </w:p>
        </w:tc>
        <w:tc>
          <w:tcPr>
            <w:tcW w:w="524" w:type="dxa"/>
            <w:tcBorders/>
            <w:shd w:fill="auto" w:val="clear"/>
          </w:tcPr>
          <w:p>
            <w:pPr>
              <w:pStyle w:val="TableContents"/>
              <w:spacing w:before="0" w:after="283"/>
              <w:jc w:val="left"/>
              <w:rPr/>
            </w:pPr>
            <w:r>
              <w:rPr/>
              <w:t>(i)</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increase of outstanding Rezolve Ordinary Shares by a stock dividend payable in Rezolve Ordinary Shares or a split-up of Rezolve Ordinary Shares (which will cause a proportional increase to the amount of Rezolve Ordinary Shares issuable on exercise of the Rezolve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(ii)</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decrease of outstanding Rezolve Ordinary Shares by consolidation, combination, sub-division or reclassification of Rezolve Ordinary Shares (which will cause a proportional decrease to the amount of Rezolve Ordinary Shares issuable on exercise of the Rezolve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(iii)</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Rezolve makes dividend payments or distributions of cash or securities (or other assets) to the holders of Rezolve Ordinary Shares (which, unless certain circumstances apply, will cause a decrease to the exercise price of each Rezolve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(iv)</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there is an adjustment to the number of Rezolve Ordinary Shares purchasable upon exercise of the Rezolve Warrants (as provided in paragraphs (i) and (ii) above), the exercise price of the warrants shall also be adjusted accordingly;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(v)</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any reclassification or reorganization of outstanding Rezolve Ordinary Shares (other than as noted in paragraphs (i) to (iii) or that solely affects the nominal value of Rezolve Ordinary Shares) or in the case of any merger or consolidation of Rezolve with or into another corporation (other than a consolidation or merger in which Rezolve is the continuing corporation and that does not result in any reclassification or reorganization of the outstanding Rezolve Ordinary Shares), or in the case of any sale or conveyance to another corporation or entity of the assets or other property of Rezolve as an entirety or substantially as an entirety in connection with which Rezolve is dissolved, the Rezolve Warrant holders shall thereafter have the right to purchase and receive, in lieu of the Rezolve Ordinary Shares, the kind and amount of shares of stock or other securities or property (including cash) receivable upon such reclassification, reorganization, merger or consolidation, or upon a dissolution following any such sale or transfer, that the Rezolve Warrant holder would have received if such holder had exercised his, her or its Rezolve Warrant(s) immediately prior to such event;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(vi)</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any event affecting Rezolve to which none of the paragraphs above apply, but which would nonetheless require an adjustment to the terms of the Rezolve Warrants in order to avoid an adverse impact on those warrants and effectuate the intention and purpose of the adjustments noted above, then Rezolve shall appoint a firm of independent public accountants, investment banking or other recognized appraisal firm to provide its opinion as to whether any adjustments are required (and the terms of any adjustment), and Rezolve shall adjust the terms of the Rezolve Warrants in a manner consistent with any recommendation/s in such opinion. </w:t>
            </w:r>
          </w:p>
        </w:tc>
      </w:tr>
    </w:tbl>
    <w:p>
      <w:pPr>
        <w:pStyle w:val="TextBody"/>
        <w:spacing w:before="360" w:after="0"/>
        <w:jc w:val="left"/>
        <w:rPr>
          <w:rFonts w:ascii="Times New Roman" w:hAnsi="Times New Roman"/>
          <w:b/>
          <w:sz w:val="20"/>
        </w:rPr>
      </w:pPr>
      <w:r>
        <w:rPr>
          <w:rFonts w:ascii="Times New Roman" w:hAnsi="Times New Roman"/>
          <w:b/>
          <w:sz w:val="20"/>
        </w:rPr>
        <w:t xml:space="preserve">Articles of Association of Rezolve </w:t>
      </w:r>
    </w:p>
    <w:p>
      <w:pPr>
        <w:pStyle w:val="TextBody"/>
        <w:spacing w:before="120" w:after="0"/>
        <w:jc w:val="left"/>
        <w:rPr>
          <w:rFonts w:ascii="Times New Roman" w:hAnsi="Times New Roman"/>
          <w:sz w:val="20"/>
        </w:rPr>
      </w:pPr>
      <w:r>
        <w:rPr>
          <w:rFonts w:ascii="Times New Roman" w:hAnsi="Times New Roman"/>
          <w:sz w:val="20"/>
        </w:rPr>
        <w:t xml:space="preserve">The following information is a summary of the material terms of the Rezolve Shares as specified in the Articles. The following summary does not purport to be complete and is qualified in its entirety by reference to the Articles.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Share rights </w:t>
      </w:r>
    </w:p>
    <w:p>
      <w:pPr>
        <w:pStyle w:val="TextBody"/>
        <w:spacing w:before="120" w:after="0"/>
        <w:jc w:val="left"/>
        <w:rPr>
          <w:rFonts w:ascii="Times New Roman" w:hAnsi="Times New Roman"/>
          <w:sz w:val="20"/>
        </w:rPr>
      </w:pPr>
      <w:r>
        <w:rPr>
          <w:rFonts w:ascii="Times New Roman" w:hAnsi="Times New Roman"/>
          <w:sz w:val="20"/>
        </w:rPr>
        <w:t xml:space="preserve">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 </w:t>
      </w:r>
    </w:p>
    <w:p>
      <w:pPr>
        <w:pStyle w:val="TextBody"/>
        <w:spacing w:before="240" w:after="0"/>
        <w:jc w:val="left"/>
        <w:rPr>
          <w:rFonts w:ascii="Times New Roman" w:hAnsi="Times New Roman"/>
          <w:sz w:val="20"/>
        </w:rPr>
      </w:pPr>
      <w:r>
        <w:rPr>
          <w:rFonts w:ascii="Times New Roman" w:hAnsi="Times New Roman"/>
          <w:sz w:val="20"/>
        </w:rPr>
        <w:t xml:space="preserve">Subject to the UK Companies Act, any share may be issued which is to be redeemed or is to be liable to be redeemed at the option of Rezolve or the holder, on such terms, conditions and in such manner as Rezolves board of directors may determine. </w:t>
      </w:r>
    </w:p>
    <w:p>
      <w:pPr>
        <w:pStyle w:val="TextBody"/>
        <w:spacing w:before="360" w:after="0"/>
        <w:jc w:val="left"/>
        <w:rPr>
          <w:rFonts w:ascii="Times New Roman" w:hAnsi="Times New Roman"/>
          <w:b/>
          <w:i/>
          <w:sz w:val="20"/>
        </w:rPr>
      </w:pPr>
      <w:r>
        <w:rPr>
          <w:rFonts w:ascii="Times New Roman" w:hAnsi="Times New Roman"/>
          <w:b/>
          <w:i/>
          <w:sz w:val="20"/>
        </w:rPr>
        <w:t xml:space="preserve">Voting rights and quorum </w:t>
      </w:r>
    </w:p>
    <w:p>
      <w:pPr>
        <w:pStyle w:val="TextBody"/>
        <w:spacing w:before="120" w:after="0"/>
        <w:jc w:val="left"/>
        <w:rPr>
          <w:rFonts w:ascii="Times New Roman" w:hAnsi="Times New Roman"/>
          <w:sz w:val="20"/>
        </w:rPr>
      </w:pPr>
      <w:r>
        <w:rPr>
          <w:rFonts w:ascii="Times New Roman" w:hAnsi="Times New Roman"/>
          <w:sz w:val="20"/>
        </w:rPr>
        <w:t xml:space="preserve">Subject as provided below and to any rights or restrictions attached to any shares from time to time, every member who is present in person or by a duly appointed proxy at a general meeting shall on a poll have one vote for each share of which he or she is the holder. </w:t>
      </w:r>
    </w:p>
    <w:p>
      <w:pPr>
        <w:pStyle w:val="TextBody"/>
        <w:spacing w:before="240" w:after="0"/>
        <w:jc w:val="left"/>
        <w:rPr>
          <w:rFonts w:ascii="Times New Roman" w:hAnsi="Times New Roman"/>
          <w:sz w:val="20"/>
        </w:rPr>
      </w:pPr>
      <w:r>
        <w:rPr>
          <w:rFonts w:ascii="Times New Roman" w:hAnsi="Times New Roman"/>
          <w:sz w:val="20"/>
        </w:rPr>
        <w:t xml:space="preserve">The aggregate number of votes attaching to all the shares held by Daniel Wagner as the Rezolve Founder or in which he is interested shall be equal to the higher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5"/>
        <w:gridCol w:w="9595"/>
      </w:tblGrid>
      <w:tr>
        <w:trPr/>
        <w:tc>
          <w:tcPr>
            <w:tcW w:w="419"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(i)</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75% of the votes attaching to all shares in the capital of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7"/>
        <w:gridCol w:w="9591"/>
      </w:tblGrid>
      <w:tr>
        <w:trPr/>
        <w:tc>
          <w:tcPr>
            <w:tcW w:w="421"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(ii)</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total number of votes that would otherwise have been conferred on Daniel Wagner. </w:t>
            </w:r>
          </w:p>
        </w:tc>
      </w:tr>
    </w:tbl>
    <w:p>
      <w:pPr>
        <w:pStyle w:val="TextBody"/>
        <w:spacing w:before="240" w:after="0"/>
        <w:jc w:val="left"/>
        <w:rPr>
          <w:rFonts w:ascii="Times New Roman" w:hAnsi="Times New Roman"/>
          <w:sz w:val="20"/>
        </w:rPr>
      </w:pPr>
      <w:r>
        <w:rPr>
          <w:rFonts w:ascii="Times New Roman" w:hAnsi="Times New Roman"/>
          <w:sz w:val="20"/>
        </w:rPr>
        <w:t xml:space="preserve">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 </w:t>
      </w:r>
    </w:p>
    <w:p>
      <w:pPr>
        <w:pStyle w:val="TextBody"/>
        <w:spacing w:before="360" w:after="0"/>
        <w:jc w:val="left"/>
        <w:rPr>
          <w:rFonts w:ascii="Times New Roman" w:hAnsi="Times New Roman"/>
          <w:b/>
          <w:i/>
          <w:sz w:val="20"/>
        </w:rPr>
      </w:pPr>
      <w:r>
        <w:rPr>
          <w:rFonts w:ascii="Times New Roman" w:hAnsi="Times New Roman"/>
          <w:b/>
          <w:i/>
          <w:sz w:val="20"/>
        </w:rPr>
        <w:t xml:space="preserve">Restrictions on Voting </w:t>
      </w:r>
    </w:p>
    <w:p>
      <w:pPr>
        <w:pStyle w:val="TextBody"/>
        <w:spacing w:before="120" w:after="0"/>
        <w:jc w:val="left"/>
        <w:rPr>
          <w:rFonts w:ascii="Times New Roman" w:hAnsi="Times New Roman"/>
          <w:sz w:val="20"/>
        </w:rPr>
      </w:pPr>
      <w:r>
        <w:rPr>
          <w:rFonts w:ascii="Times New Roman" w:hAnsi="Times New Roman"/>
          <w:sz w:val="20"/>
        </w:rPr>
        <w:t xml:space="preserve">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 </w:t>
      </w:r>
    </w:p>
    <w:p>
      <w:pPr>
        <w:pStyle w:val="TextBody"/>
        <w:spacing w:before="240" w:after="0"/>
        <w:jc w:val="left"/>
        <w:rPr>
          <w:rFonts w:ascii="Times New Roman" w:hAnsi="Times New Roman"/>
          <w:sz w:val="20"/>
        </w:rPr>
      </w:pPr>
      <w:r>
        <w:rPr>
          <w:rFonts w:ascii="Times New Roman" w:hAnsi="Times New Roman"/>
          <w:sz w:val="20"/>
        </w:rPr>
        <w:t xml:space="preserve">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 </w:t>
      </w:r>
    </w:p>
    <w:p>
      <w:pPr>
        <w:pStyle w:val="TextBody"/>
        <w:spacing w:before="360" w:after="0"/>
        <w:jc w:val="left"/>
        <w:rPr>
          <w:rFonts w:ascii="Times New Roman" w:hAnsi="Times New Roman"/>
          <w:b/>
          <w:i/>
          <w:sz w:val="20"/>
        </w:rPr>
      </w:pPr>
      <w:r>
        <w:rPr>
          <w:rFonts w:ascii="Times New Roman" w:hAnsi="Times New Roman"/>
          <w:b/>
          <w:i/>
          <w:sz w:val="20"/>
        </w:rPr>
        <w:t xml:space="preserve">Variation of Rights </w:t>
      </w:r>
    </w:p>
    <w:p>
      <w:pPr>
        <w:pStyle w:val="TextBody"/>
        <w:spacing w:before="120" w:after="0"/>
        <w:jc w:val="left"/>
        <w:rPr>
          <w:rFonts w:ascii="Times New Roman" w:hAnsi="Times New Roman"/>
          <w:sz w:val="20"/>
        </w:rPr>
      </w:pPr>
      <w:r>
        <w:rPr>
          <w:rFonts w:ascii="Times New Roman" w:hAnsi="Times New Roman"/>
          <w:sz w:val="20"/>
        </w:rPr>
        <w:t xml:space="preserve">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 </w:t>
      </w:r>
    </w:p>
    <w:p>
      <w:pPr>
        <w:pStyle w:val="TextBody"/>
        <w:spacing w:before="360" w:after="0"/>
        <w:jc w:val="left"/>
        <w:rPr>
          <w:rFonts w:ascii="Times New Roman" w:hAnsi="Times New Roman"/>
          <w:b/>
          <w:i/>
          <w:sz w:val="20"/>
        </w:rPr>
      </w:pPr>
      <w:r>
        <w:rPr>
          <w:rFonts w:ascii="Times New Roman" w:hAnsi="Times New Roman"/>
          <w:b/>
          <w:i/>
          <w:sz w:val="20"/>
        </w:rPr>
        <w:t xml:space="preserve">Share transfers </w:t>
      </w:r>
    </w:p>
    <w:p>
      <w:pPr>
        <w:pStyle w:val="TextBody"/>
        <w:spacing w:before="120" w:after="0"/>
        <w:jc w:val="left"/>
        <w:rPr>
          <w:rFonts w:ascii="Times New Roman" w:hAnsi="Times New Roman"/>
          <w:sz w:val="20"/>
        </w:rPr>
      </w:pPr>
      <w:r>
        <w:rPr>
          <w:rFonts w:ascii="Times New Roman" w:hAnsi="Times New Roman"/>
          <w:sz w:val="20"/>
        </w:rPr>
        <w:t xml:space="preserve">The Ordinary Shares are in registered form. Any Ordinary Shares may be held in uncertificated form. </w:t>
      </w:r>
    </w:p>
    <w:p>
      <w:pPr>
        <w:pStyle w:val="TextBody"/>
        <w:spacing w:before="240" w:after="0"/>
        <w:jc w:val="left"/>
        <w:rPr>
          <w:rFonts w:ascii="Times New Roman" w:hAnsi="Times New Roman"/>
          <w:sz w:val="20"/>
        </w:rPr>
      </w:pPr>
      <w:r>
        <w:rPr>
          <w:rFonts w:ascii="Times New Roman" w:hAnsi="Times New Roman"/>
          <w:sz w:val="20"/>
        </w:rPr>
        <w:t xml:space="preserve">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 </w:t>
      </w:r>
    </w:p>
    <w:p>
      <w:pPr>
        <w:pStyle w:val="TextBody"/>
        <w:spacing w:before="240" w:after="0"/>
        <w:jc w:val="left"/>
        <w:rPr>
          <w:rFonts w:ascii="Times New Roman" w:hAnsi="Times New Roman"/>
          <w:sz w:val="20"/>
        </w:rPr>
      </w:pPr>
      <w:r>
        <w:rPr>
          <w:rFonts w:ascii="Times New Roman" w:hAnsi="Times New Roman"/>
          <w:sz w:val="20"/>
        </w:rPr>
        <w:t xml:space="preserve">The transferor of an ordinary share is deemed to remain the holder until the transferees name is entered in the share register. </w:t>
      </w:r>
    </w:p>
    <w:p>
      <w:pPr>
        <w:pStyle w:val="TextBody"/>
        <w:spacing w:before="240" w:after="0"/>
        <w:jc w:val="left"/>
        <w:rPr>
          <w:rFonts w:ascii="Times New Roman" w:hAnsi="Times New Roman"/>
          <w:sz w:val="20"/>
        </w:rPr>
      </w:pPr>
      <w:r>
        <w:rPr>
          <w:rFonts w:ascii="Times New Roman" w:hAnsi="Times New Roman"/>
          <w:sz w:val="20"/>
        </w:rPr>
        <w:t xml:space="preserve">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 </w:t>
      </w:r>
    </w:p>
    <w:p>
      <w:pPr>
        <w:pStyle w:val="TextBody"/>
        <w:spacing w:before="360" w:after="0"/>
        <w:jc w:val="left"/>
        <w:rPr>
          <w:rFonts w:ascii="Times New Roman" w:hAnsi="Times New Roman"/>
          <w:b/>
          <w:i/>
          <w:sz w:val="20"/>
        </w:rPr>
      </w:pPr>
      <w:r>
        <w:rPr>
          <w:rFonts w:ascii="Times New Roman" w:hAnsi="Times New Roman"/>
          <w:b/>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 </w:t>
      </w:r>
    </w:p>
    <w:p>
      <w:pPr>
        <w:pStyle w:val="TextBody"/>
        <w:spacing w:before="240" w:after="0"/>
        <w:jc w:val="left"/>
        <w:rPr>
          <w:rFonts w:ascii="Times New Roman" w:hAnsi="Times New Roman"/>
          <w:sz w:val="20"/>
        </w:rPr>
      </w:pPr>
      <w:r>
        <w:rPr>
          <w:rFonts w:ascii="Times New Roman" w:hAnsi="Times New Roman"/>
          <w:sz w:val="20"/>
        </w:rPr>
        <w:t xml:space="preserve">All dividends on shares are to be paid according to the amounts paid up on their nominal value, or otherwise in accordance with the terms concerning entitlement to dividends on which shares were issued. </w:t>
      </w:r>
    </w:p>
    <w:p>
      <w:pPr>
        <w:pStyle w:val="TextBody"/>
        <w:spacing w:before="240" w:after="0"/>
        <w:jc w:val="left"/>
        <w:rPr>
          <w:rFonts w:ascii="Times New Roman" w:hAnsi="Times New Roman"/>
          <w:sz w:val="20"/>
        </w:rPr>
      </w:pPr>
      <w:r>
        <w:rPr>
          <w:rFonts w:ascii="Times New Roman" w:hAnsi="Times New Roman"/>
          <w:sz w:val="20"/>
        </w:rPr>
        <w:t xml:space="preserve">All unclaimed dividends may be made use of by Rezolves board of directors for Rezolves benefit until claimed. </w:t>
      </w:r>
    </w:p>
    <w:p>
      <w:pPr>
        <w:pStyle w:val="TextBody"/>
        <w:spacing w:before="240" w:after="0"/>
        <w:jc w:val="left"/>
        <w:rPr>
          <w:rFonts w:ascii="Times New Roman" w:hAnsi="Times New Roman"/>
          <w:sz w:val="20"/>
        </w:rPr>
      </w:pPr>
      <w:r>
        <w:rPr>
          <w:rFonts w:ascii="Times New Roman" w:hAnsi="Times New Roman"/>
          <w:sz w:val="20"/>
        </w:rPr>
        <w:t xml:space="preserve">Any dividend unclaimed for a period of 10 years from the date when it was declared or became due for payment shall revert to Rezolve. </w:t>
      </w:r>
    </w:p>
    <w:p>
      <w:pPr>
        <w:pStyle w:val="TextBody"/>
        <w:spacing w:before="240" w:after="0"/>
        <w:jc w:val="left"/>
        <w:rPr>
          <w:rFonts w:ascii="Times New Roman" w:hAnsi="Times New Roman"/>
          <w:sz w:val="20"/>
        </w:rPr>
      </w:pPr>
      <w:r>
        <w:rPr>
          <w:rFonts w:ascii="Times New Roman" w:hAnsi="Times New Roman"/>
          <w:sz w:val="20"/>
        </w:rPr>
        <w:t xml:space="preserve">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Shareholder meetings </w:t>
      </w:r>
    </w:p>
    <w:p>
      <w:pPr>
        <w:pStyle w:val="TextBody"/>
        <w:spacing w:before="120" w:after="0"/>
        <w:jc w:val="left"/>
        <w:rPr>
          <w:rFonts w:ascii="Times New Roman" w:hAnsi="Times New Roman"/>
          <w:sz w:val="20"/>
        </w:rPr>
      </w:pPr>
      <w:r>
        <w:rPr>
          <w:rFonts w:ascii="Times New Roman" w:hAnsi="Times New Roman"/>
          <w:sz w:val="20"/>
        </w:rPr>
        <w:t xml:space="preserve">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 </w:t>
      </w:r>
    </w:p>
    <w:p>
      <w:pPr>
        <w:pStyle w:val="TextBody"/>
        <w:spacing w:before="240" w:after="0"/>
        <w:jc w:val="left"/>
        <w:rPr>
          <w:rFonts w:ascii="Times New Roman" w:hAnsi="Times New Roman"/>
          <w:sz w:val="20"/>
        </w:rPr>
      </w:pPr>
      <w:r>
        <w:rPr>
          <w:rFonts w:ascii="Times New Roman" w:hAnsi="Times New Roman"/>
          <w:sz w:val="20"/>
        </w:rPr>
        <w:t xml:space="preserve">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 </w:t>
      </w:r>
    </w:p>
    <w:p>
      <w:pPr>
        <w:pStyle w:val="TextBody"/>
        <w:spacing w:before="240" w:after="0"/>
        <w:jc w:val="left"/>
        <w:rPr>
          <w:rFonts w:ascii="Times New Roman" w:hAnsi="Times New Roman"/>
          <w:sz w:val="20"/>
        </w:rPr>
      </w:pPr>
      <w:r>
        <w:rPr>
          <w:rFonts w:ascii="Times New Roman" w:hAnsi="Times New Roman"/>
          <w:sz w:val="20"/>
        </w:rPr>
        <w:t xml:space="preserve">A member who is entitled to attend and vote at a general meeting is entitled to appoint another person, or two or more persons in respect of different classes of shares held by him, as his proxy to exercise all or any of his rights to attend, to speak and to vote at the meeting. </w:t>
      </w:r>
    </w:p>
    <w:p>
      <w:pPr>
        <w:pStyle w:val="TextBody"/>
        <w:spacing w:before="240" w:after="0"/>
        <w:jc w:val="left"/>
        <w:rPr>
          <w:rFonts w:ascii="Times New Roman" w:hAnsi="Times New Roman"/>
          <w:sz w:val="20"/>
        </w:rPr>
      </w:pPr>
      <w:r>
        <w:rPr>
          <w:rFonts w:ascii="Times New Roman" w:hAnsi="Times New Roman"/>
          <w:sz w:val="20"/>
        </w:rPr>
        <w:t xml:space="preserve">The voting rights of each member at a general meeting are as set out under the heading Voting Rights and Quorum above. </w:t>
      </w:r>
    </w:p>
    <w:p>
      <w:pPr>
        <w:pStyle w:val="TextBody"/>
        <w:spacing w:before="360" w:after="0"/>
        <w:jc w:val="left"/>
        <w:rPr>
          <w:rFonts w:ascii="Times New Roman" w:hAnsi="Times New Roman"/>
          <w:b/>
          <w:i/>
          <w:sz w:val="20"/>
        </w:rPr>
      </w:pPr>
      <w:r>
        <w:rPr>
          <w:rFonts w:ascii="Times New Roman" w:hAnsi="Times New Roman"/>
          <w:b/>
          <w:i/>
          <w:sz w:val="20"/>
        </w:rPr>
        <w:t xml:space="preserve">Alteration of share capital </w:t>
      </w:r>
    </w:p>
    <w:p>
      <w:pPr>
        <w:pStyle w:val="TextBody"/>
        <w:spacing w:before="120" w:after="0"/>
        <w:jc w:val="left"/>
        <w:rPr>
          <w:rFonts w:ascii="Times New Roman" w:hAnsi="Times New Roman"/>
          <w:sz w:val="20"/>
        </w:rPr>
      </w:pPr>
      <w:r>
        <w:rPr>
          <w:rFonts w:ascii="Times New Roman" w:hAnsi="Times New Roman"/>
          <w:sz w:val="20"/>
        </w:rPr>
        <w:t xml:space="preserve">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 </w:t>
      </w:r>
    </w:p>
    <w:p>
      <w:pPr>
        <w:pStyle w:val="TextBody"/>
        <w:spacing w:before="240" w:after="0"/>
        <w:jc w:val="left"/>
        <w:rPr>
          <w:rFonts w:ascii="Times New Roman" w:hAnsi="Times New Roman"/>
          <w:sz w:val="20"/>
        </w:rPr>
      </w:pPr>
      <w:r>
        <w:rPr>
          <w:rFonts w:ascii="Times New Roman" w:hAnsi="Times New Roman"/>
          <w:sz w:val="20"/>
        </w:rPr>
        <w:t xml:space="preserve">Rezolve may agree with any member terms and conditions upon which all or any part of the Ordinary Shares held by such member from time to time shall be automatically converted into deferred shares. </w:t>
      </w:r>
    </w:p>
    <w:p>
      <w:pPr>
        <w:pStyle w:val="TextBody"/>
        <w:spacing w:before="240" w:after="0"/>
        <w:jc w:val="left"/>
        <w:rPr>
          <w:rFonts w:ascii="Times New Roman" w:hAnsi="Times New Roman"/>
          <w:sz w:val="20"/>
        </w:rPr>
      </w:pPr>
      <w:r>
        <w:rPr>
          <w:rFonts w:ascii="Times New Roman" w:hAnsi="Times New Roman"/>
          <w:sz w:val="20"/>
        </w:rPr>
        <w:t xml:space="preserve">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 </w:t>
      </w:r>
    </w:p>
    <w:p>
      <w:pPr>
        <w:pStyle w:val="TextBody"/>
        <w:spacing w:before="360" w:after="0"/>
        <w:jc w:val="left"/>
        <w:rPr>
          <w:rFonts w:ascii="Times New Roman" w:hAnsi="Times New Roman"/>
          <w:b/>
          <w:i/>
          <w:sz w:val="20"/>
        </w:rPr>
      </w:pPr>
      <w:r>
        <w:rPr>
          <w:rFonts w:ascii="Times New Roman" w:hAnsi="Times New Roman"/>
          <w:b/>
          <w:i/>
          <w:sz w:val="20"/>
        </w:rPr>
        <w:t xml:space="preserve">Change of Control </w:t>
      </w:r>
    </w:p>
    <w:p>
      <w:pPr>
        <w:pStyle w:val="TextBody"/>
        <w:spacing w:before="120" w:after="0"/>
        <w:jc w:val="left"/>
        <w:rPr>
          <w:rFonts w:ascii="Times New Roman" w:hAnsi="Times New Roman"/>
          <w:sz w:val="20"/>
        </w:rPr>
      </w:pPr>
      <w:r>
        <w:rPr>
          <w:rFonts w:ascii="Times New Roman" w:hAnsi="Times New Roman"/>
          <w:sz w:val="20"/>
        </w:rPr>
        <w:t xml:space="preserve">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 the second class being eligible for re-election at the annual general meeting of the Rezolve held in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third class being eligible for re-election at the annual general meeting of the Rezolve held in                 .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Distributions on Winding Up </w:t>
      </w:r>
    </w:p>
    <w:p>
      <w:pPr>
        <w:pStyle w:val="TextBody"/>
        <w:spacing w:before="120" w:after="0"/>
        <w:jc w:val="left"/>
        <w:rPr>
          <w:rFonts w:ascii="Times New Roman" w:hAnsi="Times New Roman"/>
          <w:sz w:val="20"/>
        </w:rPr>
      </w:pPr>
      <w:r>
        <w:rPr>
          <w:rFonts w:ascii="Times New Roman" w:hAnsi="Times New Roman"/>
          <w:sz w:val="20"/>
        </w:rPr>
        <w:t xml:space="preserve">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 </w:t>
      </w:r>
    </w:p>
    <w:p>
      <w:pPr>
        <w:pStyle w:val="TextBody"/>
        <w:spacing w:before="36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b/>
          <w:i/>
          <w:sz w:val="20"/>
        </w:rPr>
      </w:pPr>
      <w:r>
        <w:rPr>
          <w:rFonts w:ascii="Times New Roman" w:hAnsi="Times New Roman"/>
          <w:b/>
          <w:i/>
          <w:sz w:val="20"/>
        </w:rPr>
        <w:t xml:space="preserve">Number of Directors </w:t>
      </w:r>
    </w:p>
    <w:p>
      <w:pPr>
        <w:pStyle w:val="TextBody"/>
        <w:spacing w:before="120" w:after="0"/>
        <w:jc w:val="left"/>
        <w:rPr>
          <w:rFonts w:ascii="Times New Roman" w:hAnsi="Times New Roman"/>
          <w:sz w:val="20"/>
        </w:rPr>
      </w:pPr>
      <w:r>
        <w:rPr>
          <w:rFonts w:ascii="Times New Roman" w:hAnsi="Times New Roman"/>
          <w:sz w:val="20"/>
        </w:rPr>
        <w:t xml:space="preserve">Unless and until otherwise determined by an ordinary resolution of shareholders, Rezolve may not have less than three directors and there shall be no maximum number of persons permitted to sit on the board of directors. </w:t>
      </w:r>
    </w:p>
    <w:p>
      <w:pPr>
        <w:pStyle w:val="TextBody"/>
        <w:spacing w:before="240" w:after="0"/>
        <w:jc w:val="left"/>
        <w:rPr>
          <w:rFonts w:ascii="Times New Roman" w:hAnsi="Times New Roman"/>
          <w:sz w:val="20"/>
        </w:rPr>
      </w:pPr>
      <w:r>
        <w:rPr>
          <w:rFonts w:ascii="Times New Roman" w:hAnsi="Times New Roman"/>
          <w:sz w:val="20"/>
        </w:rPr>
        <w:t xml:space="preserve">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 </w:t>
      </w:r>
    </w:p>
    <w:p>
      <w:pPr>
        <w:pStyle w:val="TextBody"/>
        <w:spacing w:before="360" w:after="0"/>
        <w:jc w:val="left"/>
        <w:rPr>
          <w:rFonts w:ascii="Times New Roman" w:hAnsi="Times New Roman"/>
          <w:b/>
          <w:i/>
          <w:sz w:val="20"/>
        </w:rPr>
      </w:pPr>
      <w:r>
        <w:rPr>
          <w:rFonts w:ascii="Times New Roman" w:hAnsi="Times New Roman"/>
          <w:b/>
          <w:i/>
          <w:sz w:val="20"/>
        </w:rPr>
        <w:t xml:space="preserve">Appointment of Directors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 </w:t>
      </w:r>
    </w:p>
    <w:p>
      <w:pPr>
        <w:pStyle w:val="TextBody"/>
        <w:spacing w:before="240" w:after="0"/>
        <w:jc w:val="left"/>
        <w:rPr>
          <w:rFonts w:ascii="Times New Roman" w:hAnsi="Times New Roman"/>
          <w:sz w:val="20"/>
        </w:rPr>
      </w:pPr>
      <w:r>
        <w:rPr>
          <w:rFonts w:ascii="Times New Roman" w:hAnsi="Times New Roman"/>
          <w:sz w:val="20"/>
        </w:rPr>
        <w:t xml:space="preserve">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 </w:t>
      </w:r>
    </w:p>
    <w:p>
      <w:pPr>
        <w:pStyle w:val="TextBody"/>
        <w:spacing w:before="240" w:after="0"/>
        <w:jc w:val="left"/>
        <w:rPr>
          <w:rFonts w:ascii="Times New Roman" w:hAnsi="Times New Roman"/>
          <w:sz w:val="20"/>
        </w:rPr>
      </w:pPr>
      <w:r>
        <w:rPr>
          <w:rFonts w:ascii="Times New Roman" w:hAnsi="Times New Roman"/>
          <w:sz w:val="20"/>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hAnsi="Times New Roman"/>
          <w:i/>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Retirement of Directors </w:t>
      </w:r>
    </w:p>
    <w:p>
      <w:pPr>
        <w:pStyle w:val="TextBody"/>
        <w:spacing w:before="120" w:after="0"/>
        <w:jc w:val="left"/>
        <w:rPr>
          <w:rFonts w:ascii="Times New Roman" w:hAnsi="Times New Roman"/>
          <w:sz w:val="20"/>
        </w:rPr>
      </w:pPr>
      <w:r>
        <w:rPr>
          <w:rFonts w:ascii="Times New Roman" w:hAnsi="Times New Roman"/>
          <w:sz w:val="20"/>
        </w:rPr>
        <w:t xml:space="preserve">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 </w:t>
      </w:r>
    </w:p>
    <w:p>
      <w:pPr>
        <w:pStyle w:val="TextBody"/>
        <w:spacing w:before="360" w:after="0"/>
        <w:jc w:val="left"/>
        <w:rPr>
          <w:rFonts w:ascii="Times New Roman" w:hAnsi="Times New Roman"/>
          <w:b/>
          <w:i/>
          <w:sz w:val="20"/>
        </w:rPr>
      </w:pPr>
      <w:r>
        <w:rPr>
          <w:rFonts w:ascii="Times New Roman" w:hAnsi="Times New Roman"/>
          <w:b/>
          <w:i/>
          <w:sz w:val="20"/>
        </w:rPr>
        <w:t xml:space="preserve">Directors Interests </w:t>
      </w:r>
    </w:p>
    <w:p>
      <w:pPr>
        <w:pStyle w:val="TextBody"/>
        <w:spacing w:before="120" w:after="0"/>
        <w:jc w:val="left"/>
        <w:rPr>
          <w:rFonts w:ascii="Times New Roman" w:hAnsi="Times New Roman"/>
          <w:sz w:val="20"/>
        </w:rPr>
      </w:pPr>
      <w:r>
        <w:rPr>
          <w:rFonts w:ascii="Times New Roman" w:hAnsi="Times New Roman"/>
          <w:sz w:val="20"/>
        </w:rPr>
        <w:t xml:space="preserve">Subject to the requirements of the UK Companies Act, a director who is any way, whether directly or indirectly, interested in a proposed or existing transaction or arrangement with Rezolve shall declare the nature of his interest at a meeting of the directors. </w:t>
      </w:r>
    </w:p>
    <w:p>
      <w:pPr>
        <w:pStyle w:val="TextBody"/>
        <w:spacing w:before="240" w:after="0"/>
        <w:jc w:val="left"/>
        <w:rPr>
          <w:rFonts w:ascii="Times New Roman" w:hAnsi="Times New Roman"/>
          <w:sz w:val="20"/>
        </w:rPr>
      </w:pPr>
      <w:r>
        <w:rPr>
          <w:rFonts w:ascii="Times New Roman" w:hAnsi="Times New Roman"/>
          <w:sz w:val="20"/>
        </w:rPr>
        <w:t xml:space="preserve">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 </w:t>
      </w:r>
    </w:p>
    <w:p>
      <w:pPr>
        <w:pStyle w:val="TextBody"/>
        <w:spacing w:before="240" w:after="0"/>
        <w:jc w:val="left"/>
        <w:rPr>
          <w:rFonts w:ascii="Times New Roman" w:hAnsi="Times New Roman"/>
          <w:sz w:val="20"/>
        </w:rPr>
      </w:pPr>
      <w:r>
        <w:rPr>
          <w:rFonts w:ascii="Times New Roman" w:hAnsi="Times New Roman"/>
          <w:sz w:val="20"/>
        </w:rPr>
        <w:t xml:space="preserve">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 </w:t>
      </w:r>
    </w:p>
    <w:p>
      <w:pPr>
        <w:pStyle w:val="TextBody"/>
        <w:spacing w:before="240" w:after="0"/>
        <w:jc w:val="left"/>
        <w:rPr>
          <w:rFonts w:ascii="Times New Roman" w:hAnsi="Times New Roman"/>
          <w:sz w:val="20"/>
        </w:rPr>
      </w:pPr>
      <w:r>
        <w:rPr>
          <w:rFonts w:ascii="Times New Roman" w:hAnsi="Times New Roman"/>
          <w:sz w:val="20"/>
        </w:rPr>
        <w:t xml:space="preserve">A director shall be entitled to vote (and be counted in the quorum) in respect of any resolution concerning any of the following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contract, transaction or arrangement in which the director is interested by virtue of an interest in shares, debentures or other securities of Rezolve or any of its subsidiary undertakings;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indemnification by Rezolve in relation to the performance of the directors duties on behalf of the Company or any of its subsidiary undertakings;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or arrangement concerning another company in which the director does not hold, directly or indirectly, an interest representing one per cent or more of any class of the equity share capital of such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arrangement for the benefit of employees of Rezolve or of any of its subsidiary undertakings which does not accord to the director any privilege or benefit not generally accorded to the employees to whom the contract or arrangement relates;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purchase or maintenance of insurance either for or for the benefit of any director or for persons who include directors. </w:t>
            </w:r>
          </w:p>
        </w:tc>
      </w:tr>
    </w:tbl>
    <w:p>
      <w:pPr>
        <w:pStyle w:val="TextBody"/>
        <w:spacing w:before="240" w:after="0"/>
        <w:jc w:val="left"/>
        <w:rPr>
          <w:rFonts w:ascii="Times New Roman" w:hAnsi="Times New Roman"/>
          <w:sz w:val="20"/>
        </w:rPr>
      </w:pPr>
      <w:r>
        <w:rPr>
          <w:rFonts w:ascii="Times New Roman" w:hAnsi="Times New Roman"/>
          <w:sz w:val="20"/>
        </w:rPr>
        <w:t xml:space="preserve">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 </w:t>
      </w:r>
    </w:p>
    <w:p>
      <w:pPr>
        <w:pStyle w:val="TextBody"/>
        <w:spacing w:before="240" w:after="0"/>
        <w:jc w:val="left"/>
        <w:rPr>
          <w:rFonts w:ascii="Times New Roman" w:hAnsi="Times New Roman"/>
          <w:sz w:val="20"/>
        </w:rPr>
      </w:pPr>
      <w:r>
        <w:rPr>
          <w:rFonts w:ascii="Times New Roman" w:hAnsi="Times New Roman"/>
          <w:sz w:val="20"/>
        </w:rPr>
        <w:t xml:space="preserve">Subject to the UK Companies Act, the Company may, by ordinary resolution, suspend the above provisions to any extent or ratify any transaction or arrangement not duly authorized by reason of a contravention of these provisions. </w:t>
      </w:r>
    </w:p>
    <w:p>
      <w:pPr>
        <w:pStyle w:val="TextBody"/>
        <w:spacing w:before="360" w:after="0"/>
        <w:jc w:val="left"/>
        <w:rPr>
          <w:rFonts w:ascii="Times New Roman" w:hAnsi="Times New Roman"/>
          <w:b/>
          <w:i/>
          <w:sz w:val="20"/>
        </w:rPr>
      </w:pPr>
      <w:r>
        <w:rPr>
          <w:rFonts w:ascii="Times New Roman" w:hAnsi="Times New Roman"/>
          <w:b/>
          <w:i/>
          <w:sz w:val="20"/>
        </w:rPr>
        <w:t xml:space="preserve">Directors Fees and Remuneration </w:t>
      </w:r>
    </w:p>
    <w:p>
      <w:pPr>
        <w:pStyle w:val="TextBody"/>
        <w:spacing w:before="120" w:after="0"/>
        <w:jc w:val="left"/>
        <w:rPr>
          <w:rFonts w:ascii="Times New Roman" w:hAnsi="Times New Roman"/>
          <w:sz w:val="20"/>
        </w:rPr>
      </w:pPr>
      <w:r>
        <w:rPr>
          <w:rFonts w:ascii="Times New Roman" w:hAnsi="Times New Roman"/>
          <w:sz w:val="20"/>
        </w:rPr>
        <w:t xml:space="preserve">Special remuneration may be granted to any director who performs any special or extra services to, or at the request of, Rezolve, to be paid by way of lump sum, salary, commission, participation in profits or otherwise as the Rezolve board of directors may decide. </w:t>
      </w:r>
    </w:p>
    <w:p>
      <w:pPr>
        <w:pStyle w:val="TextBody"/>
        <w:spacing w:before="240" w:after="0"/>
        <w:jc w:val="left"/>
        <w:rPr>
          <w:rFonts w:ascii="Times New Roman" w:hAnsi="Times New Roman"/>
          <w:sz w:val="20"/>
        </w:rPr>
      </w:pPr>
      <w:r>
        <w:rPr>
          <w:rFonts w:ascii="Times New Roman" w:hAnsi="Times New Roman"/>
          <w:sz w:val="20"/>
        </w:rPr>
        <w:t xml:space="preserve">Each director may be paid all proper and reasonable expenses incurred in the discharge of the directors duties, including attending and returning from meetings of the directors or committees of the directors or general meetings of Rezolve. </w:t>
      </w:r>
    </w:p>
    <w:p>
      <w:pPr>
        <w:pStyle w:val="TextBody"/>
        <w:spacing w:before="360" w:after="0"/>
        <w:jc w:val="left"/>
        <w:rPr>
          <w:rFonts w:ascii="Times New Roman" w:hAnsi="Times New Roman"/>
          <w:b/>
          <w:i/>
          <w:sz w:val="20"/>
        </w:rPr>
      </w:pPr>
      <w:r>
        <w:rPr>
          <w:rFonts w:ascii="Times New Roman" w:hAnsi="Times New Roman"/>
          <w:b/>
          <w:i/>
          <w:sz w:val="20"/>
        </w:rPr>
        <w:t xml:space="preserve">Borrowing Powers </w:t>
      </w:r>
    </w:p>
    <w:p>
      <w:pPr>
        <w:pStyle w:val="TextBody"/>
        <w:spacing w:before="120" w:after="0"/>
        <w:jc w:val="left"/>
        <w:rPr>
          <w:rFonts w:ascii="Times New Roman" w:hAnsi="Times New Roman"/>
          <w:sz w:val="20"/>
        </w:rPr>
      </w:pPr>
      <w:r>
        <w:rPr>
          <w:rFonts w:ascii="Times New Roman" w:hAnsi="Times New Roman"/>
          <w:sz w:val="20"/>
        </w:rPr>
        <w:t xml:space="preserve">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 </w:t>
      </w:r>
    </w:p>
    <w:p>
      <w:pPr>
        <w:pStyle w:val="TextBody"/>
        <w:spacing w:before="360" w:after="0"/>
        <w:jc w:val="left"/>
        <w:rPr>
          <w:rFonts w:ascii="Times New Roman" w:hAnsi="Times New Roman"/>
          <w:b/>
          <w:i/>
          <w:sz w:val="20"/>
        </w:rPr>
      </w:pPr>
      <w:r>
        <w:rPr>
          <w:rFonts w:ascii="Times New Roman" w:hAnsi="Times New Roman"/>
          <w:b/>
          <w:i/>
          <w:sz w:val="20"/>
        </w:rPr>
        <w:t xml:space="preserve">Indemnity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Other English Law Considerations </w:t>
      </w:r>
    </w:p>
    <w:p>
      <w:pPr>
        <w:pStyle w:val="TextBody"/>
        <w:spacing w:before="120" w:after="0"/>
        <w:jc w:val="left"/>
        <w:rPr>
          <w:rFonts w:ascii="Times New Roman" w:hAnsi="Times New Roman"/>
          <w:b/>
          <w:i/>
          <w:sz w:val="20"/>
        </w:rPr>
      </w:pPr>
      <w:r>
        <w:rPr>
          <w:rFonts w:ascii="Times New Roman" w:hAnsi="Times New Roman"/>
          <w:b/>
          <w:i/>
          <w:sz w:val="20"/>
        </w:rPr>
        <w:t xml:space="preserve">Mandatory Purchases and Acquisitions </w:t>
      </w:r>
    </w:p>
    <w:p>
      <w:pPr>
        <w:pStyle w:val="TextBody"/>
        <w:spacing w:before="120" w:after="0"/>
        <w:jc w:val="left"/>
        <w:rPr>
          <w:rFonts w:ascii="Times New Roman" w:hAnsi="Times New Roman"/>
          <w:sz w:val="20"/>
        </w:rPr>
      </w:pPr>
      <w:r>
        <w:rPr>
          <w:rFonts w:ascii="Times New Roman" w:hAnsi="Times New Roman"/>
          <w:sz w:val="20"/>
        </w:rPr>
        <w:t xml:space="preserve">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 </w:t>
      </w:r>
    </w:p>
    <w:p>
      <w:pPr>
        <w:pStyle w:val="TextBody"/>
        <w:spacing w:before="240" w:after="0"/>
        <w:jc w:val="left"/>
        <w:rPr>
          <w:rFonts w:ascii="Times New Roman" w:hAnsi="Times New Roman"/>
          <w:sz w:val="20"/>
        </w:rPr>
      </w:pPr>
      <w:r>
        <w:rPr>
          <w:rFonts w:ascii="Times New Roman" w:hAnsi="Times New Roman"/>
          <w:sz w:val="20"/>
        </w:rPr>
        <w:t xml:space="preserve">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 </w:t>
      </w:r>
    </w:p>
    <w:p>
      <w:pPr>
        <w:pStyle w:val="TextBody"/>
        <w:spacing w:before="360" w:after="0"/>
        <w:jc w:val="left"/>
        <w:rPr>
          <w:rFonts w:ascii="Times New Roman" w:hAnsi="Times New Roman"/>
          <w:b/>
          <w:i/>
          <w:sz w:val="20"/>
        </w:rPr>
      </w:pPr>
      <w:r>
        <w:rPr>
          <w:rFonts w:ascii="Times New Roman" w:hAnsi="Times New Roman"/>
          <w:b/>
          <w:i/>
          <w:sz w:val="20"/>
        </w:rPr>
        <w:t xml:space="preserve">Sell Out </w:t>
      </w:r>
    </w:p>
    <w:p>
      <w:pPr>
        <w:pStyle w:val="TextBody"/>
        <w:spacing w:before="120" w:after="0"/>
        <w:jc w:val="left"/>
        <w:rPr>
          <w:rFonts w:ascii="Times New Roman" w:hAnsi="Times New Roman"/>
          <w:sz w:val="20"/>
        </w:rPr>
      </w:pPr>
      <w:r>
        <w:rPr>
          <w:rFonts w:ascii="Times New Roman" w:hAnsi="Times New Roman"/>
          <w:sz w:val="20"/>
        </w:rPr>
        <w:t xml:space="preserve">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 </w:t>
      </w:r>
    </w:p>
    <w:p>
      <w:pPr>
        <w:pStyle w:val="TextBody"/>
        <w:spacing w:before="360" w:after="0"/>
        <w:jc w:val="left"/>
        <w:rPr>
          <w:rFonts w:ascii="Times New Roman" w:hAnsi="Times New Roman"/>
          <w:b/>
          <w:i/>
          <w:sz w:val="20"/>
        </w:rPr>
      </w:pPr>
      <w:r>
        <w:rPr>
          <w:rFonts w:ascii="Times New Roman" w:hAnsi="Times New Roman"/>
          <w:b/>
          <w:i/>
          <w:sz w:val="20"/>
        </w:rPr>
        <w:t xml:space="preserve">Disclosure of Interest in Shares </w:t>
      </w:r>
    </w:p>
    <w:p>
      <w:pPr>
        <w:pStyle w:val="TextBody"/>
        <w:spacing w:before="120" w:after="0"/>
        <w:jc w:val="left"/>
        <w:rPr>
          <w:rFonts w:ascii="Times New Roman" w:hAnsi="Times New Roman"/>
          <w:sz w:val="20"/>
        </w:rPr>
      </w:pPr>
      <w:r>
        <w:rPr>
          <w:rFonts w:ascii="Times New Roman" w:hAnsi="Times New Roman"/>
          <w:sz w:val="20"/>
        </w:rPr>
        <w:t xml:space="preserve">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 </w:t>
      </w:r>
    </w:p>
    <w:p>
      <w:pPr>
        <w:pStyle w:val="TextBody"/>
        <w:spacing w:before="240" w:after="0"/>
        <w:jc w:val="left"/>
        <w:rPr>
          <w:rFonts w:ascii="Times New Roman" w:hAnsi="Times New Roman"/>
          <w:sz w:val="20"/>
        </w:rPr>
      </w:pPr>
      <w:r>
        <w:rPr>
          <w:rFonts w:ascii="Times New Roman" w:hAnsi="Times New Roman"/>
          <w:sz w:val="20"/>
        </w:rPr>
        <w:t xml:space="preserve">Under the Articles, if a person defaults in supplying Rezolve with the required particulars in relation to the shares in question, or default shares, within the prescribed period of 14 days from the date of the service of notice, the directors may by notice direct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respect of the default shares, the relevant shareholder shall not be entitled to vote (either in person or by proxy) at any general meeting or to exercise any other right conferred by a shareholding in relation to general meetings;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Purchase of Own Shares </w:t>
      </w:r>
    </w:p>
    <w:p>
      <w:pPr>
        <w:pStyle w:val="TextBody"/>
        <w:spacing w:before="120" w:after="0"/>
        <w:jc w:val="left"/>
        <w:rPr>
          <w:rFonts w:ascii="Times New Roman" w:hAnsi="Times New Roman"/>
          <w:sz w:val="20"/>
        </w:rPr>
      </w:pPr>
      <w:r>
        <w:rPr>
          <w:rFonts w:ascii="Times New Roman" w:hAnsi="Times New Roman"/>
          <w:sz w:val="20"/>
        </w:rPr>
        <w:t xml:space="preserve">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specify the maximum number of shares authorized to be acquired;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determine the maximum and minimum prices that may be paid for the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specify a date, not being later than five years after the passing of the resolution, on which the authority to purchase is to expire. </w:t>
            </w:r>
          </w:p>
        </w:tc>
      </w:tr>
    </w:tbl>
    <w:p>
      <w:pPr>
        <w:pStyle w:val="TextBody"/>
        <w:spacing w:before="240" w:after="0"/>
        <w:jc w:val="left"/>
        <w:rPr>
          <w:rFonts w:ascii="Times New Roman" w:hAnsi="Times New Roman"/>
          <w:sz w:val="20"/>
        </w:rPr>
      </w:pPr>
      <w:r>
        <w:rPr>
          <w:rFonts w:ascii="Times New Roman" w:hAnsi="Times New Roman"/>
          <w:sz w:val="20"/>
        </w:rPr>
        <w:t xml:space="preserve">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 </w:t>
      </w:r>
    </w:p>
    <w:p>
      <w:pPr>
        <w:pStyle w:val="TextBody"/>
        <w:spacing w:before="360" w:after="0"/>
        <w:jc w:val="left"/>
        <w:rPr>
          <w:rFonts w:ascii="Times New Roman" w:hAnsi="Times New Roman"/>
          <w:b/>
          <w:i/>
          <w:sz w:val="20"/>
        </w:rPr>
      </w:pPr>
      <w:r>
        <w:rPr>
          <w:rFonts w:ascii="Times New Roman" w:hAnsi="Times New Roman"/>
          <w:b/>
          <w:i/>
          <w:sz w:val="20"/>
        </w:rPr>
        <w:t xml:space="preserve">Distributions and Dividends </w:t>
      </w:r>
    </w:p>
    <w:p>
      <w:pPr>
        <w:pStyle w:val="TextBody"/>
        <w:spacing w:before="120" w:after="0"/>
        <w:jc w:val="left"/>
        <w:rPr>
          <w:rFonts w:ascii="Times New Roman" w:hAnsi="Times New Roman"/>
          <w:sz w:val="20"/>
        </w:rPr>
      </w:pPr>
      <w:r>
        <w:rPr>
          <w:rFonts w:ascii="Times New Roman" w:hAnsi="Times New Roman"/>
          <w:sz w:val="20"/>
        </w:rPr>
        <w:t xml:space="preserve">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 </w:t>
      </w:r>
    </w:p>
    <w:p>
      <w:pPr>
        <w:pStyle w:val="TextBody"/>
        <w:spacing w:before="240" w:after="0"/>
        <w:jc w:val="left"/>
        <w:rPr>
          <w:rFonts w:ascii="Times New Roman" w:hAnsi="Times New Roman"/>
          <w:sz w:val="20"/>
        </w:rPr>
      </w:pPr>
      <w:r>
        <w:rPr>
          <w:rFonts w:ascii="Times New Roman" w:hAnsi="Times New Roman"/>
          <w:sz w:val="20"/>
        </w:rPr>
        <w:t xml:space="preserve">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at the time that the distribution is made, the amount of its net assets (that is, the total excess of assets over liabilities) is not less than the total of its called-up share capital and undistributable reserves;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to the extent that, the distribution itself, at the time that it is made, does not reduce the amount of the net assets to less than that total. </w:t>
            </w:r>
          </w:p>
        </w:tc>
      </w:tr>
    </w:tbl>
    <w:p>
      <w:pPr>
        <w:pStyle w:val="TextBody"/>
        <w:spacing w:before="360" w:after="0"/>
        <w:jc w:val="left"/>
        <w:rPr>
          <w:rFonts w:ascii="Times New Roman" w:hAnsi="Times New Roman"/>
          <w:b/>
          <w:i/>
          <w:sz w:val="20"/>
        </w:rPr>
      </w:pPr>
      <w:r>
        <w:rPr>
          <w:rFonts w:ascii="Times New Roman" w:hAnsi="Times New Roman"/>
          <w:b/>
          <w:i/>
          <w:sz w:val="20"/>
        </w:rPr>
        <w:t xml:space="preserve">Anti-Money Laundering </w:t>
      </w:r>
    </w:p>
    <w:p>
      <w:pPr>
        <w:pStyle w:val="TextBody"/>
        <w:spacing w:before="120" w:after="0"/>
        <w:jc w:val="left"/>
        <w:rPr>
          <w:rFonts w:ascii="Times New Roman" w:hAnsi="Times New Roman"/>
          <w:sz w:val="20"/>
        </w:rPr>
      </w:pPr>
      <w:r>
        <w:rPr>
          <w:rFonts w:ascii="Times New Roman" w:hAnsi="Times New Roman"/>
          <w:sz w:val="20"/>
        </w:rPr>
        <w:t xml:space="preserve">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Enforceability of Civil Liabilities </w:t>
      </w:r>
    </w:p>
    <w:p>
      <w:pPr>
        <w:pStyle w:val="TextBody"/>
        <w:spacing w:before="120" w:after="0"/>
        <w:jc w:val="left"/>
        <w:rPr>
          <w:rFonts w:ascii="Times New Roman" w:hAnsi="Times New Roman"/>
          <w:sz w:val="20"/>
        </w:rPr>
      </w:pPr>
      <w:r>
        <w:rPr>
          <w:rFonts w:ascii="Times New Roman" w:hAnsi="Times New Roman"/>
          <w:sz w:val="20"/>
        </w:rPr>
        <w:t xml:space="preserve">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 </w:t>
      </w:r>
    </w:p>
    <w:p>
      <w:pPr>
        <w:pStyle w:val="TextBody"/>
        <w:spacing w:before="240" w:after="0"/>
        <w:jc w:val="left"/>
        <w:rPr>
          <w:rFonts w:ascii="Times New Roman" w:hAnsi="Times New Roman"/>
          <w:sz w:val="20"/>
        </w:rPr>
      </w:pPr>
      <w:r>
        <w:rPr>
          <w:rFonts w:ascii="Times New Roman" w:hAnsi="Times New Roman"/>
          <w:sz w:val="20"/>
        </w:rPr>
        <w:t xml:space="preserve">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 </w:t>
      </w:r>
    </w:p>
    <w:p>
      <w:pPr>
        <w:pStyle w:val="TextBody"/>
        <w:spacing w:before="240" w:after="0"/>
        <w:jc w:val="left"/>
        <w:rPr>
          <w:rFonts w:ascii="Times New Roman" w:hAnsi="Times New Roman"/>
          <w:sz w:val="20"/>
        </w:rPr>
      </w:pPr>
      <w:r>
        <w:rPr>
          <w:rFonts w:ascii="Times New Roman" w:hAnsi="Times New Roman"/>
          <w:sz w:val="20"/>
        </w:rPr>
        <w:t xml:space="preserve">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 </w:t>
      </w:r>
    </w:p>
    <w:p>
      <w:pPr>
        <w:pStyle w:val="TextBody"/>
        <w:spacing w:before="360" w:after="0"/>
        <w:jc w:val="left"/>
        <w:rPr>
          <w:rFonts w:ascii="Times New Roman" w:hAnsi="Times New Roman"/>
          <w:b/>
          <w:i/>
          <w:sz w:val="20"/>
        </w:rPr>
      </w:pPr>
      <w:r>
        <w:rPr>
          <w:rFonts w:ascii="Times New Roman" w:hAnsi="Times New Roman"/>
          <w:b/>
          <w:i/>
          <w:sz w:val="20"/>
        </w:rPr>
        <w:t xml:space="preserve">Data Protection - United Kingdom </w:t>
      </w:r>
    </w:p>
    <w:p>
      <w:pPr>
        <w:pStyle w:val="TextBody"/>
        <w:spacing w:before="120" w:after="0"/>
        <w:jc w:val="left"/>
        <w:rPr>
          <w:rFonts w:ascii="Times New Roman" w:hAnsi="Times New Roman"/>
          <w:sz w:val="20"/>
        </w:rPr>
      </w:pPr>
      <w:r>
        <w:rPr>
          <w:rFonts w:ascii="Times New Roman" w:hAnsi="Times New Roman"/>
          <w:sz w:val="20"/>
        </w:rPr>
        <w:t xml:space="preserve">Rezolve has certain duties under the General Data Protection Regulation (as implemented in the UK) and the Data Protection Act 2018 (UK GDPR) based on internationally accepted principles of data privacy. </w:t>
      </w:r>
    </w:p>
    <w:p>
      <w:pPr>
        <w:pStyle w:val="TextBody"/>
        <w:spacing w:before="360" w:after="0"/>
        <w:jc w:val="left"/>
        <w:rPr>
          <w:rFonts w:ascii="Times New Roman" w:hAnsi="Times New Roman"/>
          <w:b/>
          <w:i/>
          <w:sz w:val="20"/>
        </w:rPr>
      </w:pPr>
      <w:r>
        <w:rPr>
          <w:rFonts w:ascii="Times New Roman" w:hAnsi="Times New Roman"/>
          <w:b/>
          <w:i/>
          <w:sz w:val="20"/>
        </w:rPr>
        <w:t xml:space="preserve">Privacy Notice </w:t>
      </w:r>
    </w:p>
    <w:p>
      <w:pPr>
        <w:pStyle w:val="TextBody"/>
        <w:spacing w:before="120" w:after="0"/>
        <w:jc w:val="left"/>
        <w:rPr>
          <w:rFonts w:ascii="Times New Roman" w:hAnsi="Times New Roman"/>
          <w:i/>
          <w:sz w:val="20"/>
        </w:rPr>
      </w:pPr>
      <w:r>
        <w:rPr>
          <w:rFonts w:ascii="Times New Roman" w:hAnsi="Times New Roman"/>
          <w:i/>
          <w:sz w:val="20"/>
        </w:rPr>
        <w:t xml:space="preserve">Introduction </w:t>
      </w:r>
    </w:p>
    <w:p>
      <w:pPr>
        <w:pStyle w:val="TextBody"/>
        <w:spacing w:before="120" w:after="0"/>
        <w:jc w:val="left"/>
        <w:rPr>
          <w:rFonts w:ascii="Times New Roman" w:hAnsi="Times New Roman"/>
          <w:sz w:val="20"/>
        </w:rPr>
      </w:pPr>
      <w:r>
        <w:rPr>
          <w:rFonts w:ascii="Times New Roman" w:hAnsi="Times New Roman"/>
          <w:sz w:val="20"/>
        </w:rPr>
        <w:t xml:space="preserve">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 </w:t>
      </w:r>
    </w:p>
    <w:p>
      <w:pPr>
        <w:pStyle w:val="TextBody"/>
        <w:spacing w:before="360" w:after="0"/>
        <w:jc w:val="left"/>
        <w:rPr>
          <w:rFonts w:ascii="Times New Roman" w:hAnsi="Times New Roman"/>
          <w:i/>
          <w:sz w:val="20"/>
        </w:rPr>
      </w:pPr>
      <w:r>
        <w:rPr>
          <w:rFonts w:ascii="Times New Roman" w:hAnsi="Times New Roman"/>
          <w:i/>
          <w:sz w:val="20"/>
        </w:rPr>
        <w:t xml:space="preserve">Investor Data </w:t>
      </w:r>
    </w:p>
    <w:p>
      <w:pPr>
        <w:pStyle w:val="TextBody"/>
        <w:spacing w:before="120" w:after="0"/>
        <w:jc w:val="left"/>
        <w:rPr>
          <w:rFonts w:ascii="Times New Roman" w:hAnsi="Times New Roman"/>
          <w:sz w:val="20"/>
        </w:rPr>
      </w:pPr>
      <w:r>
        <w:rPr>
          <w:rFonts w:ascii="Times New Roman" w:hAnsi="Times New Roman"/>
          <w:sz w:val="20"/>
        </w:rPr>
        <w:t xml:space="preserve">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spacing w:before="240" w:after="0"/>
        <w:jc w:val="left"/>
        <w:rPr>
          <w:rFonts w:ascii="Times New Roman" w:hAnsi="Times New Roman"/>
          <w:sz w:val="20"/>
        </w:rPr>
      </w:pPr>
      <w:r>
        <w:rPr>
          <w:rFonts w:ascii="Times New Roman" w:hAnsi="Times New Roman"/>
          <w:sz w:val="20"/>
        </w:rPr>
        <w:t xml:space="preserve">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 </w:t>
      </w:r>
    </w:p>
    <w:p>
      <w:pPr>
        <w:pStyle w:val="TextBody"/>
        <w:spacing w:before="240" w:after="0"/>
        <w:jc w:val="left"/>
        <w:rPr>
          <w:rFonts w:ascii="Times New Roman" w:hAnsi="Times New Roman"/>
          <w:sz w:val="20"/>
        </w:rPr>
      </w:pPr>
      <w:r>
        <w:rPr>
          <w:rFonts w:ascii="Times New Roman" w:hAnsi="Times New Roman"/>
          <w:sz w:val="20"/>
        </w:rPr>
        <w:t xml:space="preserve">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Who this Affects </w:t>
      </w:r>
    </w:p>
    <w:p>
      <w:pPr>
        <w:pStyle w:val="TextBody"/>
        <w:spacing w:before="120" w:after="0"/>
        <w:jc w:val="left"/>
        <w:rPr>
          <w:rFonts w:ascii="Times New Roman" w:hAnsi="Times New Roman"/>
          <w:sz w:val="20"/>
        </w:rPr>
      </w:pPr>
      <w:r>
        <w:rPr>
          <w:rFonts w:ascii="Times New Roman" w:hAnsi="Times New Roman"/>
          <w:sz w:val="20"/>
        </w:rPr>
        <w:t xml:space="preserve">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 </w:t>
      </w:r>
    </w:p>
    <w:p>
      <w:pPr>
        <w:pStyle w:val="TextBody"/>
        <w:spacing w:before="360" w:after="0"/>
        <w:jc w:val="left"/>
        <w:rPr>
          <w:rFonts w:ascii="Times New Roman" w:hAnsi="Times New Roman"/>
          <w:i/>
          <w:sz w:val="20"/>
        </w:rPr>
      </w:pPr>
      <w:r>
        <w:rPr>
          <w:rFonts w:ascii="Times New Roman" w:hAnsi="Times New Roman"/>
          <w:i/>
          <w:sz w:val="20"/>
        </w:rPr>
        <w:t xml:space="preserve">How Rezolve May Use a Members Personal Data </w:t>
      </w:r>
    </w:p>
    <w:p>
      <w:pPr>
        <w:pStyle w:val="TextBody"/>
        <w:spacing w:before="120" w:after="0"/>
        <w:jc w:val="left"/>
        <w:rPr>
          <w:rFonts w:ascii="Times New Roman" w:hAnsi="Times New Roman"/>
          <w:sz w:val="20"/>
        </w:rPr>
      </w:pPr>
      <w:r>
        <w:rPr>
          <w:rFonts w:ascii="Times New Roman" w:hAnsi="Times New Roman"/>
          <w:sz w:val="20"/>
        </w:rPr>
        <w:t xml:space="preserve">The company, as the data controller, may collect, store and use personal data for lawful purposes, including, in particular: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this is necessary for the performance of its rights and obligations under any purchase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this is necessary for compliance with a legal and regulatory obligation to which the company is subject (such as compliance with anti-money laundering and FATCA/CRS requirements); and/or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this is necessary for the purposes of our legitimate interests and such interests are not overridden by your interests, fundamental rights or freedoms. </w:t>
            </w:r>
          </w:p>
        </w:tc>
      </w:tr>
    </w:tbl>
    <w:p>
      <w:pPr>
        <w:pStyle w:val="TextBody"/>
        <w:spacing w:before="240" w:after="0"/>
        <w:jc w:val="left"/>
        <w:rPr>
          <w:rFonts w:ascii="Times New Roman" w:hAnsi="Times New Roman"/>
          <w:sz w:val="20"/>
        </w:rPr>
      </w:pPr>
      <w:r>
        <w:rPr>
          <w:rFonts w:ascii="Times New Roman" w:hAnsi="Times New Roman"/>
          <w:sz w:val="20"/>
        </w:rPr>
        <w:t xml:space="preserve">Should Rezolve wish to use personal data for other specific purposes (including, if applicable, any purpose that requires your consent), it will contact you. </w:t>
      </w:r>
    </w:p>
    <w:p>
      <w:pPr>
        <w:pStyle w:val="TextBody"/>
        <w:spacing w:before="360" w:after="0"/>
        <w:jc w:val="left"/>
        <w:rPr>
          <w:rFonts w:ascii="Times New Roman" w:hAnsi="Times New Roman"/>
          <w:i/>
          <w:sz w:val="20"/>
        </w:rPr>
      </w:pPr>
      <w:r>
        <w:rPr>
          <w:rFonts w:ascii="Times New Roman" w:hAnsi="Times New Roman"/>
          <w:i/>
          <w:sz w:val="20"/>
        </w:rPr>
        <w:t xml:space="preserve">Why Rezolve May Share Your Personal Data </w:t>
      </w:r>
    </w:p>
    <w:p>
      <w:pPr>
        <w:pStyle w:val="TextBody"/>
        <w:spacing w:before="120" w:after="0"/>
        <w:jc w:val="left"/>
        <w:rPr>
          <w:rFonts w:ascii="Times New Roman" w:hAnsi="Times New Roman"/>
          <w:sz w:val="20"/>
        </w:rPr>
      </w:pPr>
      <w:r>
        <w:rPr>
          <w:rFonts w:ascii="Times New Roman" w:hAnsi="Times New Roman"/>
          <w:sz w:val="20"/>
        </w:rPr>
        <w:t xml:space="preserve">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 </w:t>
      </w:r>
    </w:p>
    <w:p>
      <w:pPr>
        <w:pStyle w:val="TextBody"/>
        <w:spacing w:before="240" w:after="0"/>
        <w:jc w:val="left"/>
        <w:rPr>
          <w:rFonts w:ascii="Times New Roman" w:hAnsi="Times New Roman"/>
          <w:sz w:val="20"/>
        </w:rPr>
      </w:pPr>
      <w:r>
        <w:rPr>
          <w:rFonts w:ascii="Times New Roman" w:hAnsi="Times New Roman"/>
          <w:sz w:val="20"/>
        </w:rPr>
        <w:t xml:space="preserve">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 </w:t>
      </w:r>
    </w:p>
    <w:p>
      <w:pPr>
        <w:pStyle w:val="TextBody"/>
        <w:spacing w:before="240" w:after="0"/>
        <w:jc w:val="left"/>
        <w:rPr>
          <w:rFonts w:ascii="Times New Roman" w:hAnsi="Times New Roman"/>
          <w:sz w:val="20"/>
        </w:rPr>
      </w:pPr>
      <w:r>
        <w:rPr>
          <w:rFonts w:ascii="Times New Roman" w:hAnsi="Times New Roman"/>
          <w:sz w:val="20"/>
        </w:rPr>
        <w:t xml:space="preserve">Rezolve may share your personal data with our affiliates for any of the purposes described in this privacy notice. </w:t>
      </w:r>
    </w:p>
    <w:p>
      <w:pPr>
        <w:pStyle w:val="TextBody"/>
        <w:spacing w:before="240" w:after="0"/>
        <w:jc w:val="left"/>
        <w:rPr>
          <w:rFonts w:ascii="Times New Roman" w:hAnsi="Times New Roman"/>
          <w:sz w:val="20"/>
        </w:rPr>
      </w:pPr>
      <w:r>
        <w:rPr>
          <w:rFonts w:ascii="Times New Roman" w:hAnsi="Times New Roman"/>
          <w:sz w:val="20"/>
        </w:rPr>
        <w:t xml:space="preserve">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 </w:t>
      </w:r>
    </w:p>
    <w:p>
      <w:pPr>
        <w:pStyle w:val="TextBody"/>
        <w:spacing w:before="360" w:after="0"/>
        <w:jc w:val="left"/>
        <w:rPr>
          <w:rFonts w:ascii="Times New Roman" w:hAnsi="Times New Roman"/>
          <w:i/>
          <w:sz w:val="20"/>
        </w:rPr>
      </w:pPr>
      <w:r>
        <w:rPr>
          <w:rFonts w:ascii="Times New Roman" w:hAnsi="Times New Roman"/>
          <w:i/>
          <w:sz w:val="20"/>
        </w:rPr>
        <w:t xml:space="preserve">International Data Transfers </w:t>
      </w:r>
    </w:p>
    <w:p>
      <w:pPr>
        <w:pStyle w:val="TextBody"/>
        <w:spacing w:before="120" w:after="0"/>
        <w:jc w:val="left"/>
        <w:rPr>
          <w:rFonts w:ascii="Times New Roman" w:hAnsi="Times New Roman"/>
          <w:sz w:val="20"/>
        </w:rPr>
      </w:pPr>
      <w:r>
        <w:rPr>
          <w:rFonts w:ascii="Times New Roman" w:hAnsi="Times New Roman"/>
          <w:sz w:val="20"/>
        </w:rPr>
        <w:t xml:space="preserve">Where any personal data is transferred internationally, Rezolve will take reasonable steps to ensure that a safe transfer mechanism is in place to protect the personal data in question, such as Standard Contractual Clauses approved by the European Commission or the UK government. </w:t>
      </w:r>
    </w:p>
    <w:p>
      <w:pPr>
        <w:pStyle w:val="TextBody"/>
        <w:spacing w:before="360" w:after="0"/>
        <w:jc w:val="left"/>
        <w:rPr>
          <w:rFonts w:ascii="Times New Roman" w:hAnsi="Times New Roman"/>
          <w:i/>
          <w:sz w:val="20"/>
        </w:rPr>
      </w:pPr>
      <w:r>
        <w:rPr>
          <w:rFonts w:ascii="Times New Roman" w:hAnsi="Times New Roman"/>
          <w:i/>
          <w:sz w:val="20"/>
        </w:rPr>
        <w:t xml:space="preserve">The Data Protection Measures Rezolve Takes </w:t>
      </w:r>
    </w:p>
    <w:p>
      <w:pPr>
        <w:pStyle w:val="TextBody"/>
        <w:spacing w:before="120" w:after="0"/>
        <w:jc w:val="left"/>
        <w:rPr>
          <w:rFonts w:ascii="Times New Roman" w:hAnsi="Times New Roman"/>
          <w:sz w:val="20"/>
        </w:rPr>
      </w:pPr>
      <w:r>
        <w:rPr>
          <w:rFonts w:ascii="Times New Roman" w:hAnsi="Times New Roman"/>
          <w:sz w:val="20"/>
        </w:rPr>
        <w:t xml:space="preserve">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Retention </w:t>
      </w:r>
    </w:p>
    <w:p>
      <w:pPr>
        <w:pStyle w:val="TextBody"/>
        <w:spacing w:before="120" w:after="0"/>
        <w:jc w:val="left"/>
        <w:rPr>
          <w:rFonts w:ascii="Times New Roman" w:hAnsi="Times New Roman"/>
          <w:sz w:val="20"/>
        </w:rPr>
      </w:pPr>
      <w:r>
        <w:rPr>
          <w:rFonts w:ascii="Times New Roman" w:hAnsi="Times New Roman"/>
          <w:sz w:val="20"/>
        </w:rPr>
        <w:t xml:space="preserve">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tx309194_29"/>
      <w:bookmarkEnd w:id="31"/>
      <w:r>
        <w:rPr>
          <w:rFonts w:ascii="Times New Roman" w:hAnsi="Times New Roman"/>
          <w:b/>
          <w:sz w:val="20"/>
        </w:rPr>
        <w:t xml:space="preserve">COMPARISON OF RIGHTS OF ARMADA STOCKHOLDERS AND REZOLVE SHAREHOLDERS </w:t>
      </w:r>
    </w:p>
    <w:p>
      <w:pPr>
        <w:pStyle w:val="TextBody"/>
        <w:spacing w:before="240" w:after="0"/>
        <w:jc w:val="left"/>
        <w:rPr>
          <w:rFonts w:ascii="Times New Roman" w:hAnsi="Times New Roman"/>
          <w:sz w:val="20"/>
        </w:rPr>
      </w:pPr>
      <w:r>
        <w:rPr>
          <w:rFonts w:ascii="Times New Roman" w:hAnsi="Times New Roman"/>
          <w:sz w:val="20"/>
        </w:rPr>
        <w:t xml:space="preserve">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 </w:t>
      </w:r>
    </w:p>
    <w:p>
      <w:pPr>
        <w:pStyle w:val="TextBody"/>
        <w:spacing w:before="240" w:after="0"/>
        <w:jc w:val="left"/>
        <w:rPr>
          <w:rFonts w:ascii="Times New Roman" w:hAnsi="Times New Roman"/>
          <w:sz w:val="20"/>
        </w:rPr>
      </w:pPr>
      <w:r>
        <w:rPr>
          <w:rFonts w:ascii="Times New Roman" w:hAnsi="Times New Roman"/>
          <w:sz w:val="20"/>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Times New Roman" w:hAnsi="Times New Roman"/>
          <w:i/>
          <w:sz w:val="20"/>
        </w:rPr>
        <w:t>Where You Can Find More Information</w:t>
      </w:r>
      <w:r>
        <w:rPr>
          <w:rFonts w:ascii="Times New Roman" w:hAnsi="Times New Roman"/>
          <w:sz w:val="20"/>
        </w:rPr>
        <w:t> in this proxy statement/prospectus. For a summary of the Articles, see the section entitled </w:t>
      </w:r>
      <w:r>
        <w:rPr>
          <w:rFonts w:ascii="Times New Roman" w:hAnsi="Times New Roman"/>
          <w:i/>
          <w:sz w:val="20"/>
        </w:rPr>
        <w:t>Description of Rezolves Securities</w:t>
      </w:r>
      <w:r>
        <w:rPr>
          <w:rFonts w:ascii="Times New Roman" w:hAnsi="Times New Roman"/>
          <w:sz w:val="20"/>
        </w:rPr>
        <w:t xml:space="preserve"> in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Unless the context otherwise requires, references to shareholder or shareholders means the person(s) whose name(s) appear on a companys register of members and who are the legal owners of the shares concerned.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75"/>
        <w:gridCol w:w="210"/>
        <w:gridCol w:w="4954"/>
      </w:tblGrid>
      <w:tr>
        <w:trPr/>
        <w:tc>
          <w:tcPr>
            <w:tcW w:w="537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10"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Shareholder Meetings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  Held at such time or place as designated in the articles of association, or if not so designated, as determined by the board of directors, or if necessary, by the chair of the meeting</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  Held at such time or place as designated in the certificate of incorporation or the by-laws, or if not so designated, as determined by the board of directors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  May be held within or without England</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  May be held within or without Delaware</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w:t>
            </w:r>
            <w:r>
              <w:rPr>
                <w:rFonts w:ascii="Times New Roman" w:hAnsi="Times New Roman"/>
                <w:b/>
                <w:i/>
                <w:sz w:val="20"/>
              </w:rPr>
              <w:t>Notice</w:t>
            </w:r>
            <w:r>
              <w:rPr>
                <w:rFonts w:ascii="Times New Roman" w:hAnsi="Times New Roman"/>
                <w:sz w:val="20"/>
              </w:rPr>
              <w:t>:</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w:t>
            </w:r>
            <w:r>
              <w:rPr>
                <w:rFonts w:ascii="Times New Roman" w:hAnsi="Times New Roman"/>
                <w:b/>
                <w:i/>
                <w:sz w:val="20"/>
              </w:rPr>
              <w:t>Notice</w:t>
            </w:r>
            <w:r>
              <w:rPr>
                <w:rFonts w:ascii="Times New Roman" w:hAnsi="Times New Roman"/>
                <w:sz w:val="20"/>
              </w:rPr>
              <w:t>:</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  Whenever shareholders are required to take any action at a meeting, a written notice of the meeting shall be given which shall state the place, if any, date and hour of the meeting and the general nature of the business to be conducted at the general meeting.</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  Whenever shareholders are required to take any action at a meeting, a written notice of the meeting shall be given which shall state the place, if any, date and hour of the meeting, and the means of remote communication, if any.</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  Not less than 21 clear days notice shall be given of any annual general meeting and the case of all other general meetings, not less than 14 clear days notice shall be given.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  General meetings may be called upon shorter notice with the agreement of (i) in the case of an annual general meeting, all the shareholders who are permitted to attend and vote, or (ii) in the case of any other general meeting, a majority of the shareholders holding at least 95% by nominal value of the shares giving the right to attend and vote at the meeting.</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  Clear days notice means calendar days and excludes (i) the deemed date of receipt of the notice, and (ii) the date of the meeting itself.</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  Written notice shall be given not less than 10 nor more than 60 days before the meeting.</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rPr/>
        <w:tc>
          <w:tcPr>
            <w:tcW w:w="537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10"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Rezolves articles of association provide that documents sent by first class post are deemed received the day after mailing and, if sent by airmail, on the third day after mailing, and in each other case, two days after mailing.</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sz w:val="4"/>
                <w:szCs w:val="4"/>
              </w:rPr>
            </w:pPr>
            <w:r>
              <w:rPr>
                <w:sz w:val="4"/>
                <w:szCs w:val="4"/>
              </w:rPr>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  Any action required to be taken by meeting of shareholders must be taken at a meeting. Written shareholder resolutions are not possible for a UK public limited company.</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  Any action required to be taken by meeting of shareholders may be taken without meeting if consent is in writing and is signed by all the shareholders entitled to vote</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  Any person authorized to vote may authorize another person or persons to act for him by proxy.</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  Any person authorized to vote may authorize another person or persons to act for him by proxy.</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  The quorum required for a general meeting of members consists of at least two (2) members, present in person or by proxy or if a corporation or other non-natural person by its duly authorized representative or proxy, and entitled to vote, provided that for so long as the Rezolve Founder is the holder, directly or indirectly or beneficially interested in Ordinary Shares and is entitled to exercise not less than 10% of the votes attaching to all shares of Rezolve, he must be present for the general meeting to be quorate.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  Under English law a special resolution means a resolution passed by a majority of not less than 75% of those shareholders present at a general meeting in person or by proxy. A resolution passed on a poll taken at a meeting is passed by a majority of not less than 75% if it is passed by members representing not less than 75% of the total voting rights of the members who (being entitled to do so) vote in person or by proxy on the resolution.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  The aggregate number of votes attaching to all the shares in Rezolve held by Daniel Wagner as the Rezolve Founder or in which he is interested shall be equal to the higher of:</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(i) 75% of the votes attaching to all shares in the capital of the Company; and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(ii) the total number of votes that would otherwise have been conferred on Daniel Wagner.</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  For stock corporations, certificate of incorporation or by-laws may specify the number to constitute a quorum but in no event shall a quorum consist of less than one-third of shares entitled to vote at a meeting. In the absence of such specifications, a majority of shares entitled to vote shall constitute a quorum.</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5"/>
        <w:gridCol w:w="210"/>
        <w:gridCol w:w="4954"/>
      </w:tblGrid>
      <w:tr>
        <w:trPr/>
        <w:tc>
          <w:tcPr>
            <w:tcW w:w="537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10"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5375"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  The resolution is not a special resolution unless the notice of the meeting included the text of the resolution and specified the intention to propose the resolution as a special resolution, and if the notice of the meeting so specified, the resolution may only be passed as a special resolution.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  Special resolutions generally involve proposals to change the name of the company, alter its capital structure, change or amend the rights of shareholders, permit the company to issue new shares for cash without applying the shareholders pre-emptive rights, amend the companys articles of association, or carry out other matters where either the companys articles of association or the UK Companies Act prescribe that a special resolution is required.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  Other proposals relating to the ordinary course of the companys business, such as the election of directors, would generally be proposed as an ordinary resolution.</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sz w:val="4"/>
                <w:szCs w:val="4"/>
              </w:rPr>
            </w:pPr>
            <w:r>
              <w:rPr>
                <w:sz w:val="4"/>
                <w:szCs w:val="4"/>
              </w:rPr>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Directors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  The directors shall not, unless otherwise determined by an ordinary resolution of Rezolve, be less than three but shall not be subject to a maximum number.</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  The board must consist of at least one member.</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  Number of board members shall be fixed by the by-laws, unless the certificate of incorporation fixes the number of directors, in which case a change in the number shall be made only by amendment of the certificate of incorporation.</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Removal of Directors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  Under the UK Companies Act, a company may remove a director without cause by ordinary resolution, irrespective of anything in any agreement between the director and the company, provided that 28 clear days notice of the proposed resolution to remove the director is given to the company and certain other procedural requirements under the UK Companies Act are followed.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  Rezolves articles of association provide that in addition to any power of removal conferred by the UK Companies Act, the company may by ordinary resolution remove any director before the expiration of his period of office.</w:t>
            </w:r>
          </w:p>
        </w:tc>
        <w:tc>
          <w:tcPr>
            <w:tcW w:w="210"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  A director of a corporation may be removed for cause with the approval of a majority of the issued and outstanding shares entitled to vote, unless the certificate of incorporation provides otherwise.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6"/>
        <w:gridCol w:w="209"/>
        <w:gridCol w:w="4954"/>
      </w:tblGrid>
      <w:tr>
        <w:trPr/>
        <w:tc>
          <w:tcPr>
            <w:tcW w:w="53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09"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Shareholder nominations of Directors and other Proposals</w:t>
            </w:r>
          </w:p>
        </w:tc>
      </w:tr>
      <w:tr>
        <w:trPr>
          <w:trHeight w:val="120" w:hRule="atLeast"/>
        </w:trPr>
        <w:tc>
          <w:tcPr>
            <w:tcW w:w="5376" w:type="dxa"/>
            <w:tcBorders/>
            <w:shd w:fill="auto" w:val="clear"/>
            <w:vAlign w:val="center"/>
          </w:tcPr>
          <w:p>
            <w:pPr>
              <w:pStyle w:val="TableContents"/>
              <w:spacing w:before="0" w:after="283"/>
              <w:rPr>
                <w:sz w:val="4"/>
                <w:szCs w:val="4"/>
              </w:rPr>
            </w:pPr>
            <w:r>
              <w:rPr>
                <w:sz w:val="4"/>
                <w:szCs w:val="4"/>
              </w:rPr>
            </w:r>
          </w:p>
        </w:tc>
        <w:tc>
          <w:tcPr>
            <w:tcW w:w="5163" w:type="dxa"/>
            <w:gridSpan w:val="2"/>
            <w:tcBorders/>
            <w:shd w:fill="auto" w:val="clear"/>
            <w:vAlign w:val="center"/>
          </w:tcPr>
          <w:p>
            <w:pPr>
              <w:pStyle w:val="TableContents"/>
              <w:spacing w:before="0" w:after="283"/>
              <w:rPr>
                <w:sz w:val="4"/>
                <w:szCs w:val="4"/>
              </w:rPr>
            </w:pPr>
            <w:r>
              <w:rPr>
                <w:sz w:val="4"/>
                <w:szCs w:val="4"/>
              </w:rPr>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  Resolutions to appoint directors to a public company such as Rezolve must be put to shareholders on the basis of one resolution for each nominated director. A single resolution to appoint two or more directors must not be proposed to be voted upon at a general meeting unless a resolution that it should be so made has first been agreed to by the general meeting without any vote being given against it.</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  Armadas bylaws provide that stockholders seeking to bring business before its annual meeting of stockholders, or to nominate candidates for election as directors at its annual meeting of stockholders must provide timely notice of their intent in writing. To be timely, a stockholders notice will need to be delivered to Armadas principal executive offices not later than the close of business on the 60th day nor earlier than the close of business on the 90th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10th day following the day on which public announcement of the date of Armadas annual meeting of stockholders is first made or sent by us. Armadas bylaws also specify certain requirements as to the form and content of a stockholders meeting. These provisions may preclude Armadas stockholders from bringing matters before its annual meeting of stockholders or from making nominations for directors at its annual meeting of stockholders.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  Under the Delaware General Corporation Law (DGCL), a corporations certificate of incorporation or bylaws can specify the number of shares that constitute the quorum required to conduct business at a meeting, provided that in no event shall a quorum consist of less than one-third of the shares entitled to vote at a meeting.</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Fiduciary Duties and Conflicts</w:t>
            </w:r>
          </w:p>
        </w:tc>
      </w:tr>
      <w:tr>
        <w:trPr>
          <w:trHeight w:val="120" w:hRule="atLeast"/>
        </w:trPr>
        <w:tc>
          <w:tcPr>
            <w:tcW w:w="5376" w:type="dxa"/>
            <w:tcBorders/>
            <w:shd w:fill="auto" w:val="clear"/>
            <w:vAlign w:val="center"/>
          </w:tcPr>
          <w:p>
            <w:pPr>
              <w:pStyle w:val="TableContents"/>
              <w:spacing w:before="0" w:after="283"/>
              <w:rPr>
                <w:sz w:val="4"/>
                <w:szCs w:val="4"/>
              </w:rPr>
            </w:pPr>
            <w:r>
              <w:rPr>
                <w:sz w:val="4"/>
                <w:szCs w:val="4"/>
              </w:rPr>
            </w:r>
          </w:p>
        </w:tc>
        <w:tc>
          <w:tcPr>
            <w:tcW w:w="5163" w:type="dxa"/>
            <w:gridSpan w:val="2"/>
            <w:tcBorders/>
            <w:shd w:fill="auto" w:val="clear"/>
            <w:vAlign w:val="center"/>
          </w:tcPr>
          <w:p>
            <w:pPr>
              <w:pStyle w:val="TableContents"/>
              <w:spacing w:before="0" w:after="283"/>
              <w:rPr>
                <w:sz w:val="4"/>
                <w:szCs w:val="4"/>
              </w:rPr>
            </w:pPr>
            <w:r>
              <w:rPr>
                <w:sz w:val="4"/>
                <w:szCs w:val="4"/>
              </w:rPr>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  Directors and officers must act in good faith and in the best interest of the company for the benefit of its members as a whole.</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  Directors and officers must act in good faith, with the care of a prudent person, and in the best interest of the corporation as a whole.</w:t>
            </w:r>
          </w:p>
        </w:tc>
      </w:tr>
      <w:tr>
        <w:trPr>
          <w:trHeight w:val="120" w:hRule="atLeast"/>
        </w:trPr>
        <w:tc>
          <w:tcPr>
            <w:tcW w:w="5376" w:type="dxa"/>
            <w:tcBorders/>
            <w:shd w:fill="auto" w:val="clear"/>
            <w:vAlign w:val="center"/>
          </w:tcPr>
          <w:p>
            <w:pPr>
              <w:pStyle w:val="TableContents"/>
              <w:spacing w:before="0" w:after="283"/>
              <w:rPr>
                <w:sz w:val="4"/>
                <w:szCs w:val="4"/>
              </w:rPr>
            </w:pPr>
            <w:r>
              <w:rPr>
                <w:sz w:val="4"/>
                <w:szCs w:val="4"/>
              </w:rPr>
            </w:r>
          </w:p>
        </w:tc>
        <w:tc>
          <w:tcPr>
            <w:tcW w:w="5163" w:type="dxa"/>
            <w:gridSpan w:val="2"/>
            <w:tcBorders/>
            <w:shd w:fill="auto" w:val="clear"/>
            <w:vAlign w:val="center"/>
          </w:tcPr>
          <w:p>
            <w:pPr>
              <w:pStyle w:val="TableContents"/>
              <w:spacing w:before="0" w:after="283"/>
              <w:rPr>
                <w:sz w:val="4"/>
                <w:szCs w:val="4"/>
              </w:rPr>
            </w:pPr>
            <w:r>
              <w:rPr>
                <w:sz w:val="4"/>
                <w:szCs w:val="4"/>
              </w:rPr>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  Directors and officers must refrain from self-dealing, usurping corporate opportunities and receiving improper personal benefits.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  The UK Companies Act codified the general equitable duties of directors. In summary, these are (i) to act within powers; (ii) to promote the success of the company; (iii) to exercise independent judgment; (iv) to exercise reasonable care, skill and diligence; (v) to avoid conflicts of interest; (vi) not</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  Directors and officers must refrain from self-dealing, usurping corporate opportunities and receiving improper personal benefits.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  Decisions made by directors and officers on an informed basis, in good faith and in the honest belief that the action was taken in the best interest of the corporation will be protected by the business judgment rule.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4"/>
        <w:gridCol w:w="210"/>
        <w:gridCol w:w="4955"/>
      </w:tblGrid>
      <w:tr>
        <w:trPr/>
        <w:tc>
          <w:tcPr>
            <w:tcW w:w="537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4955" w:type="dxa"/>
            <w:tcBorders/>
            <w:shd w:fill="auto" w:val="clear"/>
            <w:vAlign w:val="center"/>
          </w:tcPr>
          <w:p>
            <w:pPr>
              <w:pStyle w:val="TableContents"/>
              <w:spacing w:before="0" w:after="283"/>
              <w:rPr>
                <w:sz w:val="4"/>
                <w:szCs w:val="4"/>
              </w:rPr>
            </w:pPr>
            <w:r>
              <w:rPr>
                <w:sz w:val="4"/>
                <w:szCs w:val="4"/>
              </w:rPr>
            </w:r>
          </w:p>
        </w:tc>
      </w:tr>
      <w:tr>
        <w:trPr/>
        <w:tc>
          <w:tcPr>
            <w:tcW w:w="537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10" w:type="dxa"/>
            <w:tcBorders/>
            <w:shd w:fill="auto" w:val="clear"/>
            <w:vAlign w:val="bottom"/>
          </w:tcPr>
          <w:p>
            <w:pPr>
              <w:pStyle w:val="TableContents"/>
              <w:spacing w:before="0" w:after="283"/>
              <w:rPr/>
            </w:pPr>
            <w:r>
              <w:rPr/>
              <w:t>  </w:t>
            </w:r>
          </w:p>
        </w:tc>
        <w:tc>
          <w:tcPr>
            <w:tcW w:w="49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5374" w:type="dxa"/>
            <w:tcBorders/>
            <w:shd w:fill="auto" w:val="clear"/>
          </w:tcPr>
          <w:p>
            <w:pPr>
              <w:pStyle w:val="TableContents"/>
              <w:spacing w:before="0" w:after="0"/>
              <w:rPr>
                <w:rFonts w:ascii="Times New Roman" w:hAnsi="Times New Roman"/>
                <w:sz w:val="20"/>
              </w:rPr>
            </w:pPr>
            <w:r>
              <w:rPr>
                <w:rFonts w:ascii="Times New Roman" w:hAnsi="Times New Roman"/>
                <w:sz w:val="20"/>
              </w:rPr>
              <w:t>to accept benefits from third parties; and (vii) to declare any interest in a proposed transaction or arrangement with the company.</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  There are other uncodified duties of directors; including that a director must in certain circumstances consider or act in the interests of the companys creditors.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  Rezolves articles of association provide that the Rezolve board of directors may in specified circumstances authorize any matter that would otherwise involve a director breaching his duty under the UK Companies Act to avoid a conflict of interest.</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  The articles of association also provide that, subject to authorization of such conflict, a director may retain any benefit derived by reason of that interest.</w:t>
            </w:r>
          </w:p>
        </w:tc>
        <w:tc>
          <w:tcPr>
            <w:tcW w:w="21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Liability of Directors and Officers</w:t>
            </w:r>
          </w:p>
        </w:tc>
      </w:tr>
      <w:tr>
        <w:trPr>
          <w:trHeight w:val="120" w:hRule="atLeast"/>
        </w:trPr>
        <w:tc>
          <w:tcPr>
            <w:tcW w:w="5374" w:type="dxa"/>
            <w:tcBorders/>
            <w:shd w:fill="auto" w:val="clear"/>
            <w:vAlign w:val="center"/>
          </w:tcPr>
          <w:p>
            <w:pPr>
              <w:pStyle w:val="TableContents"/>
              <w:spacing w:before="0" w:after="283"/>
              <w:rPr>
                <w:sz w:val="4"/>
                <w:szCs w:val="4"/>
              </w:rPr>
            </w:pPr>
            <w:r>
              <w:rPr>
                <w:sz w:val="4"/>
                <w:szCs w:val="4"/>
              </w:rPr>
            </w:r>
          </w:p>
        </w:tc>
        <w:tc>
          <w:tcPr>
            <w:tcW w:w="5165" w:type="dxa"/>
            <w:gridSpan w:val="2"/>
            <w:tcBorders/>
            <w:shd w:fill="auto" w:val="clear"/>
            <w:vAlign w:val="center"/>
          </w:tcPr>
          <w:p>
            <w:pPr>
              <w:pStyle w:val="TableContents"/>
              <w:spacing w:before="0" w:after="283"/>
              <w:rPr>
                <w:sz w:val="4"/>
                <w:szCs w:val="4"/>
              </w:rPr>
            </w:pPr>
            <w:r>
              <w:rPr>
                <w:sz w:val="4"/>
                <w:szCs w:val="4"/>
              </w:rPr>
            </w:r>
          </w:p>
        </w:tc>
      </w:tr>
      <w:tr>
        <w:trPr/>
        <w:tc>
          <w:tcPr>
            <w:tcW w:w="5374" w:type="dxa"/>
            <w:tcBorders/>
            <w:shd w:fill="auto" w:val="clear"/>
          </w:tcPr>
          <w:p>
            <w:pPr>
              <w:pStyle w:val="TableContents"/>
              <w:spacing w:before="0" w:after="0"/>
              <w:rPr>
                <w:rFonts w:ascii="Times New Roman" w:hAnsi="Times New Roman"/>
                <w:sz w:val="20"/>
              </w:rPr>
            </w:pPr>
            <w:r>
              <w:rPr>
                <w:rFonts w:ascii="Times New Roman" w:hAnsi="Times New Roman"/>
                <w:sz w:val="20"/>
              </w:rPr>
              <w:t>  Under the UK Companies Act,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UK Companies Act, which provides exceptions for a company to (i) purchase and maintain insurance against such liability; (ii) provide a qualifying third party indemnity (being an indemnity against liability incurred by the director to a person other than the company or an associated company as long as he or she is successful in defending the claim or criminal proceedings); and (iii) provide a qualifying pension scheme indemnity (being an indemnity against liability incurred in connection with the companys activities as trustee of an occupational pension plan).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  The UK Companies Act permits companies to purchase and maintain insurance for directors against any liability arising from negligence,</w:t>
            </w:r>
          </w:p>
        </w:tc>
        <w:tc>
          <w:tcPr>
            <w:tcW w:w="21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0"/>
              <w:rPr>
                <w:rFonts w:ascii="Times New Roman" w:hAnsi="Times New Roman"/>
                <w:sz w:val="20"/>
              </w:rPr>
            </w:pPr>
            <w:r>
              <w:rPr>
                <w:rFonts w:ascii="Times New Roman" w:hAnsi="Times New Roman"/>
                <w:sz w:val="20"/>
              </w:rPr>
              <w:t>  Armadas certificate of incorporation provides: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  Armada entered into indemnification agreements with each of Armadas officers and directors. These agreements require Armada to indemnify these individuals to the fullest extent permitted under Delaware law against liabilities that may arise by reason of their service to Armada, and to advance expenses incurred as a result of any proceeding against them as to which they could be indemnified.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5"/>
        <w:gridCol w:w="209"/>
        <w:gridCol w:w="4955"/>
      </w:tblGrid>
      <w:tr>
        <w:trPr/>
        <w:tc>
          <w:tcPr>
            <w:tcW w:w="537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955" w:type="dxa"/>
            <w:tcBorders/>
            <w:shd w:fill="auto" w:val="clear"/>
            <w:vAlign w:val="center"/>
          </w:tcPr>
          <w:p>
            <w:pPr>
              <w:pStyle w:val="TableContents"/>
              <w:spacing w:before="0" w:after="283"/>
              <w:rPr>
                <w:sz w:val="4"/>
                <w:szCs w:val="4"/>
              </w:rPr>
            </w:pPr>
            <w:r>
              <w:rPr>
                <w:sz w:val="4"/>
                <w:szCs w:val="4"/>
              </w:rPr>
            </w:r>
          </w:p>
        </w:tc>
      </w:tr>
      <w:tr>
        <w:trPr/>
        <w:tc>
          <w:tcPr>
            <w:tcW w:w="537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09" w:type="dxa"/>
            <w:tcBorders/>
            <w:shd w:fill="auto" w:val="clear"/>
            <w:vAlign w:val="bottom"/>
          </w:tcPr>
          <w:p>
            <w:pPr>
              <w:pStyle w:val="TableContents"/>
              <w:spacing w:before="0" w:after="283"/>
              <w:rPr/>
            </w:pPr>
            <w:r>
              <w:rPr/>
              <w:t>  </w:t>
            </w:r>
          </w:p>
        </w:tc>
        <w:tc>
          <w:tcPr>
            <w:tcW w:w="49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default, breach of duty or breach of trust in relation to the company. Rezolve maintains directors and officers liability insurance.</w:t>
            </w:r>
          </w:p>
        </w:tc>
        <w:tc>
          <w:tcPr>
            <w:tcW w:w="209"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Pre-emptive Rights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  Under English law, the issuance for cash of (i) equity securities, being those shares in a company which, with respect to dividends or capital, carry a right to participate beyond a specified amount in a distribution, or (ii) rights to subscribe for or convert into equity securities, must be offered first to the existing equity shareholders in proportion to the respective nominal values of their holdings, unless a special resolution to the contrary has been passed by shareholders in a general meeting.</w:t>
            </w:r>
          </w:p>
        </w:tc>
        <w:tc>
          <w:tcPr>
            <w:tcW w:w="209"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0"/>
              <w:rPr>
                <w:rFonts w:ascii="Times New Roman" w:hAnsi="Times New Roman"/>
                <w:sz w:val="20"/>
              </w:rPr>
            </w:pPr>
            <w:r>
              <w:rPr>
                <w:rFonts w:ascii="Times New Roman" w:hAnsi="Times New Roman"/>
                <w:sz w:val="20"/>
              </w:rPr>
              <w:t>  Armadas shareholders do not have pre-emptive rights.</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Shareholders Derivative Actions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  Derivative actions can be pursued in the courts of England and Wales pursuant to common law or statute. Under common law, the company will be the proper plaintiff in any claim based on a breach of duty owed to it, and a claim against (for example) its officers or directors usually may not be brought by a shareholder directly. However, more commonly claims are brought by a shareholder directly under statute against the directors of the company. Regardless of the route, the court has discretion as to whether to give permission for a derivative claim to be continued.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  Derivative claims under statute are limited to actual or proposed acts or omissions involving negligence, default, breach of duty or breach of trust by those controlling the company (directors, or shadow directors, current or former).</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  Subject to certain exceptions, the act complained of can have taken place before or after the shareholder became a member of the company.</w:t>
            </w:r>
          </w:p>
        </w:tc>
        <w:tc>
          <w:tcPr>
            <w:tcW w:w="209"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0"/>
              <w:rPr>
                <w:rFonts w:ascii="Times New Roman" w:hAnsi="Times New Roman"/>
                <w:sz w:val="20"/>
              </w:rPr>
            </w:pPr>
            <w:r>
              <w:rPr>
                <w:rFonts w:ascii="Times New Roman" w:hAnsi="Times New Roman"/>
                <w:sz w:val="20"/>
              </w:rPr>
              <w:t>  In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  Complaint shall set forth with particularity the efforts of the plaintiff to obtain the action by the board or the reasons for not making such effort.</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  Such action shall not be dismissed or compromised without the approval of the Chancery Court.</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  Shareholders of a Delaware corporation that redeemed their shares, or whose shares were canceled in connection with dissolution, would not be able to bring a derivative action against the corporation after the shares have been redeemed or canceled.</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Shareholder Votes on Certain Transactions</w:t>
            </w:r>
          </w:p>
        </w:tc>
      </w:tr>
      <w:tr>
        <w:trPr>
          <w:trHeight w:val="120" w:hRule="atLeast"/>
        </w:trPr>
        <w:tc>
          <w:tcPr>
            <w:tcW w:w="5375" w:type="dxa"/>
            <w:tcBorders/>
            <w:shd w:fill="auto" w:val="clear"/>
            <w:vAlign w:val="center"/>
          </w:tcPr>
          <w:p>
            <w:pPr>
              <w:pStyle w:val="TableContents"/>
              <w:spacing w:before="0" w:after="283"/>
              <w:rPr>
                <w:sz w:val="4"/>
                <w:szCs w:val="4"/>
              </w:rPr>
            </w:pPr>
            <w:r>
              <w:rPr>
                <w:sz w:val="4"/>
                <w:szCs w:val="4"/>
              </w:rPr>
            </w:r>
          </w:p>
        </w:tc>
        <w:tc>
          <w:tcPr>
            <w:tcW w:w="5164" w:type="dxa"/>
            <w:gridSpan w:val="2"/>
            <w:tcBorders/>
            <w:shd w:fill="auto" w:val="clear"/>
            <w:vAlign w:val="center"/>
          </w:tcPr>
          <w:p>
            <w:pPr>
              <w:pStyle w:val="TableContents"/>
              <w:spacing w:before="0" w:after="283"/>
              <w:rPr>
                <w:sz w:val="4"/>
                <w:szCs w:val="4"/>
              </w:rPr>
            </w:pPr>
            <w:r>
              <w:rPr>
                <w:sz w:val="4"/>
                <w:szCs w:val="4"/>
              </w:rPr>
            </w:r>
          </w:p>
        </w:tc>
      </w:tr>
      <w:tr>
        <w:trPr/>
        <w:tc>
          <w:tcPr>
            <w:tcW w:w="5375" w:type="dxa"/>
            <w:tcBorders/>
            <w:shd w:fill="auto" w:val="clear"/>
          </w:tcPr>
          <w:p>
            <w:pPr>
              <w:pStyle w:val="TableContents"/>
              <w:spacing w:before="0" w:after="0"/>
              <w:rPr>
                <w:rFonts w:ascii="Times New Roman" w:hAnsi="Times New Roman"/>
                <w:sz w:val="20"/>
              </w:rPr>
            </w:pPr>
            <w:r>
              <w:rPr>
                <w:rFonts w:ascii="Times New Roman" w:hAnsi="Times New Roman"/>
                <w:sz w:val="20"/>
              </w:rPr>
              <w:t>  The UK Companies Act only permits mergers in specified limited circumstances.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  However, the UK Companies Act provides for schemes of arrangement which are arrangements or compromises between a company and any class of shareholders or creditors. Schemes of arrangement are used in certain types of restructurings, amalgamations, capital reorganizations and takeovers.</w:t>
            </w:r>
          </w:p>
        </w:tc>
        <w:tc>
          <w:tcPr>
            <w:tcW w:w="209"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0"/>
              <w:rPr>
                <w:rFonts w:ascii="Times New Roman" w:hAnsi="Times New Roman"/>
                <w:sz w:val="20"/>
              </w:rPr>
            </w:pPr>
            <w:r>
              <w:rPr>
                <w:rFonts w:ascii="Times New Roman" w:hAnsi="Times New Roman"/>
                <w:sz w:val="20"/>
              </w:rPr>
              <w:t>  Generally, under the DGCL, completion of a merger, consolidation, dissolution, or the sale, lease, or exchange of substantially all of a corporations assets requires approval by the board of directors and by a majority (unless the certificate of incorporation requires a higher percentage) of outstanding stock of the corporation entitled to vote. The DGCL also requires a special vote of shareholders in connection with a business combination with an interested shareholder as defined in section 203 of the DGCL.</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6"/>
        <w:gridCol w:w="209"/>
        <w:gridCol w:w="4954"/>
      </w:tblGrid>
      <w:tr>
        <w:trPr/>
        <w:tc>
          <w:tcPr>
            <w:tcW w:w="53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09"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  These arrangements require: (i) the approval at a shareholders or creditors meeting convened by order of the court, of a majority in number of shareholders or creditors representing 75% in value of the capital held by, or debt owed to, the class of shareholders or creditors, or class thereof present and voting, either in person or by proxy; and (ii) the approval of the court.</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  Certain other types of extraordinary transactions such as certain capital reorganizations also require approval by shareholders (either by a majority or at least 75% of the votes cast in person or by proxy, depending on the type of transaction), while other types of transactions, including asset sales and tender offers, often do not require shareholder approval.</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sz w:val="4"/>
                <w:szCs w:val="4"/>
              </w:rPr>
            </w:pPr>
            <w:r>
              <w:rPr>
                <w:sz w:val="4"/>
                <w:szCs w:val="4"/>
              </w:rPr>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Transactions with Interested Shareholders</w:t>
            </w:r>
          </w:p>
        </w:tc>
      </w:tr>
      <w:tr>
        <w:trPr>
          <w:trHeight w:val="120" w:hRule="atLeast"/>
        </w:trPr>
        <w:tc>
          <w:tcPr>
            <w:tcW w:w="5376" w:type="dxa"/>
            <w:tcBorders/>
            <w:shd w:fill="auto" w:val="clear"/>
            <w:vAlign w:val="center"/>
          </w:tcPr>
          <w:p>
            <w:pPr>
              <w:pStyle w:val="TableContents"/>
              <w:spacing w:before="0" w:after="283"/>
              <w:rPr>
                <w:sz w:val="4"/>
                <w:szCs w:val="4"/>
              </w:rPr>
            </w:pPr>
            <w:r>
              <w:rPr>
                <w:sz w:val="4"/>
                <w:szCs w:val="4"/>
              </w:rPr>
            </w:r>
          </w:p>
        </w:tc>
        <w:tc>
          <w:tcPr>
            <w:tcW w:w="5163" w:type="dxa"/>
            <w:gridSpan w:val="2"/>
            <w:tcBorders/>
            <w:shd w:fill="auto" w:val="clear"/>
            <w:vAlign w:val="center"/>
          </w:tcPr>
          <w:p>
            <w:pPr>
              <w:pStyle w:val="TableContents"/>
              <w:spacing w:before="0" w:after="283"/>
              <w:rPr>
                <w:sz w:val="4"/>
                <w:szCs w:val="4"/>
              </w:rPr>
            </w:pPr>
            <w:r>
              <w:rPr>
                <w:sz w:val="4"/>
                <w:szCs w:val="4"/>
              </w:rPr>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  English law does not regulate transactions between a company and its shareholders, although such transactions must be entered into bona fide in the best interests of the company and for a proper corporate purpose and not with the effect of constituting a fraud on the minority shareholders.</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  The business combination statute applicable to Delaware corporations provides that,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proposed transactions or the transaction which resulted in the person becoming an interested shareholder. This encourages any potential acquirer of a Delaware corporation to negotiate the terms of any acquisition transaction with the targets board of directors.</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Sources and Payment of Dividends</w:t>
            </w:r>
          </w:p>
        </w:tc>
      </w:tr>
      <w:tr>
        <w:trPr/>
        <w:tc>
          <w:tcPr>
            <w:tcW w:w="5376" w:type="dxa"/>
            <w:tcBorders/>
            <w:shd w:fill="auto" w:val="clea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  Generally speaking, and subject to the prior rights of holders of any preferred shares, under English law, a company may pay dividends on its Ordinary Shares only out of its distributable profits (defined as accumulated, realized profits not previously</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  Armada has not paid any cash dividends on its common stock to date and does not intend to pay cash dividends prior to the completion of an initial business combination. The payment of cash dividends in the future will be dependent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6"/>
        <w:gridCol w:w="209"/>
        <w:gridCol w:w="4954"/>
      </w:tblGrid>
      <w:tr>
        <w:trPr/>
        <w:tc>
          <w:tcPr>
            <w:tcW w:w="537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09"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utilized by distribution or capitalization, less accumulated, realized losses so far as not previously written off in a reduction or reorganization) and not out of share capital, which includes share premiums (paid-in surplus).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  Amounts credited to the share premium account (representing the excess of the consideration for the issue of shares over the aggregate nominal amount of such shares) may not be used to pay out cash dividends but may be used, among other things, to pay up unissued shares that may then be distributed to shareholders in proportion to their holdings as fully paid bonus shares.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  In addition, under English law, Rezolve will not be permitted to make a distribution if, at the time, the amount of its net assets is less than the aggregate of its issued and paid-up share capital and undistributable reserves.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  If recommended by the Rezolve board of directors, Rezolve shareholders may, by ordinary resolution, declare final dividends, but no dividend may be declared in excess of the amount recommended by the Rezolve board of directors.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  The Rezolve board of directors has the power under its articles of association to pay interim dividends (being dividends which are not final dividends for a year) without the approval of shareholders to the extent the financial position of Rezolve justifies a dividend in the opinion of the Rezolve board of directors.</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  Under the DGCL, the board of directors, subject to any restrictions in the corporations certificate of incorporation, may declare and pay dividends out of:</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  surplus of the corporation, which is defined as net assets less statutory capital; or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  if no surplus exists, out of the net profits of the corporation for the year in which the dividend is declared and/or the preceding year.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Rights of Purchase and Redemption</w:t>
            </w:r>
          </w:p>
        </w:tc>
      </w:tr>
      <w:tr>
        <w:trPr>
          <w:trHeight w:val="240" w:hRule="atLeast"/>
        </w:trPr>
        <w:tc>
          <w:tcPr>
            <w:tcW w:w="5376" w:type="dxa"/>
            <w:tcBorders/>
            <w:shd w:fill="auto" w:val="clear"/>
            <w:vAlign w:val="center"/>
          </w:tcPr>
          <w:p>
            <w:pPr>
              <w:pStyle w:val="TableContents"/>
              <w:spacing w:before="0" w:after="283"/>
              <w:rPr>
                <w:sz w:val="4"/>
                <w:szCs w:val="4"/>
              </w:rPr>
            </w:pPr>
            <w:r>
              <w:rPr>
                <w:sz w:val="4"/>
                <w:szCs w:val="4"/>
              </w:rPr>
            </w:r>
          </w:p>
        </w:tc>
        <w:tc>
          <w:tcPr>
            <w:tcW w:w="5163" w:type="dxa"/>
            <w:gridSpan w:val="2"/>
            <w:tcBorders/>
            <w:shd w:fill="auto" w:val="clear"/>
            <w:vAlign w:val="center"/>
          </w:tcPr>
          <w:p>
            <w:pPr>
              <w:pStyle w:val="TableContents"/>
              <w:spacing w:before="0" w:after="283"/>
              <w:rPr>
                <w:sz w:val="4"/>
                <w:szCs w:val="4"/>
              </w:rPr>
            </w:pPr>
            <w:r>
              <w:rPr>
                <w:sz w:val="4"/>
                <w:szCs w:val="4"/>
              </w:rPr>
            </w:r>
          </w:p>
        </w:tc>
      </w:tr>
      <w:tr>
        <w:trPr/>
        <w:tc>
          <w:tcPr>
            <w:tcW w:w="5376" w:type="dxa"/>
            <w:tcBorders/>
            <w:shd w:fill="auto" w:val="clear"/>
          </w:tcPr>
          <w:p>
            <w:pPr>
              <w:pStyle w:val="TableContents"/>
              <w:spacing w:before="0" w:after="0"/>
              <w:rPr>
                <w:rFonts w:ascii="Times New Roman" w:hAnsi="Times New Roman"/>
                <w:sz w:val="20"/>
              </w:rPr>
            </w:pPr>
            <w:r>
              <w:rPr>
                <w:rFonts w:ascii="Times New Roman" w:hAnsi="Times New Roman"/>
                <w:sz w:val="20"/>
              </w:rPr>
              <w:t>  Under English law, a company may issue redeemable shares if specifically authorized to do so by its articles of association, subject to any conditions stated therein.</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  Under English law, a company may purchase its own shares in certain specific instances, including if the purchase has first been approved by a special resolution of its shareholders.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  Under English law, a company may redeem or repurchase shares only if the shares are fully paid and, in the case of public companies, only out of</w:t>
            </w:r>
          </w:p>
        </w:tc>
        <w:tc>
          <w:tcPr>
            <w:tcW w:w="209"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  Under the DGCL,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374"/>
        <w:gridCol w:w="211"/>
        <w:gridCol w:w="4954"/>
      </w:tblGrid>
      <w:tr>
        <w:trPr/>
        <w:tc>
          <w:tcPr>
            <w:tcW w:w="53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4954" w:type="dxa"/>
            <w:tcBorders/>
            <w:shd w:fill="auto" w:val="clear"/>
            <w:vAlign w:val="center"/>
          </w:tcPr>
          <w:p>
            <w:pPr>
              <w:pStyle w:val="TableContents"/>
              <w:spacing w:before="0" w:after="283"/>
              <w:rPr>
                <w:sz w:val="4"/>
                <w:szCs w:val="4"/>
              </w:rPr>
            </w:pPr>
            <w:r>
              <w:rPr>
                <w:sz w:val="4"/>
                <w:szCs w:val="4"/>
              </w:rPr>
            </w:r>
          </w:p>
        </w:tc>
      </w:tr>
      <w:tr>
        <w:trPr/>
        <w:tc>
          <w:tcPr>
            <w:tcW w:w="537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England</w:t>
            </w:r>
          </w:p>
        </w:tc>
        <w:tc>
          <w:tcPr>
            <w:tcW w:w="211" w:type="dxa"/>
            <w:tcBorders/>
            <w:shd w:fill="auto" w:val="clear"/>
            <w:vAlign w:val="bottom"/>
          </w:tcPr>
          <w:p>
            <w:pPr>
              <w:pStyle w:val="TableContents"/>
              <w:spacing w:before="0" w:after="283"/>
              <w:rPr/>
            </w:pPr>
            <w:r>
              <w:rPr/>
              <w:t>  </w:t>
            </w:r>
          </w:p>
        </w:tc>
        <w:tc>
          <w:tcPr>
            <w:tcW w:w="49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Delaware</w:t>
            </w:r>
          </w:p>
        </w:tc>
      </w:tr>
      <w:tr>
        <w:trPr/>
        <w:tc>
          <w:tcPr>
            <w:tcW w:w="5374" w:type="dxa"/>
            <w:tcBorders/>
            <w:shd w:fill="auto" w:val="clear"/>
          </w:tcPr>
          <w:p>
            <w:pPr>
              <w:pStyle w:val="TableContents"/>
              <w:spacing w:before="0" w:after="0"/>
              <w:rPr>
                <w:rFonts w:ascii="Times New Roman" w:hAnsi="Times New Roman"/>
                <w:sz w:val="20"/>
              </w:rPr>
            </w:pPr>
            <w:r>
              <w:rPr>
                <w:rFonts w:ascii="Times New Roman" w:hAnsi="Times New Roman"/>
                <w:sz w:val="20"/>
              </w:rPr>
              <w:t>(i) distributable profits, or (ii) the proceeds of a new issue of shares made for the purpose of the repurchase or redemption.</w:t>
            </w:r>
          </w:p>
        </w:tc>
        <w:tc>
          <w:tcPr>
            <w:tcW w:w="211"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283"/>
              <w:rPr>
                <w:sz w:val="4"/>
                <w:szCs w:val="4"/>
              </w:rPr>
            </w:pPr>
            <w:r>
              <w:rPr>
                <w:sz w:val="4"/>
                <w:szCs w:val="4"/>
              </w:rPr>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Dissolution; Winding Up</w:t>
            </w:r>
          </w:p>
        </w:tc>
      </w:tr>
      <w:tr>
        <w:trPr>
          <w:trHeight w:val="240" w:hRule="atLeast"/>
        </w:trPr>
        <w:tc>
          <w:tcPr>
            <w:tcW w:w="5374" w:type="dxa"/>
            <w:tcBorders/>
            <w:shd w:fill="auto" w:val="clear"/>
            <w:vAlign w:val="center"/>
          </w:tcPr>
          <w:p>
            <w:pPr>
              <w:pStyle w:val="TableContents"/>
              <w:spacing w:before="0" w:after="283"/>
              <w:rPr>
                <w:sz w:val="4"/>
                <w:szCs w:val="4"/>
              </w:rPr>
            </w:pPr>
            <w:r>
              <w:rPr>
                <w:sz w:val="4"/>
                <w:szCs w:val="4"/>
              </w:rPr>
            </w:r>
          </w:p>
        </w:tc>
        <w:tc>
          <w:tcPr>
            <w:tcW w:w="5165" w:type="dxa"/>
            <w:gridSpan w:val="2"/>
            <w:tcBorders/>
            <w:shd w:fill="auto" w:val="clear"/>
            <w:vAlign w:val="center"/>
          </w:tcPr>
          <w:p>
            <w:pPr>
              <w:pStyle w:val="TableContents"/>
              <w:spacing w:before="0" w:after="283"/>
              <w:rPr>
                <w:sz w:val="4"/>
                <w:szCs w:val="4"/>
              </w:rPr>
            </w:pPr>
            <w:r>
              <w:rPr>
                <w:sz w:val="4"/>
                <w:szCs w:val="4"/>
              </w:rPr>
            </w:r>
          </w:p>
        </w:tc>
      </w:tr>
      <w:tr>
        <w:trPr/>
        <w:tc>
          <w:tcPr>
            <w:tcW w:w="5374" w:type="dxa"/>
            <w:tcBorders/>
            <w:shd w:fill="auto" w:val="clear"/>
          </w:tcPr>
          <w:p>
            <w:pPr>
              <w:pStyle w:val="TableContents"/>
              <w:spacing w:before="0" w:after="0"/>
              <w:rPr>
                <w:rFonts w:ascii="Times New Roman" w:hAnsi="Times New Roman"/>
                <w:sz w:val="20"/>
              </w:rPr>
            </w:pPr>
            <w:r>
              <w:rPr>
                <w:rFonts w:ascii="Times New Roman" w:hAnsi="Times New Roman"/>
                <w:sz w:val="20"/>
              </w:rPr>
              <w:t>  A company may be compulsorily wound up by either an order of the English courts or voluntarily wound up by a special resolution of its members to be required if either the company swears a statutory declaration of solvency or if the company is unable to pay its debts as they fall due. The court has authority to order winding up in a number of specified circumstances including where it is, in the opinion of the court, just and equitable to do so.</w:t>
            </w:r>
          </w:p>
        </w:tc>
        <w:tc>
          <w:tcPr>
            <w:tcW w:w="211"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tc>
      </w:tr>
      <w:tr>
        <w:trPr>
          <w:trHeight w:val="120" w:hRule="atLeast"/>
        </w:trPr>
        <w:tc>
          <w:tcPr>
            <w:tcW w:w="10539" w:type="dxa"/>
            <w:gridSpan w:val="3"/>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shd w:fill="auto" w:val="clear"/>
            <w:vAlign w:val="bottom"/>
          </w:tcPr>
          <w:p>
            <w:pPr>
              <w:pStyle w:val="TableContents"/>
              <w:pBdr>
                <w:bottom w:val="single" w:sz="8" w:space="1" w:color="000000"/>
              </w:pBdr>
              <w:spacing w:before="0" w:after="0"/>
              <w:jc w:val="center"/>
              <w:rPr>
                <w:rFonts w:ascii="Times New Roman" w:hAnsi="Times New Roman"/>
                <w:b/>
                <w:sz w:val="20"/>
              </w:rPr>
            </w:pPr>
            <w:r>
              <w:rPr>
                <w:rFonts w:ascii="Times New Roman" w:hAnsi="Times New Roman"/>
                <w:b/>
                <w:sz w:val="20"/>
              </w:rPr>
              <w:t>Inspection of Books and Records</w:t>
            </w:r>
          </w:p>
        </w:tc>
      </w:tr>
      <w:tr>
        <w:trPr>
          <w:trHeight w:val="240" w:hRule="atLeast"/>
        </w:trPr>
        <w:tc>
          <w:tcPr>
            <w:tcW w:w="5374" w:type="dxa"/>
            <w:tcBorders/>
            <w:shd w:fill="auto" w:val="clear"/>
            <w:vAlign w:val="center"/>
          </w:tcPr>
          <w:p>
            <w:pPr>
              <w:pStyle w:val="TableContents"/>
              <w:spacing w:before="0" w:after="283"/>
              <w:rPr>
                <w:sz w:val="4"/>
                <w:szCs w:val="4"/>
              </w:rPr>
            </w:pPr>
            <w:r>
              <w:rPr>
                <w:sz w:val="4"/>
                <w:szCs w:val="4"/>
              </w:rPr>
            </w:r>
          </w:p>
        </w:tc>
        <w:tc>
          <w:tcPr>
            <w:tcW w:w="5165" w:type="dxa"/>
            <w:gridSpan w:val="2"/>
            <w:tcBorders/>
            <w:shd w:fill="auto" w:val="clear"/>
            <w:vAlign w:val="center"/>
          </w:tcPr>
          <w:p>
            <w:pPr>
              <w:pStyle w:val="TableContents"/>
              <w:spacing w:before="0" w:after="283"/>
              <w:rPr>
                <w:sz w:val="4"/>
                <w:szCs w:val="4"/>
              </w:rPr>
            </w:pPr>
            <w:r>
              <w:rPr>
                <w:sz w:val="4"/>
                <w:szCs w:val="4"/>
              </w:rPr>
            </w:r>
          </w:p>
        </w:tc>
      </w:tr>
      <w:tr>
        <w:trPr/>
        <w:tc>
          <w:tcPr>
            <w:tcW w:w="5374" w:type="dxa"/>
            <w:tcBorders/>
            <w:shd w:fill="auto" w:val="clear"/>
          </w:tcPr>
          <w:p>
            <w:pPr>
              <w:pStyle w:val="TableContents"/>
              <w:spacing w:before="0" w:after="0"/>
              <w:rPr>
                <w:rFonts w:ascii="Times New Roman" w:hAnsi="Times New Roman"/>
                <w:sz w:val="20"/>
              </w:rPr>
            </w:pPr>
            <w:r>
              <w:rPr>
                <w:rFonts w:ascii="Times New Roman" w:hAnsi="Times New Roman"/>
                <w:sz w:val="20"/>
              </w:rPr>
              <w:t>  Under the UK Companies Act shareholders have rights of inspection, including the right to:</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(i) inspect and obtain copies (for a fee) of the minutes of all general meetings of the company and all resolutions of members passed other than at a general meeting;</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(ii)  inspect copies of the register of members, register of directors, register of secretaries and other statutory registers maintained by the company;</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(iii)  receive copies of the companys annual report and accounts for each financial year; and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(iv) receive notices of general meetings of the company.</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 companys articles of association must be registered at Companies House and are therefore open to public inspection.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  Rezolves shareholders do not have any right to inspect board minutes of the company.</w:t>
            </w:r>
          </w:p>
        </w:tc>
        <w:tc>
          <w:tcPr>
            <w:tcW w:w="211" w:type="dxa"/>
            <w:tcBorders/>
            <w:shd w:fill="auto" w:val="clear"/>
            <w:vAlign w:val="bottom"/>
          </w:tcPr>
          <w:p>
            <w:pPr>
              <w:pStyle w:val="TableContents"/>
              <w:spacing w:before="0" w:after="283"/>
              <w:rPr/>
            </w:pPr>
            <w:r>
              <w:rPr/>
              <w:t>  </w:t>
            </w:r>
          </w:p>
        </w:tc>
        <w:tc>
          <w:tcPr>
            <w:tcW w:w="4954" w:type="dxa"/>
            <w:tcBorders/>
            <w:shd w:fill="auto" w:val="clear"/>
          </w:tcPr>
          <w:p>
            <w:pPr>
              <w:pStyle w:val="TableContents"/>
              <w:spacing w:before="0" w:after="0"/>
              <w:rPr>
                <w:rFonts w:ascii="Times New Roman" w:hAnsi="Times New Roman"/>
                <w:sz w:val="20"/>
              </w:rPr>
            </w:pPr>
            <w:r>
              <w:rPr>
                <w:rFonts w:ascii="Times New Roman" w:hAnsi="Times New Roman"/>
                <w:sz w:val="20"/>
              </w:rPr>
              <w:t>  Any shareholder of a corporation may for any proper purpose inspect or make copies of the corporations stock ledger, list of shareholders and other books and records.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tx309194_30"/>
      <w:bookmarkEnd w:id="3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Armada at September 30, 2022 and for the period from November 5, 2020 (inception) through September 30, 2021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appearing elsewhere in this proxy statement/prospectus, and are included in reliance on such report given upon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audited financial statements of Rezolve included in this prospectus and elsewhere in the registration statement have been included in reliance upon the report of MSPC Certified Public Accountants and Advisors, A Professional Corporation, independent registered public accounting firm, upon the authority of such firm as experts in accounting and auditing. </w:t>
      </w:r>
    </w:p>
    <w:p>
      <w:pPr>
        <w:pStyle w:val="TextBody"/>
        <w:spacing w:before="480" w:after="0"/>
        <w:jc w:val="center"/>
        <w:rPr>
          <w:rFonts w:ascii="Times New Roman" w:hAnsi="Times New Roman"/>
          <w:b/>
          <w:sz w:val="20"/>
        </w:rPr>
      </w:pPr>
      <w:bookmarkStart w:id="33" w:name="tx309194_31"/>
      <w:bookmarkEnd w:id="33"/>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legality of the allotment of the Rezolve Ordinary Shares under English law will be passed upon for Rezolve by Taylor Wessing LLP. </w:t>
      </w:r>
    </w:p>
    <w:p>
      <w:pPr>
        <w:pStyle w:val="TextBody"/>
        <w:spacing w:before="240" w:after="0"/>
        <w:jc w:val="left"/>
        <w:rPr>
          <w:rFonts w:ascii="Times New Roman" w:hAnsi="Times New Roman"/>
          <w:sz w:val="20"/>
        </w:rPr>
      </w:pPr>
      <w:r>
        <w:rPr>
          <w:rFonts w:ascii="Times New Roman" w:hAnsi="Times New Roman"/>
          <w:sz w:val="20"/>
        </w:rPr>
        <w:t xml:space="preserve">The legality of the Rezolve Warrants offered hereby which will be governed by English law will be passed upon for Rezolve by Taylor Wessing LLP.  </w:t>
      </w:r>
    </w:p>
    <w:p>
      <w:pPr>
        <w:pStyle w:val="TextBody"/>
        <w:spacing w:before="240" w:after="0"/>
        <w:jc w:val="left"/>
        <w:rPr>
          <w:rFonts w:ascii="Times New Roman" w:hAnsi="Times New Roman"/>
          <w:sz w:val="20"/>
        </w:rPr>
      </w:pPr>
      <w:r>
        <w:rPr>
          <w:rFonts w:ascii="Times New Roman" w:hAnsi="Times New Roman"/>
          <w:sz w:val="20"/>
        </w:rPr>
        <w:t xml:space="preserve">Wilson Sonsini Goodrich &amp; Rosati, Professional Corporation, London, United Kingdom, U.S. counsel for Rezolve, represented Rezolve in connection with the merger and the preparation of this proxy statement/prospectus. The validity of the warrants registered pursuant to the registration statement of which this proxy statement/prospectus forms a part will be passed upon by Wilson Sonsini Goodrich &amp; Rosati, Professional Corporation. </w:t>
      </w:r>
    </w:p>
    <w:p>
      <w:pPr>
        <w:pStyle w:val="TextBody"/>
        <w:spacing w:before="240" w:after="0"/>
        <w:jc w:val="left"/>
        <w:rPr>
          <w:rFonts w:ascii="Times New Roman" w:hAnsi="Times New Roman"/>
          <w:sz w:val="20"/>
        </w:rPr>
      </w:pPr>
      <w:r>
        <w:rPr>
          <w:rFonts w:ascii="Times New Roman" w:hAnsi="Times New Roman"/>
          <w:sz w:val="20"/>
        </w:rPr>
        <w:t xml:space="preserve">DLA Piper LLP represented Armada in connection with the Business Combination and the preparation of this proxy statement/prospectus. </w:t>
      </w:r>
    </w:p>
    <w:p>
      <w:pPr>
        <w:pStyle w:val="TextBody"/>
        <w:spacing w:before="480" w:after="0"/>
        <w:jc w:val="center"/>
        <w:rPr>
          <w:rFonts w:ascii="Times New Roman" w:hAnsi="Times New Roman"/>
          <w:b/>
          <w:sz w:val="20"/>
        </w:rPr>
      </w:pPr>
      <w:bookmarkStart w:id="34" w:name="tx309194_32"/>
      <w:bookmarkEnd w:id="34"/>
      <w:r>
        <w:rPr>
          <w:rFonts w:ascii="Times New Roman" w:hAnsi="Times New Roman"/>
          <w:b/>
          <w:sz w:val="20"/>
        </w:rPr>
        <w:t xml:space="preserve">ENFORCEMENT OF CIVIL LIABILITIES </w:t>
      </w:r>
    </w:p>
    <w:p>
      <w:pPr>
        <w:pStyle w:val="TextBody"/>
        <w:spacing w:before="240" w:after="0"/>
        <w:jc w:val="left"/>
        <w:rPr>
          <w:rFonts w:ascii="Times New Roman" w:hAnsi="Times New Roman"/>
          <w:sz w:val="20"/>
        </w:rPr>
      </w:pPr>
      <w:r>
        <w:rPr>
          <w:rFonts w:ascii="Times New Roman" w:hAnsi="Times New Roman"/>
          <w:sz w:val="20"/>
        </w:rPr>
        <w:t xml:space="preserve">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 </w:t>
      </w:r>
    </w:p>
    <w:p>
      <w:pPr>
        <w:pStyle w:val="TextBody"/>
        <w:spacing w:before="240" w:after="0"/>
        <w:jc w:val="left"/>
        <w:rPr>
          <w:rFonts w:ascii="Times New Roman" w:hAnsi="Times New Roman"/>
          <w:sz w:val="20"/>
        </w:rPr>
      </w:pPr>
      <w:r>
        <w:rPr>
          <w:rFonts w:ascii="Times New Roman" w:hAnsi="Times New Roman"/>
          <w:sz w:val="20"/>
        </w:rPr>
        <w:t xml:space="preserve">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 </w:t>
      </w:r>
    </w:p>
    <w:p>
      <w:pPr>
        <w:pStyle w:val="TextBody"/>
        <w:spacing w:before="240" w:after="0"/>
        <w:jc w:val="left"/>
        <w:rPr>
          <w:rFonts w:ascii="Times New Roman" w:hAnsi="Times New Roman"/>
          <w:sz w:val="20"/>
        </w:rPr>
      </w:pPr>
      <w:r>
        <w:rPr>
          <w:rFonts w:ascii="Times New Roman" w:hAnsi="Times New Roman"/>
          <w:sz w:val="20"/>
        </w:rPr>
        <w:t xml:space="preserve">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5" w:name="tx309194_33"/>
      <w:bookmarkEnd w:id="35"/>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 </w:t>
      </w:r>
    </w:p>
    <w:p>
      <w:pPr>
        <w:pStyle w:val="TextBody"/>
        <w:spacing w:before="240" w:after="0"/>
        <w:jc w:val="left"/>
        <w:rPr>
          <w:rFonts w:ascii="Times New Roman" w:hAnsi="Times New Roman"/>
          <w:sz w:val="20"/>
        </w:rPr>
      </w:pPr>
      <w:r>
        <w:rPr>
          <w:rFonts w:ascii="Times New Roman" w:hAnsi="Times New Roman"/>
          <w:sz w:val="20"/>
        </w:rPr>
        <w:t xml:space="preserve">Information and statements contained in this proxy statement/prospectus or any annex to this proxy statement/prospectus are qualified in all respects by reference to the copy of the relevant contract or other annex filed as an exhibit to this proxy statement/prospectus. </w:t>
      </w:r>
    </w:p>
    <w:p>
      <w:pPr>
        <w:pStyle w:val="TextBody"/>
        <w:spacing w:before="240" w:after="0"/>
        <w:jc w:val="left"/>
        <w:rPr>
          <w:rFonts w:ascii="Times New Roman" w:hAnsi="Times New Roman"/>
          <w:sz w:val="20"/>
        </w:rPr>
      </w:pPr>
      <w:r>
        <w:rPr>
          <w:rFonts w:ascii="Times New Roman" w:hAnsi="Times New Roman"/>
          <w:sz w:val="20"/>
        </w:rPr>
        <w:t xml:space="preserve">All information contained in this document relating to Armada has been supplied by Armada, and all information relating to Rezolve has been supplied by Rezolve. Information provided by one entity does not constitute any representation, estimate or projection of any other entity. </w:t>
      </w:r>
    </w:p>
    <w:p>
      <w:pPr>
        <w:pStyle w:val="TextBody"/>
        <w:spacing w:before="240" w:after="0"/>
        <w:jc w:val="left"/>
        <w:rPr>
          <w:rFonts w:ascii="Times New Roman" w:hAnsi="Times New Roman"/>
          <w:sz w:val="20"/>
        </w:rPr>
      </w:pPr>
      <w:r>
        <w:rPr>
          <w:rFonts w:ascii="Times New Roman" w:hAnsi="Times New Roman"/>
          <w:sz w:val="20"/>
        </w:rPr>
        <w:t xml:space="preserve">If you would like additional copies of this document or if you have questions about the Business Combination, you should contact via phone or in writing: </w:t>
      </w:r>
    </w:p>
    <w:p>
      <w:pPr>
        <w:pStyle w:val="TextBody"/>
        <w:spacing w:before="240" w:after="0"/>
        <w:jc w:val="center"/>
        <w:rPr>
          <w:rFonts w:ascii="Times New Roman" w:hAnsi="Times New Roman"/>
          <w:sz w:val="20"/>
        </w:rPr>
      </w:pPr>
      <w:r>
        <w:rPr>
          <w:rFonts w:ascii="Times New Roman" w:hAnsi="Times New Roman"/>
          <w:sz w:val="20"/>
        </w:rPr>
        <w:t xml:space="preserve">ARMADA ACQUISITION CORP. I </w:t>
      </w:r>
    </w:p>
    <w:p>
      <w:pPr>
        <w:pStyle w:val="TextBody"/>
        <w:spacing w:before="0" w:after="0"/>
        <w:jc w:val="center"/>
        <w:rPr>
          <w:rFonts w:ascii="Times New Roman" w:hAnsi="Times New Roman"/>
          <w:sz w:val="20"/>
        </w:rPr>
      </w:pPr>
      <w:r>
        <w:rPr>
          <w:rFonts w:ascii="Times New Roman" w:hAnsi="Times New Roman"/>
          <w:sz w:val="20"/>
        </w:rPr>
        <w:t xml:space="preserve">2005 Market Street Suite 3120 </w:t>
      </w:r>
    </w:p>
    <w:p>
      <w:pPr>
        <w:pStyle w:val="TextBody"/>
        <w:spacing w:before="0" w:after="0"/>
        <w:jc w:val="center"/>
        <w:rPr>
          <w:rFonts w:ascii="Times New Roman" w:hAnsi="Times New Roman"/>
          <w:sz w:val="20"/>
        </w:rPr>
      </w:pPr>
      <w:r>
        <w:rPr>
          <w:rFonts w:ascii="Times New Roman" w:hAnsi="Times New Roman"/>
          <w:sz w:val="20"/>
        </w:rPr>
        <w:t xml:space="preserve">Philadelphia, PA 19103 </w:t>
      </w:r>
    </w:p>
    <w:p>
      <w:pPr>
        <w:pStyle w:val="TextBody"/>
        <w:spacing w:before="0" w:after="0"/>
        <w:jc w:val="center"/>
        <w:rPr>
          <w:rFonts w:ascii="Times New Roman" w:hAnsi="Times New Roman"/>
          <w:sz w:val="20"/>
        </w:rPr>
      </w:pPr>
      <w:r>
        <w:rPr>
          <w:rFonts w:ascii="Times New Roman" w:hAnsi="Times New Roman"/>
          <w:sz w:val="20"/>
        </w:rPr>
        <w:t xml:space="preserve">(215) 543-6886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6" w:name="index"/>
      <w:bookmarkStart w:id="37" w:name="tx309194_34"/>
      <w:bookmarkEnd w:id="36"/>
      <w:bookmarkEnd w:id="37"/>
      <w:r>
        <w:rPr>
          <w:rFonts w:ascii="Times New Roman" w:hAnsi="Times New Roman"/>
          <w:b/>
          <w:sz w:val="20"/>
        </w:rPr>
        <w:t xml:space="preserve">INDEX TO FINANCIAL STATEMENTS </w:t>
      </w:r>
    </w:p>
    <w:p>
      <w:pPr>
        <w:pStyle w:val="TextBody"/>
        <w:spacing w:before="120" w:after="0"/>
        <w:jc w:val="center"/>
        <w:rPr>
          <w:rFonts w:ascii="Times New Roman" w:hAnsi="Times New Roman"/>
          <w:b/>
          <w:sz w:val="20"/>
        </w:rPr>
      </w:pPr>
      <w:r>
        <w:rPr>
          <w:rFonts w:ascii="Times New Roman" w:hAnsi="Times New Roman"/>
          <w:b/>
          <w:sz w:val="20"/>
        </w:rPr>
        <w:t xml:space="preserve">REZOLVE AI LIMITED </w:t>
      </w:r>
    </w:p>
    <w:p>
      <w:pPr>
        <w:pStyle w:val="TextBody"/>
        <w:spacing w:before="120" w:after="0"/>
        <w:jc w:val="center"/>
        <w:rPr>
          <w:rFonts w:ascii="Times New Roman" w:hAnsi="Times New Roman"/>
          <w:b/>
          <w:sz w:val="20"/>
        </w:rPr>
      </w:pPr>
      <w:r>
        <w:rPr>
          <w:rFonts w:ascii="Times New Roman" w:hAnsi="Times New Roman"/>
          <w:b/>
          <w:sz w:val="20"/>
        </w:rPr>
        <w:t xml:space="preserve">Carve-out Consolidated Financial Statements </w:t>
      </w:r>
    </w:p>
    <w:p>
      <w:pPr>
        <w:pStyle w:val="TextBody"/>
        <w:spacing w:before="0" w:after="0"/>
        <w:jc w:val="center"/>
        <w:rPr>
          <w:rFonts w:ascii="Times New Roman" w:hAnsi="Times New Roman"/>
          <w:sz w:val="20"/>
        </w:rPr>
      </w:pPr>
      <w:r>
        <w:rPr>
          <w:rFonts w:ascii="Times New Roman" w:hAnsi="Times New Roman"/>
          <w:sz w:val="20"/>
        </w:rPr>
        <w:t xml:space="preserve">As of and for the years ended December 31, 2022 and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899"/>
        <w:gridCol w:w="154"/>
        <w:gridCol w:w="60"/>
        <w:gridCol w:w="363"/>
        <w:gridCol w:w="63"/>
      </w:tblGrid>
      <w:tr>
        <w:trPr/>
        <w:tc>
          <w:tcPr>
            <w:tcW w:w="98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899" w:type="dxa"/>
            <w:tcBorders/>
            <w:shd w:fill="auto" w:val="clear"/>
          </w:tcPr>
          <w:p>
            <w:pPr>
              <w:pStyle w:val="TableContents"/>
              <w:spacing w:before="0" w:after="0"/>
              <w:rPr/>
            </w:pPr>
            <w:hyperlink w:anchor="fin309194_1">
              <w:r>
                <w:rPr>
                  <w:rStyle w:val="InternetLink"/>
                  <w:rFonts w:ascii="Times New Roman" w:hAnsi="Times New Roman"/>
                  <w:sz w:val="20"/>
                </w:rPr>
                <w:t>Independent Auditors Report</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F-2</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1a">
              <w:r>
                <w:rPr>
                  <w:rStyle w:val="InternetLink"/>
                  <w:rFonts w:ascii="Times New Roman" w:hAnsi="Times New Roman"/>
                  <w:sz w:val="20"/>
                </w:rPr>
                <w:t xml:space="preserve">Carve-out Consolidated Financial Statements </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F-4</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2">
              <w:r>
                <w:rPr>
                  <w:rStyle w:val="InternetLink"/>
                  <w:rFonts w:ascii="Times New Roman" w:hAnsi="Times New Roman"/>
                  <w:sz w:val="20"/>
                </w:rPr>
                <w:t>Carve-out Consolidated Balance Sheets</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F-4</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3">
              <w:r>
                <w:rPr>
                  <w:rStyle w:val="InternetLink"/>
                  <w:rFonts w:ascii="Times New Roman" w:hAnsi="Times New Roman"/>
                  <w:sz w:val="20"/>
                </w:rPr>
                <w:t xml:space="preserve">Carve-out Consolidated Statements of Operations </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F-5</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4">
              <w:r>
                <w:rPr>
                  <w:rStyle w:val="InternetLink"/>
                  <w:rFonts w:ascii="Times New Roman" w:hAnsi="Times New Roman"/>
                  <w:sz w:val="20"/>
                </w:rPr>
                <w:t>Carve-out Consolidated Statements of Comprehensive Loss</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F-6</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5">
              <w:r>
                <w:rPr>
                  <w:rStyle w:val="InternetLink"/>
                  <w:rFonts w:ascii="Times New Roman" w:hAnsi="Times New Roman"/>
                  <w:sz w:val="20"/>
                </w:rPr>
                <w:t>Carve-out Consolidated Statements of Changes in Stockholders Deficit</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F-7</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6">
              <w:r>
                <w:rPr>
                  <w:rStyle w:val="InternetLink"/>
                  <w:rFonts w:ascii="Times New Roman" w:hAnsi="Times New Roman"/>
                  <w:sz w:val="20"/>
                </w:rPr>
                <w:t>Carve-out Consolidated Statements of Cash Flows</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F-8</w:t>
            </w:r>
          </w:p>
        </w:tc>
        <w:tc>
          <w:tcPr>
            <w:tcW w:w="63" w:type="dxa"/>
            <w:tcBorders/>
            <w:shd w:fill="auto" w:val="clear"/>
            <w:vAlign w:val="bottom"/>
          </w:tcPr>
          <w:p>
            <w:pPr>
              <w:pStyle w:val="TableContents"/>
              <w:spacing w:before="0" w:after="283"/>
              <w:rPr/>
            </w:pPr>
            <w:r>
              <w:rPr/>
              <w:t> </w:t>
            </w:r>
          </w:p>
        </w:tc>
      </w:tr>
      <w:tr>
        <w:trPr/>
        <w:tc>
          <w:tcPr>
            <w:tcW w:w="9899" w:type="dxa"/>
            <w:tcBorders/>
            <w:shd w:fill="auto" w:val="clear"/>
          </w:tcPr>
          <w:p>
            <w:pPr>
              <w:pStyle w:val="TableContents"/>
              <w:spacing w:before="0" w:after="0"/>
              <w:rPr/>
            </w:pPr>
            <w:hyperlink w:anchor="fin309194_7">
              <w:r>
                <w:rPr>
                  <w:rStyle w:val="InternetLink"/>
                  <w:rFonts w:ascii="Times New Roman" w:hAnsi="Times New Roman"/>
                  <w:sz w:val="20"/>
                </w:rPr>
                <w:t>Notes to the Carve-out Consolidated Financial Statements</w:t>
              </w:r>
            </w:hyperlink>
          </w:p>
        </w:tc>
        <w:tc>
          <w:tcPr>
            <w:tcW w:w="1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jc w:val="right"/>
              <w:rPr/>
            </w:pPr>
            <w:r>
              <w:rPr/>
              <w:t>F-9</w:t>
            </w:r>
          </w:p>
        </w:tc>
        <w:tc>
          <w:tcPr>
            <w:tcW w:w="63"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240" w:after="0"/>
        <w:jc w:val="center"/>
        <w:rPr>
          <w:rFonts w:ascii="Times New Roman" w:hAnsi="Times New Roman"/>
          <w:b/>
          <w:sz w:val="20"/>
        </w:rPr>
      </w:pPr>
      <w:r>
        <w:rPr>
          <w:rFonts w:ascii="Times New Roman" w:hAnsi="Times New Roman"/>
          <w:b/>
          <w:sz w:val="20"/>
        </w:rPr>
        <w:t xml:space="preserve">Financial Statements </w:t>
      </w:r>
    </w:p>
    <w:p>
      <w:pPr>
        <w:pStyle w:val="TextBody"/>
        <w:spacing w:before="0" w:after="0"/>
        <w:jc w:val="center"/>
        <w:rPr>
          <w:rFonts w:ascii="Times New Roman" w:hAnsi="Times New Roman"/>
          <w:sz w:val="20"/>
        </w:rPr>
      </w:pPr>
      <w:r>
        <w:rPr>
          <w:rFonts w:ascii="Times New Roman" w:hAnsi="Times New Roman"/>
          <w:sz w:val="20"/>
        </w:rPr>
        <w:t xml:space="preserve">For the year ended September 30, 2022 and for the period from November 5, 2020 (inception) through September 30,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88"/>
        <w:gridCol w:w="146"/>
        <w:gridCol w:w="60"/>
        <w:gridCol w:w="483"/>
        <w:gridCol w:w="62"/>
      </w:tblGrid>
      <w:tr>
        <w:trPr/>
        <w:tc>
          <w:tcPr>
            <w:tcW w:w="97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788" w:type="dxa"/>
            <w:tcBorders/>
            <w:shd w:fill="auto" w:val="clear"/>
          </w:tcPr>
          <w:p>
            <w:pPr>
              <w:pStyle w:val="TableContents"/>
              <w:spacing w:before="0" w:after="0"/>
              <w:rPr/>
            </w:pPr>
            <w:hyperlink w:anchor="fin309194_8">
              <w:r>
                <w:rPr>
                  <w:rStyle w:val="InternetLink"/>
                  <w:rFonts w:ascii="Times New Roman" w:hAnsi="Times New Roman"/>
                  <w:sz w:val="20"/>
                </w:rPr>
                <w:t>Report of Independent Registered Public Accounting Firm</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F-39</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9">
              <w:r>
                <w:rPr>
                  <w:rStyle w:val="InternetLink"/>
                  <w:rFonts w:ascii="Times New Roman" w:hAnsi="Times New Roman"/>
                  <w:sz w:val="20"/>
                </w:rPr>
                <w:t>Balance Sheets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F-40</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0">
              <w:r>
                <w:rPr>
                  <w:rStyle w:val="InternetLink"/>
                  <w:rFonts w:ascii="Times New Roman" w:hAnsi="Times New Roman"/>
                  <w:sz w:val="20"/>
                </w:rPr>
                <w:t>Statements of Operations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F-41</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1">
              <w:r>
                <w:rPr>
                  <w:rStyle w:val="InternetLink"/>
                  <w:rFonts w:ascii="Times New Roman" w:hAnsi="Times New Roman"/>
                  <w:sz w:val="20"/>
                </w:rPr>
                <w:t>Statements of Changes in Stockholders (Deficit) Equity</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F-42</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2">
              <w:r>
                <w:rPr>
                  <w:rStyle w:val="InternetLink"/>
                  <w:rFonts w:ascii="Times New Roman" w:hAnsi="Times New Roman"/>
                  <w:sz w:val="20"/>
                </w:rPr>
                <w:t>Statements of Cash Flows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F-43</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3">
              <w:r>
                <w:rPr>
                  <w:rStyle w:val="InternetLink"/>
                  <w:rFonts w:ascii="Times New Roman" w:hAnsi="Times New Roman"/>
                  <w:sz w:val="20"/>
                </w:rPr>
                <w:t>Notes to Financial Statements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F-44</w:t>
            </w:r>
          </w:p>
        </w:tc>
        <w:tc>
          <w:tcPr>
            <w:tcW w:w="6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Unaudited Condensed Financial Statements </w:t>
      </w:r>
    </w:p>
    <w:p>
      <w:pPr>
        <w:pStyle w:val="TextBody"/>
        <w:spacing w:before="0" w:after="0"/>
        <w:jc w:val="center"/>
        <w:rPr>
          <w:rFonts w:ascii="Times New Roman" w:hAnsi="Times New Roman"/>
          <w:sz w:val="20"/>
        </w:rPr>
      </w:pPr>
      <w:r>
        <w:rPr>
          <w:rFonts w:ascii="Times New Roman" w:hAnsi="Times New Roman"/>
          <w:sz w:val="20"/>
        </w:rPr>
        <w:t xml:space="preserve">For the Three Month Period ended December 31, 2022 and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88"/>
        <w:gridCol w:w="146"/>
        <w:gridCol w:w="60"/>
        <w:gridCol w:w="483"/>
        <w:gridCol w:w="62"/>
      </w:tblGrid>
      <w:tr>
        <w:trPr/>
        <w:tc>
          <w:tcPr>
            <w:tcW w:w="97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788" w:type="dxa"/>
            <w:tcBorders/>
            <w:shd w:fill="auto" w:val="clear"/>
          </w:tcPr>
          <w:p>
            <w:pPr>
              <w:pStyle w:val="TableContents"/>
              <w:spacing w:before="0" w:after="0"/>
              <w:rPr/>
            </w:pPr>
            <w:hyperlink w:anchor="fin309194_51">
              <w:r>
                <w:rPr>
                  <w:rStyle w:val="InternetLink"/>
                  <w:rFonts w:ascii="Times New Roman" w:hAnsi="Times New Roman"/>
                  <w:sz w:val="20"/>
                </w:rPr>
                <w:t>Condensed Balance Sheets as of December 31, 2022 (Unaudited) and September 30, 2022 (Audited)</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F-60</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52">
              <w:r>
                <w:rPr>
                  <w:rStyle w:val="InternetLink"/>
                  <w:rFonts w:ascii="Times New Roman" w:hAnsi="Times New Roman"/>
                  <w:sz w:val="20"/>
                </w:rPr>
                <w:t>Unaudited Condensed Statements of Operations for the three months ended December 31, 2022 and 2021</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F-61</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53">
              <w:r>
                <w:rPr>
                  <w:rStyle w:val="InternetLink"/>
                  <w:rFonts w:ascii="Times New Roman" w:hAnsi="Times New Roman"/>
                  <w:sz w:val="20"/>
                </w:rPr>
                <w:t>Unaudited Condensed Statements of Changes in Stockholders Deficit for the three months ended December 31, 2022 and 2021</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F-62</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54">
              <w:r>
                <w:rPr>
                  <w:rStyle w:val="InternetLink"/>
                  <w:rFonts w:ascii="Times New Roman" w:hAnsi="Times New Roman"/>
                  <w:sz w:val="20"/>
                </w:rPr>
                <w:t>Unaudited Condensed Statements of Cash Flows for the three months ended December 31, 2022 and 2021</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F-63</w:t>
            </w:r>
          </w:p>
        </w:tc>
        <w:tc>
          <w:tcPr>
            <w:tcW w:w="6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Unaudited Condensed Financial Statements </w:t>
      </w:r>
    </w:p>
    <w:p>
      <w:pPr>
        <w:pStyle w:val="TextBody"/>
        <w:spacing w:before="0" w:after="0"/>
        <w:jc w:val="center"/>
        <w:rPr>
          <w:rFonts w:ascii="Times New Roman" w:hAnsi="Times New Roman"/>
          <w:sz w:val="20"/>
        </w:rPr>
      </w:pPr>
      <w:r>
        <w:rPr>
          <w:rFonts w:ascii="Times New Roman" w:hAnsi="Times New Roman"/>
          <w:sz w:val="20"/>
        </w:rPr>
        <w:t xml:space="preserve">For the Three and Six Month Periods Ended March 31,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88"/>
        <w:gridCol w:w="146"/>
        <w:gridCol w:w="60"/>
        <w:gridCol w:w="483"/>
        <w:gridCol w:w="62"/>
      </w:tblGrid>
      <w:tr>
        <w:trPr/>
        <w:tc>
          <w:tcPr>
            <w:tcW w:w="97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788" w:type="dxa"/>
            <w:tcBorders/>
            <w:shd w:fill="auto" w:val="clear"/>
          </w:tcPr>
          <w:p>
            <w:pPr>
              <w:pStyle w:val="TableContents"/>
              <w:spacing w:before="0" w:after="0"/>
              <w:rPr/>
            </w:pPr>
            <w:hyperlink w:anchor="fin309194_14">
              <w:r>
                <w:rPr>
                  <w:rStyle w:val="InternetLink"/>
                  <w:rFonts w:ascii="Times New Roman" w:hAnsi="Times New Roman"/>
                  <w:sz w:val="20"/>
                </w:rPr>
                <w:t>Unaudited Condensed Balance Sheets as of March  31, 2023 and September 30, 2022</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F-77</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5">
              <w:r>
                <w:rPr>
                  <w:rStyle w:val="InternetLink"/>
                  <w:rFonts w:ascii="Times New Roman" w:hAnsi="Times New Roman"/>
                  <w:sz w:val="20"/>
                </w:rPr>
                <w:t>Unaudited Condensed Statements of Operations for the three and six months-ended March 31, 2023 and 2022</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F-78</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6">
              <w:r>
                <w:rPr>
                  <w:rStyle w:val="InternetLink"/>
                  <w:rFonts w:ascii="Times New Roman" w:hAnsi="Times New Roman"/>
                  <w:sz w:val="20"/>
                </w:rPr>
                <w:t>Unaudited Condensed Statements of Changes in Stockholders (Deficit) Equity for the three and six months-ended March 31, 2023 and 2022</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F-79</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7">
              <w:r>
                <w:rPr>
                  <w:rStyle w:val="InternetLink"/>
                  <w:rFonts w:ascii="Times New Roman" w:hAnsi="Times New Roman"/>
                  <w:sz w:val="20"/>
                </w:rPr>
                <w:t>Unaudited Condensed Statements of Cash Flows for the six months ended March 31, 2023 and 2022</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F-80</w:t>
            </w:r>
          </w:p>
        </w:tc>
        <w:tc>
          <w:tcPr>
            <w:tcW w:w="62" w:type="dxa"/>
            <w:tcBorders/>
            <w:shd w:fill="auto" w:val="clear"/>
            <w:vAlign w:val="bottom"/>
          </w:tcPr>
          <w:p>
            <w:pPr>
              <w:pStyle w:val="TableContents"/>
              <w:spacing w:before="0" w:after="283"/>
              <w:rPr/>
            </w:pPr>
            <w:r>
              <w:rPr/>
              <w:t> </w:t>
            </w:r>
          </w:p>
        </w:tc>
      </w:tr>
      <w:tr>
        <w:trPr/>
        <w:tc>
          <w:tcPr>
            <w:tcW w:w="9788" w:type="dxa"/>
            <w:tcBorders/>
            <w:shd w:fill="auto" w:val="clear"/>
          </w:tcPr>
          <w:p>
            <w:pPr>
              <w:pStyle w:val="TableContents"/>
              <w:spacing w:before="0" w:after="0"/>
              <w:rPr/>
            </w:pPr>
            <w:hyperlink w:anchor="fin309194_18">
              <w:r>
                <w:rPr>
                  <w:rStyle w:val="InternetLink"/>
                  <w:rFonts w:ascii="Times New Roman" w:hAnsi="Times New Roman"/>
                  <w:sz w:val="20"/>
                </w:rPr>
                <w:t>Notes to Unaudited Condensed Financial Statements</w:t>
              </w:r>
            </w:hyperlink>
          </w:p>
        </w:tc>
        <w:tc>
          <w:tcPr>
            <w:tcW w:w="1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3" w:type="dxa"/>
            <w:tcBorders/>
            <w:shd w:fill="auto" w:val="clear"/>
            <w:vAlign w:val="bottom"/>
          </w:tcPr>
          <w:p>
            <w:pPr>
              <w:pStyle w:val="TableContents"/>
              <w:spacing w:before="0" w:after="283"/>
              <w:jc w:val="right"/>
              <w:rPr/>
            </w:pPr>
            <w:r>
              <w:rPr/>
              <w:t>F-81</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577850" cy="679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 cy="67945"/>
                    </a:xfrm>
                    <a:prstGeom prst="rect">
                      <a:avLst/>
                    </a:prstGeom>
                  </pic:spPr>
                </pic:pic>
              </a:graphicData>
            </a:graphic>
          </wp:inline>
        </w:drawing>
      </w:r>
      <w:r>
        <w:rPr/>
        <w:t xml:space="preserve"> </w:t>
      </w:r>
    </w:p>
    <w:p>
      <w:pPr>
        <w:pStyle w:val="TextBody"/>
        <w:spacing w:before="240" w:after="0"/>
        <w:jc w:val="left"/>
        <w:rPr>
          <w:rFonts w:ascii="Times New Roman" w:hAnsi="Times New Roman"/>
          <w:b/>
          <w:sz w:val="20"/>
        </w:rPr>
      </w:pPr>
      <w:bookmarkStart w:id="38" w:name="fin309194_1"/>
      <w:bookmarkEnd w:id="38"/>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Board of Directors and Shareholders of </w:t>
      </w:r>
    </w:p>
    <w:p>
      <w:pPr>
        <w:pStyle w:val="TextBody"/>
        <w:spacing w:before="0" w:after="0"/>
        <w:jc w:val="left"/>
        <w:rPr>
          <w:rFonts w:ascii="Times New Roman" w:hAnsi="Times New Roman"/>
          <w:sz w:val="20"/>
        </w:rPr>
      </w:pPr>
      <w:r>
        <w:rPr>
          <w:rFonts w:ascii="Times New Roman" w:hAnsi="Times New Roman"/>
          <w:sz w:val="20"/>
        </w:rPr>
        <w:t xml:space="preserve">Rezolve AI Limited and Subsidiaries </w:t>
      </w:r>
    </w:p>
    <w:p>
      <w:pPr>
        <w:pStyle w:val="TextBody"/>
        <w:spacing w:before="360" w:after="0"/>
        <w:jc w:val="left"/>
        <w:rPr>
          <w:rFonts w:ascii="Times New Roman" w:hAnsi="Times New Roman"/>
          <w:b/>
          <w:i/>
          <w:sz w:val="20"/>
        </w:rPr>
      </w:pPr>
      <w:r>
        <w:rPr>
          <w:rFonts w:ascii="Times New Roman" w:hAnsi="Times New Roman"/>
          <w:b/>
          <w:i/>
          <w:sz w:val="20"/>
        </w:rPr>
        <w:t xml:space="preserve">Opinion on the Carve-Out Consolidated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carve-out consolidated balance sheets of Rezolve AI Limited and Subsidiaries (the Company) as of December 31, 2022 and 2021, and the related carve-out consolidated statements of operations, comprehensive loss, changes in shareholders deficit, and cash flows for each of the years in the two-year period ended December 31, 2022, and the related notes (collectively referred to as the carve-out consolidated financial statements). In our opinion, the carve-out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accounting principles generally accepted in the United States of America. </w:t>
      </w:r>
    </w:p>
    <w:p>
      <w:pPr>
        <w:pStyle w:val="TextBody"/>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spacing w:before="120" w:after="0"/>
        <w:jc w:val="left"/>
        <w:rPr>
          <w:rFonts w:ascii="Times New Roman" w:hAnsi="Times New Roman"/>
          <w:sz w:val="20"/>
        </w:rPr>
      </w:pPr>
      <w:r>
        <w:rPr>
          <w:rFonts w:ascii="Times New Roman" w:hAnsi="Times New Roman"/>
          <w:sz w:val="20"/>
        </w:rPr>
        <w:t xml:space="preserve">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carve-out consolidated financial statements are free of material misstatement, whether due to error or fraud. The Company is not required to have, nor were we engaged to perform, audits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 and significant estimates made by management, as well as evaluating the overall presentation of the carve-out consolidated financial statements. We believe that our audits provide a reasonable basis for our opinion. </w:t>
      </w:r>
    </w:p>
    <w:p>
      <w:pPr>
        <w:pStyle w:val="TextBody"/>
        <w:spacing w:before="0" w:after="0"/>
        <w:jc w:val="left"/>
        <w:rPr/>
      </w:pPr>
      <w:r>
        <w:rPr/>
        <w:t> </w:t>
      </w:r>
    </w:p>
    <w:p>
      <w:pPr>
        <w:pStyle w:val="TextBody"/>
        <w:spacing w:before="0" w:after="0"/>
        <w:jc w:val="center"/>
        <w:rPr/>
      </w:pPr>
      <w:r>
        <w:rPr/>
        <w:drawing>
          <wp:inline distT="0" distB="0" distL="0" distR="0">
            <wp:extent cx="577850" cy="742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 cy="7429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Critical Audit Matter </w:t>
      </w:r>
    </w:p>
    <w:p>
      <w:pPr>
        <w:pStyle w:val="TextBody"/>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carve-out consolidated financial statements that was communicated or required to be communicated to the board of directors and that: (1) relate to accounts or disclosures that are material to the carve-out consolidated financial statements and (2) involved our especially challenging, subjective, or complex judgments. The communication of critical audit matter does not alter in any way our opinion on the carve-out consolidated financial statements, taken as a whole, and we are not, by communicating the critical audit matter below, providing a separate opinion on the critical audit matter or on the accounts or disclosures to which it relates. </w:t>
      </w:r>
    </w:p>
    <w:p>
      <w:pPr>
        <w:pStyle w:val="TextBody"/>
        <w:spacing w:before="360" w:after="0"/>
        <w:jc w:val="left"/>
        <w:rPr>
          <w:rFonts w:ascii="Times New Roman" w:hAnsi="Times New Roman"/>
          <w:i/>
          <w:sz w:val="20"/>
        </w:rPr>
      </w:pPr>
      <w:r>
        <w:rPr>
          <w:rFonts w:ascii="Times New Roman" w:hAnsi="Times New Roman"/>
          <w:i/>
          <w:sz w:val="20"/>
        </w:rPr>
        <w:t xml:space="preserve">Evaluation of potential impairment indicators for long-lived assets </w:t>
      </w:r>
    </w:p>
    <w:p>
      <w:pPr>
        <w:pStyle w:val="TextBody"/>
        <w:spacing w:before="120" w:after="0"/>
        <w:jc w:val="left"/>
        <w:rPr>
          <w:rFonts w:ascii="Times New Roman" w:hAnsi="Times New Roman"/>
          <w:sz w:val="20"/>
        </w:rPr>
      </w:pPr>
      <w:r>
        <w:rPr>
          <w:rFonts w:ascii="Times New Roman" w:hAnsi="Times New Roman"/>
          <w:sz w:val="20"/>
        </w:rPr>
        <w:t xml:space="preserve">As discussed in Note 2.12 to the carve-out consolidated financial statements, the Company reviews long-lived assets, primarily comprised of property and equipment, intangibles and goodwill, for impairment whenever events or changes in circumstances indicate that the carrying amount of the assets may no longer be recoverable (triggering events) or at least annually in the case of goodwill. Recoverability of these assets is measured by a comparison of the carrying amount of the asset to future net cash flows expected to be generated by the relevant unit of account which is different for each type of asset. If such assets are considered to be impaired, the impairment to be recognized is measured by the amount by which the carrying amount of the assets exceeds the fair value of the assets which is estimated to be the present value of the cash flow projections for the unit of account. </w:t>
      </w:r>
    </w:p>
    <w:p>
      <w:pPr>
        <w:pStyle w:val="TextBody"/>
        <w:spacing w:before="240" w:after="0"/>
        <w:jc w:val="left"/>
        <w:rPr>
          <w:rFonts w:ascii="Times New Roman" w:hAnsi="Times New Roman"/>
          <w:sz w:val="20"/>
        </w:rPr>
      </w:pPr>
      <w:r>
        <w:rPr>
          <w:rFonts w:ascii="Times New Roman" w:hAnsi="Times New Roman"/>
          <w:sz w:val="20"/>
        </w:rPr>
        <w:t xml:space="preserve">We identified the evaluation of potential impairment indicators for long-lived assets to be a critical audit matter. Evaluating the Companys judgments in determining whether a triggering event exists required a high degree of subjective auditor judgment and an increased extent of effort. </w:t>
      </w:r>
    </w:p>
    <w:p>
      <w:pPr>
        <w:pStyle w:val="TextBody"/>
        <w:spacing w:before="240" w:after="0"/>
        <w:jc w:val="left"/>
        <w:rPr>
          <w:rFonts w:ascii="Times New Roman" w:hAnsi="Times New Roman"/>
          <w:sz w:val="20"/>
        </w:rPr>
      </w:pPr>
      <w:r>
        <w:rPr>
          <w:rFonts w:ascii="Times New Roman" w:hAnsi="Times New Roman"/>
          <w:sz w:val="20"/>
        </w:rPr>
        <w:t xml:space="preserve">The primary procedures we performed to address this critical audit matter included the following. </w:t>
      </w:r>
    </w:p>
    <w:p>
      <w:pPr>
        <w:pStyle w:val="TextBody"/>
        <w:spacing w:before="0" w:after="0"/>
        <w:jc w:val="left"/>
        <w:rPr>
          <w:rFonts w:ascii="Times New Roman" w:hAnsi="Times New Roman"/>
          <w:sz w:val="20"/>
        </w:rPr>
      </w:pPr>
      <w:r>
        <w:rPr>
          <w:rFonts w:ascii="Times New Roman" w:hAnsi="Times New Roman"/>
          <w:sz w:val="20"/>
        </w:rPr>
        <w:t xml:space="preserve">We discussed the results of the Companys process to identify and assess triggering events that may indicate that the carrying amount of a long-lived asset may no longer be recoverable. We conducted our own independent assessment as to whether such conditions existed for other assets not identified by management. We then evaluated the Companys key assumptions used in estimating future cash flows from those long-lived assets which experienced triggering events and goodwill, which must be evaluated at least annually. We compared data used by the Company to develop its assumptions to external data sources, noting that such factors included both internal and external factors to analyst reports. We evaluated responses as to factors considered and evaluated whether the Company omitted any significant internal or external factors in their evaluation. We recalculated the amounts used to assess for impairment and where relevant, record impairment. We evaluated the Companys data and assumptions to ensure consistency with audit evidence obtained.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283"/>
              <w:rPr/>
            </w:pPr>
            <w:r>
              <w:rPr/>
              <w:drawing>
                <wp:inline distT="0" distB="0" distL="0" distR="0">
                  <wp:extent cx="99060" cy="647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9060" cy="64770"/>
                          </a:xfrm>
                          <a:prstGeom prst="rect">
                            <a:avLst/>
                          </a:prstGeom>
                        </pic:spPr>
                      </pic:pic>
                    </a:graphicData>
                  </a:graphic>
                </wp:inline>
              </w:drawing>
            </w:r>
            <w:r>
              <w:rPr/>
              <w:t xml:space="preserve"> </w:t>
            </w:r>
          </w:p>
        </w:tc>
      </w:tr>
      <w:tr>
        <w:trPr>
          <w:trHeight w:val="24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MSPC</w:t>
            </w:r>
          </w:p>
          <w:p>
            <w:pPr>
              <w:pStyle w:val="TableContents"/>
              <w:spacing w:before="0" w:after="0"/>
              <w:rPr>
                <w:rFonts w:ascii="Times New Roman" w:hAnsi="Times New Roman"/>
                <w:sz w:val="20"/>
              </w:rPr>
            </w:pPr>
            <w:r>
              <w:rPr>
                <w:rFonts w:ascii="Times New Roman" w:hAnsi="Times New Roman"/>
                <w:sz w:val="20"/>
              </w:rPr>
              <w:t>Certified Public Accountants and Advisors,</w:t>
            </w:r>
          </w:p>
          <w:p>
            <w:pPr>
              <w:pStyle w:val="TableContents"/>
              <w:spacing w:before="0" w:after="20"/>
              <w:rPr>
                <w:rFonts w:ascii="Times New Roman" w:hAnsi="Times New Roman"/>
                <w:sz w:val="20"/>
              </w:rPr>
            </w:pPr>
            <w:r>
              <w:rPr>
                <w:rFonts w:ascii="Times New Roman" w:hAnsi="Times New Roman"/>
                <w:sz w:val="20"/>
              </w:rPr>
              <w:t>A Professional Corporation</w:t>
            </w:r>
          </w:p>
        </w:tc>
      </w:tr>
    </w:tbl>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June 13,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39" w:name="fin309194_1a"/>
      <w:bookmarkEnd w:id="39"/>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bookmarkStart w:id="40" w:name="fin309194_2"/>
      <w:bookmarkEnd w:id="40"/>
      <w:r>
        <w:rPr>
          <w:rFonts w:ascii="Times New Roman" w:hAnsi="Times New Roman"/>
          <w:b/>
          <w:sz w:val="20"/>
        </w:rPr>
        <w:t xml:space="preserve">Carve-out Consolidated 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04"/>
        <w:gridCol w:w="520"/>
        <w:gridCol w:w="190"/>
        <w:gridCol w:w="1773"/>
        <w:gridCol w:w="155"/>
        <w:gridCol w:w="472"/>
        <w:gridCol w:w="208"/>
        <w:gridCol w:w="1759"/>
        <w:gridCol w:w="158"/>
      </w:tblGrid>
      <w:tr>
        <w:trPr/>
        <w:tc>
          <w:tcPr>
            <w:tcW w:w="530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304"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9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9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17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75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assets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177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75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1773" w:type="dxa"/>
            <w:tcBorders/>
            <w:shd w:fill="CCEEFF" w:val="clear"/>
            <w:vAlign w:val="bottom"/>
          </w:tcPr>
          <w:p>
            <w:pPr>
              <w:pStyle w:val="TableContents"/>
              <w:spacing w:before="0" w:after="283"/>
              <w:jc w:val="right"/>
              <w:rPr/>
            </w:pPr>
            <w:r>
              <w:rPr/>
              <w:t>41,709</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759" w:type="dxa"/>
            <w:tcBorders/>
            <w:shd w:fill="CCEEFF" w:val="clear"/>
            <w:vAlign w:val="bottom"/>
          </w:tcPr>
          <w:p>
            <w:pPr>
              <w:pStyle w:val="TableContents"/>
              <w:spacing w:before="0" w:after="283"/>
              <w:jc w:val="right"/>
              <w:rPr/>
            </w:pPr>
            <w:r>
              <w:rPr/>
              <w:t>2,690,024</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682,474</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1,250,066</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Receivables from related party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168,754</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Prepayments and other current assets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1,202,572</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1,719,045</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current assets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b/>
              </w:rPr>
            </w:pPr>
            <w:r>
              <w:rPr>
                <w:b/>
              </w:rPr>
              <w:t>1,926,755</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5,827,889</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304" w:type="dxa"/>
            <w:tcBorders/>
            <w:shd w:fill="auto" w:val="clear"/>
            <w:vAlign w:val="center"/>
          </w:tcPr>
          <w:p>
            <w:pPr>
              <w:pStyle w:val="TableContents"/>
              <w:spacing w:before="0" w:after="283"/>
              <w:rPr>
                <w:sz w:val="4"/>
                <w:szCs w:val="4"/>
              </w:rPr>
            </w:pPr>
            <w:r>
              <w:rPr>
                <w:sz w:val="4"/>
                <w:szCs w:val="4"/>
              </w:rPr>
            </w:r>
          </w:p>
        </w:tc>
        <w:tc>
          <w:tcPr>
            <w:tcW w:w="2638" w:type="dxa"/>
            <w:gridSpan w:val="4"/>
            <w:tcBorders/>
            <w:shd w:fill="auto" w:val="clear"/>
            <w:vAlign w:val="center"/>
          </w:tcPr>
          <w:p>
            <w:pPr>
              <w:pStyle w:val="TableContents"/>
              <w:spacing w:before="0" w:after="283"/>
              <w:rPr>
                <w:sz w:val="4"/>
                <w:szCs w:val="4"/>
              </w:rPr>
            </w:pPr>
            <w:r>
              <w:rPr>
                <w:sz w:val="4"/>
                <w:szCs w:val="4"/>
              </w:rPr>
            </w:r>
          </w:p>
        </w:tc>
        <w:tc>
          <w:tcPr>
            <w:tcW w:w="2597" w:type="dxa"/>
            <w:gridSpan w:val="4"/>
            <w:tcBorders/>
            <w:shd w:fill="auto" w:val="clear"/>
            <w:vAlign w:val="center"/>
          </w:tcPr>
          <w:p>
            <w:pPr>
              <w:pStyle w:val="TableContents"/>
              <w:spacing w:before="0" w:after="283"/>
              <w:rPr>
                <w:sz w:val="4"/>
                <w:szCs w:val="4"/>
              </w:rPr>
            </w:pPr>
            <w:r>
              <w:rPr>
                <w:sz w:val="4"/>
                <w:szCs w:val="4"/>
              </w:rPr>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Non-current assets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177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75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139,560</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161,284</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Right-of-use asset</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81,660</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Goodwill</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1,061,763</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8,986,408</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Intangible assets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6,237,443</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7,316,729</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non-current assets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b/>
              </w:rPr>
            </w:pPr>
            <w:r>
              <w:rPr>
                <w:b/>
              </w:rPr>
              <w:t>7,237,443</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16,546,081</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b/>
              </w:rPr>
            </w:pPr>
            <w:r>
              <w:rPr>
                <w:b/>
              </w:rPr>
              <w:t>9,365,521</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b/>
              </w:rPr>
            </w:pPr>
            <w:r>
              <w:rPr>
                <w:b/>
              </w:rPr>
              <w:t>22,373,970</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177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0"/>
              <w:rPr/>
            </w:pPr>
            <w:r>
              <w:rPr/>
              <w:t> </w:t>
            </w:r>
          </w:p>
        </w:tc>
        <w:tc>
          <w:tcPr>
            <w:tcW w:w="175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75" w:hRule="atLeast"/>
        </w:trPr>
        <w:tc>
          <w:tcPr>
            <w:tcW w:w="5304" w:type="dxa"/>
            <w:tcBorders/>
            <w:shd w:fill="auto" w:val="clear"/>
            <w:vAlign w:val="center"/>
          </w:tcPr>
          <w:p>
            <w:pPr>
              <w:pStyle w:val="TableContents"/>
              <w:spacing w:before="0" w:after="283"/>
              <w:rPr>
                <w:sz w:val="4"/>
                <w:szCs w:val="4"/>
              </w:rPr>
            </w:pPr>
            <w:r>
              <w:rPr>
                <w:sz w:val="4"/>
                <w:szCs w:val="4"/>
              </w:rPr>
            </w:r>
          </w:p>
        </w:tc>
        <w:tc>
          <w:tcPr>
            <w:tcW w:w="2638" w:type="dxa"/>
            <w:gridSpan w:val="4"/>
            <w:tcBorders/>
            <w:shd w:fill="auto" w:val="clear"/>
            <w:vAlign w:val="center"/>
          </w:tcPr>
          <w:p>
            <w:pPr>
              <w:pStyle w:val="TableContents"/>
              <w:spacing w:before="0" w:after="283"/>
              <w:rPr>
                <w:sz w:val="4"/>
                <w:szCs w:val="4"/>
              </w:rPr>
            </w:pPr>
            <w:r>
              <w:rPr>
                <w:sz w:val="4"/>
                <w:szCs w:val="4"/>
              </w:rPr>
            </w:r>
          </w:p>
        </w:tc>
        <w:tc>
          <w:tcPr>
            <w:tcW w:w="2597" w:type="dxa"/>
            <w:gridSpan w:val="4"/>
            <w:tcBorders/>
            <w:shd w:fill="auto" w:val="clear"/>
            <w:vAlign w:val="center"/>
          </w:tcPr>
          <w:p>
            <w:pPr>
              <w:pStyle w:val="TableContents"/>
              <w:spacing w:before="0" w:after="283"/>
              <w:rPr>
                <w:sz w:val="4"/>
                <w:szCs w:val="4"/>
              </w:rPr>
            </w:pPr>
            <w:r>
              <w:rPr>
                <w:sz w:val="4"/>
                <w:szCs w:val="4"/>
              </w:rPr>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and Shareholders deficit</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17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75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liabilities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177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75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Short-term debt to related party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1773" w:type="dxa"/>
            <w:tcBorders/>
            <w:shd w:fill="CCEEFF" w:val="clear"/>
            <w:vAlign w:val="bottom"/>
          </w:tcPr>
          <w:p>
            <w:pPr>
              <w:pStyle w:val="TableContents"/>
              <w:spacing w:before="0" w:after="283"/>
              <w:jc w:val="right"/>
              <w:rPr/>
            </w:pPr>
            <w:r>
              <w:rPr/>
              <w:t>697,067</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759" w:type="dxa"/>
            <w:tcBorders/>
            <w:shd w:fill="CCEEFF" w:val="clear"/>
            <w:vAlign w:val="bottom"/>
          </w:tcPr>
          <w:p>
            <w:pPr>
              <w:pStyle w:val="TableContents"/>
              <w:spacing w:before="0" w:after="283"/>
              <w:jc w:val="right"/>
              <w:rPr/>
            </w:pPr>
            <w:r>
              <w:rPr/>
              <w:t>697,067</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4,262,476</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1,244,810</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Payable to related party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225,120</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460,000</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 and other payables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3,488,909</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1,875,609</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Current portion of lease liability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46,236</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Share consideration payable</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14,600,000</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b/>
              </w:rPr>
            </w:pPr>
            <w:r>
              <w:rPr>
                <w:b/>
              </w:rPr>
              <w:t>8,673,572</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18,923,722</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304" w:type="dxa"/>
            <w:tcBorders/>
            <w:shd w:fill="auto" w:val="clear"/>
            <w:vAlign w:val="center"/>
          </w:tcPr>
          <w:p>
            <w:pPr>
              <w:pStyle w:val="TableContents"/>
              <w:spacing w:before="0" w:after="283"/>
              <w:rPr>
                <w:sz w:val="4"/>
                <w:szCs w:val="4"/>
              </w:rPr>
            </w:pPr>
            <w:r>
              <w:rPr>
                <w:sz w:val="4"/>
                <w:szCs w:val="4"/>
              </w:rPr>
            </w:r>
          </w:p>
        </w:tc>
        <w:tc>
          <w:tcPr>
            <w:tcW w:w="2638" w:type="dxa"/>
            <w:gridSpan w:val="4"/>
            <w:tcBorders/>
            <w:shd w:fill="auto" w:val="clear"/>
            <w:vAlign w:val="center"/>
          </w:tcPr>
          <w:p>
            <w:pPr>
              <w:pStyle w:val="TableContents"/>
              <w:spacing w:before="0" w:after="283"/>
              <w:rPr>
                <w:sz w:val="4"/>
                <w:szCs w:val="4"/>
              </w:rPr>
            </w:pPr>
            <w:r>
              <w:rPr>
                <w:sz w:val="4"/>
                <w:szCs w:val="4"/>
              </w:rPr>
            </w:r>
          </w:p>
        </w:tc>
        <w:tc>
          <w:tcPr>
            <w:tcW w:w="2597" w:type="dxa"/>
            <w:gridSpan w:val="4"/>
            <w:tcBorders/>
            <w:shd w:fill="auto" w:val="clear"/>
            <w:vAlign w:val="center"/>
          </w:tcPr>
          <w:p>
            <w:pPr>
              <w:pStyle w:val="TableContents"/>
              <w:spacing w:before="0" w:after="283"/>
              <w:rPr>
                <w:sz w:val="4"/>
                <w:szCs w:val="4"/>
              </w:rPr>
            </w:pPr>
            <w:r>
              <w:rPr>
                <w:sz w:val="4"/>
                <w:szCs w:val="4"/>
              </w:rPr>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Non-current liabilities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177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75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Non-current portion of lease liability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35,423</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Convertible debt</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25,302,709</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2,509,589</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Share-based payment liability</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1,177,616</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1,060,720</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liability</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1,526,622</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1,770,457</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non-current liabilities</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b/>
              </w:rPr>
            </w:pPr>
            <w:r>
              <w:rPr>
                <w:b/>
              </w:rPr>
              <w:t>28,006,947</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5,376,189</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b/>
              </w:rPr>
            </w:pPr>
            <w:r>
              <w:rPr>
                <w:b/>
              </w:rPr>
              <w:t>36,680,519</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b/>
              </w:rPr>
            </w:pPr>
            <w:r>
              <w:rPr>
                <w:b/>
              </w:rPr>
              <w:t>24,299,911</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177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0"/>
              <w:rPr/>
            </w:pPr>
            <w:r>
              <w:rPr/>
              <w:t> </w:t>
            </w:r>
          </w:p>
        </w:tc>
        <w:tc>
          <w:tcPr>
            <w:tcW w:w="175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rHeight w:val="120" w:hRule="atLeast"/>
        </w:trPr>
        <w:tc>
          <w:tcPr>
            <w:tcW w:w="5304" w:type="dxa"/>
            <w:tcBorders/>
            <w:shd w:fill="auto" w:val="clear"/>
            <w:vAlign w:val="center"/>
          </w:tcPr>
          <w:p>
            <w:pPr>
              <w:pStyle w:val="TableContents"/>
              <w:spacing w:before="0" w:after="283"/>
              <w:rPr>
                <w:sz w:val="4"/>
                <w:szCs w:val="4"/>
              </w:rPr>
            </w:pPr>
            <w:r>
              <w:rPr>
                <w:sz w:val="4"/>
                <w:szCs w:val="4"/>
              </w:rPr>
            </w:r>
          </w:p>
        </w:tc>
        <w:tc>
          <w:tcPr>
            <w:tcW w:w="2638" w:type="dxa"/>
            <w:gridSpan w:val="4"/>
            <w:tcBorders/>
            <w:shd w:fill="auto" w:val="clear"/>
            <w:vAlign w:val="center"/>
          </w:tcPr>
          <w:p>
            <w:pPr>
              <w:pStyle w:val="TableContents"/>
              <w:spacing w:before="0" w:after="283"/>
              <w:rPr>
                <w:sz w:val="4"/>
                <w:szCs w:val="4"/>
              </w:rPr>
            </w:pPr>
            <w:r>
              <w:rPr>
                <w:sz w:val="4"/>
                <w:szCs w:val="4"/>
              </w:rPr>
            </w:r>
          </w:p>
        </w:tc>
        <w:tc>
          <w:tcPr>
            <w:tcW w:w="2597" w:type="dxa"/>
            <w:gridSpan w:val="4"/>
            <w:tcBorders/>
            <w:shd w:fill="auto" w:val="clear"/>
            <w:vAlign w:val="center"/>
          </w:tcPr>
          <w:p>
            <w:pPr>
              <w:pStyle w:val="TableContents"/>
              <w:spacing w:before="0" w:after="283"/>
              <w:rPr>
                <w:sz w:val="4"/>
                <w:szCs w:val="4"/>
              </w:rPr>
            </w:pPr>
            <w:r>
              <w:rPr>
                <w:sz w:val="4"/>
                <w:szCs w:val="4"/>
              </w:rPr>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Shareholders deficit</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17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75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Ordinary shares, £0.0001 nominal value; 927,806,159 shares issued and outstanding as of December 31, 2022; 891,818,882 shares issued and outstanding as of December 31, 2021; 986,121,959 and 950,134,682 shares authorized as of December 31, 2022 and 2021</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1773" w:type="dxa"/>
            <w:tcBorders/>
            <w:shd w:fill="auto" w:val="clear"/>
            <w:vAlign w:val="bottom"/>
          </w:tcPr>
          <w:p>
            <w:pPr>
              <w:pStyle w:val="TableContents"/>
              <w:spacing w:before="0" w:after="283"/>
              <w:jc w:val="right"/>
              <w:rPr/>
            </w:pPr>
            <w:r>
              <w:rPr/>
              <w:t>126,677</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759" w:type="dxa"/>
            <w:tcBorders/>
            <w:shd w:fill="auto" w:val="clear"/>
            <w:vAlign w:val="bottom"/>
          </w:tcPr>
          <w:p>
            <w:pPr>
              <w:pStyle w:val="TableContents"/>
              <w:spacing w:before="0" w:after="283"/>
              <w:jc w:val="right"/>
              <w:rPr/>
            </w:pPr>
            <w:r>
              <w:rPr/>
              <w:t>122,427</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Deferred shares, £0.0001 nominal value; 14,427,185 and nil shares issued and outstanding as of December 31, 2022 and 2021</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1,993</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Series A shares, £0.0001 nominal value 28,039,517 shares issued, authorized and outstanding as of December 31, 2022 and 2021</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3,868</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3,868</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163,163,090</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83,692,381</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Share subscription receivable</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(178,720</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(175,505</w:t>
            </w:r>
          </w:p>
        </w:tc>
        <w:tc>
          <w:tcPr>
            <w:tcW w:w="158" w:type="dxa"/>
            <w:tcBorders/>
            <w:shd w:fill="auto" w:val="clear"/>
            <w:vAlign w:val="bottom"/>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pPr>
            <w:r>
              <w:rPr/>
              <w:t>(189,171,542</w:t>
            </w:r>
          </w:p>
        </w:tc>
        <w:tc>
          <w:tcPr>
            <w:tcW w:w="155" w:type="dxa"/>
            <w:tcBorders/>
            <w:shd w:fill="CCEEFF" w:val="clear"/>
            <w:vAlign w:val="bottom"/>
          </w:tcPr>
          <w:p>
            <w:pPr>
              <w:pStyle w:val="TableContents"/>
              <w:spacing w:before="0" w:after="283"/>
              <w:rPr/>
            </w:pPr>
            <w:r>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(85,066,104</w:t>
            </w:r>
          </w:p>
        </w:tc>
        <w:tc>
          <w:tcPr>
            <w:tcW w:w="158" w:type="dxa"/>
            <w:tcBorders/>
            <w:shd w:fill="CCEEFF" w:val="clear"/>
            <w:vAlign w:val="bottom"/>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other comprehensive loss</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pPr>
            <w:r>
              <w:rPr/>
              <w:t>(1,260,364</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(503,008</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shareholders deficit</w:t>
            </w:r>
          </w:p>
        </w:tc>
        <w:tc>
          <w:tcPr>
            <w:tcW w:w="52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773" w:type="dxa"/>
            <w:tcBorders/>
            <w:shd w:fill="CCEEFF" w:val="clear"/>
            <w:vAlign w:val="bottom"/>
          </w:tcPr>
          <w:p>
            <w:pPr>
              <w:pStyle w:val="TableContents"/>
              <w:spacing w:before="0" w:after="283"/>
              <w:jc w:val="right"/>
              <w:rPr>
                <w:b/>
              </w:rPr>
            </w:pPr>
            <w:r>
              <w:rPr>
                <w:b/>
              </w:rPr>
              <w:t>(27,314,998</w:t>
            </w:r>
          </w:p>
        </w:tc>
        <w:tc>
          <w:tcPr>
            <w:tcW w:w="155" w:type="dxa"/>
            <w:tcBorders/>
            <w:shd w:fill="CCEEFF" w:val="clear"/>
            <w:vAlign w:val="bottom"/>
          </w:tcPr>
          <w:p>
            <w:pPr>
              <w:pStyle w:val="TableContents"/>
              <w:spacing w:before="0" w:after="283"/>
              <w:rPr>
                <w:b/>
              </w:rPr>
            </w:pPr>
            <w:r>
              <w:rPr>
                <w:b/>
              </w:rPr>
              <w:t>) </w:t>
            </w:r>
          </w:p>
        </w:tc>
        <w:tc>
          <w:tcPr>
            <w:tcW w:w="472"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(1,925,941</w:t>
            </w:r>
          </w:p>
        </w:tc>
        <w:tc>
          <w:tcPr>
            <w:tcW w:w="158" w:type="dxa"/>
            <w:tcBorders/>
            <w:shd w:fill="CCEEFF" w:val="clear"/>
            <w:vAlign w:val="bottom"/>
          </w:tcPr>
          <w:p>
            <w:pPr>
              <w:pStyle w:val="TableContents"/>
              <w:spacing w:before="0" w:after="283"/>
              <w:rPr>
                <w:b/>
              </w:rPr>
            </w:pPr>
            <w:r>
              <w:rPr>
                <w:b/>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17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304"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 and shareholders deficit</w:t>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773" w:type="dxa"/>
            <w:tcBorders/>
            <w:shd w:fill="auto" w:val="clear"/>
            <w:vAlign w:val="bottom"/>
          </w:tcPr>
          <w:p>
            <w:pPr>
              <w:pStyle w:val="TableContents"/>
              <w:spacing w:before="0" w:after="283"/>
              <w:jc w:val="right"/>
              <w:rPr>
                <w:b/>
              </w:rPr>
            </w:pPr>
            <w:r>
              <w:rPr>
                <w:b/>
              </w:rPr>
              <w:t>9,365,521</w:t>
            </w:r>
          </w:p>
        </w:tc>
        <w:tc>
          <w:tcPr>
            <w:tcW w:w="155"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b/>
              </w:rPr>
            </w:pPr>
            <w:r>
              <w:rPr>
                <w:b/>
              </w:rPr>
              <w:t>22,373,970</w:t>
            </w:r>
          </w:p>
        </w:tc>
        <w:tc>
          <w:tcPr>
            <w:tcW w:w="158" w:type="dxa"/>
            <w:tcBorders/>
            <w:shd w:fill="auto" w:val="clear"/>
            <w:vAlign w:val="bottom"/>
          </w:tcPr>
          <w:p>
            <w:pPr>
              <w:pStyle w:val="TableContents"/>
              <w:spacing w:before="0" w:after="283"/>
              <w:rPr/>
            </w:pPr>
            <w:r>
              <w:rPr/>
              <w:t> </w:t>
            </w:r>
          </w:p>
        </w:tc>
      </w:tr>
      <w:tr>
        <w:trPr/>
        <w:tc>
          <w:tcPr>
            <w:tcW w:w="5304"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177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0"/>
              <w:rPr/>
            </w:pPr>
            <w:r>
              <w:rPr/>
              <w:t> </w:t>
            </w:r>
          </w:p>
        </w:tc>
        <w:tc>
          <w:tcPr>
            <w:tcW w:w="175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bookmarkStart w:id="41" w:name="fin309194_3"/>
      <w:bookmarkEnd w:id="41"/>
      <w:r>
        <w:rPr>
          <w:rFonts w:ascii="Times New Roman" w:hAnsi="Times New Roman"/>
          <w:b/>
          <w:sz w:val="20"/>
        </w:rPr>
        <w:t xml:space="preserve">Carve-out Consolidated Statement of Operations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67"/>
        <w:gridCol w:w="356"/>
        <w:gridCol w:w="195"/>
        <w:gridCol w:w="1797"/>
        <w:gridCol w:w="155"/>
        <w:gridCol w:w="316"/>
        <w:gridCol w:w="203"/>
        <w:gridCol w:w="1790"/>
        <w:gridCol w:w="160"/>
      </w:tblGrid>
      <w:tr>
        <w:trPr/>
        <w:tc>
          <w:tcPr>
            <w:tcW w:w="556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567"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99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 2022</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99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 2021</w:t>
            </w:r>
          </w:p>
        </w:tc>
        <w:tc>
          <w:tcPr>
            <w:tcW w:w="160" w:type="dxa"/>
            <w:tcBorders/>
            <w:shd w:fill="auto" w:val="clear"/>
            <w:vAlign w:val="bottom"/>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b/>
                <w:sz w:val="20"/>
              </w:rPr>
            </w:pPr>
            <w:r>
              <w:rPr>
                <w:rFonts w:ascii="Times New Roman" w:hAnsi="Times New Roman"/>
                <w:b/>
                <w:sz w:val="20"/>
              </w:rPr>
              <w:t>Revenues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797" w:type="dxa"/>
            <w:tcBorders/>
            <w:shd w:fill="CCEEFF" w:val="clear"/>
            <w:vAlign w:val="bottom"/>
          </w:tcPr>
          <w:p>
            <w:pPr>
              <w:pStyle w:val="TableContents"/>
              <w:spacing w:before="0" w:after="283"/>
              <w:jc w:val="right"/>
              <w:rPr/>
            </w:pPr>
            <w:r>
              <w:rPr/>
              <w:t>12,325,753</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w:t>
            </w:r>
          </w:p>
        </w:tc>
        <w:tc>
          <w:tcPr>
            <w:tcW w:w="1790" w:type="dxa"/>
            <w:tcBorders/>
            <w:shd w:fill="CCEEFF" w:val="clear"/>
            <w:vAlign w:val="bottom"/>
          </w:tcPr>
          <w:p>
            <w:pPr>
              <w:pStyle w:val="TableContents"/>
              <w:spacing w:before="0" w:after="283"/>
              <w:jc w:val="right"/>
              <w:rPr/>
            </w:pPr>
            <w:r>
              <w:rPr/>
              <w:t>3,904,574</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120" w:hRule="atLeast"/>
        </w:trPr>
        <w:tc>
          <w:tcPr>
            <w:tcW w:w="5567" w:type="dxa"/>
            <w:tcBorders/>
            <w:shd w:fill="auto" w:val="clear"/>
            <w:vAlign w:val="center"/>
          </w:tcPr>
          <w:p>
            <w:pPr>
              <w:pStyle w:val="TableContents"/>
              <w:spacing w:before="0" w:after="283"/>
              <w:rPr>
                <w:sz w:val="4"/>
                <w:szCs w:val="4"/>
              </w:rPr>
            </w:pPr>
            <w:r>
              <w:rPr>
                <w:sz w:val="4"/>
                <w:szCs w:val="4"/>
              </w:rPr>
            </w:r>
          </w:p>
        </w:tc>
        <w:tc>
          <w:tcPr>
            <w:tcW w:w="2503" w:type="dxa"/>
            <w:gridSpan w:val="4"/>
            <w:tcBorders/>
            <w:shd w:fill="auto" w:val="clear"/>
            <w:vAlign w:val="center"/>
          </w:tcPr>
          <w:p>
            <w:pPr>
              <w:pStyle w:val="TableContents"/>
              <w:spacing w:before="0" w:after="283"/>
              <w:rPr>
                <w:sz w:val="4"/>
                <w:szCs w:val="4"/>
              </w:rPr>
            </w:pPr>
            <w:r>
              <w:rPr>
                <w:sz w:val="4"/>
                <w:szCs w:val="4"/>
              </w:rPr>
            </w:r>
          </w:p>
        </w:tc>
        <w:tc>
          <w:tcPr>
            <w:tcW w:w="2469" w:type="dxa"/>
            <w:gridSpan w:val="4"/>
            <w:tcBorders/>
            <w:shd w:fill="auto" w:val="clear"/>
            <w:vAlign w:val="center"/>
          </w:tcPr>
          <w:p>
            <w:pPr>
              <w:pStyle w:val="TableContents"/>
              <w:spacing w:before="0" w:after="283"/>
              <w:rPr>
                <w:sz w:val="4"/>
                <w:szCs w:val="4"/>
              </w:rPr>
            </w:pPr>
            <w:r>
              <w:rPr>
                <w:sz w:val="4"/>
                <w:szCs w:val="4"/>
              </w:rPr>
            </w:r>
          </w:p>
        </w:tc>
      </w:tr>
      <w:tr>
        <w:trPr/>
        <w:tc>
          <w:tcPr>
            <w:tcW w:w="5567" w:type="dxa"/>
            <w:tcBorders/>
            <w:shd w:fill="auto" w:val="clear"/>
          </w:tcPr>
          <w:p>
            <w:pPr>
              <w:pStyle w:val="TableContents"/>
              <w:spacing w:before="0" w:after="0"/>
              <w:rPr>
                <w:rFonts w:ascii="Times New Roman" w:hAnsi="Times New Roman"/>
                <w:b/>
                <w:sz w:val="20"/>
              </w:rPr>
            </w:pPr>
            <w:r>
              <w:rPr>
                <w:rFonts w:ascii="Times New Roman" w:hAnsi="Times New Roman"/>
                <w:b/>
                <w:sz w:val="20"/>
              </w:rPr>
              <w:t>Operating expenses</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7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sz w:val="4"/>
                <w:szCs w:val="4"/>
              </w:rPr>
            </w:pPr>
            <w:r>
              <w:rPr>
                <w:sz w:val="4"/>
                <w:szCs w:val="4"/>
              </w:rPr>
            </w:r>
          </w:p>
        </w:tc>
        <w:tc>
          <w:tcPr>
            <w:tcW w:w="179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5567" w:type="dxa"/>
            <w:tcBorders/>
            <w:shd w:fill="CCEEFF" w:val="clear"/>
          </w:tcPr>
          <w:p>
            <w:pPr>
              <w:pStyle w:val="TableContents"/>
              <w:spacing w:before="0" w:after="0"/>
              <w:rPr>
                <w:rFonts w:ascii="Times New Roman" w:hAnsi="Times New Roman"/>
                <w:sz w:val="20"/>
              </w:rPr>
            </w:pPr>
            <w:r>
              <w:rPr>
                <w:rFonts w:ascii="Times New Roman" w:hAnsi="Times New Roman"/>
                <w:sz w:val="20"/>
              </w:rPr>
              <w:t>Cost of revenues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5,318,599</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pPr>
            <w:r>
              <w:rPr/>
              <w:t>1,741,022</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Employee costs </w:t>
            </w:r>
            <w:r>
              <w:rPr>
                <w:rFonts w:ascii="Times New Roman" w:hAnsi="Times New Roman"/>
                <w:i/>
                <w:sz w:val="20"/>
              </w:rPr>
              <w:t>(includes related party transactions of $1,195,279 and $13,779,406 for the years ended December</w:t>
            </w:r>
            <w:r>
              <w:rPr>
                <w:rFonts w:ascii="Times New Roman" w:hAnsi="Times New Roman"/>
                <w:sz w:val="20"/>
              </w:rPr>
              <w:t> </w:t>
            </w:r>
            <w:r>
              <w:rPr>
                <w:rFonts w:ascii="Times New Roman" w:hAnsi="Times New Roman"/>
                <w:i/>
                <w:sz w:val="20"/>
              </w:rPr>
              <w:t>31, 2022 and 2021, respectively)</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10,666,299</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pPr>
            <w:r>
              <w:rPr/>
              <w:t>18,418,778</w:t>
            </w:r>
          </w:p>
        </w:tc>
        <w:tc>
          <w:tcPr>
            <w:tcW w:w="160" w:type="dxa"/>
            <w:tcBorders/>
            <w:shd w:fill="auto" w:val="clear"/>
            <w:vAlign w:val="bottom"/>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Consultancy expenses </w:t>
            </w:r>
            <w:r>
              <w:rPr>
                <w:rFonts w:ascii="Times New Roman" w:hAnsi="Times New Roman"/>
                <w:i/>
                <w:sz w:val="20"/>
              </w:rPr>
              <w:t>(includes related party transactions of $41,174,589 and $1,303,329 for the years ended December</w:t>
            </w:r>
            <w:r>
              <w:rPr>
                <w:rFonts w:ascii="Times New Roman" w:hAnsi="Times New Roman"/>
                <w:sz w:val="20"/>
              </w:rPr>
              <w:t> </w:t>
            </w:r>
            <w:r>
              <w:rPr>
                <w:rFonts w:ascii="Times New Roman" w:hAnsi="Times New Roman"/>
                <w:i/>
                <w:sz w:val="20"/>
              </w:rPr>
              <w:t xml:space="preserve">31, 2022 and 2021, respectively) </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67,681,543</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pPr>
            <w:r>
              <w:rPr/>
              <w:t>8,599,630</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sz w:val="20"/>
              </w:rPr>
            </w:pPr>
            <w:r>
              <w:rPr>
                <w:rFonts w:ascii="Times New Roman" w:hAnsi="Times New Roman"/>
                <w:sz w:val="20"/>
              </w:rPr>
              <w:t>Sales and marketing expenses</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3,123,820</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pPr>
            <w:r>
              <w:rPr/>
              <w:t>387,085</w:t>
            </w:r>
          </w:p>
        </w:tc>
        <w:tc>
          <w:tcPr>
            <w:tcW w:w="160" w:type="dxa"/>
            <w:tcBorders/>
            <w:shd w:fill="auto" w:val="clear"/>
            <w:vAlign w:val="bottom"/>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sz w:val="20"/>
              </w:rPr>
            </w:pPr>
            <w:r>
              <w:rPr>
                <w:rFonts w:ascii="Times New Roman" w:hAnsi="Times New Roman"/>
                <w:sz w:val="20"/>
              </w:rPr>
              <w:t>Business development expenses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7,136,168</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pPr>
            <w:r>
              <w:rPr/>
              <w:t>5,207,046</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9,823,776</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pPr>
            <w:r>
              <w:rPr/>
              <w:t>5,324,468</w:t>
            </w:r>
          </w:p>
        </w:tc>
        <w:tc>
          <w:tcPr>
            <w:tcW w:w="160" w:type="dxa"/>
            <w:tcBorders/>
            <w:shd w:fill="auto" w:val="clear"/>
            <w:vAlign w:val="bottom"/>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sz w:val="20"/>
              </w:rPr>
            </w:pPr>
            <w:r>
              <w:rPr>
                <w:rFonts w:ascii="Times New Roman" w:hAnsi="Times New Roman"/>
                <w:sz w:val="20"/>
              </w:rPr>
              <w:t>Depreciation and amortization expenses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742,113</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pPr>
            <w:r>
              <w:rPr/>
              <w:t>460,491</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7,418,302</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operating expenses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b/>
              </w:rPr>
            </w:pPr>
            <w:r>
              <w:rPr>
                <w:b/>
              </w:rPr>
              <w:t>111,910,620</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b/>
              </w:rPr>
            </w:pPr>
            <w:r>
              <w:rPr>
                <w:b/>
              </w:rPr>
              <w:t>40,138,520</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b/>
                <w:sz w:val="20"/>
              </w:rPr>
            </w:pPr>
            <w:r>
              <w:rPr>
                <w:rFonts w:ascii="Times New Roman" w:hAnsi="Times New Roman"/>
                <w:b/>
                <w:sz w:val="20"/>
              </w:rPr>
              <w:t>Operating loss</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b/>
              </w:rPr>
            </w:pPr>
            <w:r>
              <w:rPr>
                <w:b/>
              </w:rPr>
              <w:t>(99,584,867</w:t>
            </w:r>
          </w:p>
        </w:tc>
        <w:tc>
          <w:tcPr>
            <w:tcW w:w="155" w:type="dxa"/>
            <w:tcBorders/>
            <w:shd w:fill="auto" w:val="clear"/>
            <w:vAlign w:val="bottom"/>
          </w:tcPr>
          <w:p>
            <w:pPr>
              <w:pStyle w:val="TableContents"/>
              <w:spacing w:before="0" w:after="283"/>
              <w:rPr>
                <w:b/>
              </w:rPr>
            </w:pPr>
            <w:r>
              <w:rPr>
                <w:b/>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b/>
              </w:rPr>
            </w:pPr>
            <w:r>
              <w:rPr>
                <w:b/>
              </w:rPr>
              <w:t>(36,233,946</w:t>
            </w:r>
          </w:p>
        </w:tc>
        <w:tc>
          <w:tcPr>
            <w:tcW w:w="160" w:type="dxa"/>
            <w:tcBorders/>
            <w:shd w:fill="auto" w:val="clear"/>
            <w:vAlign w:val="bottom"/>
          </w:tcPr>
          <w:p>
            <w:pPr>
              <w:pStyle w:val="TableContents"/>
              <w:spacing w:before="0" w:after="283"/>
              <w:rPr>
                <w:b/>
              </w:rPr>
            </w:pPr>
            <w:r>
              <w:rPr>
                <w:b/>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rHeight w:val="120" w:hRule="atLeast"/>
        </w:trPr>
        <w:tc>
          <w:tcPr>
            <w:tcW w:w="5567" w:type="dxa"/>
            <w:tcBorders/>
            <w:shd w:fill="auto" w:val="clear"/>
            <w:vAlign w:val="center"/>
          </w:tcPr>
          <w:p>
            <w:pPr>
              <w:pStyle w:val="TableContents"/>
              <w:spacing w:before="0" w:after="283"/>
              <w:rPr>
                <w:sz w:val="4"/>
                <w:szCs w:val="4"/>
              </w:rPr>
            </w:pPr>
            <w:r>
              <w:rPr>
                <w:sz w:val="4"/>
                <w:szCs w:val="4"/>
              </w:rPr>
            </w:r>
          </w:p>
        </w:tc>
        <w:tc>
          <w:tcPr>
            <w:tcW w:w="2503" w:type="dxa"/>
            <w:gridSpan w:val="4"/>
            <w:tcBorders/>
            <w:shd w:fill="auto" w:val="clear"/>
            <w:vAlign w:val="center"/>
          </w:tcPr>
          <w:p>
            <w:pPr>
              <w:pStyle w:val="TableContents"/>
              <w:spacing w:before="0" w:after="283"/>
              <w:rPr>
                <w:sz w:val="4"/>
                <w:szCs w:val="4"/>
              </w:rPr>
            </w:pPr>
            <w:r>
              <w:rPr>
                <w:sz w:val="4"/>
                <w:szCs w:val="4"/>
              </w:rPr>
            </w:r>
          </w:p>
        </w:tc>
        <w:tc>
          <w:tcPr>
            <w:tcW w:w="2469" w:type="dxa"/>
            <w:gridSpan w:val="4"/>
            <w:tcBorders/>
            <w:shd w:fill="auto" w:val="clear"/>
            <w:vAlign w:val="center"/>
          </w:tcPr>
          <w:p>
            <w:pPr>
              <w:pStyle w:val="TableContents"/>
              <w:spacing w:before="0" w:after="283"/>
              <w:rPr>
                <w:sz w:val="4"/>
                <w:szCs w:val="4"/>
              </w:rPr>
            </w:pPr>
            <w:r>
              <w:rPr>
                <w:sz w:val="4"/>
                <w:szCs w:val="4"/>
              </w:rPr>
            </w:r>
          </w:p>
        </w:tc>
      </w:tr>
      <w:tr>
        <w:trPr/>
        <w:tc>
          <w:tcPr>
            <w:tcW w:w="5567"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expenses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7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179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5567" w:type="dxa"/>
            <w:tcBorders/>
            <w:shd w:fill="auto" w:val="clear"/>
          </w:tcPr>
          <w:p>
            <w:pPr>
              <w:pStyle w:val="TableContents"/>
              <w:spacing w:before="0" w:after="0"/>
              <w:rPr>
                <w:rFonts w:ascii="Times New Roman" w:hAnsi="Times New Roman"/>
                <w:sz w:val="20"/>
              </w:rPr>
            </w:pPr>
            <w:r>
              <w:rPr>
                <w:rFonts w:ascii="Times New Roman" w:hAnsi="Times New Roman"/>
                <w:sz w:val="20"/>
              </w:rPr>
              <w:t>Interest expense</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(3,884,698</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pPr>
            <w:r>
              <w:rPr/>
              <w:t>(301,594</w:t>
            </w:r>
          </w:p>
        </w:tc>
        <w:tc>
          <w:tcPr>
            <w:tcW w:w="160" w:type="dxa"/>
            <w:tcBorders/>
            <w:shd w:fill="auto" w:val="clear"/>
            <w:vAlign w:val="bottom"/>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sz w:val="20"/>
              </w:rPr>
            </w:pPr>
            <w:r>
              <w:rPr>
                <w:rFonts w:ascii="Times New Roman" w:hAnsi="Times New Roman"/>
                <w:sz w:val="20"/>
              </w:rPr>
              <w:t>Other non-operating expense, net</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(751,320</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pPr>
            <w:r>
              <w:rPr/>
              <w:t>(1,210,690</w:t>
            </w:r>
          </w:p>
        </w:tc>
        <w:tc>
          <w:tcPr>
            <w:tcW w:w="160" w:type="dxa"/>
            <w:tcBorders/>
            <w:shd w:fill="CCEEFF" w:val="clear"/>
            <w:vAlign w:val="bottom"/>
          </w:tcPr>
          <w:p>
            <w:pPr>
              <w:pStyle w:val="TableContents"/>
              <w:spacing w:before="0" w:after="283"/>
              <w:rPr/>
            </w:pPr>
            <w:r>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other expenses, net</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b/>
              </w:rPr>
            </w:pPr>
            <w:r>
              <w:rPr>
                <w:b/>
              </w:rPr>
              <w:t>(4,636,018</w:t>
            </w:r>
          </w:p>
        </w:tc>
        <w:tc>
          <w:tcPr>
            <w:tcW w:w="155" w:type="dxa"/>
            <w:tcBorders/>
            <w:shd w:fill="auto" w:val="clear"/>
            <w:vAlign w:val="bottom"/>
          </w:tcPr>
          <w:p>
            <w:pPr>
              <w:pStyle w:val="TableContents"/>
              <w:spacing w:before="0" w:after="283"/>
              <w:rPr>
                <w:b/>
              </w:rPr>
            </w:pPr>
            <w:r>
              <w:rPr>
                <w:b/>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b/>
              </w:rPr>
            </w:pPr>
            <w:r>
              <w:rPr>
                <w:b/>
              </w:rPr>
              <w:t>(1,512,284</w:t>
            </w:r>
          </w:p>
        </w:tc>
        <w:tc>
          <w:tcPr>
            <w:tcW w:w="160" w:type="dxa"/>
            <w:tcBorders/>
            <w:shd w:fill="auto" w:val="clear"/>
            <w:vAlign w:val="bottom"/>
          </w:tcPr>
          <w:p>
            <w:pPr>
              <w:pStyle w:val="TableContents"/>
              <w:spacing w:before="0" w:after="283"/>
              <w:rPr>
                <w:b/>
              </w:rPr>
            </w:pPr>
            <w:r>
              <w:rPr>
                <w:b/>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before taxes</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b/>
              </w:rPr>
            </w:pPr>
            <w:r>
              <w:rPr>
                <w:b/>
              </w:rPr>
              <w:t>(104,220,885</w:t>
            </w:r>
          </w:p>
        </w:tc>
        <w:tc>
          <w:tcPr>
            <w:tcW w:w="155" w:type="dxa"/>
            <w:tcBorders/>
            <w:shd w:fill="CCEEFF" w:val="clear"/>
            <w:vAlign w:val="bottom"/>
          </w:tcPr>
          <w:p>
            <w:pPr>
              <w:pStyle w:val="TableContents"/>
              <w:spacing w:before="0" w:after="283"/>
              <w:rPr>
                <w:b/>
              </w:rPr>
            </w:pPr>
            <w:r>
              <w:rPr>
                <w:b/>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b/>
              </w:rPr>
            </w:pPr>
            <w:r>
              <w:rPr>
                <w:b/>
              </w:rPr>
              <w:t>(37,746,230</w:t>
            </w:r>
          </w:p>
        </w:tc>
        <w:tc>
          <w:tcPr>
            <w:tcW w:w="160" w:type="dxa"/>
            <w:tcBorders/>
            <w:shd w:fill="CCEEFF" w:val="clear"/>
            <w:vAlign w:val="bottom"/>
          </w:tcPr>
          <w:p>
            <w:pPr>
              <w:pStyle w:val="TableContents"/>
              <w:spacing w:before="0" w:after="283"/>
              <w:rPr>
                <w:b/>
              </w:rPr>
            </w:pPr>
            <w:r>
              <w:rPr>
                <w:b/>
              </w:rPr>
              <w:t>) </w:t>
            </w:r>
          </w:p>
        </w:tc>
      </w:tr>
      <w:tr>
        <w:trPr/>
        <w:tc>
          <w:tcPr>
            <w:tcW w:w="5567" w:type="dxa"/>
            <w:tcBorders/>
            <w:shd w:fill="auto" w:val="clear"/>
          </w:tcPr>
          <w:p>
            <w:pPr>
              <w:pStyle w:val="TableContents"/>
              <w:spacing w:before="0" w:after="0"/>
              <w:rPr>
                <w:rFonts w:ascii="Times New Roman" w:hAnsi="Times New Roman"/>
                <w:sz w:val="20"/>
              </w:rPr>
            </w:pPr>
            <w:r>
              <w:rPr>
                <w:rFonts w:ascii="Times New Roman" w:hAnsi="Times New Roman"/>
                <w:sz w:val="20"/>
              </w:rPr>
              <w:t>Income tax benefit</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115,447</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right"/>
              <w:rPr/>
            </w:pPr>
            <w:r>
              <w:rPr/>
              <w:t>26,755</w:t>
            </w:r>
          </w:p>
        </w:tc>
        <w:tc>
          <w:tcPr>
            <w:tcW w:w="160" w:type="dxa"/>
            <w:tcBorders/>
            <w:shd w:fill="auto" w:val="clear"/>
            <w:vAlign w:val="bottom"/>
          </w:tcPr>
          <w:p>
            <w:pPr>
              <w:pStyle w:val="TableContents"/>
              <w:spacing w:before="0" w:after="283"/>
              <w:rPr/>
            </w:pPr>
            <w:r>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 for the year</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b/>
              </w:rPr>
            </w:pPr>
            <w:r>
              <w:rPr>
                <w:b/>
              </w:rPr>
              <w:t>$</w:t>
            </w:r>
          </w:p>
        </w:tc>
        <w:tc>
          <w:tcPr>
            <w:tcW w:w="1797" w:type="dxa"/>
            <w:tcBorders/>
            <w:shd w:fill="CCEEFF" w:val="clear"/>
            <w:vAlign w:val="bottom"/>
          </w:tcPr>
          <w:p>
            <w:pPr>
              <w:pStyle w:val="TableContents"/>
              <w:spacing w:before="0" w:after="283"/>
              <w:jc w:val="right"/>
              <w:rPr>
                <w:b/>
              </w:rPr>
            </w:pPr>
            <w:r>
              <w:rPr>
                <w:b/>
              </w:rPr>
              <w:t>(104,105,438</w:t>
            </w:r>
          </w:p>
        </w:tc>
        <w:tc>
          <w:tcPr>
            <w:tcW w:w="155" w:type="dxa"/>
            <w:tcBorders/>
            <w:shd w:fill="CCEEFF" w:val="clear"/>
            <w:vAlign w:val="bottom"/>
          </w:tcPr>
          <w:p>
            <w:pPr>
              <w:pStyle w:val="TableContents"/>
              <w:spacing w:before="0" w:after="283"/>
              <w:rPr>
                <w:b/>
              </w:rPr>
            </w:pPr>
            <w:r>
              <w:rPr>
                <w:b/>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b/>
              </w:rPr>
            </w:pPr>
            <w:r>
              <w:rPr>
                <w:b/>
              </w:rPr>
              <w:t>$</w:t>
            </w:r>
          </w:p>
        </w:tc>
        <w:tc>
          <w:tcPr>
            <w:tcW w:w="1790" w:type="dxa"/>
            <w:tcBorders/>
            <w:shd w:fill="CCEEFF" w:val="clear"/>
            <w:vAlign w:val="bottom"/>
          </w:tcPr>
          <w:p>
            <w:pPr>
              <w:pStyle w:val="TableContents"/>
              <w:spacing w:before="0" w:after="283"/>
              <w:jc w:val="right"/>
              <w:rPr>
                <w:b/>
              </w:rPr>
            </w:pPr>
            <w:r>
              <w:rPr>
                <w:b/>
              </w:rPr>
              <w:t>(37,719,475</w:t>
            </w:r>
          </w:p>
        </w:tc>
        <w:tc>
          <w:tcPr>
            <w:tcW w:w="160" w:type="dxa"/>
            <w:tcBorders/>
            <w:shd w:fill="CCEEFF" w:val="clear"/>
            <w:vAlign w:val="bottom"/>
          </w:tcPr>
          <w:p>
            <w:pPr>
              <w:pStyle w:val="TableContents"/>
              <w:spacing w:before="0" w:after="283"/>
              <w:rPr>
                <w:b/>
              </w:rPr>
            </w:pPr>
            <w:r>
              <w:rPr>
                <w:b/>
              </w:rPr>
              <w:t>) </w:t>
            </w:r>
          </w:p>
        </w:tc>
      </w:tr>
      <w:tr>
        <w:trPr/>
        <w:tc>
          <w:tcPr>
            <w:tcW w:w="5567"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7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67" w:type="dxa"/>
            <w:tcBorders/>
            <w:shd w:fill="auto" w:val="clear"/>
          </w:tcPr>
          <w:p>
            <w:pPr>
              <w:pStyle w:val="TableContents"/>
              <w:spacing w:before="0" w:after="0"/>
              <w:rPr>
                <w:rFonts w:ascii="Times New Roman" w:hAnsi="Times New Roman"/>
                <w:b/>
                <w:sz w:val="20"/>
              </w:rPr>
            </w:pPr>
            <w:r>
              <w:rPr>
                <w:rFonts w:ascii="Times New Roman" w:hAnsi="Times New Roman"/>
                <w:b/>
                <w:sz w:val="20"/>
              </w:rPr>
              <w:t>Net loss per share  Basic and diluted</w:t>
            </w:r>
          </w:p>
        </w:tc>
        <w:tc>
          <w:tcPr>
            <w:tcW w:w="356"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797" w:type="dxa"/>
            <w:tcBorders/>
            <w:shd w:fill="auto" w:val="clear"/>
            <w:vAlign w:val="bottom"/>
          </w:tcPr>
          <w:p>
            <w:pPr>
              <w:pStyle w:val="TableContents"/>
              <w:spacing w:before="0" w:after="283"/>
              <w:jc w:val="right"/>
              <w:rPr/>
            </w:pPr>
            <w:r>
              <w:rPr/>
              <w:t>(0.11</w:t>
            </w:r>
          </w:p>
        </w:tc>
        <w:tc>
          <w:tcPr>
            <w:tcW w:w="155"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1790" w:type="dxa"/>
            <w:tcBorders/>
            <w:shd w:fill="auto" w:val="clear"/>
            <w:vAlign w:val="bottom"/>
          </w:tcPr>
          <w:p>
            <w:pPr>
              <w:pStyle w:val="TableContents"/>
              <w:spacing w:before="0" w:after="283"/>
              <w:jc w:val="right"/>
              <w:rPr/>
            </w:pPr>
            <w:r>
              <w:rPr/>
              <w:t>(0.04</w:t>
            </w:r>
          </w:p>
        </w:tc>
        <w:tc>
          <w:tcPr>
            <w:tcW w:w="160" w:type="dxa"/>
            <w:tcBorders/>
            <w:shd w:fill="auto" w:val="clear"/>
            <w:vAlign w:val="bottom"/>
          </w:tcPr>
          <w:p>
            <w:pPr>
              <w:pStyle w:val="TableContents"/>
              <w:spacing w:before="0" w:after="283"/>
              <w:rPr/>
            </w:pPr>
            <w:r>
              <w:rPr/>
              <w:t>) </w:t>
            </w:r>
          </w:p>
        </w:tc>
      </w:tr>
      <w:tr>
        <w:trPr/>
        <w:tc>
          <w:tcPr>
            <w:tcW w:w="5567" w:type="dxa"/>
            <w:tcBorders/>
            <w:shd w:fill="CCEEFF" w:val="clear"/>
          </w:tcPr>
          <w:p>
            <w:pPr>
              <w:pStyle w:val="TableContents"/>
              <w:spacing w:before="0" w:after="0"/>
              <w:rPr>
                <w:rFonts w:ascii="Times New Roman" w:hAnsi="Times New Roman"/>
                <w:sz w:val="20"/>
              </w:rPr>
            </w:pPr>
            <w:r>
              <w:rPr>
                <w:rFonts w:ascii="Times New Roman" w:hAnsi="Times New Roman"/>
                <w:sz w:val="20"/>
              </w:rPr>
              <w:t>Weighted average number of shares  Basic and diluted</w:t>
            </w:r>
          </w:p>
        </w:tc>
        <w:tc>
          <w:tcPr>
            <w:tcW w:w="356"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913,109,577</w:t>
            </w:r>
          </w:p>
        </w:tc>
        <w:tc>
          <w:tcPr>
            <w:tcW w:w="155"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790" w:type="dxa"/>
            <w:tcBorders/>
            <w:shd w:fill="CCEEFF" w:val="clear"/>
            <w:vAlign w:val="bottom"/>
          </w:tcPr>
          <w:p>
            <w:pPr>
              <w:pStyle w:val="TableContents"/>
              <w:spacing w:before="0" w:after="283"/>
              <w:jc w:val="right"/>
              <w:rPr/>
            </w:pPr>
            <w:r>
              <w:rPr/>
              <w:t>881,342,508</w:t>
            </w:r>
          </w:p>
        </w:tc>
        <w:tc>
          <w:tcPr>
            <w:tcW w:w="160" w:type="dxa"/>
            <w:tcBorders/>
            <w:shd w:fill="CCEEFF" w:val="clear"/>
            <w:vAlign w:val="bottom"/>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bookmarkStart w:id="42" w:name="fin309194_4"/>
      <w:bookmarkEnd w:id="42"/>
      <w:r>
        <w:rPr>
          <w:rFonts w:ascii="Times New Roman" w:hAnsi="Times New Roman"/>
          <w:b/>
          <w:sz w:val="20"/>
        </w:rPr>
        <w:t xml:space="preserve">Carve-out Consolidated Statements of Comprehensive Loss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555"/>
        <w:gridCol w:w="352"/>
        <w:gridCol w:w="196"/>
        <w:gridCol w:w="1807"/>
        <w:gridCol w:w="155"/>
        <w:gridCol w:w="311"/>
        <w:gridCol w:w="208"/>
        <w:gridCol w:w="1795"/>
        <w:gridCol w:w="160"/>
      </w:tblGrid>
      <w:tr>
        <w:trPr/>
        <w:tc>
          <w:tcPr>
            <w:tcW w:w="555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5555"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00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 2022</w:t>
            </w:r>
          </w:p>
        </w:tc>
        <w:tc>
          <w:tcPr>
            <w:tcW w:w="155"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0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Year ended</w:t>
            </w:r>
            <w:r>
              <w:rPr/>
              <w:br/>
            </w:r>
            <w:r>
              <w:rPr>
                <w:b/>
              </w:rPr>
              <w:t>December 31, 2021</w:t>
            </w:r>
          </w:p>
        </w:tc>
        <w:tc>
          <w:tcPr>
            <w:tcW w:w="160" w:type="dxa"/>
            <w:tcBorders/>
            <w:shd w:fill="auto" w:val="clear"/>
            <w:vAlign w:val="bottom"/>
          </w:tcPr>
          <w:p>
            <w:pPr>
              <w:pStyle w:val="TableContents"/>
              <w:spacing w:before="0" w:after="283"/>
              <w:rPr/>
            </w:pPr>
            <w:r>
              <w:rPr/>
              <w:t> </w:t>
            </w:r>
          </w:p>
        </w:tc>
      </w:tr>
      <w:tr>
        <w:trPr/>
        <w:tc>
          <w:tcPr>
            <w:tcW w:w="5555"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35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b/>
              </w:rPr>
            </w:pPr>
            <w:r>
              <w:rPr>
                <w:b/>
              </w:rPr>
              <w:t>$</w:t>
            </w:r>
          </w:p>
        </w:tc>
        <w:tc>
          <w:tcPr>
            <w:tcW w:w="1807" w:type="dxa"/>
            <w:tcBorders/>
            <w:shd w:fill="CCEEFF" w:val="clear"/>
            <w:vAlign w:val="bottom"/>
          </w:tcPr>
          <w:p>
            <w:pPr>
              <w:pStyle w:val="TableContents"/>
              <w:spacing w:before="0" w:after="283"/>
              <w:jc w:val="right"/>
              <w:rPr>
                <w:b/>
              </w:rPr>
            </w:pPr>
            <w:r>
              <w:rPr>
                <w:b/>
              </w:rPr>
              <w:t>(104,105,438</w:t>
            </w:r>
          </w:p>
        </w:tc>
        <w:tc>
          <w:tcPr>
            <w:tcW w:w="155" w:type="dxa"/>
            <w:tcBorders/>
            <w:shd w:fill="CCEEFF" w:val="clear"/>
            <w:vAlign w:val="bottom"/>
          </w:tcPr>
          <w:p>
            <w:pPr>
              <w:pStyle w:val="TableContents"/>
              <w:spacing w:before="0" w:after="283"/>
              <w:rPr>
                <w:b/>
              </w:rPr>
            </w:pPr>
            <w:r>
              <w:rPr>
                <w:b/>
              </w:rPr>
              <w:t>) </w:t>
            </w:r>
          </w:p>
        </w:tc>
        <w:tc>
          <w:tcPr>
            <w:tcW w:w="31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b/>
              </w:rPr>
            </w:pPr>
            <w:r>
              <w:rPr>
                <w:b/>
              </w:rPr>
              <w:t>$</w:t>
            </w:r>
          </w:p>
        </w:tc>
        <w:tc>
          <w:tcPr>
            <w:tcW w:w="1795" w:type="dxa"/>
            <w:tcBorders/>
            <w:shd w:fill="CCEEFF" w:val="clear"/>
            <w:vAlign w:val="bottom"/>
          </w:tcPr>
          <w:p>
            <w:pPr>
              <w:pStyle w:val="TableContents"/>
              <w:spacing w:before="0" w:after="283"/>
              <w:jc w:val="right"/>
              <w:rPr>
                <w:b/>
              </w:rPr>
            </w:pPr>
            <w:r>
              <w:rPr>
                <w:b/>
              </w:rPr>
              <w:t>(37,719,475</w:t>
            </w:r>
          </w:p>
        </w:tc>
        <w:tc>
          <w:tcPr>
            <w:tcW w:w="160" w:type="dxa"/>
            <w:tcBorders/>
            <w:shd w:fill="CCEEFF" w:val="clear"/>
            <w:vAlign w:val="bottom"/>
          </w:tcPr>
          <w:p>
            <w:pPr>
              <w:pStyle w:val="TableContents"/>
              <w:spacing w:before="0" w:after="283"/>
              <w:rPr>
                <w:b/>
              </w:rPr>
            </w:pPr>
            <w:r>
              <w:rPr>
                <w:b/>
              </w:rPr>
              <w:t>) </w:t>
            </w:r>
          </w:p>
        </w:tc>
      </w:tr>
      <w:tr>
        <w:trPr/>
        <w:tc>
          <w:tcPr>
            <w:tcW w:w="5555" w:type="dxa"/>
            <w:tcBorders/>
            <w:shd w:fill="auto" w:val="clear"/>
          </w:tcPr>
          <w:p>
            <w:pPr>
              <w:pStyle w:val="TableContents"/>
              <w:spacing w:before="0" w:after="0"/>
              <w:rPr>
                <w:rFonts w:ascii="Times New Roman" w:hAnsi="Times New Roman"/>
                <w:sz w:val="20"/>
              </w:rPr>
            </w:pPr>
            <w:r>
              <w:rPr>
                <w:rFonts w:ascii="Times New Roman" w:hAnsi="Times New Roman"/>
                <w:sz w:val="20"/>
              </w:rPr>
              <w:t>Other comprehensive loss, net of tax</w:t>
            </w:r>
          </w:p>
        </w:tc>
        <w:tc>
          <w:tcPr>
            <w:tcW w:w="35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80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1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79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5555"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translation loss</w:t>
            </w:r>
          </w:p>
        </w:tc>
        <w:tc>
          <w:tcPr>
            <w:tcW w:w="352"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07" w:type="dxa"/>
            <w:tcBorders/>
            <w:shd w:fill="CCEEFF" w:val="clear"/>
            <w:vAlign w:val="bottom"/>
          </w:tcPr>
          <w:p>
            <w:pPr>
              <w:pStyle w:val="TableContents"/>
              <w:spacing w:before="0" w:after="283"/>
              <w:jc w:val="right"/>
              <w:rPr/>
            </w:pPr>
            <w:r>
              <w:rPr/>
              <w:t>(757,356</w:t>
            </w:r>
          </w:p>
        </w:tc>
        <w:tc>
          <w:tcPr>
            <w:tcW w:w="155" w:type="dxa"/>
            <w:tcBorders/>
            <w:shd w:fill="CCEEFF" w:val="clear"/>
            <w:vAlign w:val="bottom"/>
          </w:tcPr>
          <w:p>
            <w:pPr>
              <w:pStyle w:val="TableContents"/>
              <w:spacing w:before="0" w:after="283"/>
              <w:rPr/>
            </w:pPr>
            <w:r>
              <w:rPr/>
              <w:t>) </w:t>
            </w:r>
          </w:p>
        </w:tc>
        <w:tc>
          <w:tcPr>
            <w:tcW w:w="311"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795" w:type="dxa"/>
            <w:tcBorders/>
            <w:shd w:fill="CCEEFF" w:val="clear"/>
            <w:vAlign w:val="bottom"/>
          </w:tcPr>
          <w:p>
            <w:pPr>
              <w:pStyle w:val="TableContents"/>
              <w:spacing w:before="0" w:after="283"/>
              <w:jc w:val="right"/>
              <w:rPr/>
            </w:pPr>
            <w:r>
              <w:rPr/>
              <w:t>(501,130</w:t>
            </w:r>
          </w:p>
        </w:tc>
        <w:tc>
          <w:tcPr>
            <w:tcW w:w="160" w:type="dxa"/>
            <w:tcBorders/>
            <w:shd w:fill="CCEEFF" w:val="clear"/>
            <w:vAlign w:val="bottom"/>
          </w:tcPr>
          <w:p>
            <w:pPr>
              <w:pStyle w:val="TableContents"/>
              <w:spacing w:before="0" w:after="283"/>
              <w:rPr/>
            </w:pPr>
            <w:r>
              <w:rPr/>
              <w:t>) </w:t>
            </w:r>
          </w:p>
        </w:tc>
      </w:tr>
      <w:tr>
        <w:trPr/>
        <w:tc>
          <w:tcPr>
            <w:tcW w:w="5555"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79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555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comprehensive loss</w:t>
            </w:r>
          </w:p>
        </w:tc>
        <w:tc>
          <w:tcPr>
            <w:tcW w:w="35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b/>
              </w:rPr>
            </w:pPr>
            <w:r>
              <w:rPr>
                <w:b/>
              </w:rPr>
              <w:t>$</w:t>
            </w:r>
          </w:p>
        </w:tc>
        <w:tc>
          <w:tcPr>
            <w:tcW w:w="1807" w:type="dxa"/>
            <w:tcBorders/>
            <w:shd w:fill="auto" w:val="clear"/>
            <w:vAlign w:val="bottom"/>
          </w:tcPr>
          <w:p>
            <w:pPr>
              <w:pStyle w:val="TableContents"/>
              <w:spacing w:before="0" w:after="283"/>
              <w:jc w:val="right"/>
              <w:rPr>
                <w:b/>
              </w:rPr>
            </w:pPr>
            <w:r>
              <w:rPr>
                <w:b/>
              </w:rPr>
              <w:t>(104,862,794</w:t>
            </w:r>
          </w:p>
        </w:tc>
        <w:tc>
          <w:tcPr>
            <w:tcW w:w="155" w:type="dxa"/>
            <w:tcBorders/>
            <w:shd w:fill="auto" w:val="clear"/>
            <w:vAlign w:val="bottom"/>
          </w:tcPr>
          <w:p>
            <w:pPr>
              <w:pStyle w:val="TableContents"/>
              <w:spacing w:before="0" w:after="283"/>
              <w:rPr>
                <w:b/>
              </w:rPr>
            </w:pPr>
            <w:r>
              <w:rPr>
                <w:b/>
              </w:rPr>
              <w:t>) </w:t>
            </w:r>
          </w:p>
        </w:tc>
        <w:tc>
          <w:tcPr>
            <w:tcW w:w="31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b/>
              </w:rPr>
            </w:pPr>
            <w:r>
              <w:rPr>
                <w:b/>
              </w:rPr>
              <w:t>$</w:t>
            </w:r>
          </w:p>
        </w:tc>
        <w:tc>
          <w:tcPr>
            <w:tcW w:w="1795" w:type="dxa"/>
            <w:tcBorders/>
            <w:shd w:fill="auto" w:val="clear"/>
            <w:vAlign w:val="bottom"/>
          </w:tcPr>
          <w:p>
            <w:pPr>
              <w:pStyle w:val="TableContents"/>
              <w:spacing w:before="0" w:after="283"/>
              <w:jc w:val="right"/>
              <w:rPr>
                <w:b/>
              </w:rPr>
            </w:pPr>
            <w:r>
              <w:rPr>
                <w:b/>
              </w:rPr>
              <w:t>(38,220,605</w:t>
            </w:r>
          </w:p>
        </w:tc>
        <w:tc>
          <w:tcPr>
            <w:tcW w:w="160" w:type="dxa"/>
            <w:tcBorders/>
            <w:shd w:fill="auto" w:val="clear"/>
            <w:vAlign w:val="bottom"/>
          </w:tcPr>
          <w:p>
            <w:pPr>
              <w:pStyle w:val="TableContents"/>
              <w:spacing w:before="0" w:after="283"/>
              <w:rPr>
                <w:b/>
              </w:rPr>
            </w:pPr>
            <w:r>
              <w:rPr>
                <w:b/>
              </w:rPr>
              <w:t>) </w:t>
            </w:r>
          </w:p>
        </w:tc>
      </w:tr>
      <w:tr>
        <w:trPr/>
        <w:tc>
          <w:tcPr>
            <w:tcW w:w="5555"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double" w:sz="6" w:space="1" w:color="000000"/>
              </w:pBdr>
              <w:spacing w:before="0" w:after="0"/>
              <w:rPr/>
            </w:pPr>
            <w:r>
              <w:rPr/>
              <w:t> </w:t>
            </w:r>
          </w:p>
        </w:tc>
        <w:tc>
          <w:tcPr>
            <w:tcW w:w="18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0"/>
              <w:rPr/>
            </w:pPr>
            <w:r>
              <w:rPr/>
              <w:t> </w:t>
            </w:r>
          </w:p>
        </w:tc>
        <w:tc>
          <w:tcPr>
            <w:tcW w:w="1795"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bookmarkStart w:id="43" w:name="fin309194_5"/>
      <w:bookmarkEnd w:id="43"/>
      <w:r>
        <w:rPr>
          <w:rFonts w:ascii="Times New Roman" w:hAnsi="Times New Roman"/>
          <w:b/>
          <w:sz w:val="20"/>
        </w:rPr>
        <w:t xml:space="preserve">Carve-out Consolidated Statements of Changes in Shareholders Deficit </w:t>
      </w:r>
    </w:p>
    <w:p>
      <w:pPr>
        <w:pStyle w:val="TextBody"/>
        <w:spacing w:before="0" w:after="0"/>
        <w:jc w:val="left"/>
        <w:rPr/>
      </w:pPr>
      <w:r>
        <w:rPr/>
        <w:t> </w:t>
      </w:r>
    </w:p>
    <w:tbl>
      <w:tblPr>
        <w:tblW w:w="14700" w:type="dxa"/>
        <w:jc w:val="center"/>
        <w:tblInd w:w="0" w:type="dxa"/>
        <w:tblCellMar>
          <w:top w:w="0" w:type="dxa"/>
          <w:left w:w="0" w:type="dxa"/>
          <w:bottom w:w="0" w:type="dxa"/>
          <w:right w:w="0" w:type="dxa"/>
        </w:tblCellMar>
      </w:tblPr>
      <w:tblGrid>
        <w:gridCol w:w="1010"/>
        <w:gridCol w:w="60"/>
        <w:gridCol w:w="60"/>
        <w:gridCol w:w="920"/>
        <w:gridCol w:w="125"/>
        <w:gridCol w:w="60"/>
        <w:gridCol w:w="77"/>
        <w:gridCol w:w="783"/>
        <w:gridCol w:w="125"/>
        <w:gridCol w:w="60"/>
        <w:gridCol w:w="60"/>
        <w:gridCol w:w="830"/>
        <w:gridCol w:w="60"/>
        <w:gridCol w:w="60"/>
        <w:gridCol w:w="106"/>
        <w:gridCol w:w="754"/>
        <w:gridCol w:w="60"/>
        <w:gridCol w:w="60"/>
        <w:gridCol w:w="60"/>
        <w:gridCol w:w="830"/>
        <w:gridCol w:w="60"/>
        <w:gridCol w:w="60"/>
        <w:gridCol w:w="106"/>
        <w:gridCol w:w="754"/>
        <w:gridCol w:w="60"/>
        <w:gridCol w:w="60"/>
        <w:gridCol w:w="67"/>
        <w:gridCol w:w="1033"/>
        <w:gridCol w:w="60"/>
        <w:gridCol w:w="60"/>
        <w:gridCol w:w="79"/>
        <w:gridCol w:w="1291"/>
        <w:gridCol w:w="125"/>
        <w:gridCol w:w="60"/>
        <w:gridCol w:w="104"/>
        <w:gridCol w:w="1161"/>
        <w:gridCol w:w="125"/>
        <w:gridCol w:w="60"/>
        <w:gridCol w:w="107"/>
        <w:gridCol w:w="1428"/>
        <w:gridCol w:w="125"/>
        <w:gridCol w:w="60"/>
        <w:gridCol w:w="79"/>
        <w:gridCol w:w="1291"/>
        <w:gridCol w:w="125"/>
      </w:tblGrid>
      <w:tr>
        <w:trPr/>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1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Ordinary shares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Deferred 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Series A shares</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0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paid-in</w:t>
              <w:br/>
              <w:t>capital</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deficit</w:t>
            </w:r>
          </w:p>
        </w:tc>
        <w:tc>
          <w:tcPr>
            <w:tcW w:w="12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26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Share</w:t>
              <w:br/>
              <w:t>subscription</w:t>
              <w:br/>
              <w:t>receivable</w:t>
            </w:r>
          </w:p>
        </w:tc>
        <w:tc>
          <w:tcPr>
            <w:tcW w:w="12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5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br/>
              <w:t>other</w:t>
              <w:br/>
              <w:t>comprehensive</w:t>
              <w:br/>
              <w:t>income</w:t>
            </w:r>
          </w:p>
        </w:tc>
        <w:tc>
          <w:tcPr>
            <w:tcW w:w="125"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37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Total</w:t>
            </w:r>
            <w:r>
              <w:rPr/>
              <w:br/>
            </w:r>
            <w:r>
              <w:rPr>
                <w:b/>
              </w:rPr>
              <w:t>Shareholders</w:t>
              <w:br/>
              <w:t>deficit</w:t>
            </w:r>
          </w:p>
        </w:tc>
        <w:tc>
          <w:tcPr>
            <w:tcW w:w="125" w:type="dxa"/>
            <w:vMerge w:val="restart"/>
            <w:tcBorders/>
            <w:shd w:fill="auto" w:val="clear"/>
            <w:vAlign w:val="bottom"/>
          </w:tcPr>
          <w:p>
            <w:pPr>
              <w:pStyle w:val="TableContents"/>
              <w:spacing w:before="0" w:after="283"/>
              <w:rPr/>
            </w:pPr>
            <w:r>
              <w:rPr/>
              <w:t> </w:t>
            </w:r>
          </w:p>
        </w:tc>
      </w:tr>
      <w:tr>
        <w:trPr/>
        <w:tc>
          <w:tcPr>
            <w:tcW w:w="1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10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370"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265"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535"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370" w:type="dxa"/>
            <w:gridSpan w:val="2"/>
            <w:vMerge w:val="continue"/>
            <w:tcBorders>
              <w:bottom w:val="single" w:sz="8" w:space="0" w:color="000000"/>
            </w:tcBorders>
            <w:shd w:fill="auto" w:val="clear"/>
            <w:tcMar>
              <w:bottom w:w="28" w:type="dxa"/>
            </w:tcMar>
            <w:vAlign w:val="bottom"/>
          </w:tcPr>
          <w:p>
            <w:pPr>
              <w:pStyle w:val="Normal"/>
              <w:rPr/>
            </w:pPr>
            <w:r>
              <w:rPr/>
            </w:r>
          </w:p>
        </w:tc>
        <w:tc>
          <w:tcPr>
            <w:tcW w:w="125" w:type="dxa"/>
            <w:vMerge w:val="continue"/>
            <w:tcBorders/>
            <w:shd w:fill="auto" w:val="clear"/>
            <w:vAlign w:val="bottom"/>
          </w:tcPr>
          <w:p>
            <w:pPr>
              <w:pStyle w:val="Normal"/>
              <w:rPr/>
            </w:pPr>
            <w:r>
              <w:rPr/>
            </w:r>
          </w:p>
        </w:tc>
      </w:tr>
      <w:tr>
        <w:trPr/>
        <w:tc>
          <w:tcPr>
            <w:tcW w:w="101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Balance as of January 1, 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b/>
                <w:sz w:val="16"/>
              </w:rPr>
            </w:pPr>
            <w:r>
              <w:rPr>
                <w:b/>
                <w:sz w:val="16"/>
              </w:rPr>
              <w:t>860,322,600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b/>
                <w:sz w:val="16"/>
              </w:rPr>
            </w:pPr>
            <w:r>
              <w:rPr>
                <w:b/>
                <w:sz w:val="16"/>
              </w:rPr>
              <w:t>118,094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b/>
                <w:sz w:val="16"/>
              </w:rPr>
            </w:pPr>
            <w:r>
              <w:rPr>
                <w:b/>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b/>
                <w:sz w:val="16"/>
              </w:rPr>
            </w:pPr>
            <w:r>
              <w:rPr>
                <w:b/>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b/>
                <w:sz w:val="16"/>
              </w:rPr>
            </w:pPr>
            <w:r>
              <w:rPr>
                <w:b/>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b/>
                <w:sz w:val="16"/>
              </w:rPr>
            </w:pPr>
            <w:r>
              <w:rPr>
                <w:b/>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b/>
                <w:sz w:val="16"/>
              </w:rPr>
            </w:pPr>
            <w:r>
              <w:rPr>
                <w:b/>
                <w:sz w:val="16"/>
              </w:rPr>
              <w:t>38,625,645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b/>
                <w:sz w:val="16"/>
              </w:rPr>
            </w:pPr>
            <w:r>
              <w:rPr>
                <w:b/>
                <w:sz w:val="16"/>
              </w:rPr>
              <w:t>(47,346,629</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b/>
                <w:sz w:val="16"/>
              </w:rPr>
            </w:pPr>
            <w:r>
              <w:rPr>
                <w:b/>
                <w:sz w:val="16"/>
              </w:rPr>
              <w:t>(776,560</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b/>
                <w:sz w:val="16"/>
              </w:rPr>
            </w:pPr>
            <w:r>
              <w:rPr>
                <w:b/>
                <w:sz w:val="16"/>
              </w:rPr>
              <w:t>(1,877</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b/>
                <w:sz w:val="16"/>
              </w:rPr>
            </w:pPr>
            <w:r>
              <w:rPr>
                <w:b/>
                <w:sz w:val="16"/>
              </w:rPr>
              <w:t>(9,381,327</w:t>
            </w:r>
          </w:p>
        </w:tc>
        <w:tc>
          <w:tcPr>
            <w:tcW w:w="125" w:type="dxa"/>
            <w:tcBorders/>
            <w:shd w:fill="CCEEFF" w:val="clear"/>
            <w:vAlign w:val="bottom"/>
          </w:tcPr>
          <w:p>
            <w:pPr>
              <w:pStyle w:val="TableContents"/>
              <w:spacing w:before="0" w:after="283"/>
              <w:rPr>
                <w:b/>
                <w:sz w:val="16"/>
              </w:rPr>
            </w:pPr>
            <w:r>
              <w:rPr>
                <w:b/>
                <w:sz w:val="16"/>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Ordinary shares issued (note 10.2)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3,359,223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463</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3,460,336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603,816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4,064,615</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Series A shares issued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13,404,541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1,848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sz w:val="16"/>
              </w:rPr>
            </w:pPr>
            <w:r>
              <w:rPr>
                <w:sz w:val="16"/>
              </w:rPr>
              <w:t>13,763,152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13,765,000</w:t>
            </w:r>
          </w:p>
        </w:tc>
        <w:tc>
          <w:tcPr>
            <w:tcW w:w="12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Series A shares issued against conversion of loan (note 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14,634,976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12,691,327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12,693,347</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Ordinary shares issued against exercise of call option (note 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6"/>
              </w:rPr>
            </w:pPr>
            <w:r>
              <w:rPr>
                <w:sz w:val="16"/>
              </w:rPr>
              <w:t>8,100,000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sz w:val="16"/>
              </w:rPr>
            </w:pPr>
            <w:r>
              <w:rPr>
                <w:sz w:val="16"/>
              </w:rPr>
              <w:t>1,109</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sz w:val="16"/>
              </w:rPr>
            </w:pPr>
            <w:r>
              <w:rPr>
                <w:sz w:val="16"/>
              </w:rPr>
              <w:t>1,927,462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1,928,571</w:t>
            </w:r>
          </w:p>
        </w:tc>
        <w:tc>
          <w:tcPr>
            <w:tcW w:w="12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Employee share-based compensation (note 10.1)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20,037,059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2,761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13,224,459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(2,761</w:t>
            </w:r>
          </w:p>
        </w:tc>
        <w:tc>
          <w:tcPr>
            <w:tcW w:w="12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13,224,459</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(37,719,475</w:t>
            </w:r>
          </w:p>
        </w:tc>
        <w:tc>
          <w:tcPr>
            <w:tcW w:w="125"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(37,719,475</w:t>
            </w:r>
          </w:p>
        </w:tc>
        <w:tc>
          <w:tcPr>
            <w:tcW w:w="125" w:type="dxa"/>
            <w:tcBorders/>
            <w:shd w:fill="CCEEFF" w:val="clear"/>
            <w:vAlign w:val="bottom"/>
          </w:tcPr>
          <w:p>
            <w:pPr>
              <w:pStyle w:val="TableContents"/>
              <w:spacing w:before="0" w:after="283"/>
              <w:rPr>
                <w:sz w:val="16"/>
              </w:rPr>
            </w:pPr>
            <w:r>
              <w:rPr>
                <w:sz w:val="16"/>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Foreign currency translation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(501,131</w:t>
            </w:r>
          </w:p>
        </w:tc>
        <w:tc>
          <w:tcPr>
            <w:tcW w:w="12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(501,131</w:t>
            </w:r>
          </w:p>
        </w:tc>
        <w:tc>
          <w:tcPr>
            <w:tcW w:w="125" w:type="dxa"/>
            <w:tcBorders/>
            <w:shd w:fill="auto" w:val="clear"/>
            <w:vAlign w:val="bottom"/>
          </w:tcPr>
          <w:p>
            <w:pPr>
              <w:pStyle w:val="TableContents"/>
              <w:spacing w:before="0" w:after="283"/>
              <w:rPr>
                <w:sz w:val="16"/>
              </w:rPr>
            </w:pPr>
            <w:r>
              <w:rPr>
                <w:sz w:val="16"/>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2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0"/>
              <w:rPr/>
            </w:pPr>
            <w:r>
              <w:rPr/>
              <w:t> </w:t>
            </w:r>
          </w:p>
        </w:tc>
        <w:tc>
          <w:tcPr>
            <w:tcW w:w="783"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75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75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291"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1161"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428"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291"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r>
      <w:tr>
        <w:trPr/>
        <w:tc>
          <w:tcPr>
            <w:tcW w:w="101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Balance as at December 31, 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b/>
                <w:sz w:val="16"/>
              </w:rPr>
            </w:pPr>
            <w:r>
              <w:rPr>
                <w:b/>
                <w:sz w:val="16"/>
              </w:rPr>
              <w:t>891,818,882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b/>
                <w:sz w:val="16"/>
              </w:rPr>
            </w:pPr>
            <w:r>
              <w:rPr>
                <w:b/>
                <w:sz w:val="16"/>
              </w:rPr>
              <w:t>122,427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b/>
                <w:sz w:val="16"/>
              </w:rPr>
            </w:pPr>
            <w:r>
              <w:rPr>
                <w:b/>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b/>
                <w:sz w:val="16"/>
              </w:rPr>
            </w:pPr>
            <w:r>
              <w:rPr>
                <w:b/>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b/>
                <w:sz w:val="16"/>
              </w:rPr>
            </w:pPr>
            <w:r>
              <w:rPr>
                <w:b/>
                <w:sz w:val="16"/>
              </w:rPr>
              <w:t>28,039,517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b/>
                <w:sz w:val="16"/>
              </w:rPr>
            </w:pPr>
            <w:r>
              <w:rPr>
                <w:b/>
                <w:sz w:val="16"/>
              </w:rPr>
              <w:t>3,868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b/>
                <w:sz w:val="16"/>
              </w:rPr>
            </w:pPr>
            <w:r>
              <w:rPr>
                <w:b/>
                <w:sz w:val="16"/>
              </w:rPr>
              <w:t>83,692,381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b/>
                <w:sz w:val="16"/>
              </w:rPr>
            </w:pPr>
            <w:r>
              <w:rPr>
                <w:b/>
                <w:sz w:val="16"/>
              </w:rPr>
              <w:t>(85,066,104</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b/>
                <w:sz w:val="16"/>
              </w:rPr>
            </w:pPr>
            <w:r>
              <w:rPr>
                <w:b/>
                <w:sz w:val="16"/>
              </w:rPr>
              <w:t>(175,505</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b/>
                <w:sz w:val="16"/>
              </w:rPr>
            </w:pPr>
            <w:r>
              <w:rPr>
                <w:b/>
                <w:sz w:val="16"/>
              </w:rPr>
              <w:t>(503,008</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b/>
                <w:sz w:val="16"/>
              </w:rPr>
            </w:pPr>
            <w:r>
              <w:rPr>
                <w:b/>
                <w:sz w:val="16"/>
              </w:rPr>
              <w:t>(1,925,941</w:t>
            </w:r>
          </w:p>
        </w:tc>
        <w:tc>
          <w:tcPr>
            <w:tcW w:w="125" w:type="dxa"/>
            <w:tcBorders/>
            <w:shd w:fill="CCEEFF" w:val="clear"/>
            <w:vAlign w:val="bottom"/>
          </w:tcPr>
          <w:p>
            <w:pPr>
              <w:pStyle w:val="TableContents"/>
              <w:spacing w:before="0" w:after="283"/>
              <w:rPr>
                <w:b/>
                <w:sz w:val="16"/>
              </w:rPr>
            </w:pPr>
            <w:r>
              <w:rPr>
                <w:b/>
                <w:sz w:val="16"/>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Ordinary shares issued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2,040,816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166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2,499,754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2,499,920</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Ordinary shares issued for ANY (note 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6"/>
              </w:rPr>
            </w:pPr>
            <w:r>
              <w:rPr>
                <w:sz w:val="16"/>
              </w:rPr>
              <w:t>14,427,185</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sz w:val="16"/>
              </w:rPr>
            </w:pPr>
            <w:r>
              <w:rPr>
                <w:sz w:val="16"/>
              </w:rPr>
              <w:t>1,993</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sz w:val="4"/>
                <w:szCs w:val="4"/>
              </w:rPr>
            </w:pPr>
            <w:r>
              <w:rPr>
                <w:sz w:val="4"/>
                <w:szCs w:val="4"/>
              </w:rPr>
            </w:r>
          </w:p>
        </w:tc>
        <w:tc>
          <w:tcPr>
            <w:tcW w:w="7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sz w:val="16"/>
              </w:rPr>
            </w:pPr>
            <w:r>
              <w:rPr>
                <w:sz w:val="16"/>
              </w:rPr>
              <w:t>14,858,007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14,860,000</w:t>
            </w:r>
          </w:p>
        </w:tc>
        <w:tc>
          <w:tcPr>
            <w:tcW w:w="12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Share-based compensation to consultant (note 10.3)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5,000,000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677</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18,417,139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18,417,816</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Ordinary shares issued against exercise of warrants (note 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6"/>
              </w:rPr>
            </w:pPr>
            <w:r>
              <w:rPr>
                <w:sz w:val="16"/>
              </w:rPr>
              <w:t>1,700,000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sz w:val="16"/>
              </w:rPr>
            </w:pPr>
            <w:r>
              <w:rPr>
                <w:sz w:val="16"/>
              </w:rPr>
              <w:t>192</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sz w:val="16"/>
              </w:rPr>
            </w:pPr>
            <w:r>
              <w:rPr>
                <w:sz w:val="16"/>
              </w:rPr>
              <w:t>2,082,308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2,082,500</w:t>
            </w:r>
          </w:p>
        </w:tc>
        <w:tc>
          <w:tcPr>
            <w:tcW w:w="12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Share-based compensation  related parties (note 10.4)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27,246,461</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3,215</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39,498,486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(3,215</w:t>
            </w:r>
          </w:p>
        </w:tc>
        <w:tc>
          <w:tcPr>
            <w:tcW w:w="12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39,498,486</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Employee share-based compensation (note 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sz w:val="16"/>
              </w:rPr>
            </w:pPr>
            <w:r>
              <w:rPr>
                <w:sz w:val="16"/>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sz w:val="16"/>
              </w:rPr>
            </w:pPr>
            <w:r>
              <w:rPr>
                <w:sz w:val="16"/>
              </w:rPr>
              <w:t>2,115,015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2,115,015</w:t>
            </w:r>
          </w:p>
        </w:tc>
        <w:tc>
          <w:tcPr>
            <w:tcW w:w="125" w:type="dxa"/>
            <w:tcBorders/>
            <w:shd w:fill="CCEEFF" w:val="clear"/>
            <w:vAlign w:val="bottom"/>
          </w:tcPr>
          <w:p>
            <w:pPr>
              <w:pStyle w:val="TableContents"/>
              <w:spacing w:before="0" w:after="283"/>
              <w:rPr/>
            </w:pPr>
            <w:r>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ANY deferred shares (note 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(14,427,185</w:t>
            </w:r>
          </w:p>
        </w:tc>
        <w:tc>
          <w:tcPr>
            <w:tcW w:w="12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(1,993</w:t>
            </w:r>
          </w:p>
        </w:tc>
        <w:tc>
          <w:tcPr>
            <w:tcW w:w="12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14,427,185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1,993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10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0"/>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92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78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sz w:val="4"/>
                <w:szCs w:val="4"/>
              </w:rPr>
            </w:pPr>
            <w:r>
              <w:rPr>
                <w:sz w:val="4"/>
                <w:szCs w:val="4"/>
              </w:rPr>
            </w:r>
          </w:p>
        </w:tc>
        <w:tc>
          <w:tcPr>
            <w:tcW w:w="7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83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sz w:val="4"/>
                <w:szCs w:val="4"/>
              </w:rPr>
            </w:pPr>
            <w:r>
              <w:rPr>
                <w:sz w:val="4"/>
                <w:szCs w:val="4"/>
              </w:rPr>
            </w:r>
          </w:p>
        </w:tc>
        <w:tc>
          <w:tcPr>
            <w:tcW w:w="7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103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(104,105,438</w:t>
            </w:r>
          </w:p>
        </w:tc>
        <w:tc>
          <w:tcPr>
            <w:tcW w:w="125" w:type="dxa"/>
            <w:tcBorders/>
            <w:shd w:fill="CCEEFF" w:val="clear"/>
            <w:vAlign w:val="bottom"/>
          </w:tcPr>
          <w:p>
            <w:pPr>
              <w:pStyle w:val="TableContents"/>
              <w:spacing w:before="0" w:after="283"/>
              <w:rPr>
                <w:sz w:val="16"/>
              </w:rPr>
            </w:pPr>
            <w:r>
              <w:rPr>
                <w:sz w:val="16"/>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sz w:val="16"/>
              </w:rPr>
            </w:pPr>
            <w:r>
              <w:rPr>
                <w:sz w:val="16"/>
              </w:rPr>
              <w:t>  </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sz w:val="16"/>
              </w:rPr>
            </w:pPr>
            <w:r>
              <w:rPr>
                <w:sz w:val="16"/>
              </w:rPr>
              <w:t>(104,105,438</w:t>
            </w:r>
          </w:p>
        </w:tc>
        <w:tc>
          <w:tcPr>
            <w:tcW w:w="125" w:type="dxa"/>
            <w:tcBorders/>
            <w:shd w:fill="CCEEFF" w:val="clear"/>
            <w:vAlign w:val="bottom"/>
          </w:tcPr>
          <w:p>
            <w:pPr>
              <w:pStyle w:val="TableContents"/>
              <w:spacing w:before="0" w:after="283"/>
              <w:rPr>
                <w:sz w:val="16"/>
              </w:rPr>
            </w:pPr>
            <w:r>
              <w:rPr>
                <w:sz w:val="16"/>
              </w:rPr>
              <w:t>) </w:t>
            </w:r>
          </w:p>
        </w:tc>
      </w:tr>
      <w:tr>
        <w:trPr/>
        <w:tc>
          <w:tcPr>
            <w:tcW w:w="1010" w:type="dxa"/>
            <w:tcBorders/>
            <w:shd w:fill="auto" w:val="clear"/>
          </w:tcPr>
          <w:p>
            <w:pPr>
              <w:pStyle w:val="TableContents"/>
              <w:spacing w:before="0" w:after="0"/>
              <w:rPr>
                <w:rFonts w:ascii="Times New Roman" w:hAnsi="Times New Roman"/>
                <w:sz w:val="16"/>
              </w:rPr>
            </w:pPr>
            <w:r>
              <w:rPr>
                <w:rFonts w:ascii="Times New Roman" w:hAnsi="Times New Roman"/>
                <w:sz w:val="16"/>
              </w:rPr>
              <w:t>Foreign currency translation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83"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754"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sz w:val="16"/>
              </w:rPr>
            </w:pPr>
            <w:r>
              <w:rPr>
                <w:sz w:val="16"/>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sz w:val="16"/>
              </w:rPr>
            </w:pPr>
            <w:r>
              <w:rPr>
                <w:sz w:val="16"/>
              </w:rPr>
              <w:t>  </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sz w:val="16"/>
              </w:rPr>
            </w:pPr>
            <w:r>
              <w:rPr>
                <w:sz w:val="16"/>
              </w:rPr>
              <w:t>(757,356</w:t>
            </w:r>
          </w:p>
        </w:tc>
        <w:tc>
          <w:tcPr>
            <w:tcW w:w="125" w:type="dxa"/>
            <w:tcBorders/>
            <w:shd w:fill="auto" w:val="clear"/>
            <w:vAlign w:val="bottom"/>
          </w:tcPr>
          <w:p>
            <w:pPr>
              <w:pStyle w:val="TableContents"/>
              <w:spacing w:before="0" w:after="283"/>
              <w:rPr>
                <w:sz w:val="16"/>
              </w:rPr>
            </w:pPr>
            <w:r>
              <w:rPr>
                <w:sz w:val="16"/>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291" w:type="dxa"/>
            <w:tcBorders/>
            <w:shd w:fill="auto" w:val="clear"/>
            <w:vAlign w:val="bottom"/>
          </w:tcPr>
          <w:p>
            <w:pPr>
              <w:pStyle w:val="TableContents"/>
              <w:spacing w:before="0" w:after="283"/>
              <w:jc w:val="right"/>
              <w:rPr>
                <w:sz w:val="16"/>
              </w:rPr>
            </w:pPr>
            <w:r>
              <w:rPr>
                <w:sz w:val="16"/>
              </w:rPr>
              <w:t>(757,356</w:t>
            </w:r>
          </w:p>
        </w:tc>
        <w:tc>
          <w:tcPr>
            <w:tcW w:w="125" w:type="dxa"/>
            <w:tcBorders/>
            <w:shd w:fill="auto" w:val="clear"/>
            <w:vAlign w:val="bottom"/>
          </w:tcPr>
          <w:p>
            <w:pPr>
              <w:pStyle w:val="TableContents"/>
              <w:spacing w:before="0" w:after="283"/>
              <w:rPr>
                <w:sz w:val="16"/>
              </w:rPr>
            </w:pPr>
            <w:r>
              <w:rPr>
                <w:sz w:val="16"/>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2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0"/>
              <w:rPr/>
            </w:pPr>
            <w:r>
              <w:rPr/>
              <w:t> </w:t>
            </w:r>
          </w:p>
        </w:tc>
        <w:tc>
          <w:tcPr>
            <w:tcW w:w="783"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75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3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single" w:sz="2" w:space="1" w:color="000000"/>
              </w:pBdr>
              <w:spacing w:before="0" w:after="0"/>
              <w:rPr/>
            </w:pPr>
            <w:r>
              <w:rPr/>
              <w:t> </w:t>
            </w:r>
          </w:p>
        </w:tc>
        <w:tc>
          <w:tcPr>
            <w:tcW w:w="75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single" w:sz="2" w:space="1" w:color="000000"/>
              </w:pBdr>
              <w:spacing w:before="0" w:after="0"/>
              <w:rPr/>
            </w:pPr>
            <w:r>
              <w:rPr/>
              <w:t> </w:t>
            </w:r>
          </w:p>
        </w:tc>
        <w:tc>
          <w:tcPr>
            <w:tcW w:w="103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291"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single" w:sz="2" w:space="1" w:color="000000"/>
              </w:pBdr>
              <w:spacing w:before="0" w:after="0"/>
              <w:rPr/>
            </w:pPr>
            <w:r>
              <w:rPr/>
              <w:t> </w:t>
            </w:r>
          </w:p>
        </w:tc>
        <w:tc>
          <w:tcPr>
            <w:tcW w:w="1161"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single" w:sz="2" w:space="1" w:color="000000"/>
              </w:pBdr>
              <w:spacing w:before="0" w:after="0"/>
              <w:rPr/>
            </w:pPr>
            <w:r>
              <w:rPr/>
              <w:t> </w:t>
            </w:r>
          </w:p>
        </w:tc>
        <w:tc>
          <w:tcPr>
            <w:tcW w:w="1428"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291"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r>
      <w:tr>
        <w:trPr/>
        <w:tc>
          <w:tcPr>
            <w:tcW w:w="1010" w:type="dxa"/>
            <w:tcBorders/>
            <w:shd w:fill="CCEEFF" w:val="clear"/>
            <w:vAlign w:val="bottom"/>
          </w:tcPr>
          <w:p>
            <w:pPr>
              <w:pStyle w:val="TableContents"/>
              <w:spacing w:before="0" w:after="0"/>
              <w:rPr>
                <w:rFonts w:ascii="Times New Roman" w:hAnsi="Times New Roman"/>
                <w:b/>
                <w:sz w:val="16"/>
              </w:rPr>
            </w:pPr>
            <w:r>
              <w:rPr>
                <w:rFonts w:ascii="Times New Roman" w:hAnsi="Times New Roman"/>
                <w:b/>
                <w:sz w:val="16"/>
              </w:rPr>
              <w:t>Balance as at December 31, 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b/>
                <w:sz w:val="16"/>
              </w:rPr>
            </w:pPr>
            <w:r>
              <w:rPr>
                <w:b/>
                <w:sz w:val="16"/>
              </w:rPr>
              <w:t>927,806,159</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83" w:type="dxa"/>
            <w:tcBorders/>
            <w:shd w:fill="CCEEFF" w:val="clear"/>
            <w:vAlign w:val="bottom"/>
          </w:tcPr>
          <w:p>
            <w:pPr>
              <w:pStyle w:val="TableContents"/>
              <w:spacing w:before="0" w:after="283"/>
              <w:jc w:val="right"/>
              <w:rPr>
                <w:b/>
                <w:sz w:val="16"/>
              </w:rPr>
            </w:pPr>
            <w:r>
              <w:rPr>
                <w:b/>
                <w:sz w:val="16"/>
              </w:rPr>
              <w:t>126,677</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b/>
                <w:sz w:val="16"/>
              </w:rPr>
            </w:pPr>
            <w:r>
              <w:rPr>
                <w:b/>
                <w:sz w:val="16"/>
              </w:rPr>
              <w:t>14,427,185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b/>
                <w:sz w:val="16"/>
              </w:rPr>
            </w:pPr>
            <w:r>
              <w:rPr>
                <w:b/>
                <w:sz w:val="16"/>
              </w:rPr>
              <w:t>1,993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0" w:type="dxa"/>
            <w:tcBorders/>
            <w:shd w:fill="CCEEFF" w:val="clear"/>
            <w:vAlign w:val="bottom"/>
          </w:tcPr>
          <w:p>
            <w:pPr>
              <w:pStyle w:val="TableContents"/>
              <w:spacing w:before="0" w:after="283"/>
              <w:jc w:val="right"/>
              <w:rPr>
                <w:b/>
                <w:sz w:val="16"/>
              </w:rPr>
            </w:pPr>
            <w:r>
              <w:rPr>
                <w:b/>
                <w:sz w:val="16"/>
              </w:rPr>
              <w:t>28,039,517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754" w:type="dxa"/>
            <w:tcBorders/>
            <w:shd w:fill="CCEEFF" w:val="clear"/>
            <w:vAlign w:val="bottom"/>
          </w:tcPr>
          <w:p>
            <w:pPr>
              <w:pStyle w:val="TableContents"/>
              <w:spacing w:before="0" w:after="283"/>
              <w:jc w:val="right"/>
              <w:rPr>
                <w:b/>
                <w:sz w:val="16"/>
              </w:rPr>
            </w:pPr>
            <w:r>
              <w:rPr>
                <w:b/>
                <w:sz w:val="16"/>
              </w:rPr>
              <w:t>3,868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b/>
                <w:sz w:val="16"/>
              </w:rPr>
            </w:pPr>
            <w:r>
              <w:rPr>
                <w:b/>
                <w:sz w:val="16"/>
              </w:rPr>
              <w:t>163,163,090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b/>
                <w:sz w:val="16"/>
              </w:rPr>
            </w:pPr>
            <w:r>
              <w:rPr>
                <w:b/>
                <w:sz w:val="16"/>
              </w:rPr>
              <w:t>(189,171,542</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b/>
                <w:sz w:val="16"/>
              </w:rPr>
            </w:pPr>
            <w:r>
              <w:rPr>
                <w:b/>
                <w:sz w:val="16"/>
              </w:rPr>
              <w:t>(178,720</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b/>
                <w:sz w:val="16"/>
              </w:rPr>
            </w:pPr>
            <w:r>
              <w:rPr>
                <w:b/>
                <w:sz w:val="16"/>
              </w:rPr>
              <w:t>(1,260,364</w:t>
            </w:r>
          </w:p>
        </w:tc>
        <w:tc>
          <w:tcPr>
            <w:tcW w:w="125" w:type="dxa"/>
            <w:tcBorders/>
            <w:shd w:fill="CCEEFF" w:val="clear"/>
            <w:vAlign w:val="bottom"/>
          </w:tcPr>
          <w:p>
            <w:pPr>
              <w:pStyle w:val="TableContents"/>
              <w:spacing w:before="0" w:after="283"/>
              <w:rPr>
                <w:b/>
                <w:sz w:val="16"/>
              </w:rPr>
            </w:pPr>
            <w:r>
              <w:rPr>
                <w:b/>
                <w:sz w:val="16"/>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291" w:type="dxa"/>
            <w:tcBorders/>
            <w:shd w:fill="CCEEFF" w:val="clear"/>
            <w:vAlign w:val="bottom"/>
          </w:tcPr>
          <w:p>
            <w:pPr>
              <w:pStyle w:val="TableContents"/>
              <w:spacing w:before="0" w:after="283"/>
              <w:jc w:val="right"/>
              <w:rPr>
                <w:b/>
                <w:sz w:val="16"/>
              </w:rPr>
            </w:pPr>
            <w:r>
              <w:rPr>
                <w:b/>
                <w:sz w:val="16"/>
              </w:rPr>
              <w:t>(27,314,998</w:t>
            </w:r>
          </w:p>
        </w:tc>
        <w:tc>
          <w:tcPr>
            <w:tcW w:w="125" w:type="dxa"/>
            <w:tcBorders/>
            <w:shd w:fill="CCEEFF" w:val="clear"/>
            <w:vAlign w:val="bottom"/>
          </w:tcPr>
          <w:p>
            <w:pPr>
              <w:pStyle w:val="TableContents"/>
              <w:spacing w:before="0" w:after="283"/>
              <w:rPr>
                <w:b/>
                <w:sz w:val="16"/>
              </w:rPr>
            </w:pPr>
            <w:r>
              <w:rPr>
                <w:b/>
                <w:sz w:val="16"/>
              </w:rPr>
              <w:t>)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920"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double" w:sz="6" w:space="1" w:color="000000"/>
              </w:pBdr>
              <w:spacing w:before="0" w:after="0"/>
              <w:rPr/>
            </w:pPr>
            <w:r>
              <w:rPr/>
              <w:t> </w:t>
            </w:r>
          </w:p>
        </w:tc>
        <w:tc>
          <w:tcPr>
            <w:tcW w:w="783"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83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double" w:sz="6" w:space="1" w:color="000000"/>
              </w:pBdr>
              <w:spacing w:before="0" w:after="0"/>
              <w:rPr/>
            </w:pPr>
            <w:r>
              <w:rPr/>
              <w:t> </w:t>
            </w:r>
          </w:p>
        </w:tc>
        <w:tc>
          <w:tcPr>
            <w:tcW w:w="75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83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pBdr>
                <w:top w:val="double" w:sz="6" w:space="1" w:color="000000"/>
              </w:pBdr>
              <w:spacing w:before="0" w:after="0"/>
              <w:rPr/>
            </w:pPr>
            <w:r>
              <w:rPr/>
              <w:t> </w:t>
            </w:r>
          </w:p>
        </w:tc>
        <w:tc>
          <w:tcPr>
            <w:tcW w:w="75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pBdr>
                <w:top w:val="double" w:sz="6" w:space="1" w:color="000000"/>
              </w:pBdr>
              <w:spacing w:before="0" w:after="0"/>
              <w:rPr/>
            </w:pPr>
            <w:r>
              <w:rPr/>
              <w:t> </w:t>
            </w:r>
          </w:p>
        </w:tc>
        <w:tc>
          <w:tcPr>
            <w:tcW w:w="103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double" w:sz="6" w:space="1" w:color="000000"/>
              </w:pBdr>
              <w:spacing w:before="0" w:after="0"/>
              <w:rPr/>
            </w:pPr>
            <w:r>
              <w:rPr/>
              <w:t> </w:t>
            </w:r>
          </w:p>
        </w:tc>
        <w:tc>
          <w:tcPr>
            <w:tcW w:w="1291"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pBdr>
                <w:top w:val="double" w:sz="6" w:space="1" w:color="000000"/>
              </w:pBdr>
              <w:spacing w:before="0" w:after="0"/>
              <w:rPr/>
            </w:pPr>
            <w:r>
              <w:rPr/>
              <w:t> </w:t>
            </w:r>
          </w:p>
        </w:tc>
        <w:tc>
          <w:tcPr>
            <w:tcW w:w="1161"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pBdr>
                <w:top w:val="double" w:sz="6" w:space="1" w:color="000000"/>
              </w:pBdr>
              <w:spacing w:before="0" w:after="0"/>
              <w:rPr/>
            </w:pPr>
            <w:r>
              <w:rPr/>
              <w:t> </w:t>
            </w:r>
          </w:p>
        </w:tc>
        <w:tc>
          <w:tcPr>
            <w:tcW w:w="1428"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double" w:sz="6" w:space="1" w:color="000000"/>
              </w:pBdr>
              <w:spacing w:before="0" w:after="0"/>
              <w:rPr/>
            </w:pPr>
            <w:r>
              <w:rPr/>
              <w:t> </w:t>
            </w:r>
          </w:p>
        </w:tc>
        <w:tc>
          <w:tcPr>
            <w:tcW w:w="1291" w:type="dxa"/>
            <w:tcBorders/>
            <w:shd w:fill="auto" w:val="clear"/>
            <w:vAlign w:val="bottom"/>
          </w:tcPr>
          <w:p>
            <w:pPr>
              <w:pStyle w:val="TableContents"/>
              <w:pBdr>
                <w:top w:val="double" w:sz="6" w:space="1" w:color="000000"/>
              </w:pBdr>
              <w:spacing w:before="0" w:after="0"/>
              <w:rPr/>
            </w:pPr>
            <w:r>
              <w:rPr/>
              <w:t> </w:t>
            </w:r>
          </w:p>
        </w:tc>
        <w:tc>
          <w:tcPr>
            <w:tcW w:w="125"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bookmarkStart w:id="44" w:name="fin309194_6"/>
      <w:bookmarkEnd w:id="44"/>
      <w:r>
        <w:rPr>
          <w:rFonts w:ascii="Times New Roman" w:hAnsi="Times New Roman"/>
          <w:b/>
          <w:sz w:val="20"/>
        </w:rPr>
        <w:t xml:space="preserve">Carve-out Consolidated Statements of Cash Flows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08"/>
        <w:gridCol w:w="225"/>
        <w:gridCol w:w="148"/>
        <w:gridCol w:w="1353"/>
        <w:gridCol w:w="155"/>
        <w:gridCol w:w="198"/>
        <w:gridCol w:w="152"/>
        <w:gridCol w:w="1340"/>
        <w:gridCol w:w="160"/>
      </w:tblGrid>
      <w:tr>
        <w:trPr/>
        <w:tc>
          <w:tcPr>
            <w:tcW w:w="680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80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5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br/>
              <w:t>2022</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4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 ended</w:t>
              <w:br/>
              <w:t>December 31,</w:t>
              <w:br/>
              <w:t>2021</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13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4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1353" w:type="dxa"/>
            <w:tcBorders/>
            <w:shd w:fill="auto" w:val="clear"/>
            <w:vAlign w:val="bottom"/>
          </w:tcPr>
          <w:p>
            <w:pPr>
              <w:pStyle w:val="TableContents"/>
              <w:spacing w:before="0" w:after="283"/>
              <w:jc w:val="right"/>
              <w:rPr/>
            </w:pPr>
            <w:r>
              <w:rPr/>
              <w:t>(104,105,438</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40" w:type="dxa"/>
            <w:tcBorders/>
            <w:shd w:fill="auto" w:val="clear"/>
            <w:vAlign w:val="bottom"/>
          </w:tcPr>
          <w:p>
            <w:pPr>
              <w:pStyle w:val="TableContents"/>
              <w:spacing w:before="0" w:after="283"/>
              <w:jc w:val="right"/>
              <w:rPr/>
            </w:pPr>
            <w:r>
              <w:rPr/>
              <w:t>(37,719,475</w:t>
            </w:r>
          </w:p>
        </w:tc>
        <w:tc>
          <w:tcPr>
            <w:tcW w:w="160" w:type="dxa"/>
            <w:tcBorders/>
            <w:shd w:fill="auto" w:val="clear"/>
            <w:vAlign w:val="bottom"/>
          </w:tcPr>
          <w:p>
            <w:pPr>
              <w:pStyle w:val="TableContents"/>
              <w:spacing w:before="0" w:after="283"/>
              <w:rPr/>
            </w:pPr>
            <w:r>
              <w:rPr/>
              <w:t>) </w:t>
            </w:r>
          </w:p>
        </w:tc>
      </w:tr>
      <w:tr>
        <w:trPr>
          <w:trHeight w:val="120" w:hRule="atLeast"/>
        </w:trPr>
        <w:tc>
          <w:tcPr>
            <w:tcW w:w="6808" w:type="dxa"/>
            <w:tcBorders/>
            <w:shd w:fill="auto" w:val="clear"/>
            <w:vAlign w:val="center"/>
          </w:tcPr>
          <w:p>
            <w:pPr>
              <w:pStyle w:val="TableContents"/>
              <w:spacing w:before="0" w:after="283"/>
              <w:rPr>
                <w:sz w:val="4"/>
                <w:szCs w:val="4"/>
              </w:rPr>
            </w:pPr>
            <w:r>
              <w:rPr>
                <w:sz w:val="4"/>
                <w:szCs w:val="4"/>
              </w:rPr>
            </w:r>
          </w:p>
        </w:tc>
        <w:tc>
          <w:tcPr>
            <w:tcW w:w="1881" w:type="dxa"/>
            <w:gridSpan w:val="4"/>
            <w:tcBorders/>
            <w:shd w:fill="auto" w:val="clear"/>
            <w:vAlign w:val="center"/>
          </w:tcPr>
          <w:p>
            <w:pPr>
              <w:pStyle w:val="TableContents"/>
              <w:spacing w:before="0" w:after="283"/>
              <w:rPr>
                <w:sz w:val="4"/>
                <w:szCs w:val="4"/>
              </w:rPr>
            </w:pPr>
            <w:r>
              <w:rPr>
                <w:sz w:val="4"/>
                <w:szCs w:val="4"/>
              </w:rPr>
            </w:r>
          </w:p>
        </w:tc>
        <w:tc>
          <w:tcPr>
            <w:tcW w:w="1850" w:type="dxa"/>
            <w:gridSpan w:val="4"/>
            <w:tcBorders/>
            <w:shd w:fill="auto" w:val="clear"/>
            <w:vAlign w:val="center"/>
          </w:tcPr>
          <w:p>
            <w:pPr>
              <w:pStyle w:val="TableContents"/>
              <w:spacing w:before="0" w:after="283"/>
              <w:rPr>
                <w:sz w:val="4"/>
                <w:szCs w:val="4"/>
              </w:rPr>
            </w:pPr>
            <w:r>
              <w:rPr>
                <w:sz w:val="4"/>
                <w:szCs w:val="4"/>
              </w:rPr>
            </w:r>
          </w:p>
        </w:tc>
      </w:tr>
      <w:tr>
        <w:trPr/>
        <w:tc>
          <w:tcPr>
            <w:tcW w:w="6808" w:type="dxa"/>
            <w:tcBorders/>
            <w:shd w:fill="CCEEFF" w:val="clear"/>
          </w:tcPr>
          <w:p>
            <w:pPr>
              <w:pStyle w:val="TableContents"/>
              <w:spacing w:before="0" w:after="0"/>
              <w:rPr>
                <w:rFonts w:ascii="Times New Roman" w:hAnsi="Times New Roman"/>
                <w:b/>
                <w:sz w:val="20"/>
              </w:rPr>
            </w:pPr>
            <w:r>
              <w:rPr>
                <w:rFonts w:ascii="Times New Roman" w:hAnsi="Times New Roman"/>
                <w:b/>
                <w:sz w:val="20"/>
              </w:rPr>
              <w:t>Adjustments to reconcile net loss to net cash (used in) operating activities: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13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4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742,113</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460,491</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Unrealized foreign exchange (gain)/loss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(277,838</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714,914</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Share based compensation issued to related parties for consultancy services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39,501,701</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13,227,220</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Share based compensation for consultancy services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18,417,816</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3,460,799</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Employee share based compensation</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2,115,015</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Share based compensation</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1,029,779</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ROU asset, net of lease termination</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46,236</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prepayments and other current assets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731,940</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accounts receivable</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334,952</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goodwill</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7,418,302</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benefit</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(243,835</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(49,956</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3,884,698</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301,594</w:t>
            </w:r>
          </w:p>
        </w:tc>
        <w:tc>
          <w:tcPr>
            <w:tcW w:w="160" w:type="dxa"/>
            <w:tcBorders/>
            <w:shd w:fill="CCEEFF" w:val="clear"/>
            <w:vAlign w:val="bottom"/>
          </w:tcPr>
          <w:p>
            <w:pPr>
              <w:pStyle w:val="TableContents"/>
              <w:spacing w:before="0" w:after="283"/>
              <w:rPr/>
            </w:pPr>
            <w:r>
              <w:rPr/>
              <w:t> </w:t>
            </w:r>
          </w:p>
        </w:tc>
      </w:tr>
      <w:tr>
        <w:trPr>
          <w:trHeight w:val="120" w:hRule="atLeast"/>
        </w:trPr>
        <w:tc>
          <w:tcPr>
            <w:tcW w:w="6808" w:type="dxa"/>
            <w:tcBorders/>
            <w:shd w:fill="auto" w:val="clear"/>
            <w:vAlign w:val="center"/>
          </w:tcPr>
          <w:p>
            <w:pPr>
              <w:pStyle w:val="TableContents"/>
              <w:spacing w:before="0" w:after="283"/>
              <w:rPr>
                <w:sz w:val="4"/>
                <w:szCs w:val="4"/>
              </w:rPr>
            </w:pPr>
            <w:r>
              <w:rPr>
                <w:sz w:val="4"/>
                <w:szCs w:val="4"/>
              </w:rPr>
            </w:r>
          </w:p>
        </w:tc>
        <w:tc>
          <w:tcPr>
            <w:tcW w:w="1881" w:type="dxa"/>
            <w:gridSpan w:val="4"/>
            <w:tcBorders/>
            <w:shd w:fill="auto" w:val="clear"/>
            <w:vAlign w:val="center"/>
          </w:tcPr>
          <w:p>
            <w:pPr>
              <w:pStyle w:val="TableContents"/>
              <w:spacing w:before="0" w:after="283"/>
              <w:rPr>
                <w:sz w:val="4"/>
                <w:szCs w:val="4"/>
              </w:rPr>
            </w:pPr>
            <w:r>
              <w:rPr>
                <w:sz w:val="4"/>
                <w:szCs w:val="4"/>
              </w:rPr>
            </w:r>
          </w:p>
        </w:tc>
        <w:tc>
          <w:tcPr>
            <w:tcW w:w="1850" w:type="dxa"/>
            <w:gridSpan w:val="4"/>
            <w:tcBorders/>
            <w:shd w:fill="auto" w:val="clear"/>
            <w:vAlign w:val="center"/>
          </w:tcPr>
          <w:p>
            <w:pPr>
              <w:pStyle w:val="TableContents"/>
              <w:spacing w:before="0" w:after="283"/>
              <w:rPr>
                <w:sz w:val="4"/>
                <w:szCs w:val="4"/>
              </w:rPr>
            </w:pPr>
            <w:r>
              <w:rPr>
                <w:sz w:val="4"/>
                <w:szCs w:val="4"/>
              </w:rPr>
            </w:r>
          </w:p>
        </w:tc>
      </w:tr>
      <w:tr>
        <w:trPr/>
        <w:tc>
          <w:tcPr>
            <w:tcW w:w="6808" w:type="dxa"/>
            <w:tcBorders/>
            <w:shd w:fill="auto" w:val="clear"/>
          </w:tcPr>
          <w:p>
            <w:pPr>
              <w:pStyle w:val="TableContents"/>
              <w:spacing w:before="0" w:after="0"/>
              <w:rPr>
                <w:rFonts w:ascii="Times New Roman" w:hAnsi="Times New Roman"/>
                <w:b/>
                <w:sz w:val="20"/>
              </w:rPr>
            </w:pPr>
            <w:r>
              <w:rPr>
                <w:rFonts w:ascii="Times New Roman" w:hAnsi="Times New Roman"/>
                <w:b/>
                <w:sz w:val="20"/>
              </w:rPr>
              <w:t>Changes in operating assets and liabilities: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13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4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Decrease/(increase) in accounts receivable</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232,641</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(1,244,511</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(Increase) in prepayment and other current assets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(215,468</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(1,409,308</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(Decrease) in operating lease liability</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(46,236</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(11,870</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Decrease / (increase) in receivable with related parties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168,754</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(21,629</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Increase in accounts payable, accrued expenses and other payables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4,766,607</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1,542,066</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Decrease in payables to related parties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(234,880</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(725,000</w:t>
            </w:r>
          </w:p>
        </w:tc>
        <w:tc>
          <w:tcPr>
            <w:tcW w:w="160"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cash (used in) operating activities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b/>
              </w:rPr>
            </w:pPr>
            <w:r>
              <w:rPr>
                <w:b/>
              </w:rPr>
              <w:t>(26,762,920</w:t>
            </w:r>
          </w:p>
        </w:tc>
        <w:tc>
          <w:tcPr>
            <w:tcW w:w="155" w:type="dxa"/>
            <w:tcBorders/>
            <w:shd w:fill="CCEEFF" w:val="clear"/>
            <w:vAlign w:val="bottom"/>
          </w:tcPr>
          <w:p>
            <w:pPr>
              <w:pStyle w:val="TableContents"/>
              <w:spacing w:before="0" w:after="283"/>
              <w:rPr>
                <w:b/>
              </w:rPr>
            </w:pPr>
            <w:r>
              <w:rPr>
                <w:b/>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b/>
              </w:rPr>
            </w:pPr>
            <w:r>
              <w:rPr>
                <w:b/>
              </w:rPr>
              <w:t>(20,444,886</w:t>
            </w:r>
          </w:p>
        </w:tc>
        <w:tc>
          <w:tcPr>
            <w:tcW w:w="160" w:type="dxa"/>
            <w:tcBorders/>
            <w:shd w:fill="CCEEFF" w:val="clear"/>
            <w:vAlign w:val="bottom"/>
          </w:tcPr>
          <w:p>
            <w:pPr>
              <w:pStyle w:val="TableContents"/>
              <w:spacing w:before="0" w:after="283"/>
              <w:rPr>
                <w:b/>
              </w:rPr>
            </w:pPr>
            <w:r>
              <w:rPr>
                <w:b/>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13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4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Purchase of property and equipment</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(25,973</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(117,936</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cash (used in) investing activities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b/>
              </w:rPr>
            </w:pPr>
            <w:r>
              <w:rPr>
                <w:b/>
              </w:rPr>
              <w:t>(25,973</w:t>
            </w:r>
          </w:p>
        </w:tc>
        <w:tc>
          <w:tcPr>
            <w:tcW w:w="155" w:type="dxa"/>
            <w:tcBorders/>
            <w:shd w:fill="auto" w:val="clear"/>
            <w:vAlign w:val="bottom"/>
          </w:tcPr>
          <w:p>
            <w:pPr>
              <w:pStyle w:val="TableContents"/>
              <w:spacing w:before="0" w:after="283"/>
              <w:rPr>
                <w:b/>
              </w:rPr>
            </w:pPr>
            <w:r>
              <w:rPr>
                <w:b/>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b/>
              </w:rPr>
            </w:pPr>
            <w:r>
              <w:rPr>
                <w:b/>
              </w:rPr>
              <w:t>(117,936</w:t>
            </w:r>
          </w:p>
        </w:tc>
        <w:tc>
          <w:tcPr>
            <w:tcW w:w="160" w:type="dxa"/>
            <w:tcBorders/>
            <w:shd w:fill="auto" w:val="clear"/>
            <w:vAlign w:val="bottom"/>
          </w:tcPr>
          <w:p>
            <w:pPr>
              <w:pStyle w:val="TableContents"/>
              <w:spacing w:before="0" w:after="283"/>
              <w:rPr>
                <w:b/>
              </w:rPr>
            </w:pPr>
            <w:r>
              <w:rPr>
                <w:b/>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13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4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issuance of series A preferred shares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1,765,000</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issuance of series A preferred shares to related parties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12,000,000</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issuance of ordinary shares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2,499,920</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Call-up capital received from related party</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603,816</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exercise of warrants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1,928,571</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long-term debt obligation</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21,500,000</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2,500,000</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cash flow generated from financing activities</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b/>
              </w:rPr>
            </w:pPr>
            <w:r>
              <w:rPr>
                <w:b/>
              </w:rPr>
              <w:t>23,999,920</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b/>
              </w:rPr>
            </w:pPr>
            <w:r>
              <w:rPr>
                <w:b/>
              </w:rPr>
              <w:t>18,785,517</w:t>
            </w:r>
          </w:p>
        </w:tc>
        <w:tc>
          <w:tcPr>
            <w:tcW w:w="160"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Effect of exchange rate changes on cash</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b/>
              </w:rPr>
            </w:pPr>
            <w:r>
              <w:rPr>
                <w:b/>
              </w:rPr>
              <w:t>140,658</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b/>
              </w:rPr>
            </w:pPr>
            <w:r>
              <w:rPr>
                <w:b/>
              </w:rPr>
              <w:t>(84,440</w:t>
            </w:r>
          </w:p>
        </w:tc>
        <w:tc>
          <w:tcPr>
            <w:tcW w:w="160" w:type="dxa"/>
            <w:tcBorders/>
            <w:shd w:fill="CCEEFF" w:val="clear"/>
            <w:vAlign w:val="bottom"/>
          </w:tcPr>
          <w:p>
            <w:pPr>
              <w:pStyle w:val="TableContents"/>
              <w:spacing w:before="0" w:after="283"/>
              <w:rPr>
                <w:b/>
              </w:rPr>
            </w:pPr>
            <w:r>
              <w:rPr>
                <w:b/>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4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change in cash</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b/>
              </w:rPr>
            </w:pPr>
            <w:r>
              <w:rPr>
                <w:b/>
              </w:rPr>
              <w:t>(2,648,315</w:t>
            </w:r>
          </w:p>
        </w:tc>
        <w:tc>
          <w:tcPr>
            <w:tcW w:w="155" w:type="dxa"/>
            <w:tcBorders/>
            <w:shd w:fill="auto" w:val="clear"/>
            <w:vAlign w:val="bottom"/>
          </w:tcPr>
          <w:p>
            <w:pPr>
              <w:pStyle w:val="TableContents"/>
              <w:spacing w:before="0" w:after="283"/>
              <w:rPr>
                <w:b/>
              </w:rPr>
            </w:pPr>
            <w:r>
              <w:rPr>
                <w:b/>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b/>
              </w:rPr>
            </w:pPr>
            <w:r>
              <w:rPr>
                <w:b/>
              </w:rPr>
              <w:t>(1,849,875</w:t>
            </w:r>
          </w:p>
        </w:tc>
        <w:tc>
          <w:tcPr>
            <w:tcW w:w="160" w:type="dxa"/>
            <w:tcBorders/>
            <w:shd w:fill="auto" w:val="clear"/>
            <w:vAlign w:val="bottom"/>
          </w:tcPr>
          <w:p>
            <w:pPr>
              <w:pStyle w:val="TableContents"/>
              <w:spacing w:before="0" w:after="283"/>
              <w:rPr>
                <w:b/>
              </w:rPr>
            </w:pPr>
            <w:r>
              <w:rPr>
                <w:b/>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Cash and cash equivalents, beginning of year</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2,690,024</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4,539,899</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35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40"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Cash and cash equivalents, end of year</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b/>
              </w:rPr>
            </w:pPr>
            <w:r>
              <w:rPr>
                <w:b/>
              </w:rPr>
              <w:t>41,709</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b/>
              </w:rPr>
            </w:pPr>
            <w:r>
              <w:rPr>
                <w:b/>
              </w:rPr>
              <w:t>2,690,024</w:t>
            </w:r>
          </w:p>
        </w:tc>
        <w:tc>
          <w:tcPr>
            <w:tcW w:w="160" w:type="dxa"/>
            <w:tcBorders/>
            <w:shd w:fill="auto" w:val="clear"/>
            <w:vAlign w:val="bottom"/>
          </w:tcPr>
          <w:p>
            <w:pPr>
              <w:pStyle w:val="TableContents"/>
              <w:spacing w:before="0" w:after="283"/>
              <w:rPr/>
            </w:pPr>
            <w:r>
              <w:rPr/>
              <w:t> </w:t>
            </w:r>
          </w:p>
        </w:tc>
      </w:tr>
      <w:tr>
        <w:trPr/>
        <w:tc>
          <w:tcPr>
            <w:tcW w:w="680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35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40"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disclosure of non-cash investing and financing activities:</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13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40"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Conversion of loan into series A preferred share</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12,691,327</w:t>
            </w:r>
          </w:p>
        </w:tc>
        <w:tc>
          <w:tcPr>
            <w:tcW w:w="160" w:type="dxa"/>
            <w:tcBorders/>
            <w:shd w:fill="auto" w:val="clear"/>
            <w:vAlign w:val="bottom"/>
          </w:tcPr>
          <w:p>
            <w:pPr>
              <w:pStyle w:val="TableContents"/>
              <w:spacing w:before="0" w:after="283"/>
              <w:rPr/>
            </w:pPr>
            <w:r>
              <w:rPr/>
              <w:t> </w:t>
            </w:r>
          </w:p>
        </w:tc>
      </w:tr>
      <w:tr>
        <w:trPr/>
        <w:tc>
          <w:tcPr>
            <w:tcW w:w="6808" w:type="dxa"/>
            <w:tcBorders/>
            <w:shd w:fill="CCEEFF" w:val="clear"/>
          </w:tcPr>
          <w:p>
            <w:pPr>
              <w:pStyle w:val="TableContents"/>
              <w:spacing w:before="0" w:after="0"/>
              <w:rPr>
                <w:rFonts w:ascii="Times New Roman" w:hAnsi="Times New Roman"/>
                <w:sz w:val="20"/>
              </w:rPr>
            </w:pPr>
            <w:r>
              <w:rPr>
                <w:rFonts w:ascii="Times New Roman" w:hAnsi="Times New Roman"/>
                <w:sz w:val="20"/>
              </w:rPr>
              <w:t>Acquisition of Any Lifestyle Management GmbH  share consideration payable</w:t>
            </w:r>
          </w:p>
        </w:tc>
        <w:tc>
          <w:tcPr>
            <w:tcW w:w="22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5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40" w:type="dxa"/>
            <w:tcBorders/>
            <w:shd w:fill="CCEEFF" w:val="clear"/>
            <w:vAlign w:val="bottom"/>
          </w:tcPr>
          <w:p>
            <w:pPr>
              <w:pStyle w:val="TableContents"/>
              <w:spacing w:before="0" w:after="283"/>
              <w:jc w:val="right"/>
              <w:rPr/>
            </w:pPr>
            <w:r>
              <w:rPr/>
              <w:t>14,600,000</w:t>
            </w:r>
          </w:p>
        </w:tc>
        <w:tc>
          <w:tcPr>
            <w:tcW w:w="160" w:type="dxa"/>
            <w:tcBorders/>
            <w:shd w:fill="CCEEFF" w:val="clear"/>
            <w:vAlign w:val="bottom"/>
          </w:tcPr>
          <w:p>
            <w:pPr>
              <w:pStyle w:val="TableContents"/>
              <w:spacing w:before="0" w:after="283"/>
              <w:rPr/>
            </w:pPr>
            <w:r>
              <w:rPr/>
              <w:t> </w:t>
            </w:r>
          </w:p>
        </w:tc>
      </w:tr>
      <w:tr>
        <w:trPr/>
        <w:tc>
          <w:tcPr>
            <w:tcW w:w="6808"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right-of-use assets obtained in exchange for lease obligation</w:t>
            </w:r>
          </w:p>
        </w:tc>
        <w:tc>
          <w:tcPr>
            <w:tcW w:w="22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5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40" w:type="dxa"/>
            <w:tcBorders/>
            <w:shd w:fill="auto" w:val="clear"/>
            <w:vAlign w:val="bottom"/>
          </w:tcPr>
          <w:p>
            <w:pPr>
              <w:pStyle w:val="TableContents"/>
              <w:spacing w:before="0" w:after="283"/>
              <w:jc w:val="right"/>
              <w:rPr/>
            </w:pPr>
            <w:r>
              <w:rPr/>
              <w:t>94,763</w:t>
            </w:r>
          </w:p>
        </w:tc>
        <w:tc>
          <w:tcPr>
            <w:tcW w:w="160" w:type="dxa"/>
            <w:tcBorders/>
            <w:shd w:fill="auto" w:val="clear"/>
            <w:vAlign w:val="bottom"/>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bookmarkStart w:id="45" w:name="fin309194_7"/>
      <w:bookmarkEnd w:id="45"/>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Organization and nature of operations </w:t>
            </w:r>
          </w:p>
        </w:tc>
      </w:tr>
    </w:tbl>
    <w:p>
      <w:pPr>
        <w:pStyle w:val="TextBody"/>
        <w:spacing w:before="120" w:after="0"/>
        <w:jc w:val="left"/>
        <w:rPr>
          <w:rFonts w:ascii="Times New Roman" w:hAnsi="Times New Roman"/>
          <w:sz w:val="20"/>
        </w:rPr>
      </w:pPr>
      <w:r>
        <w:rPr>
          <w:rFonts w:ascii="Times New Roman" w:hAnsi="Times New Roman"/>
          <w:sz w:val="20"/>
        </w:rPr>
        <w:t xml:space="preserve">Rezolve AI Limited (Rezolve or the Company) was incorporated in England and Wales on January 5, 2023 and changed its name on June 5, 2023 to Rezolve AI Limited. </w:t>
      </w:r>
    </w:p>
    <w:p>
      <w:pPr>
        <w:pStyle w:val="TextBody"/>
        <w:spacing w:before="120" w:after="0"/>
        <w:jc w:val="left"/>
        <w:rPr>
          <w:rFonts w:ascii="Times New Roman" w:hAnsi="Times New Roman"/>
          <w:sz w:val="20"/>
        </w:rPr>
      </w:pPr>
      <w:r>
        <w:rPr>
          <w:rFonts w:ascii="Times New Roman" w:hAnsi="Times New Roman"/>
          <w:sz w:val="20"/>
        </w:rPr>
        <w:t xml:space="preserve">Rezolve is a mobile commerce and engagement platform that enables retailers and brands to deliver rich and engaging mobile experiences to consumers. The mailing address of Rezolves registered office is 3rd Floor, 80 New Bond Street, London, United Kingdom, W1S 1SB.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2.</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Basis of presentation and summary of significant accounting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2.1</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spacing w:before="120" w:after="0"/>
        <w:jc w:val="left"/>
        <w:rPr>
          <w:rFonts w:ascii="Times New Roman" w:hAnsi="Times New Roman"/>
          <w:sz w:val="20"/>
        </w:rPr>
      </w:pPr>
      <w:r>
        <w:rPr>
          <w:rFonts w:ascii="Times New Roman" w:hAnsi="Times New Roman"/>
          <w:sz w:val="20"/>
        </w:rPr>
        <w:t xml:space="preserve">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 </w:t>
      </w:r>
    </w:p>
    <w:p>
      <w:pPr>
        <w:pStyle w:val="TextBody"/>
        <w:spacing w:before="120" w:after="0"/>
        <w:jc w:val="left"/>
        <w:rPr>
          <w:rFonts w:ascii="Times New Roman" w:hAnsi="Times New Roman"/>
          <w:sz w:val="20"/>
        </w:rPr>
      </w:pPr>
      <w:r>
        <w:rPr>
          <w:rFonts w:ascii="Times New Roman" w:hAnsi="Times New Roman"/>
          <w:sz w:val="20"/>
        </w:rPr>
        <w:t xml:space="preserve">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Stone)(the China Business). </w:t>
      </w:r>
    </w:p>
    <w:p>
      <w:pPr>
        <w:pStyle w:val="TextBody"/>
        <w:spacing w:before="120" w:after="0"/>
        <w:jc w:val="left"/>
        <w:rPr>
          <w:rFonts w:ascii="Times New Roman" w:hAnsi="Times New Roman"/>
          <w:sz w:val="20"/>
        </w:rPr>
      </w:pPr>
      <w:r>
        <w:rPr>
          <w:rFonts w:ascii="Times New Roman" w:hAnsi="Times New Roman"/>
          <w:sz w:val="20"/>
        </w:rPr>
        <w:t xml:space="preserve">On January 3, 2023, the Board of the Directors of Rezolve Limited approved a plan to restructure its business and assets by way of a corporate de-merger. Subsequently, on January 5, 2023 an application to the local tax authorities, His Majestys Revenue and Customs (HMRC) was filed in respect of a proposed solvent liquidation procedure by way of a members voluntary liquidation (MVL) under section 110 of the Insolvency Act, 1986 to effect the corporate demerger (the Demerger). </w:t>
      </w:r>
    </w:p>
    <w:p>
      <w:pPr>
        <w:pStyle w:val="TextBody"/>
        <w:spacing w:before="120" w:after="0"/>
        <w:jc w:val="left"/>
        <w:rPr>
          <w:rFonts w:ascii="Times New Roman" w:hAnsi="Times New Roman"/>
          <w:sz w:val="20"/>
        </w:rPr>
      </w:pPr>
      <w:r>
        <w:rPr>
          <w:rFonts w:ascii="Times New Roman" w:hAnsi="Times New Roman"/>
          <w:sz w:val="20"/>
        </w:rPr>
        <w:t xml:space="preserve">Under the Demerger, Rezolve AI Limited will acquire all assets of Rezolve Limited, except for the China Business. Nine Stone is expected to be sold to a third party and Rezolve China will be dissolved. Rezolve Limited will be liquidated by way of an MVL in the course of this process. In exchange for the assets of Rezolve Limited, former shareholders of Rezolve Limited will be issued shares in the Company in proportion to their previous shareholdings in Rezolve Limited. On May 3, 2023, HMRC gave a tax clearance in respect of the Demerger. </w:t>
      </w:r>
    </w:p>
    <w:p>
      <w:pPr>
        <w:pStyle w:val="TextBody"/>
        <w:spacing w:before="120" w:after="0"/>
        <w:jc w:val="left"/>
        <w:rPr>
          <w:rFonts w:ascii="Times New Roman" w:hAnsi="Times New Roman"/>
          <w:sz w:val="20"/>
        </w:rPr>
      </w:pPr>
      <w:r>
        <w:rPr>
          <w:rFonts w:ascii="Times New Roman" w:hAnsi="Times New Roman"/>
          <w:sz w:val="20"/>
        </w:rPr>
        <w:t xml:space="preserve">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(China) for the years ending December 31, 2022 and 2021 have been presented as Business development expenses in the Companys Consolidated Statement of Operations in accordance with Staff Accounting Bulletin Topic 1-B1, Costs reflected in historical financial statements (SAB 1-B1).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2.2</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Basis of consolidation </w:t>
            </w:r>
          </w:p>
        </w:tc>
      </w:tr>
    </w:tbl>
    <w:p>
      <w:pPr>
        <w:pStyle w:val="TextBody"/>
        <w:spacing w:before="120" w:after="0"/>
        <w:jc w:val="left"/>
        <w:rPr>
          <w:rFonts w:ascii="Times New Roman" w:hAnsi="Times New Roman"/>
          <w:sz w:val="20"/>
        </w:rPr>
      </w:pPr>
      <w:r>
        <w:rPr>
          <w:rFonts w:ascii="Times New Roman" w:hAnsi="Times New Roman"/>
          <w:sz w:val="20"/>
        </w:rPr>
        <w:t xml:space="preserve">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 </w:t>
      </w:r>
    </w:p>
    <w:p>
      <w:pPr>
        <w:pStyle w:val="TextBody"/>
        <w:spacing w:before="120" w:after="0"/>
        <w:jc w:val="left"/>
        <w:rPr>
          <w:rFonts w:ascii="Times New Roman" w:hAnsi="Times New Roman"/>
          <w:sz w:val="20"/>
        </w:rPr>
      </w:pPr>
      <w:r>
        <w:rPr>
          <w:rFonts w:ascii="Times New Roman" w:hAnsi="Times New Roman"/>
          <w:sz w:val="20"/>
        </w:rPr>
        <w:t xml:space="preserve">All intercompany balances and transactions have been eliminated. </w:t>
      </w:r>
    </w:p>
    <w:p>
      <w:pPr>
        <w:pStyle w:val="TextBody"/>
        <w:spacing w:before="120" w:after="0"/>
        <w:jc w:val="left"/>
        <w:rPr>
          <w:rFonts w:ascii="Times New Roman" w:hAnsi="Times New Roman"/>
          <w:sz w:val="20"/>
        </w:rPr>
      </w:pPr>
      <w:r>
        <w:rPr>
          <w:rFonts w:ascii="Times New Roman" w:hAnsi="Times New Roman"/>
          <w:sz w:val="20"/>
        </w:rPr>
        <w:t xml:space="preserve">A list of subsidiaries and VIEs for which we are the primary beneficiary and Rezolve Limiteds holding as of December 31, 2022 is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525"/>
        <w:gridCol w:w="354"/>
        <w:gridCol w:w="1940"/>
        <w:gridCol w:w="354"/>
        <w:gridCol w:w="1653"/>
        <w:gridCol w:w="354"/>
        <w:gridCol w:w="174"/>
        <w:gridCol w:w="1204"/>
        <w:gridCol w:w="294"/>
      </w:tblGrid>
      <w:tr>
        <w:trPr/>
        <w:tc>
          <w:tcPr>
            <w:tcW w:w="252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2525"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Name of the entity</w:t>
            </w:r>
          </w:p>
        </w:tc>
        <w:tc>
          <w:tcPr>
            <w:tcW w:w="354" w:type="dxa"/>
            <w:tcBorders/>
            <w:shd w:fill="auto" w:val="clear"/>
            <w:vAlign w:val="bottom"/>
          </w:tcPr>
          <w:p>
            <w:pPr>
              <w:pStyle w:val="TableContents"/>
              <w:spacing w:before="0" w:after="283"/>
              <w:rPr/>
            </w:pPr>
            <w:r>
              <w:rPr/>
              <w:t>  </w:t>
            </w:r>
          </w:p>
        </w:tc>
        <w:tc>
          <w:tcPr>
            <w:tcW w:w="1940"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Date of incorporation</w:t>
            </w:r>
          </w:p>
        </w:tc>
        <w:tc>
          <w:tcPr>
            <w:tcW w:w="354"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Country of</w:t>
              <w:br/>
              <w:t>incorporation</w:t>
            </w:r>
          </w:p>
        </w:tc>
        <w:tc>
          <w:tcPr>
            <w:tcW w:w="354" w:type="dxa"/>
            <w:tcBorders/>
            <w:shd w:fill="auto" w:val="clear"/>
            <w:vAlign w:val="bottom"/>
          </w:tcPr>
          <w:p>
            <w:pPr>
              <w:pStyle w:val="TableContents"/>
              <w:spacing w:before="0" w:after="283"/>
              <w:rPr/>
            </w:pPr>
            <w:r>
              <w:rPr/>
              <w:t>  </w:t>
            </w:r>
          </w:p>
        </w:tc>
        <w:tc>
          <w:tcPr>
            <w:tcW w:w="1378" w:type="dxa"/>
            <w:gridSpan w:val="2"/>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Group</w:t>
              <w:br/>
              <w:t>shareholding (%)</w:t>
            </w:r>
          </w:p>
        </w:tc>
        <w:tc>
          <w:tcPr>
            <w:tcW w:w="294" w:type="dxa"/>
            <w:tcBorders/>
            <w:shd w:fill="auto" w:val="clear"/>
            <w:vAlign w:val="bottom"/>
          </w:tcPr>
          <w:p>
            <w:pPr>
              <w:pStyle w:val="TableContents"/>
              <w:spacing w:before="0" w:after="283"/>
              <w:rPr/>
            </w:pPr>
            <w:r>
              <w:rPr/>
              <w:t> </w:t>
            </w:r>
          </w:p>
        </w:tc>
      </w:tr>
      <w:tr>
        <w:trPr/>
        <w:tc>
          <w:tcPr>
            <w:tcW w:w="2525" w:type="dxa"/>
            <w:tcBorders/>
            <w:shd w:fill="CCEEFF" w:val="clear"/>
          </w:tcPr>
          <w:p>
            <w:pPr>
              <w:pStyle w:val="TableContents"/>
              <w:spacing w:before="0" w:after="0"/>
              <w:rPr>
                <w:rFonts w:ascii="Times New Roman" w:hAnsi="Times New Roman"/>
                <w:sz w:val="20"/>
              </w:rPr>
            </w:pPr>
            <w:r>
              <w:rPr>
                <w:rFonts w:ascii="Times New Roman" w:hAnsi="Times New Roman"/>
                <w:sz w:val="20"/>
              </w:rPr>
              <w:t>Rezolve Mobile Commerce Inc.</w:t>
            </w:r>
          </w:p>
        </w:tc>
        <w:tc>
          <w:tcPr>
            <w:tcW w:w="354" w:type="dxa"/>
            <w:tcBorders/>
            <w:shd w:fill="CCEEFF" w:val="clear"/>
            <w:vAlign w:val="bottom"/>
          </w:tcPr>
          <w:p>
            <w:pPr>
              <w:pStyle w:val="TableContents"/>
              <w:spacing w:before="0" w:after="283"/>
              <w:rPr/>
            </w:pPr>
            <w:r>
              <w:rPr/>
              <w:t>  </w:t>
            </w:r>
          </w:p>
        </w:tc>
        <w:tc>
          <w:tcPr>
            <w:tcW w:w="1940" w:type="dxa"/>
            <w:tcBorders/>
            <w:shd w:fill="CCEEFF" w:val="clear"/>
            <w:vAlign w:val="bottom"/>
          </w:tcPr>
          <w:p>
            <w:pPr>
              <w:pStyle w:val="TableContents"/>
              <w:spacing w:before="0" w:after="283"/>
              <w:jc w:val="center"/>
              <w:rPr/>
            </w:pPr>
            <w:r>
              <w:rPr/>
              <w:t>April 20, 2016</w:t>
            </w:r>
          </w:p>
        </w:tc>
        <w:tc>
          <w:tcPr>
            <w:tcW w:w="354" w:type="dxa"/>
            <w:tcBorders/>
            <w:shd w:fill="CCEEFF" w:val="clear"/>
            <w:vAlign w:val="bottom"/>
          </w:tcPr>
          <w:p>
            <w:pPr>
              <w:pStyle w:val="TableContents"/>
              <w:spacing w:before="0" w:after="283"/>
              <w:rPr/>
            </w:pPr>
            <w:r>
              <w:rPr/>
              <w:t>  </w:t>
            </w:r>
          </w:p>
        </w:tc>
        <w:tc>
          <w:tcPr>
            <w:tcW w:w="1653" w:type="dxa"/>
            <w:tcBorders/>
            <w:shd w:fill="CCEEFF" w:val="clear"/>
            <w:vAlign w:val="bottom"/>
          </w:tcPr>
          <w:p>
            <w:pPr>
              <w:pStyle w:val="TableContents"/>
              <w:spacing w:before="0" w:after="283"/>
              <w:jc w:val="center"/>
              <w:rPr/>
            </w:pPr>
            <w:r>
              <w:rPr/>
              <w:t>United States of</w:t>
              <w:br/>
              <w:t>America</w:t>
            </w:r>
          </w:p>
        </w:tc>
        <w:tc>
          <w:tcPr>
            <w:tcW w:w="35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100</w:t>
            </w:r>
          </w:p>
        </w:tc>
        <w:tc>
          <w:tcPr>
            <w:tcW w:w="294" w:type="dxa"/>
            <w:tcBorders/>
            <w:shd w:fill="CCEEFF" w:val="clear"/>
            <w:vAlign w:val="bottom"/>
          </w:tcPr>
          <w:p>
            <w:pPr>
              <w:pStyle w:val="TableContents"/>
              <w:spacing w:before="0" w:after="283"/>
              <w:rPr/>
            </w:pPr>
            <w:r>
              <w:rPr/>
              <w:t>% </w:t>
            </w:r>
          </w:p>
        </w:tc>
      </w:tr>
      <w:tr>
        <w:trPr/>
        <w:tc>
          <w:tcPr>
            <w:tcW w:w="2525" w:type="dxa"/>
            <w:tcBorders/>
            <w:shd w:fill="auto" w:val="clear"/>
          </w:tcPr>
          <w:p>
            <w:pPr>
              <w:pStyle w:val="TableContents"/>
              <w:spacing w:before="0" w:after="0"/>
              <w:rPr>
                <w:rFonts w:ascii="Times New Roman" w:hAnsi="Times New Roman"/>
                <w:sz w:val="20"/>
              </w:rPr>
            </w:pPr>
            <w:r>
              <w:rPr>
                <w:rFonts w:ascii="Times New Roman" w:hAnsi="Times New Roman"/>
                <w:sz w:val="20"/>
              </w:rPr>
              <w:t>Rezolve Technology S.L.</w:t>
            </w:r>
          </w:p>
        </w:tc>
        <w:tc>
          <w:tcPr>
            <w:tcW w:w="354" w:type="dxa"/>
            <w:tcBorders/>
            <w:shd w:fill="auto" w:val="clear"/>
            <w:vAlign w:val="bottom"/>
          </w:tcPr>
          <w:p>
            <w:pPr>
              <w:pStyle w:val="TableContents"/>
              <w:spacing w:before="0" w:after="283"/>
              <w:rPr/>
            </w:pPr>
            <w:r>
              <w:rPr/>
              <w:t>  </w:t>
            </w:r>
          </w:p>
        </w:tc>
        <w:tc>
          <w:tcPr>
            <w:tcW w:w="1940" w:type="dxa"/>
            <w:tcBorders/>
            <w:shd w:fill="auto" w:val="clear"/>
            <w:vAlign w:val="bottom"/>
          </w:tcPr>
          <w:p>
            <w:pPr>
              <w:pStyle w:val="TableContents"/>
              <w:spacing w:before="0" w:after="283"/>
              <w:jc w:val="center"/>
              <w:rPr/>
            </w:pPr>
            <w:r>
              <w:rPr/>
              <w:t>August 25, 2020</w:t>
            </w:r>
          </w:p>
        </w:tc>
        <w:tc>
          <w:tcPr>
            <w:tcW w:w="354"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Spain</w:t>
            </w:r>
          </w:p>
        </w:tc>
        <w:tc>
          <w:tcPr>
            <w:tcW w:w="3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100</w:t>
            </w:r>
          </w:p>
        </w:tc>
        <w:tc>
          <w:tcPr>
            <w:tcW w:w="294" w:type="dxa"/>
            <w:tcBorders/>
            <w:shd w:fill="auto" w:val="clear"/>
            <w:vAlign w:val="bottom"/>
          </w:tcPr>
          <w:p>
            <w:pPr>
              <w:pStyle w:val="TableContents"/>
              <w:spacing w:before="0" w:after="283"/>
              <w:rPr/>
            </w:pPr>
            <w:r>
              <w:rPr/>
              <w:t>% </w:t>
            </w:r>
          </w:p>
        </w:tc>
      </w:tr>
      <w:tr>
        <w:trPr/>
        <w:tc>
          <w:tcPr>
            <w:tcW w:w="2525" w:type="dxa"/>
            <w:tcBorders/>
            <w:shd w:fill="CCEEFF" w:val="clear"/>
          </w:tcPr>
          <w:p>
            <w:pPr>
              <w:pStyle w:val="TableContents"/>
              <w:spacing w:before="0" w:after="0"/>
              <w:rPr>
                <w:rFonts w:ascii="Times New Roman" w:hAnsi="Times New Roman"/>
                <w:sz w:val="20"/>
              </w:rPr>
            </w:pPr>
            <w:r>
              <w:rPr>
                <w:rFonts w:ascii="Times New Roman" w:hAnsi="Times New Roman"/>
                <w:sz w:val="20"/>
              </w:rPr>
              <w:t>Rezolve Taiwan Limited(1)</w:t>
            </w:r>
          </w:p>
        </w:tc>
        <w:tc>
          <w:tcPr>
            <w:tcW w:w="354" w:type="dxa"/>
            <w:tcBorders/>
            <w:shd w:fill="CCEEFF" w:val="clear"/>
            <w:vAlign w:val="bottom"/>
          </w:tcPr>
          <w:p>
            <w:pPr>
              <w:pStyle w:val="TableContents"/>
              <w:spacing w:before="0" w:after="283"/>
              <w:rPr/>
            </w:pPr>
            <w:r>
              <w:rPr/>
              <w:t>  </w:t>
            </w:r>
          </w:p>
        </w:tc>
        <w:tc>
          <w:tcPr>
            <w:tcW w:w="1940" w:type="dxa"/>
            <w:tcBorders/>
            <w:shd w:fill="CCEEFF" w:val="clear"/>
            <w:vAlign w:val="bottom"/>
          </w:tcPr>
          <w:p>
            <w:pPr>
              <w:pStyle w:val="TableContents"/>
              <w:spacing w:before="0" w:after="283"/>
              <w:jc w:val="center"/>
              <w:rPr/>
            </w:pPr>
            <w:r>
              <w:rPr/>
              <w:t>November 9, 2000</w:t>
            </w:r>
          </w:p>
        </w:tc>
        <w:tc>
          <w:tcPr>
            <w:tcW w:w="354" w:type="dxa"/>
            <w:tcBorders/>
            <w:shd w:fill="CCEEFF" w:val="clear"/>
            <w:vAlign w:val="bottom"/>
          </w:tcPr>
          <w:p>
            <w:pPr>
              <w:pStyle w:val="TableContents"/>
              <w:spacing w:before="0" w:after="283"/>
              <w:rPr/>
            </w:pPr>
            <w:r>
              <w:rPr/>
              <w:t>  </w:t>
            </w:r>
          </w:p>
        </w:tc>
        <w:tc>
          <w:tcPr>
            <w:tcW w:w="1653" w:type="dxa"/>
            <w:tcBorders/>
            <w:shd w:fill="CCEEFF" w:val="clear"/>
            <w:vAlign w:val="bottom"/>
          </w:tcPr>
          <w:p>
            <w:pPr>
              <w:pStyle w:val="TableContents"/>
              <w:spacing w:before="0" w:after="283"/>
              <w:jc w:val="center"/>
              <w:rPr/>
            </w:pPr>
            <w:r>
              <w:rPr/>
              <w:t>Taiwan</w:t>
            </w:r>
          </w:p>
        </w:tc>
        <w:tc>
          <w:tcPr>
            <w:tcW w:w="35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100</w:t>
            </w:r>
          </w:p>
        </w:tc>
        <w:tc>
          <w:tcPr>
            <w:tcW w:w="294" w:type="dxa"/>
            <w:tcBorders/>
            <w:shd w:fill="CCEEFF" w:val="clear"/>
            <w:vAlign w:val="bottom"/>
          </w:tcPr>
          <w:p>
            <w:pPr>
              <w:pStyle w:val="TableContents"/>
              <w:spacing w:before="0" w:after="283"/>
              <w:rPr/>
            </w:pPr>
            <w:r>
              <w:rPr/>
              <w:t>% </w:t>
            </w:r>
          </w:p>
        </w:tc>
      </w:tr>
      <w:tr>
        <w:trPr/>
        <w:tc>
          <w:tcPr>
            <w:tcW w:w="2525" w:type="dxa"/>
            <w:tcBorders/>
            <w:shd w:fill="auto" w:val="clear"/>
          </w:tcPr>
          <w:p>
            <w:pPr>
              <w:pStyle w:val="TableContents"/>
              <w:spacing w:before="0" w:after="0"/>
              <w:rPr>
                <w:rFonts w:ascii="Times New Roman" w:hAnsi="Times New Roman"/>
                <w:sz w:val="20"/>
              </w:rPr>
            </w:pPr>
            <w:r>
              <w:rPr>
                <w:rFonts w:ascii="Times New Roman" w:hAnsi="Times New Roman"/>
                <w:sz w:val="20"/>
              </w:rPr>
              <w:t>Rezolve Technology (India) Private Limited</w:t>
            </w:r>
          </w:p>
        </w:tc>
        <w:tc>
          <w:tcPr>
            <w:tcW w:w="354" w:type="dxa"/>
            <w:tcBorders/>
            <w:shd w:fill="auto" w:val="clear"/>
            <w:vAlign w:val="bottom"/>
          </w:tcPr>
          <w:p>
            <w:pPr>
              <w:pStyle w:val="TableContents"/>
              <w:spacing w:before="0" w:after="283"/>
              <w:rPr/>
            </w:pPr>
            <w:r>
              <w:rPr/>
              <w:t>  </w:t>
            </w:r>
          </w:p>
        </w:tc>
        <w:tc>
          <w:tcPr>
            <w:tcW w:w="1940" w:type="dxa"/>
            <w:tcBorders/>
            <w:shd w:fill="auto" w:val="clear"/>
            <w:vAlign w:val="bottom"/>
          </w:tcPr>
          <w:p>
            <w:pPr>
              <w:pStyle w:val="TableContents"/>
              <w:spacing w:before="0" w:after="283"/>
              <w:jc w:val="center"/>
              <w:rPr/>
            </w:pPr>
            <w:r>
              <w:rPr/>
              <w:t>March 19, 2021</w:t>
            </w:r>
          </w:p>
        </w:tc>
        <w:tc>
          <w:tcPr>
            <w:tcW w:w="354" w:type="dxa"/>
            <w:tcBorders/>
            <w:shd w:fill="auto" w:val="clear"/>
            <w:vAlign w:val="bottom"/>
          </w:tcPr>
          <w:p>
            <w:pPr>
              <w:pStyle w:val="TableContents"/>
              <w:spacing w:before="0" w:after="283"/>
              <w:rPr/>
            </w:pPr>
            <w:r>
              <w:rPr/>
              <w:t>  </w:t>
            </w:r>
          </w:p>
        </w:tc>
        <w:tc>
          <w:tcPr>
            <w:tcW w:w="1653" w:type="dxa"/>
            <w:tcBorders/>
            <w:shd w:fill="auto" w:val="clear"/>
            <w:vAlign w:val="bottom"/>
          </w:tcPr>
          <w:p>
            <w:pPr>
              <w:pStyle w:val="TableContents"/>
              <w:spacing w:before="0" w:after="283"/>
              <w:jc w:val="center"/>
              <w:rPr/>
            </w:pPr>
            <w:r>
              <w:rPr/>
              <w:t>India</w:t>
            </w:r>
          </w:p>
        </w:tc>
        <w:tc>
          <w:tcPr>
            <w:tcW w:w="354"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right"/>
              <w:rPr/>
            </w:pPr>
            <w:r>
              <w:rPr/>
              <w:t>100</w:t>
            </w:r>
          </w:p>
        </w:tc>
        <w:tc>
          <w:tcPr>
            <w:tcW w:w="294" w:type="dxa"/>
            <w:tcBorders/>
            <w:shd w:fill="auto" w:val="clear"/>
            <w:vAlign w:val="bottom"/>
          </w:tcPr>
          <w:p>
            <w:pPr>
              <w:pStyle w:val="TableContents"/>
              <w:spacing w:before="0" w:after="283"/>
              <w:rPr/>
            </w:pPr>
            <w:r>
              <w:rPr/>
              <w:t>% </w:t>
            </w:r>
          </w:p>
        </w:tc>
      </w:tr>
      <w:tr>
        <w:trPr/>
        <w:tc>
          <w:tcPr>
            <w:tcW w:w="2525" w:type="dxa"/>
            <w:tcBorders/>
            <w:shd w:fill="CCEEFF" w:val="clear"/>
          </w:tcPr>
          <w:p>
            <w:pPr>
              <w:pStyle w:val="TableContents"/>
              <w:spacing w:before="0" w:after="0"/>
              <w:rPr>
                <w:rFonts w:ascii="Times New Roman" w:hAnsi="Times New Roman"/>
                <w:sz w:val="20"/>
              </w:rPr>
            </w:pPr>
            <w:r>
              <w:rPr>
                <w:rFonts w:ascii="Times New Roman" w:hAnsi="Times New Roman"/>
                <w:sz w:val="20"/>
              </w:rPr>
              <w:t>Any Lifestyle Marketing GmbH(2)</w:t>
            </w:r>
          </w:p>
        </w:tc>
        <w:tc>
          <w:tcPr>
            <w:tcW w:w="354" w:type="dxa"/>
            <w:tcBorders/>
            <w:shd w:fill="CCEEFF" w:val="clear"/>
            <w:vAlign w:val="bottom"/>
          </w:tcPr>
          <w:p>
            <w:pPr>
              <w:pStyle w:val="TableContents"/>
              <w:spacing w:before="0" w:after="283"/>
              <w:rPr/>
            </w:pPr>
            <w:r>
              <w:rPr/>
              <w:t>  </w:t>
            </w:r>
          </w:p>
        </w:tc>
        <w:tc>
          <w:tcPr>
            <w:tcW w:w="1940" w:type="dxa"/>
            <w:tcBorders/>
            <w:shd w:fill="CCEEFF" w:val="clear"/>
            <w:vAlign w:val="bottom"/>
          </w:tcPr>
          <w:p>
            <w:pPr>
              <w:pStyle w:val="TableContents"/>
              <w:spacing w:before="0" w:after="283"/>
              <w:jc w:val="center"/>
              <w:rPr/>
            </w:pPr>
            <w:r>
              <w:rPr/>
              <w:t>August 13, 2021</w:t>
            </w:r>
          </w:p>
        </w:tc>
        <w:tc>
          <w:tcPr>
            <w:tcW w:w="354" w:type="dxa"/>
            <w:tcBorders/>
            <w:shd w:fill="CCEEFF" w:val="clear"/>
            <w:vAlign w:val="bottom"/>
          </w:tcPr>
          <w:p>
            <w:pPr>
              <w:pStyle w:val="TableContents"/>
              <w:spacing w:before="0" w:after="283"/>
              <w:rPr/>
            </w:pPr>
            <w:r>
              <w:rPr/>
              <w:t>  </w:t>
            </w:r>
          </w:p>
        </w:tc>
        <w:tc>
          <w:tcPr>
            <w:tcW w:w="1653" w:type="dxa"/>
            <w:tcBorders/>
            <w:shd w:fill="CCEEFF" w:val="clear"/>
            <w:vAlign w:val="bottom"/>
          </w:tcPr>
          <w:p>
            <w:pPr>
              <w:pStyle w:val="TableContents"/>
              <w:spacing w:before="0" w:after="283"/>
              <w:jc w:val="center"/>
              <w:rPr/>
            </w:pPr>
            <w:r>
              <w:rPr/>
              <w:t>Germany</w:t>
            </w:r>
          </w:p>
        </w:tc>
        <w:tc>
          <w:tcPr>
            <w:tcW w:w="354"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pPr>
            <w:r>
              <w:rPr/>
              <w:t>  </w:t>
            </w:r>
          </w:p>
        </w:tc>
        <w:tc>
          <w:tcPr>
            <w:tcW w:w="294"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carve-out consolidated financial statements have been prepared using the United Stated Dollar ($) as its reporting currency.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5"/>
        <w:gridCol w:w="9595"/>
      </w:tblGrid>
      <w:tr>
        <w:trPr/>
        <w:tc>
          <w:tcPr>
            <w:tcW w:w="419"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(1)</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Rezolve Taiwan Inc (formerly Jaymax International (Service) Inc.) was acquired on October 7, 2021. Please refer to note 15  Business Combinations.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5"/>
        <w:gridCol w:w="9595"/>
      </w:tblGrid>
      <w:tr>
        <w:trPr/>
        <w:tc>
          <w:tcPr>
            <w:tcW w:w="419"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(2)</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Lifestyle Marketing GmbH (ANY) has been consolidated as a VIE since August 30, 2021, when it was determined that Rezolve is its primary beneficiary. Please refer to note 15  Business Combinations.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2.3</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Emerging Growth Company </w:t>
            </w:r>
          </w:p>
        </w:tc>
      </w:tr>
    </w:tbl>
    <w:p>
      <w:pPr>
        <w:pStyle w:val="TextBody"/>
        <w:spacing w:before="120" w:after="0"/>
        <w:jc w:val="left"/>
        <w:rPr>
          <w:rFonts w:ascii="Times New Roman" w:hAnsi="Times New Roman"/>
          <w:sz w:val="20"/>
        </w:rPr>
      </w:pPr>
      <w:r>
        <w:rPr>
          <w:rFonts w:ascii="Times New Roman" w:hAnsi="Times New Roman"/>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2.4</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Liquidity </w:t>
            </w:r>
          </w:p>
        </w:tc>
      </w:tr>
    </w:tbl>
    <w:p>
      <w:pPr>
        <w:pStyle w:val="TextBody"/>
        <w:spacing w:before="120" w:after="0"/>
        <w:jc w:val="left"/>
        <w:rPr>
          <w:rFonts w:ascii="Times New Roman" w:hAnsi="Times New Roman"/>
          <w:sz w:val="20"/>
        </w:rPr>
      </w:pPr>
      <w:r>
        <w:rPr>
          <w:rFonts w:ascii="Times New Roman" w:hAnsi="Times New Roman"/>
          <w:sz w:val="20"/>
        </w:rPr>
        <w:t xml:space="preserve">As of December 31, 2022, the Company has an accumulated deficit of $189.2 million and for the year then ended incurred a net loss of $104.1 million and net cash used in operating activities was $26.7 million. Cash and cash equivalents totaled $0.4 million as of December 31, 2022, a decrease of $ 2.7 million from December 31, 2021. The Company has a working capital deficit of $6.7 million as at December 31, 2022. While there may be conditions that give rise to doubt to the Companys ability to continue as a going concern, managements plans serve to alleviate such doubt that give rise to the ability of the Company to continue as a going concern for a period of twelve months after the issuance of the carve-out consolidated financial statements. The assessment includes the estimated economic outlook and identified risks and uncertainties in relation thereto. Furthermore, the review of the strategic plan and budget, including expected developments in liquidity and capital from definitive agreements entered into (Notes 8.3 and 20),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2.5</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Use of estimates </w:t>
            </w:r>
          </w:p>
        </w:tc>
      </w:tr>
    </w:tbl>
    <w:p>
      <w:pPr>
        <w:pStyle w:val="TextBody"/>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2.6</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Foreign currency translation and transactions </w:t>
            </w:r>
          </w:p>
        </w:tc>
      </w:tr>
    </w:tbl>
    <w:p>
      <w:pPr>
        <w:pStyle w:val="TextBody"/>
        <w:spacing w:before="120" w:after="0"/>
        <w:jc w:val="left"/>
        <w:rPr>
          <w:rFonts w:ascii="Times New Roman" w:hAnsi="Times New Roman"/>
          <w:sz w:val="20"/>
        </w:rPr>
      </w:pPr>
      <w:r>
        <w:rPr>
          <w:rFonts w:ascii="Times New Roman" w:hAnsi="Times New Roman"/>
          <w:sz w:val="20"/>
        </w:rPr>
        <w:t xml:space="preserve">The functional currency of the Company is the US dollar, being the currency in which the Company predominantly generates cash through financing transactions and expends cash in Rezolve Limited. The subsidiaries have different functional currencies such as the Euro, which has been determined on the basis of the primary economic environment in which each entity of the Company operates. Management believes that each individual entitys functional currency reflects the transactions, events and conditions under which the entity conducts its business. </w:t>
      </w:r>
    </w:p>
    <w:p>
      <w:pPr>
        <w:pStyle w:val="TextBody"/>
        <w:spacing w:before="120" w:after="0"/>
        <w:jc w:val="left"/>
        <w:rPr>
          <w:rFonts w:ascii="Times New Roman" w:hAnsi="Times New Roman"/>
          <w:sz w:val="20"/>
        </w:rPr>
      </w:pPr>
      <w:r>
        <w:rPr>
          <w:rFonts w:ascii="Times New Roman" w:hAnsi="Times New Roman"/>
          <w:sz w:val="20"/>
        </w:rPr>
        <w:t xml:space="preserve">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2.7</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spacing w:before="120" w:after="0"/>
        <w:jc w:val="left"/>
        <w:rPr>
          <w:rFonts w:ascii="Times New Roman" w:hAnsi="Times New Roman"/>
          <w:sz w:val="20"/>
        </w:rPr>
      </w:pPr>
      <w:r>
        <w:rPr>
          <w:rFonts w:ascii="Times New Roman" w:hAnsi="Times New Roman"/>
          <w:sz w:val="20"/>
        </w:rPr>
        <w:t xml:space="preserve">Under ASC 606, the Company determines revenue recognition through the following steps: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the contract, or contracts, with the customer;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the performance obligations in the contract;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Determining the transaction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Allocating the transaction price to performance obligations in the contract;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Recognizing revenue when, or as, the Company satisfies performance obligations by transferring the promised goods or services. </w:t>
            </w:r>
          </w:p>
        </w:tc>
      </w:tr>
    </w:tbl>
    <w:p>
      <w:pPr>
        <w:pStyle w:val="TextBody"/>
        <w:spacing w:before="360" w:after="0"/>
        <w:jc w:val="left"/>
        <w:rPr>
          <w:rFonts w:ascii="Times New Roman" w:hAnsi="Times New Roman"/>
          <w:i/>
          <w:sz w:val="20"/>
        </w:rPr>
      </w:pPr>
      <w:r>
        <w:rPr>
          <w:rFonts w:ascii="Times New Roman" w:hAnsi="Times New Roman"/>
          <w:i/>
          <w:sz w:val="20"/>
        </w:rPr>
        <w:t xml:space="preserve">Radio Advertisements (Germany) </w:t>
      </w:r>
    </w:p>
    <w:p>
      <w:pPr>
        <w:pStyle w:val="TextBody"/>
        <w:spacing w:before="120" w:after="0"/>
        <w:jc w:val="left"/>
        <w:rPr>
          <w:rFonts w:ascii="Times New Roman" w:hAnsi="Times New Roman"/>
          <w:sz w:val="20"/>
        </w:rPr>
      </w:pPr>
      <w:r>
        <w:rPr>
          <w:rFonts w:ascii="Times New Roman" w:hAnsi="Times New Roman"/>
          <w:sz w:val="20"/>
        </w:rPr>
        <w:t xml:space="preserve">The Company earns revenue in Germany through its subsidiary, ANY which was acquired on August 30th, 2021 (refer to Note 15  Business Combination). ANY has a contract (the marketing agreement) with the Radio Group to be the exclusive provider of radio advertisements on the Radio Groups stations. ANY advises, supports and manages the advertising slots on the Radio Group stations, as well as seeks advertising customers and sets the pricing. In exchange for the consideration which Rezolve agreed to provide to the Radio Group for ANY, Rezolve (through ANY) obtained the Radio Group customer list and most importantly has sole control of the radio advertising slots on the Radio Group stations since no other party may sell those slots. </w:t>
      </w:r>
    </w:p>
    <w:p>
      <w:pPr>
        <w:pStyle w:val="TextBody"/>
        <w:spacing w:before="120" w:after="0"/>
        <w:jc w:val="left"/>
        <w:rPr>
          <w:rFonts w:ascii="Times New Roman" w:hAnsi="Times New Roman"/>
          <w:sz w:val="20"/>
        </w:rPr>
      </w:pPr>
      <w:r>
        <w:rPr>
          <w:rFonts w:ascii="Times New Roman" w:hAnsi="Times New Roman"/>
          <w:sz w:val="20"/>
        </w:rPr>
        <w:t xml:space="preserve">ANYs primary source of revenues is for the sale of airtime during which advertisements are broadcast on the Radio Groups radio stations. Customers are billed as the advertisements are broadcasted. Revenue is recognized in accordance with ASC 606 Revenue from Contracts with Customers at the point in time when the promised services are performed for the customer and when ANY expects to be entitled to the consideration.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2.8</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spacing w:before="120" w:after="0"/>
        <w:jc w:val="left"/>
        <w:rPr>
          <w:rFonts w:ascii="Times New Roman" w:hAnsi="Times New Roman"/>
          <w:sz w:val="20"/>
        </w:rPr>
      </w:pPr>
      <w:r>
        <w:rPr>
          <w:rFonts w:ascii="Times New Roman" w:hAnsi="Times New Roman"/>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2.9</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Research and development credits </w:t>
            </w:r>
          </w:p>
        </w:tc>
      </w:tr>
    </w:tbl>
    <w:p>
      <w:pPr>
        <w:pStyle w:val="TextBody"/>
        <w:spacing w:before="120" w:after="0"/>
        <w:jc w:val="left"/>
        <w:rPr>
          <w:rFonts w:ascii="Times New Roman" w:hAnsi="Times New Roman"/>
          <w:sz w:val="20"/>
        </w:rPr>
      </w:pPr>
      <w:r>
        <w:rPr>
          <w:rFonts w:ascii="Times New Roman" w:hAnsi="Times New Roman"/>
          <w:sz w:val="20"/>
        </w:rPr>
        <w:t xml:space="preserve">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6"/>
        <w:gridCol w:w="10093"/>
      </w:tblGrid>
      <w:tr>
        <w:trPr/>
        <w:tc>
          <w:tcPr>
            <w:tcW w:w="446" w:type="dxa"/>
            <w:tcBorders/>
            <w:shd w:fill="auto" w:val="clear"/>
          </w:tcPr>
          <w:p>
            <w:pPr>
              <w:pStyle w:val="TableContents"/>
              <w:spacing w:before="0" w:after="283"/>
              <w:jc w:val="left"/>
              <w:rPr>
                <w:b/>
              </w:rPr>
            </w:pPr>
            <w:r>
              <w:rPr>
                <w:b/>
              </w:rPr>
              <w:t>2.10</w:t>
            </w:r>
          </w:p>
        </w:tc>
        <w:tc>
          <w:tcPr>
            <w:tcW w:w="1009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Property and equipment </w:t>
            </w:r>
          </w:p>
        </w:tc>
      </w:tr>
    </w:tbl>
    <w:p>
      <w:pPr>
        <w:pStyle w:val="TextBody"/>
        <w:spacing w:before="120" w:after="0"/>
        <w:jc w:val="left"/>
        <w:rPr>
          <w:rFonts w:ascii="Times New Roman" w:hAnsi="Times New Roman"/>
          <w:sz w:val="20"/>
        </w:rPr>
      </w:pPr>
      <w:r>
        <w:rPr>
          <w:rFonts w:ascii="Times New Roman" w:hAnsi="Times New Roman"/>
          <w:sz w:val="20"/>
        </w:rPr>
        <w:t xml:space="preserve">Property and equipment are stated at cost of acquisition less accumulated depreciation and accumulated impairment provisions, however, there have been no indicators identified during the reporting periods. </w:t>
      </w:r>
    </w:p>
    <w:p>
      <w:pPr>
        <w:pStyle w:val="TextBody"/>
        <w:spacing w:before="120" w:after="0"/>
        <w:jc w:val="left"/>
        <w:rPr>
          <w:rFonts w:ascii="Times New Roman" w:hAnsi="Times New Roman"/>
          <w:sz w:val="20"/>
        </w:rPr>
      </w:pPr>
      <w:r>
        <w:rPr>
          <w:rFonts w:ascii="Times New Roman" w:hAnsi="Times New Roman"/>
          <w:sz w:val="20"/>
        </w:rPr>
        <w:t xml:space="preserve">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 </w:t>
      </w:r>
    </w:p>
    <w:p>
      <w:pPr>
        <w:pStyle w:val="TextBody"/>
        <w:spacing w:before="120" w:after="0"/>
        <w:jc w:val="left"/>
        <w:rPr>
          <w:rFonts w:ascii="Times New Roman" w:hAnsi="Times New Roman"/>
          <w:sz w:val="20"/>
        </w:rPr>
      </w:pPr>
      <w:r>
        <w:rPr>
          <w:rFonts w:ascii="Times New Roman" w:hAnsi="Times New Roman"/>
          <w:sz w:val="20"/>
        </w:rPr>
        <w:t xml:space="preserve">Depreciation on property and equipment is charged to expense on a systematic basis over the useful life of assets as estimated by the management. Depreciation is computed using the straight-line method. The useful lives estimated by the management are as follows: </w:t>
      </w:r>
    </w:p>
    <w:p>
      <w:pPr>
        <w:pStyle w:val="TextBody"/>
        <w:spacing w:before="0" w:after="0"/>
        <w:jc w:val="left"/>
        <w:rPr/>
      </w:pPr>
      <w:r>
        <w:rPr/>
        <w:t> </w:t>
      </w:r>
    </w:p>
    <w:tbl>
      <w:tblPr>
        <w:tblW w:w="4800" w:type="pct"/>
        <w:jc w:val="right"/>
        <w:tblInd w:w="0" w:type="dxa"/>
        <w:tblCellMar>
          <w:top w:w="0" w:type="dxa"/>
          <w:left w:w="0" w:type="dxa"/>
          <w:bottom w:w="0" w:type="dxa"/>
          <w:right w:w="0" w:type="dxa"/>
        </w:tblCellMar>
      </w:tblPr>
      <w:tblGrid>
        <w:gridCol w:w="5160"/>
        <w:gridCol w:w="202"/>
        <w:gridCol w:w="4755"/>
      </w:tblGrid>
      <w:tr>
        <w:trPr/>
        <w:tc>
          <w:tcPr>
            <w:tcW w:w="51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755" w:type="dxa"/>
            <w:tcBorders/>
            <w:shd w:fill="auto" w:val="clear"/>
            <w:vAlign w:val="center"/>
          </w:tcPr>
          <w:p>
            <w:pPr>
              <w:pStyle w:val="TableContents"/>
              <w:spacing w:before="0" w:after="283"/>
              <w:rPr>
                <w:sz w:val="4"/>
                <w:szCs w:val="4"/>
              </w:rPr>
            </w:pPr>
            <w:r>
              <w:rPr>
                <w:sz w:val="4"/>
                <w:szCs w:val="4"/>
              </w:rPr>
            </w:r>
          </w:p>
        </w:tc>
      </w:tr>
      <w:tr>
        <w:trPr/>
        <w:tc>
          <w:tcPr>
            <w:tcW w:w="5160" w:type="dxa"/>
            <w:tcBorders/>
            <w:shd w:fill="auto" w:val="clear"/>
            <w:vAlign w:val="bottom"/>
          </w:tcPr>
          <w:p>
            <w:pPr>
              <w:pStyle w:val="TableContents"/>
              <w:spacing w:before="0" w:after="283"/>
              <w:rPr>
                <w:b/>
              </w:rPr>
            </w:pPr>
            <w:r>
              <w:rPr>
                <w:b/>
              </w:rPr>
              <w:t>Assets</w:t>
            </w:r>
          </w:p>
        </w:tc>
        <w:tc>
          <w:tcPr>
            <w:tcW w:w="202" w:type="dxa"/>
            <w:tcBorders/>
            <w:shd w:fill="auto" w:val="clear"/>
            <w:vAlign w:val="bottom"/>
          </w:tcPr>
          <w:p>
            <w:pPr>
              <w:pStyle w:val="TableContents"/>
              <w:spacing w:before="0" w:after="283"/>
              <w:rPr/>
            </w:pPr>
            <w:r>
              <w:rPr/>
              <w:t>  </w:t>
            </w:r>
          </w:p>
        </w:tc>
        <w:tc>
          <w:tcPr>
            <w:tcW w:w="4755" w:type="dxa"/>
            <w:tcBorders/>
            <w:shd w:fill="auto" w:val="clear"/>
            <w:vAlign w:val="bottom"/>
          </w:tcPr>
          <w:p>
            <w:pPr>
              <w:pStyle w:val="TableContents"/>
              <w:spacing w:before="0" w:after="283"/>
              <w:rPr>
                <w:b/>
              </w:rPr>
            </w:pPr>
            <w:r>
              <w:rPr>
                <w:b/>
              </w:rPr>
              <w:t>Useful life</w:t>
            </w:r>
          </w:p>
        </w:tc>
      </w:tr>
      <w:tr>
        <w:trPr/>
        <w:tc>
          <w:tcPr>
            <w:tcW w:w="5160" w:type="dxa"/>
            <w:tcBorders/>
            <w:shd w:fill="CCEEFF" w:val="clear"/>
          </w:tcPr>
          <w:p>
            <w:pPr>
              <w:pStyle w:val="TableContents"/>
              <w:spacing w:before="0" w:after="283"/>
              <w:rPr/>
            </w:pPr>
            <w:r>
              <w:rPr/>
              <w:t>Computers</w:t>
            </w:r>
          </w:p>
        </w:tc>
        <w:tc>
          <w:tcPr>
            <w:tcW w:w="202" w:type="dxa"/>
            <w:tcBorders/>
            <w:shd w:fill="CCEEFF" w:val="clear"/>
            <w:vAlign w:val="bottom"/>
          </w:tcPr>
          <w:p>
            <w:pPr>
              <w:pStyle w:val="TableContents"/>
              <w:spacing w:before="0" w:after="283"/>
              <w:rPr/>
            </w:pPr>
            <w:r>
              <w:rPr/>
              <w:t>  </w:t>
            </w:r>
          </w:p>
        </w:tc>
        <w:tc>
          <w:tcPr>
            <w:tcW w:w="4755" w:type="dxa"/>
            <w:tcBorders/>
            <w:shd w:fill="CCEEFF" w:val="clear"/>
          </w:tcPr>
          <w:p>
            <w:pPr>
              <w:pStyle w:val="TableContents"/>
              <w:spacing w:before="0" w:after="283"/>
              <w:rPr/>
            </w:pPr>
            <w:r>
              <w:rPr/>
              <w:t>3 years</w:t>
            </w:r>
          </w:p>
        </w:tc>
      </w:tr>
      <w:tr>
        <w:trPr/>
        <w:tc>
          <w:tcPr>
            <w:tcW w:w="5160" w:type="dxa"/>
            <w:tcBorders/>
            <w:shd w:fill="auto" w:val="clear"/>
          </w:tcPr>
          <w:p>
            <w:pPr>
              <w:pStyle w:val="TableContents"/>
              <w:spacing w:before="0" w:after="283"/>
              <w:rPr/>
            </w:pPr>
            <w:r>
              <w:rPr/>
              <w:t>Office equipment</w:t>
            </w:r>
          </w:p>
        </w:tc>
        <w:tc>
          <w:tcPr>
            <w:tcW w:w="202" w:type="dxa"/>
            <w:tcBorders/>
            <w:shd w:fill="auto" w:val="clear"/>
            <w:vAlign w:val="bottom"/>
          </w:tcPr>
          <w:p>
            <w:pPr>
              <w:pStyle w:val="TableContents"/>
              <w:spacing w:before="0" w:after="283"/>
              <w:rPr/>
            </w:pPr>
            <w:r>
              <w:rPr/>
              <w:t>  </w:t>
            </w:r>
          </w:p>
        </w:tc>
        <w:tc>
          <w:tcPr>
            <w:tcW w:w="4755" w:type="dxa"/>
            <w:tcBorders/>
            <w:shd w:fill="auto" w:val="clear"/>
          </w:tcPr>
          <w:p>
            <w:pPr>
              <w:pStyle w:val="TableContents"/>
              <w:spacing w:before="0" w:after="283"/>
              <w:rPr/>
            </w:pPr>
            <w:r>
              <w:rPr/>
              <w:t>3 years</w:t>
            </w:r>
          </w:p>
        </w:tc>
      </w:tr>
    </w:tbl>
    <w:p>
      <w:pPr>
        <w:pStyle w:val="TextBody"/>
        <w:spacing w:before="120" w:after="0"/>
        <w:jc w:val="left"/>
        <w:rPr>
          <w:rFonts w:ascii="Times New Roman" w:hAnsi="Times New Roman"/>
          <w:sz w:val="20"/>
        </w:rPr>
      </w:pPr>
      <w:r>
        <w:rPr>
          <w:rFonts w:ascii="Times New Roman" w:hAnsi="Times New Roman"/>
          <w:sz w:val="20"/>
        </w:rPr>
        <w:t xml:space="preserve">Repairs and maintenance of property and equipment are expensed as incurred; enhancements and improvements that extend the life of property and equipment are capitalized into their cost.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1"/>
        <w:gridCol w:w="10098"/>
      </w:tblGrid>
      <w:tr>
        <w:trPr/>
        <w:tc>
          <w:tcPr>
            <w:tcW w:w="441" w:type="dxa"/>
            <w:tcBorders/>
            <w:shd w:fill="auto" w:val="clear"/>
          </w:tcPr>
          <w:p>
            <w:pPr>
              <w:pStyle w:val="TableContents"/>
              <w:spacing w:before="0" w:after="283"/>
              <w:jc w:val="left"/>
              <w:rPr>
                <w:b/>
              </w:rPr>
            </w:pPr>
            <w:r>
              <w:rPr>
                <w:b/>
              </w:rPr>
              <w:t>2.11</w:t>
            </w:r>
          </w:p>
        </w:tc>
        <w:tc>
          <w:tcPr>
            <w:tcW w:w="100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spacing w:before="120" w:after="0"/>
        <w:jc w:val="left"/>
        <w:rPr>
          <w:rFonts w:ascii="Times New Roman" w:hAnsi="Times New Roman"/>
          <w:sz w:val="20"/>
        </w:rPr>
      </w:pPr>
      <w:r>
        <w:rPr>
          <w:rFonts w:ascii="Times New Roman" w:hAnsi="Times New Roman"/>
          <w:sz w:val="20"/>
        </w:rPr>
        <w:t xml:space="preserve">Intangible assets consist of computer software, customer list and goodwill. </w:t>
      </w:r>
    </w:p>
    <w:p>
      <w:pPr>
        <w:pStyle w:val="TextBody"/>
        <w:spacing w:before="360" w:after="0"/>
        <w:jc w:val="left"/>
        <w:rPr>
          <w:rFonts w:ascii="Times New Roman" w:hAnsi="Times New Roman"/>
          <w:i/>
          <w:sz w:val="20"/>
        </w:rPr>
      </w:pPr>
      <w:r>
        <w:rPr>
          <w:rFonts w:ascii="Times New Roman" w:hAnsi="Times New Roman"/>
          <w:i/>
          <w:sz w:val="20"/>
        </w:rPr>
        <w:t xml:space="preserve">Computer software </w:t>
      </w:r>
    </w:p>
    <w:p>
      <w:pPr>
        <w:pStyle w:val="TextBody"/>
        <w:spacing w:before="120" w:after="0"/>
        <w:jc w:val="left"/>
        <w:rPr>
          <w:rFonts w:ascii="Times New Roman" w:hAnsi="Times New Roman"/>
          <w:sz w:val="20"/>
        </w:rPr>
      </w:pPr>
      <w:r>
        <w:rPr>
          <w:rFonts w:ascii="Times New Roman" w:hAnsi="Times New Roman"/>
          <w:sz w:val="20"/>
        </w:rPr>
        <w:t xml:space="preserve">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2022 and 2021. </w:t>
      </w:r>
    </w:p>
    <w:p>
      <w:pPr>
        <w:pStyle w:val="TextBody"/>
        <w:spacing w:before="120" w:after="0"/>
        <w:jc w:val="left"/>
        <w:rPr>
          <w:rFonts w:ascii="Times New Roman" w:hAnsi="Times New Roman"/>
          <w:sz w:val="20"/>
        </w:rPr>
      </w:pPr>
      <w:r>
        <w:rPr>
          <w:rFonts w:ascii="Times New Roman" w:hAnsi="Times New Roman"/>
          <w:sz w:val="20"/>
        </w:rPr>
        <w:t xml:space="preserve">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 </w:t>
      </w:r>
    </w:p>
    <w:p>
      <w:pPr>
        <w:pStyle w:val="TextBody"/>
        <w:spacing w:before="120" w:after="0"/>
        <w:jc w:val="left"/>
        <w:rPr>
          <w:rFonts w:ascii="Times New Roman" w:hAnsi="Times New Roman"/>
          <w:sz w:val="20"/>
        </w:rPr>
      </w:pPr>
      <w:r>
        <w:rPr>
          <w:rFonts w:ascii="Times New Roman" w:hAnsi="Times New Roman"/>
          <w:sz w:val="20"/>
        </w:rPr>
        <w:t xml:space="preserve">The initial useful lives of computer software assets as estimated by management are summarized as follows: </w:t>
      </w:r>
    </w:p>
    <w:p>
      <w:pPr>
        <w:pStyle w:val="TextBody"/>
        <w:spacing w:before="0" w:after="0"/>
        <w:jc w:val="left"/>
        <w:rPr/>
      </w:pPr>
      <w:r>
        <w:rPr/>
        <w:t> </w:t>
      </w:r>
    </w:p>
    <w:tbl>
      <w:tblPr>
        <w:tblW w:w="4800" w:type="pct"/>
        <w:jc w:val="right"/>
        <w:tblInd w:w="0" w:type="dxa"/>
        <w:tblCellMar>
          <w:top w:w="0" w:type="dxa"/>
          <w:left w:w="0" w:type="dxa"/>
          <w:bottom w:w="0" w:type="dxa"/>
          <w:right w:w="0" w:type="dxa"/>
        </w:tblCellMar>
      </w:tblPr>
      <w:tblGrid>
        <w:gridCol w:w="5160"/>
        <w:gridCol w:w="201"/>
        <w:gridCol w:w="4756"/>
      </w:tblGrid>
      <w:tr>
        <w:trPr/>
        <w:tc>
          <w:tcPr>
            <w:tcW w:w="51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756" w:type="dxa"/>
            <w:tcBorders/>
            <w:shd w:fill="auto" w:val="clear"/>
            <w:vAlign w:val="center"/>
          </w:tcPr>
          <w:p>
            <w:pPr>
              <w:pStyle w:val="TableContents"/>
              <w:spacing w:before="0" w:after="283"/>
              <w:rPr>
                <w:sz w:val="4"/>
                <w:szCs w:val="4"/>
              </w:rPr>
            </w:pPr>
            <w:r>
              <w:rPr>
                <w:sz w:val="4"/>
                <w:szCs w:val="4"/>
              </w:rPr>
            </w:r>
          </w:p>
        </w:tc>
      </w:tr>
      <w:tr>
        <w:trPr/>
        <w:tc>
          <w:tcPr>
            <w:tcW w:w="5160" w:type="dxa"/>
            <w:tcBorders/>
            <w:shd w:fill="auto" w:val="clear"/>
            <w:vAlign w:val="bottom"/>
          </w:tcPr>
          <w:p>
            <w:pPr>
              <w:pStyle w:val="TableContents"/>
              <w:spacing w:before="0" w:after="283"/>
              <w:rPr>
                <w:b/>
              </w:rPr>
            </w:pPr>
            <w:r>
              <w:rPr>
                <w:b/>
              </w:rPr>
              <w:t>Assets</w:t>
            </w:r>
          </w:p>
        </w:tc>
        <w:tc>
          <w:tcPr>
            <w:tcW w:w="201" w:type="dxa"/>
            <w:tcBorders/>
            <w:shd w:fill="auto" w:val="clear"/>
            <w:vAlign w:val="bottom"/>
          </w:tcPr>
          <w:p>
            <w:pPr>
              <w:pStyle w:val="TableContents"/>
              <w:spacing w:before="0" w:after="283"/>
              <w:rPr/>
            </w:pPr>
            <w:r>
              <w:rPr/>
              <w:t>  </w:t>
            </w:r>
          </w:p>
        </w:tc>
        <w:tc>
          <w:tcPr>
            <w:tcW w:w="4756" w:type="dxa"/>
            <w:tcBorders/>
            <w:shd w:fill="auto" w:val="clear"/>
            <w:vAlign w:val="bottom"/>
          </w:tcPr>
          <w:p>
            <w:pPr>
              <w:pStyle w:val="TableContents"/>
              <w:spacing w:before="0" w:after="283"/>
              <w:rPr>
                <w:b/>
              </w:rPr>
            </w:pPr>
            <w:r>
              <w:rPr>
                <w:b/>
              </w:rPr>
              <w:t>Useful life</w:t>
            </w:r>
          </w:p>
        </w:tc>
      </w:tr>
      <w:tr>
        <w:trPr/>
        <w:tc>
          <w:tcPr>
            <w:tcW w:w="5160" w:type="dxa"/>
            <w:tcBorders/>
            <w:shd w:fill="CCEEFF" w:val="clear"/>
          </w:tcPr>
          <w:p>
            <w:pPr>
              <w:pStyle w:val="TableContents"/>
              <w:spacing w:before="0" w:after="283"/>
              <w:rPr/>
            </w:pPr>
            <w:r>
              <w:rPr/>
              <w:t>Software</w:t>
            </w:r>
          </w:p>
        </w:tc>
        <w:tc>
          <w:tcPr>
            <w:tcW w:w="201" w:type="dxa"/>
            <w:tcBorders/>
            <w:shd w:fill="CCEEFF" w:val="clear"/>
            <w:vAlign w:val="bottom"/>
          </w:tcPr>
          <w:p>
            <w:pPr>
              <w:pStyle w:val="TableContents"/>
              <w:spacing w:before="0" w:after="283"/>
              <w:rPr/>
            </w:pPr>
            <w:r>
              <w:rPr/>
              <w:t>  </w:t>
            </w:r>
          </w:p>
        </w:tc>
        <w:tc>
          <w:tcPr>
            <w:tcW w:w="4756" w:type="dxa"/>
            <w:tcBorders/>
            <w:shd w:fill="CCEEFF" w:val="clear"/>
          </w:tcPr>
          <w:p>
            <w:pPr>
              <w:pStyle w:val="TableContents"/>
              <w:spacing w:before="0" w:after="283"/>
              <w:rPr/>
            </w:pPr>
            <w:r>
              <w:rPr/>
              <w:t>5 years</w:t>
            </w:r>
          </w:p>
        </w:tc>
      </w:tr>
    </w:tbl>
    <w:p>
      <w:pPr>
        <w:pStyle w:val="TextBody"/>
        <w:spacing w:before="360" w:after="0"/>
        <w:jc w:val="left"/>
        <w:rPr>
          <w:rFonts w:ascii="Times New Roman" w:hAnsi="Times New Roman"/>
          <w:i/>
          <w:sz w:val="20"/>
        </w:rPr>
      </w:pPr>
      <w:r>
        <w:rPr>
          <w:rFonts w:ascii="Times New Roman" w:hAnsi="Times New Roman"/>
          <w:i/>
          <w:sz w:val="20"/>
        </w:rPr>
        <w:t xml:space="preserve">Goodwill and customer relationships </w:t>
      </w:r>
    </w:p>
    <w:p>
      <w:pPr>
        <w:pStyle w:val="TextBody"/>
        <w:spacing w:before="120" w:after="0"/>
        <w:jc w:val="left"/>
        <w:rPr>
          <w:rFonts w:ascii="Times New Roman" w:hAnsi="Times New Roman"/>
          <w:sz w:val="20"/>
        </w:rPr>
      </w:pPr>
      <w:r>
        <w:rPr>
          <w:rFonts w:ascii="Times New Roman" w:hAnsi="Times New Roman"/>
          <w:sz w:val="20"/>
        </w:rPr>
        <w:t xml:space="preserve">Goodwill represents the excess purchase price over the fair value of the identifiable net assets acquired in a business combination. Customer relationships are initially recorded at their fair value in connection with business combinations. Goodwill and other intangible assets with indefinite useful lives are not amortized, but instead are tested for impairment at least annually. Intangible assets such as customer relationships with finite lives are amortized on a straight-line basis over their respective estimated useful lives to their estimated residual values.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 initial useful life of the intangible assets with finite lives as estimated by management are summarized as follows: </w:t>
      </w:r>
    </w:p>
    <w:p>
      <w:pPr>
        <w:pStyle w:val="TextBody"/>
        <w:spacing w:before="0" w:after="0"/>
        <w:jc w:val="left"/>
        <w:rPr/>
      </w:pPr>
      <w:r>
        <w:rPr/>
        <w:t> </w:t>
      </w:r>
    </w:p>
    <w:tbl>
      <w:tblPr>
        <w:tblW w:w="4800" w:type="pct"/>
        <w:jc w:val="right"/>
        <w:tblInd w:w="0" w:type="dxa"/>
        <w:tblCellMar>
          <w:top w:w="0" w:type="dxa"/>
          <w:left w:w="0" w:type="dxa"/>
          <w:bottom w:w="0" w:type="dxa"/>
          <w:right w:w="0" w:type="dxa"/>
        </w:tblCellMar>
      </w:tblPr>
      <w:tblGrid>
        <w:gridCol w:w="5160"/>
        <w:gridCol w:w="201"/>
        <w:gridCol w:w="4756"/>
      </w:tblGrid>
      <w:tr>
        <w:trPr/>
        <w:tc>
          <w:tcPr>
            <w:tcW w:w="51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756" w:type="dxa"/>
            <w:tcBorders/>
            <w:shd w:fill="auto" w:val="clear"/>
            <w:vAlign w:val="center"/>
          </w:tcPr>
          <w:p>
            <w:pPr>
              <w:pStyle w:val="TableContents"/>
              <w:spacing w:before="0" w:after="283"/>
              <w:rPr>
                <w:sz w:val="4"/>
                <w:szCs w:val="4"/>
              </w:rPr>
            </w:pPr>
            <w:r>
              <w:rPr>
                <w:sz w:val="4"/>
                <w:szCs w:val="4"/>
              </w:rPr>
            </w:r>
          </w:p>
        </w:tc>
      </w:tr>
      <w:tr>
        <w:trPr/>
        <w:tc>
          <w:tcPr>
            <w:tcW w:w="5160" w:type="dxa"/>
            <w:tcBorders/>
            <w:shd w:fill="auto" w:val="clear"/>
            <w:vAlign w:val="bottom"/>
          </w:tcPr>
          <w:p>
            <w:pPr>
              <w:pStyle w:val="TableContents"/>
              <w:spacing w:before="0" w:after="283"/>
              <w:rPr>
                <w:b/>
              </w:rPr>
            </w:pPr>
            <w:r>
              <w:rPr>
                <w:b/>
              </w:rPr>
              <w:t>Assets</w:t>
            </w:r>
          </w:p>
        </w:tc>
        <w:tc>
          <w:tcPr>
            <w:tcW w:w="201" w:type="dxa"/>
            <w:tcBorders/>
            <w:shd w:fill="auto" w:val="clear"/>
            <w:vAlign w:val="bottom"/>
          </w:tcPr>
          <w:p>
            <w:pPr>
              <w:pStyle w:val="TableContents"/>
              <w:spacing w:before="0" w:after="283"/>
              <w:rPr/>
            </w:pPr>
            <w:r>
              <w:rPr/>
              <w:t>  </w:t>
            </w:r>
          </w:p>
        </w:tc>
        <w:tc>
          <w:tcPr>
            <w:tcW w:w="4756" w:type="dxa"/>
            <w:tcBorders/>
            <w:shd w:fill="auto" w:val="clear"/>
            <w:vAlign w:val="bottom"/>
          </w:tcPr>
          <w:p>
            <w:pPr>
              <w:pStyle w:val="TableContents"/>
              <w:spacing w:before="0" w:after="283"/>
              <w:rPr>
                <w:b/>
              </w:rPr>
            </w:pPr>
            <w:r>
              <w:rPr>
                <w:b/>
              </w:rPr>
              <w:t>Useful life</w:t>
            </w:r>
          </w:p>
        </w:tc>
      </w:tr>
      <w:tr>
        <w:trPr/>
        <w:tc>
          <w:tcPr>
            <w:tcW w:w="5160" w:type="dxa"/>
            <w:tcBorders/>
            <w:shd w:fill="CCEEFF" w:val="clear"/>
          </w:tcPr>
          <w:p>
            <w:pPr>
              <w:pStyle w:val="TableContents"/>
              <w:spacing w:before="0" w:after="283"/>
              <w:rPr/>
            </w:pPr>
            <w:r>
              <w:rPr/>
              <w:t>Customer relationships (note 6)</w:t>
            </w:r>
          </w:p>
        </w:tc>
        <w:tc>
          <w:tcPr>
            <w:tcW w:w="201" w:type="dxa"/>
            <w:tcBorders/>
            <w:shd w:fill="CCEEFF" w:val="clear"/>
            <w:vAlign w:val="bottom"/>
          </w:tcPr>
          <w:p>
            <w:pPr>
              <w:pStyle w:val="TableContents"/>
              <w:spacing w:before="0" w:after="283"/>
              <w:rPr/>
            </w:pPr>
            <w:r>
              <w:rPr/>
              <w:t>  </w:t>
            </w:r>
          </w:p>
        </w:tc>
        <w:tc>
          <w:tcPr>
            <w:tcW w:w="4756" w:type="dxa"/>
            <w:tcBorders/>
            <w:shd w:fill="CCEEFF" w:val="clear"/>
          </w:tcPr>
          <w:p>
            <w:pPr>
              <w:pStyle w:val="TableContents"/>
              <w:spacing w:before="0" w:after="283"/>
              <w:rPr/>
            </w:pPr>
            <w:r>
              <w:rPr/>
              <w:t>13 years</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2"/>
        <w:gridCol w:w="10087"/>
      </w:tblGrid>
      <w:tr>
        <w:trPr/>
        <w:tc>
          <w:tcPr>
            <w:tcW w:w="452" w:type="dxa"/>
            <w:tcBorders/>
            <w:shd w:fill="auto" w:val="clear"/>
          </w:tcPr>
          <w:p>
            <w:pPr>
              <w:pStyle w:val="TableContents"/>
              <w:spacing w:before="0" w:after="283"/>
              <w:jc w:val="left"/>
              <w:rPr>
                <w:b/>
              </w:rPr>
            </w:pPr>
            <w:r>
              <w:rPr>
                <w:b/>
              </w:rPr>
              <w:t>2.12</w:t>
            </w:r>
          </w:p>
        </w:tc>
        <w:tc>
          <w:tcPr>
            <w:tcW w:w="100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Impairment of long-lived assets </w:t>
            </w:r>
          </w:p>
        </w:tc>
      </w:tr>
    </w:tbl>
    <w:p>
      <w:pPr>
        <w:pStyle w:val="TextBody"/>
        <w:spacing w:before="120" w:after="0"/>
        <w:jc w:val="left"/>
        <w:rPr>
          <w:rFonts w:ascii="Times New Roman" w:hAnsi="Times New Roman"/>
          <w:sz w:val="20"/>
        </w:rPr>
      </w:pPr>
      <w:r>
        <w:rPr>
          <w:rFonts w:ascii="Times New Roman" w:hAnsi="Times New Roman"/>
          <w:sz w:val="20"/>
        </w:rPr>
        <w:t xml:space="preserve">The Company reviews long-lived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 </w:t>
      </w:r>
    </w:p>
    <w:p>
      <w:pPr>
        <w:pStyle w:val="TextBody"/>
        <w:spacing w:before="120" w:after="0"/>
        <w:jc w:val="left"/>
        <w:rPr>
          <w:rFonts w:ascii="Times New Roman" w:hAnsi="Times New Roman"/>
          <w:sz w:val="20"/>
        </w:rPr>
      </w:pPr>
      <w:r>
        <w:rPr>
          <w:rFonts w:ascii="Times New Roman" w:hAnsi="Times New Roman"/>
          <w:sz w:val="20"/>
        </w:rPr>
        <w:t xml:space="preserve">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 </w:t>
      </w:r>
    </w:p>
    <w:p>
      <w:pPr>
        <w:pStyle w:val="TextBody"/>
        <w:spacing w:before="120" w:after="0"/>
        <w:jc w:val="left"/>
        <w:rPr>
          <w:rFonts w:ascii="Times New Roman" w:hAnsi="Times New Roman"/>
          <w:sz w:val="20"/>
        </w:rPr>
      </w:pPr>
      <w:r>
        <w:rPr>
          <w:rFonts w:ascii="Times New Roman" w:hAnsi="Times New Roman"/>
          <w:sz w:val="20"/>
        </w:rPr>
        <w:t xml:space="preserve">The Company identified indicators of impairment in Germany, through its subsidiary ANY which led to the recognition of a goodwill impairment loss of $7,418,302 in the Companys Carve-out Consolidated Statement of Operations for the year-ended December 31, 2022. Additionally, a goodwill impairment loss of related to the $44,438 related to its Taiwanese subsidiary was recognized in the year-ended December 31, 2022. </w:t>
      </w:r>
    </w:p>
    <w:p>
      <w:pPr>
        <w:pStyle w:val="TextBody"/>
        <w:spacing w:before="120" w:after="0"/>
        <w:jc w:val="left"/>
        <w:rPr>
          <w:rFonts w:ascii="Times New Roman" w:hAnsi="Times New Roman"/>
          <w:sz w:val="20"/>
        </w:rPr>
      </w:pPr>
      <w:r>
        <w:rPr>
          <w:rFonts w:ascii="Times New Roman" w:hAnsi="Times New Roman"/>
          <w:sz w:val="20"/>
        </w:rPr>
        <w:t xml:space="preserve">There were no other indicators of impairment for any of the long-lived assets as of December 31, 2022 and December 31, 2021 and the years then ended.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6"/>
        <w:gridCol w:w="10093"/>
      </w:tblGrid>
      <w:tr>
        <w:trPr/>
        <w:tc>
          <w:tcPr>
            <w:tcW w:w="446" w:type="dxa"/>
            <w:tcBorders/>
            <w:shd w:fill="auto" w:val="clear"/>
          </w:tcPr>
          <w:p>
            <w:pPr>
              <w:pStyle w:val="TableContents"/>
              <w:spacing w:before="0" w:after="283"/>
              <w:jc w:val="left"/>
              <w:rPr>
                <w:b/>
              </w:rPr>
            </w:pPr>
            <w:r>
              <w:rPr>
                <w:b/>
              </w:rPr>
              <w:t>2.13</w:t>
            </w:r>
          </w:p>
        </w:tc>
        <w:tc>
          <w:tcPr>
            <w:tcW w:w="1009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Accounts receivable </w:t>
            </w:r>
          </w:p>
        </w:tc>
      </w:tr>
    </w:tbl>
    <w:p>
      <w:pPr>
        <w:pStyle w:val="TextBody"/>
        <w:spacing w:before="120" w:after="0"/>
        <w:jc w:val="left"/>
        <w:rPr>
          <w:rFonts w:ascii="Times New Roman" w:hAnsi="Times New Roman"/>
          <w:sz w:val="20"/>
        </w:rPr>
      </w:pPr>
      <w:r>
        <w:rPr>
          <w:rFonts w:ascii="Times New Roman" w:hAnsi="Times New Roman"/>
          <w:sz w:val="20"/>
        </w:rPr>
        <w:t xml:space="preserve">Account receivable consists primarily of amounts related to fees charged to customers. Credit is extended based on evaluation of a customers financial condition and generally collateral is not required. Accounts receivable is stated at amounts due from customers net of allowances. The Company evaluates the need for an allowance for doubtful accounts based on historical collection trends and prevailing macroeconomic conditions. Accounts receivable in the accompanying consolidated financial statements does not have any allowances created for doubtful accounts.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39"/>
        <w:gridCol w:w="10100"/>
      </w:tblGrid>
      <w:tr>
        <w:trPr/>
        <w:tc>
          <w:tcPr>
            <w:tcW w:w="439" w:type="dxa"/>
            <w:tcBorders/>
            <w:shd w:fill="auto" w:val="clear"/>
          </w:tcPr>
          <w:p>
            <w:pPr>
              <w:pStyle w:val="TableContents"/>
              <w:spacing w:before="0" w:after="283"/>
              <w:jc w:val="left"/>
              <w:rPr>
                <w:b/>
              </w:rPr>
            </w:pPr>
            <w:r>
              <w:rPr>
                <w:b/>
              </w:rPr>
              <w:t>2.14</w:t>
            </w:r>
          </w:p>
        </w:tc>
        <w:tc>
          <w:tcPr>
            <w:tcW w:w="101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Cash </w:t>
            </w:r>
          </w:p>
        </w:tc>
      </w:tr>
    </w:tbl>
    <w:p>
      <w:pPr>
        <w:pStyle w:val="TextBody"/>
        <w:spacing w:before="120" w:after="0"/>
        <w:jc w:val="left"/>
        <w:rPr>
          <w:rFonts w:ascii="Times New Roman" w:hAnsi="Times New Roman"/>
          <w:sz w:val="20"/>
        </w:rPr>
      </w:pPr>
      <w:r>
        <w:rPr>
          <w:rFonts w:ascii="Times New Roman" w:hAnsi="Times New Roman"/>
          <w:sz w:val="20"/>
        </w:rPr>
        <w:t xml:space="preserve">Cash comprises cash on hand and in current accounts which are readily available.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8"/>
        <w:gridCol w:w="10091"/>
      </w:tblGrid>
      <w:tr>
        <w:trPr/>
        <w:tc>
          <w:tcPr>
            <w:tcW w:w="448" w:type="dxa"/>
            <w:tcBorders/>
            <w:shd w:fill="auto" w:val="clear"/>
          </w:tcPr>
          <w:p>
            <w:pPr>
              <w:pStyle w:val="TableContents"/>
              <w:spacing w:before="0" w:after="283"/>
              <w:jc w:val="left"/>
              <w:rPr>
                <w:b/>
              </w:rPr>
            </w:pPr>
            <w:r>
              <w:rPr>
                <w:b/>
              </w:rPr>
              <w:t>2.15</w:t>
            </w:r>
          </w:p>
        </w:tc>
        <w:tc>
          <w:tcPr>
            <w:tcW w:w="1009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Convertible Debt </w:t>
            </w:r>
          </w:p>
        </w:tc>
      </w:tr>
    </w:tbl>
    <w:p>
      <w:pPr>
        <w:pStyle w:val="TextBody"/>
        <w:spacing w:before="120" w:after="0"/>
        <w:jc w:val="left"/>
        <w:rPr>
          <w:rFonts w:ascii="Times New Roman" w:hAnsi="Times New Roman"/>
          <w:sz w:val="20"/>
        </w:rPr>
      </w:pPr>
      <w:r>
        <w:rPr>
          <w:rFonts w:ascii="Times New Roman" w:hAnsi="Times New Roman"/>
          <w:sz w:val="20"/>
        </w:rPr>
        <w:t xml:space="preserve">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 Companys senior secured notes issued in December 2021 are accounted for as a single liability instrument measured at its amortized cost, as no other embedded features require bifurcation and recognition as derivatives.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44"/>
        <w:gridCol w:w="10095"/>
      </w:tblGrid>
      <w:tr>
        <w:trPr/>
        <w:tc>
          <w:tcPr>
            <w:tcW w:w="444" w:type="dxa"/>
            <w:tcBorders/>
            <w:shd w:fill="auto" w:val="clear"/>
          </w:tcPr>
          <w:p>
            <w:pPr>
              <w:pStyle w:val="TableContents"/>
              <w:spacing w:before="0" w:after="283"/>
              <w:jc w:val="left"/>
              <w:rPr>
                <w:b/>
              </w:rPr>
            </w:pPr>
            <w:r>
              <w:rPr>
                <w:b/>
              </w:rPr>
              <w:t>2.16</w:t>
            </w:r>
          </w:p>
        </w:tc>
        <w:tc>
          <w:tcPr>
            <w:tcW w:w="1009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spacing w:before="120" w:after="0"/>
        <w:jc w:val="left"/>
        <w:rPr>
          <w:rFonts w:ascii="Times New Roman" w:hAnsi="Times New Roman"/>
          <w:sz w:val="20"/>
        </w:rPr>
      </w:pPr>
      <w:r>
        <w:rPr>
          <w:rFonts w:ascii="Times New Roman" w:hAnsi="Times New Roman"/>
          <w:sz w:val="20"/>
        </w:rPr>
        <w:t xml:space="preserve">The Company measures the cost of share-based awards granted to employees, non-employees and directors based on the grant-date fair value of the awards. The grant-date fair value of the share options is calculated using a Black-Scholes Merton option pricing model. The fair value of the share-based compensation is recognized on a straight-line basis over the requisite service period, which is generally the vesting period of the award. The Company elected to recognize the effect of forfeitures in the period that they occur.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39"/>
        <w:gridCol w:w="10100"/>
      </w:tblGrid>
      <w:tr>
        <w:trPr/>
        <w:tc>
          <w:tcPr>
            <w:tcW w:w="439" w:type="dxa"/>
            <w:tcBorders/>
            <w:shd w:fill="auto" w:val="clear"/>
          </w:tcPr>
          <w:p>
            <w:pPr>
              <w:pStyle w:val="TableContents"/>
              <w:spacing w:before="0" w:after="283"/>
              <w:jc w:val="left"/>
              <w:rPr>
                <w:b/>
              </w:rPr>
            </w:pPr>
            <w:r>
              <w:rPr>
                <w:b/>
              </w:rPr>
              <w:t>2.17</w:t>
            </w:r>
          </w:p>
        </w:tc>
        <w:tc>
          <w:tcPr>
            <w:tcW w:w="101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Shareholders deficit and reserves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presently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2022, and 2021, the Companys Board of Directors had not declared any dividends for ordinary shares. </w:t>
      </w:r>
    </w:p>
    <w:p>
      <w:pPr>
        <w:pStyle w:val="TextBody"/>
        <w:spacing w:before="120" w:after="0"/>
        <w:jc w:val="left"/>
        <w:rPr>
          <w:rFonts w:ascii="Times New Roman" w:hAnsi="Times New Roman"/>
          <w:sz w:val="20"/>
        </w:rPr>
      </w:pPr>
      <w:r>
        <w:rPr>
          <w:rFonts w:ascii="Times New Roman" w:hAnsi="Times New Roman"/>
          <w:sz w:val="20"/>
        </w:rPr>
        <w:t xml:space="preserve">On February 8, 2021 the Board of Directors of the Company approved an ordinary share split, wherein for every one share held of par value £0.01 per share, one hundred shares of par value £0.0001 per share was issued. All share and per share amounts in these financial statements have been adjusted to reflect the share split for all periods presented. </w:t>
      </w:r>
    </w:p>
    <w:p>
      <w:pPr>
        <w:pStyle w:val="TextBody"/>
        <w:spacing w:before="120" w:after="0"/>
        <w:jc w:val="left"/>
        <w:rPr>
          <w:rFonts w:ascii="Times New Roman" w:hAnsi="Times New Roman"/>
          <w:sz w:val="20"/>
        </w:rPr>
      </w:pPr>
      <w:r>
        <w:rPr>
          <w:rFonts w:ascii="Times New Roman" w:hAnsi="Times New Roman"/>
          <w:sz w:val="20"/>
        </w:rPr>
        <w:t xml:space="preserve">In the years presented in the consolidated financial statements, the following employee shares are outstanding. These shares par value of £0.0001 per share remain unpaid by the employees.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851"/>
        <w:gridCol w:w="283"/>
        <w:gridCol w:w="72"/>
        <w:gridCol w:w="1383"/>
        <w:gridCol w:w="159"/>
        <w:gridCol w:w="283"/>
        <w:gridCol w:w="113"/>
        <w:gridCol w:w="2165"/>
        <w:gridCol w:w="159"/>
        <w:gridCol w:w="282"/>
        <w:gridCol w:w="60"/>
        <w:gridCol w:w="876"/>
        <w:gridCol w:w="166"/>
      </w:tblGrid>
      <w:tr>
        <w:trPr/>
        <w:tc>
          <w:tcPr>
            <w:tcW w:w="285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Employee</w:t>
              <w:br/>
              <w:t>Shares at Par</w:t>
              <w:br/>
              <w:t>Value</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Employee Shares</w:t>
              <w:br/>
              <w:t>Requiring Additional</w:t>
              <w:br/>
              <w:t>Paid in Capital</w:t>
            </w:r>
          </w:p>
        </w:tc>
        <w:tc>
          <w:tcPr>
            <w:tcW w:w="159" w:type="dxa"/>
            <w:tcBorders/>
            <w:shd w:fill="auto" w:val="clear"/>
            <w:vAlign w:val="bottom"/>
          </w:tcPr>
          <w:p>
            <w:pPr>
              <w:pStyle w:val="TableContents"/>
              <w:spacing w:before="0" w:after="283"/>
              <w:rPr/>
            </w:pPr>
            <w:r>
              <w:rPr/>
              <w:t> </w:t>
            </w:r>
          </w:p>
        </w:tc>
        <w:tc>
          <w:tcPr>
            <w:tcW w:w="282" w:type="dxa"/>
            <w:vMerge w:val="restart"/>
            <w:tcBorders/>
            <w:shd w:fill="auto" w:val="clear"/>
            <w:vAlign w:val="bottom"/>
          </w:tcPr>
          <w:p>
            <w:pPr>
              <w:pStyle w:val="TableContents"/>
              <w:spacing w:before="0" w:after="283"/>
              <w:rPr/>
            </w:pPr>
            <w:r>
              <w:rPr/>
              <w:t>  </w:t>
            </w:r>
          </w:p>
        </w:tc>
        <w:tc>
          <w:tcPr>
            <w:tcW w:w="93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166" w:type="dxa"/>
            <w:vMerge w:val="restart"/>
            <w:tcBorders/>
            <w:shd w:fill="auto"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283"/>
              <w:rPr>
                <w:b/>
              </w:rPr>
            </w:pPr>
            <w:r>
              <w:rPr>
                <w:b/>
              </w:rPr>
              <w:t>Exercise price</w:t>
            </w:r>
          </w:p>
        </w:tc>
        <w:tc>
          <w:tcPr>
            <w:tcW w:w="283" w:type="dxa"/>
            <w:tcBorders/>
            <w:shd w:fill="auto" w:val="clear"/>
            <w:vAlign w:val="bottom"/>
          </w:tcPr>
          <w:p>
            <w:pPr>
              <w:pStyle w:val="TableContents"/>
              <w:spacing w:before="0" w:after="283"/>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£0.0001</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2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£0.016</w:t>
            </w:r>
          </w:p>
        </w:tc>
        <w:tc>
          <w:tcPr>
            <w:tcW w:w="159" w:type="dxa"/>
            <w:tcBorders/>
            <w:shd w:fill="auto" w:val="clear"/>
            <w:vAlign w:val="bottom"/>
          </w:tcPr>
          <w:p>
            <w:pPr>
              <w:pStyle w:val="TableContents"/>
              <w:spacing w:before="0" w:after="283"/>
              <w:rPr/>
            </w:pPr>
            <w:r>
              <w:rPr/>
              <w:t> </w:t>
            </w:r>
          </w:p>
        </w:tc>
        <w:tc>
          <w:tcPr>
            <w:tcW w:w="282" w:type="dxa"/>
            <w:vMerge w:val="continue"/>
            <w:tcBorders/>
            <w:shd w:fill="auto" w:val="clear"/>
            <w:vAlign w:val="bottom"/>
          </w:tcPr>
          <w:p>
            <w:pPr>
              <w:pStyle w:val="Normal"/>
              <w:rPr/>
            </w:pPr>
            <w:r>
              <w:rPr/>
            </w:r>
          </w:p>
        </w:tc>
        <w:tc>
          <w:tcPr>
            <w:tcW w:w="936" w:type="dxa"/>
            <w:gridSpan w:val="2"/>
            <w:vMerge w:val="continue"/>
            <w:tcBorders>
              <w:bottom w:val="single" w:sz="8" w:space="0" w:color="000000"/>
            </w:tcBorders>
            <w:shd w:fill="auto" w:val="clear"/>
            <w:tcMar>
              <w:bottom w:w="28" w:type="dxa"/>
            </w:tcMar>
            <w:vAlign w:val="bottom"/>
          </w:tcPr>
          <w:p>
            <w:pPr>
              <w:pStyle w:val="Normal"/>
              <w:rPr/>
            </w:pPr>
            <w:r>
              <w:rPr/>
            </w:r>
          </w:p>
        </w:tc>
        <w:tc>
          <w:tcPr>
            <w:tcW w:w="166" w:type="dxa"/>
            <w:vMerge w:val="continue"/>
            <w:tcBorders/>
            <w:shd w:fill="auto" w:val="clear"/>
            <w:vAlign w:val="bottom"/>
          </w:tcPr>
          <w:p>
            <w:pPr>
              <w:pStyle w:val="Normal"/>
              <w:rPr/>
            </w:pPr>
            <w:r>
              <w:rPr/>
            </w:r>
          </w:p>
        </w:tc>
      </w:tr>
      <w:tr>
        <w:trPr/>
        <w:tc>
          <w:tcPr>
            <w:tcW w:w="2851" w:type="dxa"/>
            <w:tcBorders/>
            <w:shd w:fill="CCEEFF" w:val="clear"/>
          </w:tcPr>
          <w:p>
            <w:pPr>
              <w:pStyle w:val="TableContents"/>
              <w:spacing w:before="0" w:after="0"/>
              <w:rPr>
                <w:rFonts w:ascii="Times New Roman" w:hAnsi="Times New Roman"/>
                <w:sz w:val="20"/>
              </w:rPr>
            </w:pPr>
            <w:r>
              <w:rPr>
                <w:rFonts w:ascii="Times New Roman" w:hAnsi="Times New Roman"/>
                <w:sz w:val="20"/>
              </w:rPr>
              <w:t>Balance as on January 1, 2021</w:t>
            </w:r>
          </w:p>
        </w:tc>
        <w:tc>
          <w:tcPr>
            <w:tcW w:w="283"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64,065,800</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65" w:type="dxa"/>
            <w:tcBorders/>
            <w:shd w:fill="CCEEFF" w:val="clear"/>
            <w:vAlign w:val="bottom"/>
          </w:tcPr>
          <w:p>
            <w:pPr>
              <w:pStyle w:val="TableContents"/>
              <w:spacing w:before="0" w:after="283"/>
              <w:jc w:val="right"/>
              <w:rPr/>
            </w:pPr>
            <w:r>
              <w:rPr/>
              <w:t>18,300,000</w:t>
            </w:r>
          </w:p>
        </w:tc>
        <w:tc>
          <w:tcPr>
            <w:tcW w:w="159"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371,842</w:t>
            </w:r>
          </w:p>
        </w:tc>
        <w:tc>
          <w:tcPr>
            <w:tcW w:w="166" w:type="dxa"/>
            <w:tcBorders/>
            <w:shd w:fill="CCEEFF" w:val="clear"/>
            <w:vAlign w:val="bottom"/>
          </w:tcPr>
          <w:p>
            <w:pPr>
              <w:pStyle w:val="TableContents"/>
              <w:spacing w:before="0" w:after="283"/>
              <w:rPr/>
            </w:pPr>
            <w:r>
              <w:rPr/>
              <w:t> </w:t>
            </w:r>
          </w:p>
        </w:tc>
      </w:tr>
      <w:tr>
        <w:trPr/>
        <w:tc>
          <w:tcPr>
            <w:tcW w:w="2851" w:type="dxa"/>
            <w:tcBorders/>
            <w:shd w:fill="auto" w:val="clear"/>
          </w:tcPr>
          <w:p>
            <w:pPr>
              <w:pStyle w:val="TableContents"/>
              <w:spacing w:before="0" w:after="0"/>
              <w:rPr>
                <w:rFonts w:ascii="Times New Roman" w:hAnsi="Times New Roman"/>
                <w:sz w:val="20"/>
              </w:rPr>
            </w:pPr>
            <w:r>
              <w:rPr>
                <w:rFonts w:ascii="Times New Roman" w:hAnsi="Times New Roman"/>
                <w:sz w:val="20"/>
              </w:rPr>
              <w:t>Issued during the year December 31, 2021</w:t>
            </w:r>
          </w:p>
        </w:tc>
        <w:tc>
          <w:tcPr>
            <w:tcW w:w="283"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2,000,000</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65"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228</w:t>
            </w:r>
          </w:p>
        </w:tc>
        <w:tc>
          <w:tcPr>
            <w:tcW w:w="166" w:type="dxa"/>
            <w:tcBorders/>
            <w:shd w:fill="auto" w:val="clear"/>
            <w:vAlign w:val="bottom"/>
          </w:tcPr>
          <w:p>
            <w:pPr>
              <w:pStyle w:val="TableContents"/>
              <w:spacing w:before="0" w:after="283"/>
              <w:rPr/>
            </w:pPr>
            <w:r>
              <w:rPr/>
              <w:t> </w:t>
            </w:r>
          </w:p>
        </w:tc>
      </w:tr>
      <w:tr>
        <w:trPr/>
        <w:tc>
          <w:tcPr>
            <w:tcW w:w="2851" w:type="dxa"/>
            <w:tcBorders/>
            <w:shd w:fill="CCEEFF" w:val="clear"/>
          </w:tcPr>
          <w:p>
            <w:pPr>
              <w:pStyle w:val="TableContents"/>
              <w:spacing w:before="0" w:after="0"/>
              <w:rPr>
                <w:rFonts w:ascii="Times New Roman" w:hAnsi="Times New Roman"/>
                <w:sz w:val="20"/>
              </w:rPr>
            </w:pPr>
            <w:r>
              <w:rPr>
                <w:rFonts w:ascii="Times New Roman" w:hAnsi="Times New Roman"/>
                <w:sz w:val="20"/>
              </w:rPr>
              <w:t>Forfeited during the year December 31, 2021</w:t>
            </w:r>
          </w:p>
        </w:tc>
        <w:tc>
          <w:tcPr>
            <w:tcW w:w="283"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(7,600,000</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65" w:type="dxa"/>
            <w:tcBorders/>
            <w:shd w:fill="CCEEFF" w:val="clear"/>
            <w:vAlign w:val="bottom"/>
          </w:tcPr>
          <w:p>
            <w:pPr>
              <w:pStyle w:val="TableContents"/>
              <w:spacing w:before="0" w:after="283"/>
              <w:jc w:val="right"/>
              <w:rPr/>
            </w:pPr>
            <w:r>
              <w:rPr/>
              <w:t>(7,600,000</w:t>
            </w:r>
          </w:p>
        </w:tc>
        <w:tc>
          <w:tcPr>
            <w:tcW w:w="159"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(156,621</w:t>
            </w:r>
          </w:p>
        </w:tc>
        <w:tc>
          <w:tcPr>
            <w:tcW w:w="166" w:type="dxa"/>
            <w:tcBorders/>
            <w:shd w:fill="CCEEFF"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216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2851" w:type="dxa"/>
            <w:tcBorders/>
            <w:shd w:fill="auto" w:val="clear"/>
          </w:tcPr>
          <w:p>
            <w:pPr>
              <w:pStyle w:val="TableContents"/>
              <w:spacing w:before="0" w:after="0"/>
              <w:rPr>
                <w:rFonts w:ascii="Times New Roman" w:hAnsi="Times New Roman"/>
                <w:sz w:val="20"/>
              </w:rPr>
            </w:pPr>
            <w:r>
              <w:rPr>
                <w:rFonts w:ascii="Times New Roman" w:hAnsi="Times New Roman"/>
                <w:sz w:val="20"/>
              </w:rPr>
              <w:t>As at December 31, 2021</w:t>
            </w:r>
          </w:p>
        </w:tc>
        <w:tc>
          <w:tcPr>
            <w:tcW w:w="283"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58,315,800</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65" w:type="dxa"/>
            <w:tcBorders/>
            <w:shd w:fill="auto" w:val="clear"/>
            <w:vAlign w:val="bottom"/>
          </w:tcPr>
          <w:p>
            <w:pPr>
              <w:pStyle w:val="TableContents"/>
              <w:spacing w:before="0" w:after="283"/>
              <w:jc w:val="right"/>
              <w:rPr/>
            </w:pPr>
            <w:r>
              <w:rPr/>
              <w:t>10,700,000</w:t>
            </w:r>
          </w:p>
        </w:tc>
        <w:tc>
          <w:tcPr>
            <w:tcW w:w="159"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215,448</w:t>
            </w:r>
          </w:p>
        </w:tc>
        <w:tc>
          <w:tcPr>
            <w:tcW w:w="166" w:type="dxa"/>
            <w:tcBorders/>
            <w:shd w:fill="auto" w:val="clear"/>
            <w:vAlign w:val="bottom"/>
          </w:tcPr>
          <w:p>
            <w:pPr>
              <w:pStyle w:val="TableContents"/>
              <w:spacing w:before="0" w:after="283"/>
              <w:rPr/>
            </w:pPr>
            <w:r>
              <w:rPr/>
              <w:t> </w:t>
            </w:r>
          </w:p>
        </w:tc>
      </w:tr>
      <w:tr>
        <w:trPr/>
        <w:tc>
          <w:tcPr>
            <w:tcW w:w="2851" w:type="dxa"/>
            <w:tcBorders/>
            <w:shd w:fill="CCEEFF" w:val="clear"/>
          </w:tcPr>
          <w:p>
            <w:pPr>
              <w:pStyle w:val="TableContents"/>
              <w:spacing w:before="0" w:after="0"/>
              <w:rPr>
                <w:rFonts w:ascii="Times New Roman" w:hAnsi="Times New Roman"/>
                <w:sz w:val="20"/>
              </w:rPr>
            </w:pPr>
            <w:r>
              <w:rPr>
                <w:rFonts w:ascii="Times New Roman" w:hAnsi="Times New Roman"/>
                <w:sz w:val="20"/>
              </w:rPr>
              <w:t>Issued during the year December 31, 2022</w:t>
            </w:r>
          </w:p>
        </w:tc>
        <w:tc>
          <w:tcPr>
            <w:tcW w:w="283"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6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r>
      <w:tr>
        <w:trPr/>
        <w:tc>
          <w:tcPr>
            <w:tcW w:w="2851" w:type="dxa"/>
            <w:tcBorders/>
            <w:shd w:fill="auto" w:val="clear"/>
          </w:tcPr>
          <w:p>
            <w:pPr>
              <w:pStyle w:val="TableContents"/>
              <w:spacing w:before="0" w:after="0"/>
              <w:rPr>
                <w:rFonts w:ascii="Times New Roman" w:hAnsi="Times New Roman"/>
                <w:sz w:val="20"/>
              </w:rPr>
            </w:pPr>
            <w:r>
              <w:rPr>
                <w:rFonts w:ascii="Times New Roman" w:hAnsi="Times New Roman"/>
                <w:sz w:val="20"/>
              </w:rPr>
              <w:t>Forfeited during the year December 31, 2022</w:t>
            </w:r>
          </w:p>
        </w:tc>
        <w:tc>
          <w:tcPr>
            <w:tcW w:w="283"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165"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single" w:sz="2" w:space="1" w:color="000000"/>
              </w:pBdr>
              <w:spacing w:before="0" w:after="0"/>
              <w:rPr/>
            </w:pPr>
            <w:r>
              <w:rPr/>
              <w:t> </w:t>
            </w:r>
          </w:p>
        </w:tc>
        <w:tc>
          <w:tcPr>
            <w:tcW w:w="216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7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285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As at December 31, 2022</w:t>
            </w:r>
          </w:p>
        </w:tc>
        <w:tc>
          <w:tcPr>
            <w:tcW w:w="283"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b/>
              </w:rPr>
            </w:pPr>
            <w:r>
              <w:rPr>
                <w:b/>
              </w:rPr>
              <w:t>58,315,800</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165" w:type="dxa"/>
            <w:tcBorders/>
            <w:shd w:fill="CCEEFF" w:val="clear"/>
            <w:vAlign w:val="bottom"/>
          </w:tcPr>
          <w:p>
            <w:pPr>
              <w:pStyle w:val="TableContents"/>
              <w:spacing w:before="0" w:after="283"/>
              <w:jc w:val="right"/>
              <w:rPr>
                <w:b/>
              </w:rPr>
            </w:pPr>
            <w:r>
              <w:rPr>
                <w:b/>
              </w:rPr>
              <w:t>10,700,000</w:t>
            </w:r>
          </w:p>
        </w:tc>
        <w:tc>
          <w:tcPr>
            <w:tcW w:w="159"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b/>
              </w:rPr>
            </w:pPr>
            <w:r>
              <w:rPr>
                <w:b/>
              </w:rPr>
              <w:t>215,448</w:t>
            </w:r>
          </w:p>
        </w:tc>
        <w:tc>
          <w:tcPr>
            <w:tcW w:w="166" w:type="dxa"/>
            <w:tcBorders/>
            <w:shd w:fill="CCEEFF" w:val="clear"/>
            <w:vAlign w:val="bottom"/>
          </w:tcPr>
          <w:p>
            <w:pPr>
              <w:pStyle w:val="TableContents"/>
              <w:spacing w:before="0" w:after="283"/>
              <w:rPr/>
            </w:pPr>
            <w:r>
              <w:rPr/>
              <w:t> </w:t>
            </w:r>
          </w:p>
        </w:tc>
      </w:tr>
      <w:tr>
        <w:trPr/>
        <w:tc>
          <w:tcPr>
            <w:tcW w:w="2851"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pBdr>
                <w:top w:val="double" w:sz="6" w:space="1" w:color="000000"/>
              </w:pBdr>
              <w:spacing w:before="0" w:after="0"/>
              <w:rPr/>
            </w:pPr>
            <w:r>
              <w:rPr/>
              <w:t> </w:t>
            </w:r>
          </w:p>
        </w:tc>
        <w:tc>
          <w:tcPr>
            <w:tcW w:w="138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pBdr>
                <w:top w:val="double" w:sz="6" w:space="1" w:color="000000"/>
              </w:pBdr>
              <w:spacing w:before="0" w:after="0"/>
              <w:rPr/>
            </w:pPr>
            <w:r>
              <w:rPr/>
              <w:t> </w:t>
            </w:r>
          </w:p>
        </w:tc>
        <w:tc>
          <w:tcPr>
            <w:tcW w:w="216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876" w:type="dxa"/>
            <w:tcBorders/>
            <w:shd w:fill="auto" w:val="clear"/>
            <w:vAlign w:val="bottom"/>
          </w:tcPr>
          <w:p>
            <w:pPr>
              <w:pStyle w:val="TableContents"/>
              <w:pBdr>
                <w:top w:val="double" w:sz="6"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Management expect to amend the articles of incorporation of the Company, such that these restrictions will be removed prior to the completion of the Demerger. After removal of such restrictions it is expected that the employee shares will achieve a grant date as defined in ASC 718. </w:t>
      </w:r>
    </w:p>
    <w:p>
      <w:pPr>
        <w:pStyle w:val="TextBody"/>
        <w:spacing w:before="120" w:after="0"/>
        <w:jc w:val="left"/>
        <w:rPr>
          <w:rFonts w:ascii="Times New Roman" w:hAnsi="Times New Roman"/>
          <w:sz w:val="20"/>
        </w:rPr>
      </w:pPr>
      <w:r>
        <w:rPr>
          <w:rFonts w:ascii="Times New Roman" w:hAnsi="Times New Roman"/>
          <w:sz w:val="20"/>
        </w:rPr>
        <w:t xml:space="preserve">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1"/>
        <w:gridCol w:w="10078"/>
      </w:tblGrid>
      <w:tr>
        <w:trPr/>
        <w:tc>
          <w:tcPr>
            <w:tcW w:w="461" w:type="dxa"/>
            <w:tcBorders/>
            <w:shd w:fill="auto" w:val="clear"/>
          </w:tcPr>
          <w:p>
            <w:pPr>
              <w:pStyle w:val="TableContents"/>
              <w:spacing w:before="0" w:after="283"/>
              <w:jc w:val="left"/>
              <w:rPr>
                <w:b/>
              </w:rPr>
            </w:pPr>
            <w:r>
              <w:rPr>
                <w:b/>
              </w:rPr>
              <w:t>2.18</w:t>
            </w:r>
          </w:p>
        </w:tc>
        <w:tc>
          <w:tcPr>
            <w:tcW w:w="1007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Fair value measurement and concentration of credit risk </w:t>
            </w:r>
          </w:p>
        </w:tc>
      </w:tr>
    </w:tbl>
    <w:p>
      <w:pPr>
        <w:pStyle w:val="TextBody"/>
        <w:spacing w:before="120" w:after="0"/>
        <w:jc w:val="left"/>
        <w:rPr>
          <w:rFonts w:ascii="Times New Roman" w:hAnsi="Times New Roman"/>
          <w:sz w:val="20"/>
        </w:rPr>
      </w:pPr>
      <w:r>
        <w:rPr>
          <w:rFonts w:ascii="Times New Roman" w:hAnsi="Times New Roman"/>
          <w:sz w:val="20"/>
        </w:rPr>
        <w:t xml:space="preserve">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 </w:t>
      </w:r>
    </w:p>
    <w:p>
      <w:pPr>
        <w:pStyle w:val="TextBody"/>
        <w:spacing w:before="120" w:after="0"/>
        <w:jc w:val="left"/>
        <w:rPr>
          <w:rFonts w:ascii="Times New Roman" w:hAnsi="Times New Roman"/>
          <w:sz w:val="20"/>
        </w:rPr>
      </w:pPr>
      <w:r>
        <w:rPr>
          <w:rFonts w:ascii="Times New Roman" w:hAnsi="Times New Roman"/>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spacing w:before="120" w:after="0"/>
        <w:jc w:val="left"/>
        <w:rPr>
          <w:rFonts w:ascii="Times New Roman" w:hAnsi="Times New Roman"/>
          <w:sz w:val="20"/>
        </w:rPr>
      </w:pPr>
      <w:r>
        <w:rPr>
          <w:rFonts w:ascii="Times New Roman" w:hAnsi="Times New Roman"/>
          <w:sz w:val="20"/>
        </w:rPr>
        <w:t xml:space="preserve">Level 1Inputs are quoted prices (unadjusted) in active markets for identical assets or liabilities that the Company has the ability to access at the measurement date. </w:t>
      </w:r>
    </w:p>
    <w:p>
      <w:pPr>
        <w:pStyle w:val="TextBody"/>
        <w:spacing w:before="120" w:after="0"/>
        <w:jc w:val="left"/>
        <w:rPr>
          <w:rFonts w:ascii="Times New Roman" w:hAnsi="Times New Roman"/>
          <w:sz w:val="20"/>
        </w:rPr>
      </w:pPr>
      <w:r>
        <w:rPr>
          <w:rFonts w:ascii="Times New Roman" w:hAnsi="Times New Roman"/>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spacing w:before="120" w:after="0"/>
        <w:jc w:val="left"/>
        <w:rPr>
          <w:rFonts w:ascii="Times New Roman" w:hAnsi="Times New Roman"/>
          <w:sz w:val="20"/>
        </w:rPr>
      </w:pPr>
      <w:r>
        <w:rPr>
          <w:rFonts w:ascii="Times New Roman" w:hAnsi="Times New Roman"/>
          <w:sz w:val="20"/>
        </w:rPr>
        <w:t xml:space="preserve">Level 3Inputs are unobservable inputs for the asset or liability. </w:t>
      </w:r>
    </w:p>
    <w:p>
      <w:pPr>
        <w:pStyle w:val="TextBody"/>
        <w:spacing w:before="120" w:after="0"/>
        <w:jc w:val="left"/>
        <w:rPr>
          <w:rFonts w:ascii="Times New Roman" w:hAnsi="Times New Roman"/>
          <w:sz w:val="20"/>
        </w:rPr>
      </w:pPr>
      <w:r>
        <w:rPr>
          <w:rFonts w:ascii="Times New Roman" w:hAnsi="Times New Roman"/>
          <w:sz w:val="20"/>
        </w:rPr>
        <w:t xml:space="preserve">The level in the fair value hierarchy within which a fair value measurement in its entirety falls is based on the lowest-level input that is significant to the fair value measurement in its entirety. </w:t>
      </w:r>
    </w:p>
    <w:p>
      <w:pPr>
        <w:pStyle w:val="TextBody"/>
        <w:spacing w:before="240" w:after="0"/>
        <w:jc w:val="left"/>
        <w:rPr>
          <w:rFonts w:ascii="Times New Roman" w:hAnsi="Times New Roman"/>
          <w:sz w:val="20"/>
        </w:rPr>
      </w:pPr>
      <w:r>
        <w:rPr>
          <w:rFonts w:ascii="Times New Roman" w:hAnsi="Times New Roman"/>
          <w:sz w:val="20"/>
        </w:rPr>
        <w:t xml:space="preserve">Fair value measurement at reporting date: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744"/>
        <w:gridCol w:w="383"/>
        <w:gridCol w:w="102"/>
        <w:gridCol w:w="655"/>
        <w:gridCol w:w="60"/>
        <w:gridCol w:w="383"/>
        <w:gridCol w:w="102"/>
        <w:gridCol w:w="655"/>
        <w:gridCol w:w="60"/>
        <w:gridCol w:w="383"/>
        <w:gridCol w:w="140"/>
        <w:gridCol w:w="1120"/>
        <w:gridCol w:w="65"/>
      </w:tblGrid>
      <w:tr>
        <w:trPr/>
        <w:tc>
          <w:tcPr>
            <w:tcW w:w="474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74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w:t>
            </w:r>
          </w:p>
        </w:tc>
        <w:tc>
          <w:tcPr>
            <w:tcW w:w="383" w:type="dxa"/>
            <w:tcBorders/>
            <w:shd w:fill="auto" w:val="clear"/>
            <w:vAlign w:val="bottom"/>
          </w:tcPr>
          <w:p>
            <w:pPr>
              <w:pStyle w:val="TableContents"/>
              <w:spacing w:before="0" w:after="283"/>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1</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2</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Level 3</w:t>
            </w:r>
          </w:p>
        </w:tc>
        <w:tc>
          <w:tcPr>
            <w:tcW w:w="65" w:type="dxa"/>
            <w:tcBorders/>
            <w:shd w:fill="auto" w:val="clear"/>
            <w:vAlign w:val="bottom"/>
          </w:tcPr>
          <w:p>
            <w:pPr>
              <w:pStyle w:val="TableContents"/>
              <w:spacing w:before="0" w:after="283"/>
              <w:rPr/>
            </w:pPr>
            <w:r>
              <w:rPr/>
              <w:t> </w:t>
            </w:r>
          </w:p>
        </w:tc>
      </w:tr>
      <w:tr>
        <w:trPr/>
        <w:tc>
          <w:tcPr>
            <w:tcW w:w="4744" w:type="dxa"/>
            <w:tcBorders/>
            <w:shd w:fill="CCEEFF" w:val="clear"/>
          </w:tcPr>
          <w:p>
            <w:pPr>
              <w:pStyle w:val="TableContents"/>
              <w:spacing w:before="0" w:after="0"/>
              <w:rPr>
                <w:rFonts w:ascii="Times New Roman" w:hAnsi="Times New Roman"/>
                <w:b/>
                <w:sz w:val="20"/>
              </w:rPr>
            </w:pPr>
            <w:r>
              <w:rPr>
                <w:rFonts w:ascii="Times New Roman" w:hAnsi="Times New Roman"/>
                <w:b/>
                <w:sz w:val="20"/>
              </w:rPr>
              <w:t>December 31, 2022</w:t>
            </w:r>
          </w:p>
          <w:p>
            <w:pPr>
              <w:pStyle w:val="TableContents"/>
              <w:spacing w:before="0" w:after="20"/>
              <w:rPr>
                <w:rFonts w:ascii="Times New Roman" w:hAnsi="Times New Roman"/>
                <w:i/>
                <w:sz w:val="20"/>
              </w:rPr>
            </w:pPr>
            <w:r>
              <w:rPr>
                <w:rFonts w:ascii="Times New Roman" w:hAnsi="Times New Roman"/>
                <w:i/>
                <w:sz w:val="20"/>
              </w:rPr>
              <w:t>Fair value on recurring basis</w:t>
            </w:r>
          </w:p>
        </w:tc>
        <w:tc>
          <w:tcPr>
            <w:tcW w:w="38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0"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744" w:type="dxa"/>
            <w:tcBorders/>
            <w:shd w:fill="auto" w:val="clear"/>
          </w:tcPr>
          <w:p>
            <w:pPr>
              <w:pStyle w:val="TableContents"/>
              <w:spacing w:before="0" w:after="0"/>
              <w:rPr>
                <w:rFonts w:ascii="Times New Roman" w:hAnsi="Times New Roman"/>
                <w:sz w:val="20"/>
              </w:rPr>
            </w:pPr>
            <w:r>
              <w:rPr>
                <w:rFonts w:ascii="Times New Roman" w:hAnsi="Times New Roman"/>
                <w:sz w:val="20"/>
              </w:rPr>
              <w:t>(1) Share-based payment liability</w:t>
            </w:r>
          </w:p>
        </w:tc>
        <w:tc>
          <w:tcPr>
            <w:tcW w:w="38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20" w:type="dxa"/>
            <w:tcBorders/>
            <w:shd w:fill="auto" w:val="clear"/>
            <w:vAlign w:val="bottom"/>
          </w:tcPr>
          <w:p>
            <w:pPr>
              <w:pStyle w:val="TableContents"/>
              <w:spacing w:before="0" w:after="283"/>
              <w:jc w:val="right"/>
              <w:rPr/>
            </w:pPr>
            <w:r>
              <w:rPr/>
              <w:t>1,177,617</w:t>
            </w:r>
          </w:p>
        </w:tc>
        <w:tc>
          <w:tcPr>
            <w:tcW w:w="65" w:type="dxa"/>
            <w:tcBorders/>
            <w:shd w:fill="auto" w:val="clear"/>
            <w:vAlign w:val="bottom"/>
          </w:tcPr>
          <w:p>
            <w:pPr>
              <w:pStyle w:val="TableContents"/>
              <w:spacing w:before="0" w:after="283"/>
              <w:rPr/>
            </w:pPr>
            <w:r>
              <w:rPr/>
              <w:t> </w:t>
            </w:r>
          </w:p>
        </w:tc>
      </w:tr>
      <w:tr>
        <w:trPr/>
        <w:tc>
          <w:tcPr>
            <w:tcW w:w="4744" w:type="dxa"/>
            <w:tcBorders/>
            <w:shd w:fill="CCEEFF" w:val="clear"/>
          </w:tcPr>
          <w:p>
            <w:pPr>
              <w:pStyle w:val="TableContents"/>
              <w:spacing w:before="0" w:after="0"/>
              <w:rPr>
                <w:rFonts w:ascii="Times New Roman" w:hAnsi="Times New Roman"/>
                <w:b/>
                <w:sz w:val="20"/>
              </w:rPr>
            </w:pPr>
            <w:r>
              <w:rPr>
                <w:rFonts w:ascii="Times New Roman" w:hAnsi="Times New Roman"/>
                <w:b/>
                <w:sz w:val="20"/>
              </w:rPr>
              <w:t>December 31, 2021</w:t>
            </w:r>
          </w:p>
          <w:p>
            <w:pPr>
              <w:pStyle w:val="TableContents"/>
              <w:spacing w:before="0" w:after="20"/>
              <w:rPr>
                <w:rFonts w:ascii="Times New Roman" w:hAnsi="Times New Roman"/>
                <w:i/>
                <w:sz w:val="20"/>
              </w:rPr>
            </w:pPr>
            <w:r>
              <w:rPr>
                <w:rFonts w:ascii="Times New Roman" w:hAnsi="Times New Roman"/>
                <w:i/>
                <w:sz w:val="20"/>
              </w:rPr>
              <w:t>Fair value on recurring basis</w:t>
            </w:r>
          </w:p>
        </w:tc>
        <w:tc>
          <w:tcPr>
            <w:tcW w:w="38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0"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744" w:type="dxa"/>
            <w:tcBorders/>
            <w:shd w:fill="auto" w:val="clear"/>
          </w:tcPr>
          <w:p>
            <w:pPr>
              <w:pStyle w:val="TableContents"/>
              <w:spacing w:before="0" w:after="0"/>
              <w:rPr>
                <w:rFonts w:ascii="Times New Roman" w:hAnsi="Times New Roman"/>
                <w:sz w:val="20"/>
              </w:rPr>
            </w:pPr>
            <w:r>
              <w:rPr>
                <w:rFonts w:ascii="Times New Roman" w:hAnsi="Times New Roman"/>
                <w:sz w:val="20"/>
              </w:rPr>
              <w:t>(1) Share-based payment liability</w:t>
            </w:r>
          </w:p>
        </w:tc>
        <w:tc>
          <w:tcPr>
            <w:tcW w:w="38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20" w:type="dxa"/>
            <w:tcBorders/>
            <w:shd w:fill="auto" w:val="clear"/>
            <w:vAlign w:val="bottom"/>
          </w:tcPr>
          <w:p>
            <w:pPr>
              <w:pStyle w:val="TableContents"/>
              <w:spacing w:before="0" w:after="283"/>
              <w:jc w:val="right"/>
              <w:rPr/>
            </w:pPr>
            <w:r>
              <w:rPr/>
              <w:t>1,060,720</w:t>
            </w:r>
          </w:p>
        </w:tc>
        <w:tc>
          <w:tcPr>
            <w:tcW w:w="65" w:type="dxa"/>
            <w:tcBorders/>
            <w:shd w:fill="auto" w:val="clear"/>
            <w:vAlign w:val="bottom"/>
          </w:tcPr>
          <w:p>
            <w:pPr>
              <w:pStyle w:val="TableContents"/>
              <w:spacing w:before="0" w:after="283"/>
              <w:rPr/>
            </w:pPr>
            <w:r>
              <w:rPr/>
              <w:t> </w:t>
            </w:r>
          </w:p>
        </w:tc>
      </w:tr>
      <w:tr>
        <w:trPr/>
        <w:tc>
          <w:tcPr>
            <w:tcW w:w="4744" w:type="dxa"/>
            <w:tcBorders/>
            <w:shd w:fill="CCEEFF" w:val="clear"/>
          </w:tcPr>
          <w:p>
            <w:pPr>
              <w:pStyle w:val="TableContents"/>
              <w:spacing w:before="0" w:after="0"/>
              <w:rPr>
                <w:rFonts w:ascii="Times New Roman" w:hAnsi="Times New Roman"/>
                <w:sz w:val="20"/>
              </w:rPr>
            </w:pPr>
            <w:r>
              <w:rPr>
                <w:rFonts w:ascii="Times New Roman" w:hAnsi="Times New Roman"/>
                <w:sz w:val="20"/>
              </w:rPr>
              <w:t>(2) Share consideration payable</w:t>
            </w:r>
          </w:p>
        </w:tc>
        <w:tc>
          <w:tcPr>
            <w:tcW w:w="38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20" w:type="dxa"/>
            <w:tcBorders/>
            <w:shd w:fill="CCEEFF" w:val="clear"/>
            <w:vAlign w:val="bottom"/>
          </w:tcPr>
          <w:p>
            <w:pPr>
              <w:pStyle w:val="TableContents"/>
              <w:spacing w:before="0" w:after="283"/>
              <w:jc w:val="right"/>
              <w:rPr/>
            </w:pPr>
            <w:r>
              <w:rPr/>
              <w:t>14,600,000</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fair value of the share-based payment liability was valued using a discounted cash flow method using a risk adjusted discount rate of 10.8%. Please also refer to note 8.4.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7"/>
        <w:gridCol w:w="9591"/>
      </w:tblGrid>
      <w:tr>
        <w:trPr/>
        <w:tc>
          <w:tcPr>
            <w:tcW w:w="421"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(2)</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fair value of the share consideration payable was based on a recent funding of the Company at $1.03 per ordinary share, before using probability weighted outcomes of settling the outcomes of the share consideration payable and a discounted cash flow of the weighted outcomes using a market-based, risk-free rate. </w:t>
            </w:r>
          </w:p>
        </w:tc>
      </w:tr>
    </w:tbl>
    <w:p>
      <w:pPr>
        <w:pStyle w:val="TextBody"/>
        <w:spacing w:before="120" w:after="0"/>
        <w:jc w:val="left"/>
        <w:rPr>
          <w:rFonts w:ascii="Times New Roman" w:hAnsi="Times New Roman"/>
          <w:sz w:val="20"/>
        </w:rPr>
      </w:pPr>
      <w:r>
        <w:rPr>
          <w:rFonts w:ascii="Times New Roman" w:hAnsi="Times New Roman"/>
          <w:sz w:val="20"/>
        </w:rPr>
        <w:t xml:space="preserve">The carrying amount of the Companys cash, accounts receivable, accounts payable and accrued expenses approximated their fair values due to their short term to maturity. </w:t>
      </w:r>
    </w:p>
    <w:p>
      <w:pPr>
        <w:pStyle w:val="TextBody"/>
        <w:spacing w:before="360" w:after="0"/>
        <w:jc w:val="left"/>
        <w:rPr>
          <w:rFonts w:ascii="Times New Roman" w:hAnsi="Times New Roman"/>
          <w:b/>
          <w:sz w:val="20"/>
        </w:rPr>
      </w:pPr>
      <w:r>
        <w:rPr>
          <w:rFonts w:ascii="Times New Roman" w:hAnsi="Times New Roman"/>
          <w:b/>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 xml:space="preserve">Accounts receivable are potentially subject to credit risk concentration. The Company has not experienced any material losses related to concentrations during the years presented. The Company however has a concentration risk related to its contract with the Radio Group such that as at December 31, 2022, 89% of the Companys Accounts receivable is from the Radio Group. Such losses due to concentration risk may be material in the future and management makes no assurance that these losses may be avoided. </w:t>
      </w:r>
    </w:p>
    <w:p>
      <w:pPr>
        <w:pStyle w:val="TextBody"/>
        <w:spacing w:before="360" w:after="0"/>
        <w:jc w:val="left"/>
        <w:rPr>
          <w:rFonts w:ascii="Times New Roman" w:hAnsi="Times New Roman"/>
          <w:b/>
          <w:sz w:val="20"/>
        </w:rPr>
      </w:pPr>
      <w:r>
        <w:rPr>
          <w:rFonts w:ascii="Times New Roman" w:hAnsi="Times New Roman"/>
          <w:b/>
          <w:sz w:val="20"/>
        </w:rPr>
        <w:t xml:space="preserve">Foreign currency risk </w:t>
      </w:r>
    </w:p>
    <w:p>
      <w:pPr>
        <w:pStyle w:val="TextBody"/>
        <w:spacing w:before="120" w:after="0"/>
        <w:jc w:val="left"/>
        <w:rPr>
          <w:rFonts w:ascii="Times New Roman" w:hAnsi="Times New Roman"/>
          <w:sz w:val="20"/>
        </w:rPr>
      </w:pPr>
      <w:r>
        <w:rPr>
          <w:rFonts w:ascii="Times New Roman" w:hAnsi="Times New Roman"/>
          <w:sz w:val="20"/>
        </w:rPr>
        <w:t xml:space="preserve">All of the Companys revenue is denominated in the Euro (EUR) since the sales of the Company are primarily in Germany. Based upon the Companys level of operations for the year ended December 31, 2022, a sensitivity analysis shows that a 10% appreciation or depreciation in the EUR against the dollar would have increased or decreased, respectively, the Companys revenue for the years ended December 31, 2022 and 2021 by approximately $ 1,232,575 and $ 390,457 respectively.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6"/>
        <w:gridCol w:w="10063"/>
      </w:tblGrid>
      <w:tr>
        <w:trPr/>
        <w:tc>
          <w:tcPr>
            <w:tcW w:w="476" w:type="dxa"/>
            <w:tcBorders/>
            <w:shd w:fill="auto" w:val="clear"/>
          </w:tcPr>
          <w:p>
            <w:pPr>
              <w:pStyle w:val="TableContents"/>
              <w:spacing w:before="0" w:after="283"/>
              <w:jc w:val="left"/>
              <w:rPr>
                <w:b/>
              </w:rPr>
            </w:pPr>
            <w:r>
              <w:rPr>
                <w:b/>
              </w:rPr>
              <w:t>2.19</w:t>
            </w:r>
          </w:p>
        </w:tc>
        <w:tc>
          <w:tcPr>
            <w:tcW w:w="10063"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 </w:t>
      </w:r>
    </w:p>
    <w:p>
      <w:pPr>
        <w:pStyle w:val="TextBody"/>
        <w:spacing w:before="120" w:after="0"/>
        <w:jc w:val="left"/>
        <w:rPr>
          <w:rFonts w:ascii="Times New Roman" w:hAnsi="Times New Roman"/>
          <w:sz w:val="20"/>
        </w:rPr>
      </w:pPr>
      <w:r>
        <w:rPr>
          <w:rFonts w:ascii="Times New Roman" w:hAnsi="Times New Roman"/>
          <w:sz w:val="20"/>
        </w:rPr>
        <w:t xml:space="preserve">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 </w:t>
      </w:r>
    </w:p>
    <w:p>
      <w:pPr>
        <w:pStyle w:val="TextBody"/>
        <w:spacing w:before="120" w:after="0"/>
        <w:jc w:val="left"/>
        <w:rPr>
          <w:rFonts w:ascii="Times New Roman" w:hAnsi="Times New Roman"/>
          <w:sz w:val="20"/>
        </w:rPr>
      </w:pPr>
      <w:r>
        <w:rPr>
          <w:rFonts w:ascii="Times New Roman" w:hAnsi="Times New Roman"/>
          <w:sz w:val="20"/>
        </w:rPr>
        <w:t xml:space="preserve">As a result of operating losses in most of the geographies where the Company operates, we concluded that our deferred tax assets on unutilized tax losses were not more likely than not to be realized in the future and a full valuation allowance has been recorded.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2"/>
        <w:gridCol w:w="10067"/>
      </w:tblGrid>
      <w:tr>
        <w:trPr/>
        <w:tc>
          <w:tcPr>
            <w:tcW w:w="472" w:type="dxa"/>
            <w:tcBorders/>
            <w:shd w:fill="auto" w:val="clear"/>
          </w:tcPr>
          <w:p>
            <w:pPr>
              <w:pStyle w:val="TableContents"/>
              <w:spacing w:before="0" w:after="283"/>
              <w:jc w:val="left"/>
              <w:rPr>
                <w:b/>
              </w:rPr>
            </w:pPr>
            <w:r>
              <w:rPr>
                <w:b/>
              </w:rPr>
              <w:t>2.20</w:t>
            </w:r>
          </w:p>
        </w:tc>
        <w:tc>
          <w:tcPr>
            <w:tcW w:w="1006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Loss and earnings per share </w:t>
            </w:r>
          </w:p>
        </w:tc>
      </w:tr>
    </w:tbl>
    <w:p>
      <w:pPr>
        <w:pStyle w:val="TextBody"/>
        <w:spacing w:before="120" w:after="0"/>
        <w:jc w:val="left"/>
        <w:rPr>
          <w:rFonts w:ascii="Times New Roman" w:hAnsi="Times New Roman"/>
          <w:sz w:val="20"/>
        </w:rPr>
      </w:pPr>
      <w:r>
        <w:rPr>
          <w:rFonts w:ascii="Times New Roman" w:hAnsi="Times New Roman"/>
          <w:sz w:val="20"/>
        </w:rPr>
        <w:t xml:space="preserve">Basic net loss per share is based on the weighted average number of ordinary shares issued and outstanding and is calculated by dividing net loss attributable to ordinary shareholders by the weighted average shares outstanding during the period. </w:t>
      </w:r>
    </w:p>
    <w:p>
      <w:pPr>
        <w:pStyle w:val="TextBody"/>
        <w:spacing w:before="120" w:after="0"/>
        <w:jc w:val="left"/>
        <w:rPr>
          <w:rFonts w:ascii="Times New Roman" w:hAnsi="Times New Roman"/>
          <w:sz w:val="20"/>
        </w:rPr>
      </w:pPr>
      <w:r>
        <w:rPr>
          <w:rFonts w:ascii="Times New Roman" w:hAnsi="Times New Roman"/>
          <w:sz w:val="20"/>
        </w:rPr>
        <w:t xml:space="preserve">Diluted loss per share is calculated by dividing net loss attributable to ordinary shareholders by the weighted average number of ordinary shares used in the net loss per share calculation plus the number of ordinary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2022 and 2021 the Company incurred net losses and therefore no potential dilutive ordinary share were utilized in the calculation of losses per share. </w:t>
      </w:r>
    </w:p>
    <w:p>
      <w:pPr>
        <w:pStyle w:val="TextBody"/>
        <w:spacing w:before="120" w:after="0"/>
        <w:jc w:val="left"/>
        <w:rPr>
          <w:rFonts w:ascii="Times New Roman" w:hAnsi="Times New Roman"/>
          <w:sz w:val="20"/>
        </w:rPr>
      </w:pPr>
      <w:r>
        <w:rPr>
          <w:rFonts w:ascii="Times New Roman" w:hAnsi="Times New Roman"/>
          <w:sz w:val="20"/>
        </w:rPr>
        <w:t xml:space="preserve">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 </w:t>
      </w:r>
    </w:p>
    <w:p>
      <w:pPr>
        <w:pStyle w:val="TextBody"/>
        <w:spacing w:before="120" w:after="0"/>
        <w:jc w:val="left"/>
        <w:rPr>
          <w:rFonts w:ascii="Times New Roman" w:hAnsi="Times New Roman"/>
          <w:sz w:val="20"/>
        </w:rPr>
      </w:pPr>
      <w:r>
        <w:rPr>
          <w:rFonts w:ascii="Times New Roman" w:hAnsi="Times New Roman"/>
          <w:sz w:val="20"/>
        </w:rPr>
        <w:t xml:space="preserve">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 </w:t>
      </w:r>
    </w:p>
    <w:p>
      <w:pPr>
        <w:pStyle w:val="TextBody"/>
        <w:spacing w:before="120" w:after="0"/>
        <w:jc w:val="left"/>
        <w:rPr>
          <w:rFonts w:ascii="Times New Roman" w:hAnsi="Times New Roman"/>
          <w:sz w:val="20"/>
        </w:rPr>
      </w:pPr>
      <w:r>
        <w:rPr>
          <w:rFonts w:ascii="Times New Roman" w:hAnsi="Times New Roman"/>
          <w:sz w:val="20"/>
        </w:rPr>
        <w:t xml:space="preserve">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 </w:t>
      </w:r>
    </w:p>
    <w:p>
      <w:pPr>
        <w:pStyle w:val="TextBody"/>
        <w:spacing w:before="120" w:after="0"/>
        <w:jc w:val="left"/>
        <w:rPr>
          <w:rFonts w:ascii="Times New Roman" w:hAnsi="Times New Roman"/>
          <w:sz w:val="20"/>
        </w:rPr>
      </w:pPr>
      <w:r>
        <w:rPr>
          <w:rFonts w:ascii="Times New Roman" w:hAnsi="Times New Roman"/>
          <w:sz w:val="20"/>
        </w:rPr>
        <w:t xml:space="preserve">The following table presents the potential shares of ordinary shares outstanding that were excluded from the computation of diluted net loss per share of ordinary shares as of the periods presented because including them would have been antidilutive: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050"/>
        <w:gridCol w:w="460"/>
        <w:gridCol w:w="101"/>
        <w:gridCol w:w="1857"/>
        <w:gridCol w:w="60"/>
        <w:gridCol w:w="460"/>
        <w:gridCol w:w="101"/>
        <w:gridCol w:w="1857"/>
        <w:gridCol w:w="63"/>
      </w:tblGrid>
      <w:tr>
        <w:trPr/>
        <w:tc>
          <w:tcPr>
            <w:tcW w:w="305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305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9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9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63" w:type="dxa"/>
            <w:tcBorders/>
            <w:shd w:fill="auto" w:val="clear"/>
            <w:vAlign w:val="bottom"/>
          </w:tcPr>
          <w:p>
            <w:pPr>
              <w:pStyle w:val="TableContents"/>
              <w:spacing w:before="0" w:after="283"/>
              <w:rPr/>
            </w:pPr>
            <w:r>
              <w:rPr/>
              <w:t> </w:t>
            </w:r>
          </w:p>
        </w:tc>
      </w:tr>
      <w:tr>
        <w:trPr/>
        <w:tc>
          <w:tcPr>
            <w:tcW w:w="3050" w:type="dxa"/>
            <w:tcBorders/>
            <w:shd w:fill="CCEEFF" w:val="clear"/>
          </w:tcPr>
          <w:p>
            <w:pPr>
              <w:pStyle w:val="TableContents"/>
              <w:spacing w:before="0" w:after="0"/>
              <w:rPr>
                <w:rFonts w:ascii="Times New Roman" w:hAnsi="Times New Roman"/>
                <w:sz w:val="20"/>
              </w:rPr>
            </w:pPr>
            <w:r>
              <w:rPr>
                <w:rFonts w:ascii="Times New Roman" w:hAnsi="Times New Roman"/>
                <w:sz w:val="20"/>
              </w:rPr>
              <w:t>Convertible debt (note 8.3)</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3,428,571</w:t>
            </w:r>
          </w:p>
        </w:tc>
        <w:tc>
          <w:tcPr>
            <w:tcW w:w="6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357,143</w:t>
            </w:r>
          </w:p>
        </w:tc>
        <w:tc>
          <w:tcPr>
            <w:tcW w:w="63" w:type="dxa"/>
            <w:tcBorders/>
            <w:shd w:fill="CCEEFF" w:val="clear"/>
            <w:vAlign w:val="bottom"/>
          </w:tcPr>
          <w:p>
            <w:pPr>
              <w:pStyle w:val="TableContents"/>
              <w:spacing w:before="0" w:after="283"/>
              <w:rPr/>
            </w:pPr>
            <w:r>
              <w:rPr/>
              <w:t> </w:t>
            </w:r>
          </w:p>
        </w:tc>
      </w:tr>
      <w:tr>
        <w:trPr/>
        <w:tc>
          <w:tcPr>
            <w:tcW w:w="3050" w:type="dxa"/>
            <w:tcBorders/>
            <w:shd w:fill="auto" w:val="clear"/>
          </w:tcPr>
          <w:p>
            <w:pPr>
              <w:pStyle w:val="TableContents"/>
              <w:spacing w:before="0" w:after="0"/>
              <w:rPr>
                <w:rFonts w:ascii="Times New Roman" w:hAnsi="Times New Roman"/>
                <w:sz w:val="20"/>
              </w:rPr>
            </w:pPr>
            <w:r>
              <w:rPr>
                <w:rFonts w:ascii="Times New Roman" w:hAnsi="Times New Roman"/>
                <w:sz w:val="20"/>
              </w:rPr>
              <w:t>Shares payable (note 8.5)</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140,000</w:t>
            </w:r>
          </w:p>
        </w:tc>
        <w:tc>
          <w:tcPr>
            <w:tcW w:w="6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140,000</w:t>
            </w:r>
          </w:p>
        </w:tc>
        <w:tc>
          <w:tcPr>
            <w:tcW w:w="63" w:type="dxa"/>
            <w:tcBorders/>
            <w:shd w:fill="auto" w:val="clear"/>
            <w:vAlign w:val="bottom"/>
          </w:tcPr>
          <w:p>
            <w:pPr>
              <w:pStyle w:val="TableContents"/>
              <w:spacing w:before="0" w:after="283"/>
              <w:rPr/>
            </w:pPr>
            <w:r>
              <w:rPr/>
              <w:t> </w:t>
            </w:r>
          </w:p>
        </w:tc>
      </w:tr>
      <w:tr>
        <w:trPr/>
        <w:tc>
          <w:tcPr>
            <w:tcW w:w="3050" w:type="dxa"/>
            <w:tcBorders/>
            <w:shd w:fill="CCEEFF" w:val="clear"/>
          </w:tcPr>
          <w:p>
            <w:pPr>
              <w:pStyle w:val="TableContents"/>
              <w:spacing w:before="0" w:after="0"/>
              <w:rPr>
                <w:rFonts w:ascii="Times New Roman" w:hAnsi="Times New Roman"/>
                <w:sz w:val="20"/>
              </w:rPr>
            </w:pPr>
            <w:r>
              <w:rPr>
                <w:rFonts w:ascii="Times New Roman" w:hAnsi="Times New Roman"/>
                <w:sz w:val="20"/>
              </w:rPr>
              <w:t>Call Options</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8,319,200</w:t>
            </w:r>
          </w:p>
        </w:tc>
        <w:tc>
          <w:tcPr>
            <w:tcW w:w="63" w:type="dxa"/>
            <w:tcBorders/>
            <w:shd w:fill="CCEEFF" w:val="clear"/>
            <w:vAlign w:val="bottom"/>
          </w:tcPr>
          <w:p>
            <w:pPr>
              <w:pStyle w:val="TableContents"/>
              <w:spacing w:before="0" w:after="283"/>
              <w:rPr/>
            </w:pPr>
            <w:r>
              <w:rPr/>
              <w:t> </w:t>
            </w:r>
          </w:p>
        </w:tc>
      </w:tr>
      <w:tr>
        <w:trPr/>
        <w:tc>
          <w:tcPr>
            <w:tcW w:w="3050" w:type="dxa"/>
            <w:tcBorders/>
            <w:shd w:fill="auto" w:val="clear"/>
          </w:tcPr>
          <w:p>
            <w:pPr>
              <w:pStyle w:val="TableContents"/>
              <w:spacing w:before="0" w:after="0"/>
              <w:rPr>
                <w:rFonts w:ascii="Times New Roman" w:hAnsi="Times New Roman"/>
                <w:sz w:val="20"/>
              </w:rPr>
            </w:pPr>
            <w:r>
              <w:rPr>
                <w:rFonts w:ascii="Times New Roman" w:hAnsi="Times New Roman"/>
                <w:sz w:val="20"/>
              </w:rPr>
              <w:t>Warrants</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9,600,000</w:t>
            </w:r>
          </w:p>
        </w:tc>
        <w:tc>
          <w:tcPr>
            <w:tcW w:w="63" w:type="dxa"/>
            <w:tcBorders/>
            <w:shd w:fill="auto" w:val="clear"/>
            <w:vAlign w:val="bottom"/>
          </w:tcPr>
          <w:p>
            <w:pPr>
              <w:pStyle w:val="TableContents"/>
              <w:spacing w:before="0" w:after="283"/>
              <w:rPr/>
            </w:pPr>
            <w:r>
              <w:rPr/>
              <w:t> </w:t>
            </w:r>
          </w:p>
        </w:tc>
      </w:tr>
      <w:tr>
        <w:trPr/>
        <w:tc>
          <w:tcPr>
            <w:tcW w:w="3050" w:type="dxa"/>
            <w:tcBorders/>
            <w:shd w:fill="CCEEFF" w:val="clear"/>
          </w:tcPr>
          <w:p>
            <w:pPr>
              <w:pStyle w:val="TableContents"/>
              <w:spacing w:before="0" w:after="0"/>
              <w:rPr>
                <w:rFonts w:ascii="Times New Roman" w:hAnsi="Times New Roman"/>
                <w:sz w:val="20"/>
              </w:rPr>
            </w:pPr>
            <w:r>
              <w:rPr>
                <w:rFonts w:ascii="Times New Roman" w:hAnsi="Times New Roman"/>
                <w:sz w:val="20"/>
              </w:rPr>
              <w:t>Share options</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5,200,000</w:t>
            </w:r>
          </w:p>
        </w:tc>
        <w:tc>
          <w:tcPr>
            <w:tcW w:w="6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3050" w:type="dxa"/>
            <w:tcBorders/>
            <w:shd w:fill="auto" w:val="clear"/>
          </w:tcPr>
          <w:p>
            <w:pPr>
              <w:pStyle w:val="TableContents"/>
              <w:spacing w:before="0" w:after="0"/>
              <w:rPr>
                <w:rFonts w:ascii="Times New Roman" w:hAnsi="Times New Roman"/>
                <w:sz w:val="20"/>
              </w:rPr>
            </w:pPr>
            <w:r>
              <w:rPr>
                <w:rFonts w:ascii="Times New Roman" w:hAnsi="Times New Roman"/>
                <w:sz w:val="20"/>
              </w:rPr>
              <w:t>Deferred shares</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14,427,185</w:t>
            </w:r>
          </w:p>
        </w:tc>
        <w:tc>
          <w:tcPr>
            <w:tcW w:w="6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3050" w:type="dxa"/>
            <w:tcBorders/>
            <w:shd w:fill="CCEEFF" w:val="clear"/>
          </w:tcPr>
          <w:p>
            <w:pPr>
              <w:pStyle w:val="TableContents"/>
              <w:spacing w:before="0" w:after="0"/>
              <w:rPr>
                <w:rFonts w:ascii="Times New Roman" w:hAnsi="Times New Roman"/>
                <w:sz w:val="20"/>
              </w:rPr>
            </w:pPr>
            <w:r>
              <w:rPr>
                <w:rFonts w:ascii="Times New Roman" w:hAnsi="Times New Roman"/>
                <w:sz w:val="20"/>
              </w:rPr>
              <w:t>Series A preferred shares</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28,039,517</w:t>
            </w:r>
          </w:p>
        </w:tc>
        <w:tc>
          <w:tcPr>
            <w:tcW w:w="6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857" w:type="dxa"/>
            <w:tcBorders/>
            <w:shd w:fill="CCEEFF" w:val="clear"/>
            <w:vAlign w:val="bottom"/>
          </w:tcPr>
          <w:p>
            <w:pPr>
              <w:pStyle w:val="TableContents"/>
              <w:spacing w:before="0" w:after="283"/>
              <w:jc w:val="right"/>
              <w:rPr/>
            </w:pPr>
            <w:r>
              <w:rPr/>
              <w:t>28,039,517</w:t>
            </w:r>
          </w:p>
        </w:tc>
        <w:tc>
          <w:tcPr>
            <w:tcW w:w="63" w:type="dxa"/>
            <w:tcBorders/>
            <w:shd w:fill="CCEEFF" w:val="clear"/>
            <w:vAlign w:val="bottom"/>
          </w:tcPr>
          <w:p>
            <w:pPr>
              <w:pStyle w:val="TableContents"/>
              <w:spacing w:before="0" w:after="283"/>
              <w:rPr/>
            </w:pPr>
            <w:r>
              <w:rPr/>
              <w:t> </w:t>
            </w:r>
          </w:p>
        </w:tc>
      </w:tr>
      <w:tr>
        <w:trPr/>
        <w:tc>
          <w:tcPr>
            <w:tcW w:w="3050"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single" w:sz="2" w:space="1" w:color="000000"/>
              </w:pBdr>
              <w:spacing w:before="0" w:after="0"/>
              <w:rPr/>
            </w:pPr>
            <w:r>
              <w:rPr/>
              <w:t> </w:t>
            </w:r>
          </w:p>
        </w:tc>
        <w:tc>
          <w:tcPr>
            <w:tcW w:w="18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single" w:sz="2" w:space="1" w:color="000000"/>
              </w:pBdr>
              <w:spacing w:before="0" w:after="0"/>
              <w:rPr/>
            </w:pPr>
            <w:r>
              <w:rPr/>
              <w:t> </w:t>
            </w:r>
          </w:p>
        </w:tc>
        <w:tc>
          <w:tcPr>
            <w:tcW w:w="185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3050"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b/>
              </w:rPr>
            </w:pPr>
            <w:r>
              <w:rPr>
                <w:b/>
              </w:rPr>
              <w:t>51,235,273</w:t>
            </w:r>
          </w:p>
        </w:tc>
        <w:tc>
          <w:tcPr>
            <w:tcW w:w="6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857" w:type="dxa"/>
            <w:tcBorders/>
            <w:shd w:fill="auto" w:val="clear"/>
            <w:vAlign w:val="bottom"/>
          </w:tcPr>
          <w:p>
            <w:pPr>
              <w:pStyle w:val="TableContents"/>
              <w:spacing w:before="0" w:after="283"/>
              <w:jc w:val="right"/>
              <w:rPr>
                <w:b/>
              </w:rPr>
            </w:pPr>
            <w:r>
              <w:rPr>
                <w:b/>
              </w:rPr>
              <w:t>46,455,860</w:t>
            </w:r>
          </w:p>
        </w:tc>
        <w:tc>
          <w:tcPr>
            <w:tcW w:w="63" w:type="dxa"/>
            <w:tcBorders/>
            <w:shd w:fill="auto" w:val="clear"/>
            <w:vAlign w:val="bottom"/>
          </w:tcPr>
          <w:p>
            <w:pPr>
              <w:pStyle w:val="TableContents"/>
              <w:spacing w:before="0" w:after="283"/>
              <w:rPr/>
            </w:pPr>
            <w:r>
              <w:rPr/>
              <w:t> </w:t>
            </w:r>
          </w:p>
        </w:tc>
      </w:tr>
      <w:tr>
        <w:trPr/>
        <w:tc>
          <w:tcPr>
            <w:tcW w:w="3050"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double" w:sz="6" w:space="1" w:color="000000"/>
              </w:pBdr>
              <w:spacing w:before="0" w:after="0"/>
              <w:rPr/>
            </w:pPr>
            <w:r>
              <w:rPr/>
              <w:t> </w:t>
            </w:r>
          </w:p>
        </w:tc>
        <w:tc>
          <w:tcPr>
            <w:tcW w:w="185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pBdr>
                <w:top w:val="double" w:sz="6" w:space="1" w:color="000000"/>
              </w:pBdr>
              <w:spacing w:before="0" w:after="0"/>
              <w:rPr/>
            </w:pPr>
            <w:r>
              <w:rPr/>
              <w:t> </w:t>
            </w:r>
          </w:p>
        </w:tc>
        <w:tc>
          <w:tcPr>
            <w:tcW w:w="1857"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there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3.</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Recently issued accounting pronouncements </w:t>
            </w:r>
          </w:p>
        </w:tc>
      </w:tr>
    </w:tbl>
    <w:p>
      <w:pPr>
        <w:pStyle w:val="TextBody"/>
        <w:spacing w:before="120" w:after="0"/>
        <w:jc w:val="left"/>
        <w:rPr>
          <w:rFonts w:ascii="Times New Roman" w:hAnsi="Times New Roman"/>
          <w:sz w:val="20"/>
        </w:rPr>
      </w:pPr>
      <w:r>
        <w:rPr>
          <w:rFonts w:ascii="Times New Roman" w:hAnsi="Times New Roman"/>
          <w:sz w:val="20"/>
        </w:rPr>
        <w:t xml:space="preserve">ASC 842 Leases </w:t>
      </w:r>
    </w:p>
    <w:p>
      <w:pPr>
        <w:pStyle w:val="TextBody"/>
        <w:spacing w:before="120" w:after="0"/>
        <w:jc w:val="left"/>
        <w:rPr>
          <w:rFonts w:ascii="Times New Roman" w:hAnsi="Times New Roman"/>
          <w:sz w:val="20"/>
        </w:rPr>
      </w:pPr>
      <w:r>
        <w:rPr>
          <w:rFonts w:ascii="Times New Roman" w:hAnsi="Times New Roman"/>
          <w:sz w:val="20"/>
        </w:rPr>
        <w:t xml:space="preserve">The standard requires all leases with lease terms over twelve months to be capitalized as a right-of-use asset and lease liability on the balance sheet at the date of lease commencement. Leases will be classified as either finance or operating.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This distinction will be relevant for the pattern of expense recognition in the statement of operations. This standard was effective for the calendar year ended December 31, 2021. The Company does not have any significant leases and as a result the impact was immaterial. </w:t>
      </w:r>
    </w:p>
    <w:p>
      <w:pPr>
        <w:pStyle w:val="TextBody"/>
        <w:spacing w:before="120" w:after="0"/>
        <w:jc w:val="left"/>
        <w:rPr>
          <w:rFonts w:ascii="Times New Roman" w:hAnsi="Times New Roman"/>
          <w:sz w:val="20"/>
        </w:rPr>
      </w:pPr>
      <w:r>
        <w:rPr>
          <w:rFonts w:ascii="Times New Roman" w:hAnsi="Times New Roman"/>
          <w:sz w:val="20"/>
        </w:rPr>
        <w:t xml:space="preserve">ASC 326 Financial InstrumentsCredit Losses </w:t>
      </w:r>
    </w:p>
    <w:p>
      <w:pPr>
        <w:pStyle w:val="TextBody"/>
        <w:spacing w:before="120" w:after="0"/>
        <w:jc w:val="left"/>
        <w:rPr>
          <w:rFonts w:ascii="Times New Roman" w:hAnsi="Times New Roman"/>
          <w:sz w:val="20"/>
        </w:rPr>
      </w:pPr>
      <w:r>
        <w:rPr>
          <w:rFonts w:ascii="Times New Roman" w:hAnsi="Times New Roman"/>
          <w:sz w:val="20"/>
        </w:rPr>
        <w:t xml:space="preserve">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will be effective for the calendar year ending December 31, 2023. The Company does not have any allowances for doubtful debts as of December 31, 2022 and 2021. The Company will evaluate the impact when the standard becomes effective. </w:t>
      </w:r>
    </w:p>
    <w:p>
      <w:pPr>
        <w:pStyle w:val="TextBody"/>
        <w:spacing w:before="120" w:after="0"/>
        <w:jc w:val="left"/>
        <w:rPr>
          <w:rFonts w:ascii="Times New Roman" w:hAnsi="Times New Roman"/>
          <w:sz w:val="20"/>
        </w:rPr>
      </w:pPr>
      <w:r>
        <w:rPr>
          <w:rFonts w:ascii="Times New Roman" w:hAnsi="Times New Roman"/>
          <w:sz w:val="20"/>
        </w:rPr>
        <w:t xml:space="preserve">ASU No. 2021-08, Accounting for Contract Assets and Contract Liabilities from Contracts with Customers (ASU 2021-08) </w:t>
      </w:r>
    </w:p>
    <w:p>
      <w:pPr>
        <w:pStyle w:val="TextBody"/>
        <w:spacing w:before="120" w:after="0"/>
        <w:jc w:val="left"/>
        <w:rPr>
          <w:rFonts w:ascii="Times New Roman" w:hAnsi="Times New Roman"/>
          <w:sz w:val="20"/>
        </w:rPr>
      </w:pPr>
      <w:r>
        <w:rPr>
          <w:rFonts w:ascii="Times New Roman" w:hAnsi="Times New Roman"/>
          <w:sz w:val="20"/>
        </w:rPr>
        <w:t xml:space="preserve">In October 2021, the FASB issued ASU No. 2021-08, Accounting for Contract Assets and Contract Liabilities from Contracts with Customers (ASU 2021-08), which requires contract assets and contract liabilities acquired in a business combination to be recognized and measured in accordance with Topic 606, Revenue from Contracts with Customers, as if the acquirer had originated the contracts. ASU 2021-08 is effective for annual reporting periods beginning after December 15, 2023,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 The Company has not yet determined the anticipated impact of adopting ASU 2021-08. </w:t>
      </w:r>
    </w:p>
    <w:p>
      <w:pPr>
        <w:pStyle w:val="TextBody"/>
        <w:spacing w:before="120" w:after="0"/>
        <w:jc w:val="left"/>
        <w:rPr>
          <w:rFonts w:ascii="Times New Roman" w:hAnsi="Times New Roman"/>
          <w:sz w:val="20"/>
        </w:rPr>
      </w:pPr>
      <w:r>
        <w:rPr>
          <w:rFonts w:ascii="Times New Roman" w:hAnsi="Times New Roman"/>
          <w:sz w:val="20"/>
        </w:rPr>
        <w:t xml:space="preserve">ASU No. 2019-12 Simplifying the Accounting for Income Taxes </w:t>
      </w:r>
    </w:p>
    <w:p>
      <w:pPr>
        <w:pStyle w:val="TextBody"/>
        <w:spacing w:before="120" w:after="0"/>
        <w:jc w:val="left"/>
        <w:rPr>
          <w:rFonts w:ascii="Times New Roman" w:hAnsi="Times New Roman"/>
          <w:sz w:val="20"/>
        </w:rPr>
      </w:pPr>
      <w:r>
        <w:rPr>
          <w:rFonts w:ascii="Times New Roman" w:hAnsi="Times New Roman"/>
          <w:sz w:val="20"/>
        </w:rPr>
        <w:t xml:space="preserve">In December 2019, the FASB issued ASU No. 2019-12, Simplifying the Accounting for Income Taxes (ASU 2019-12), which is intended to improve consistency and simplify several areas of existing guidance. ASU 2019-12 removes certain exceptions to the general principles related to the approach for intra 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had no impact on our consolidated financial statements. </w:t>
      </w:r>
    </w:p>
    <w:p>
      <w:pPr>
        <w:pStyle w:val="TextBody"/>
        <w:spacing w:before="120" w:after="0"/>
        <w:jc w:val="left"/>
        <w:rPr>
          <w:rFonts w:ascii="Times New Roman" w:hAnsi="Times New Roman"/>
          <w:sz w:val="20"/>
        </w:rPr>
      </w:pPr>
      <w:r>
        <w:rPr>
          <w:rFonts w:ascii="Times New Roman" w:hAnsi="Times New Roman"/>
          <w:sz w:val="20"/>
        </w:rPr>
        <w:t xml:space="preserve">ASU No. 2020-06 DebtDebt with Conversion and Other Options (Subtopic 470-20) and Derivatives and HedgingContracts in Entitys Own Equity (Subtopic 815-40): Accounting for Convertible Instruments and Contracts in an Entitys Own Equity (ASU 2020-06) </w:t>
      </w:r>
    </w:p>
    <w:p>
      <w:pPr>
        <w:pStyle w:val="TextBody"/>
        <w:spacing w:before="120" w:after="0"/>
        <w:jc w:val="left"/>
        <w:rPr>
          <w:rFonts w:ascii="Times New Roman" w:hAnsi="Times New Roman"/>
          <w:sz w:val="20"/>
        </w:rPr>
      </w:pPr>
      <w:r>
        <w:rPr>
          <w:rFonts w:ascii="Times New Roman" w:hAnsi="Times New Roman"/>
          <w:sz w:val="20"/>
        </w:rPr>
        <w:t xml:space="preserve">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 </w:t>
      </w:r>
    </w:p>
    <w:p>
      <w:pPr>
        <w:pStyle w:val="TextBody"/>
        <w:spacing w:before="120" w:after="0"/>
        <w:jc w:val="left"/>
        <w:rPr>
          <w:rFonts w:ascii="Times New Roman" w:hAnsi="Times New Roman"/>
          <w:sz w:val="20"/>
        </w:rPr>
      </w:pPr>
      <w:r>
        <w:rPr>
          <w:rFonts w:ascii="Times New Roman" w:hAnsi="Times New Roman"/>
          <w:sz w:val="20"/>
        </w:rPr>
        <w:t xml:space="preserve">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A number of amended standards became applicable for the current reporting period. The Company did not have to change its accounting policies or make retrospective adjustments as a result of adopting these amended standards.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4.</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Prepayments and other current assets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837"/>
        <w:gridCol w:w="492"/>
        <w:gridCol w:w="244"/>
        <w:gridCol w:w="1788"/>
        <w:gridCol w:w="60"/>
        <w:gridCol w:w="492"/>
        <w:gridCol w:w="244"/>
        <w:gridCol w:w="1788"/>
        <w:gridCol w:w="64"/>
      </w:tblGrid>
      <w:tr>
        <w:trPr/>
        <w:tc>
          <w:tcPr>
            <w:tcW w:w="283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837"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64" w:type="dxa"/>
            <w:tcBorders/>
            <w:shd w:fill="auto" w:val="clear"/>
            <w:vAlign w:val="bottom"/>
          </w:tcPr>
          <w:p>
            <w:pPr>
              <w:pStyle w:val="TableContents"/>
              <w:spacing w:before="0" w:after="283"/>
              <w:rPr/>
            </w:pPr>
            <w:r>
              <w:rPr/>
              <w:t> </w:t>
            </w:r>
          </w:p>
        </w:tc>
      </w:tr>
      <w:tr>
        <w:trPr/>
        <w:tc>
          <w:tcPr>
            <w:tcW w:w="2837"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788" w:type="dxa"/>
            <w:tcBorders/>
            <w:shd w:fill="CCEEFF" w:val="clear"/>
            <w:vAlign w:val="bottom"/>
          </w:tcPr>
          <w:p>
            <w:pPr>
              <w:pStyle w:val="TableContents"/>
              <w:spacing w:before="0" w:after="283"/>
              <w:jc w:val="right"/>
              <w:rPr/>
            </w:pPr>
            <w:r>
              <w:rPr/>
              <w:t>217,270</w:t>
            </w:r>
          </w:p>
        </w:tc>
        <w:tc>
          <w:tcPr>
            <w:tcW w:w="6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788" w:type="dxa"/>
            <w:tcBorders/>
            <w:shd w:fill="CCEEFF" w:val="clear"/>
            <w:vAlign w:val="bottom"/>
          </w:tcPr>
          <w:p>
            <w:pPr>
              <w:pStyle w:val="TableContents"/>
              <w:spacing w:before="0" w:after="283"/>
              <w:jc w:val="right"/>
              <w:rPr/>
            </w:pPr>
            <w:r>
              <w:rPr/>
              <w:t>572,119</w:t>
            </w:r>
          </w:p>
        </w:tc>
        <w:tc>
          <w:tcPr>
            <w:tcW w:w="64" w:type="dxa"/>
            <w:tcBorders/>
            <w:shd w:fill="CCEEFF" w:val="clear"/>
            <w:vAlign w:val="bottom"/>
          </w:tcPr>
          <w:p>
            <w:pPr>
              <w:pStyle w:val="TableContents"/>
              <w:spacing w:before="0" w:after="283"/>
              <w:rPr/>
            </w:pPr>
            <w:r>
              <w:rPr/>
              <w:t> </w:t>
            </w:r>
          </w:p>
        </w:tc>
      </w:tr>
      <w:tr>
        <w:trPr/>
        <w:tc>
          <w:tcPr>
            <w:tcW w:w="2837" w:type="dxa"/>
            <w:tcBorders/>
            <w:shd w:fill="auto" w:val="clear"/>
          </w:tcPr>
          <w:p>
            <w:pPr>
              <w:pStyle w:val="TableContents"/>
              <w:spacing w:before="0" w:after="0"/>
              <w:rPr>
                <w:rFonts w:ascii="Times New Roman" w:hAnsi="Times New Roman"/>
                <w:sz w:val="20"/>
              </w:rPr>
            </w:pPr>
            <w:r>
              <w:rPr>
                <w:rFonts w:ascii="Times New Roman" w:hAnsi="Times New Roman"/>
                <w:sz w:val="20"/>
              </w:rPr>
              <w:t>Receivable from government authorities</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88" w:type="dxa"/>
            <w:tcBorders/>
            <w:shd w:fill="auto" w:val="clear"/>
            <w:vAlign w:val="bottom"/>
          </w:tcPr>
          <w:p>
            <w:pPr>
              <w:pStyle w:val="TableContents"/>
              <w:spacing w:before="0" w:after="283"/>
              <w:jc w:val="right"/>
              <w:rPr/>
            </w:pPr>
            <w:r>
              <w:rPr/>
              <w:t>4,155</w:t>
            </w:r>
          </w:p>
        </w:tc>
        <w:tc>
          <w:tcPr>
            <w:tcW w:w="6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88" w:type="dxa"/>
            <w:tcBorders/>
            <w:shd w:fill="auto" w:val="clear"/>
            <w:vAlign w:val="bottom"/>
          </w:tcPr>
          <w:p>
            <w:pPr>
              <w:pStyle w:val="TableContents"/>
              <w:spacing w:before="0" w:after="283"/>
              <w:jc w:val="right"/>
              <w:rPr/>
            </w:pPr>
            <w:r>
              <w:rPr/>
              <w:t>101,846</w:t>
            </w:r>
          </w:p>
        </w:tc>
        <w:tc>
          <w:tcPr>
            <w:tcW w:w="64" w:type="dxa"/>
            <w:tcBorders/>
            <w:shd w:fill="auto" w:val="clear"/>
            <w:vAlign w:val="bottom"/>
          </w:tcPr>
          <w:p>
            <w:pPr>
              <w:pStyle w:val="TableContents"/>
              <w:spacing w:before="0" w:after="283"/>
              <w:rPr/>
            </w:pPr>
            <w:r>
              <w:rPr/>
              <w:t> </w:t>
            </w:r>
          </w:p>
        </w:tc>
      </w:tr>
      <w:tr>
        <w:trPr/>
        <w:tc>
          <w:tcPr>
            <w:tcW w:w="2837" w:type="dxa"/>
            <w:tcBorders/>
            <w:shd w:fill="CCEEFF" w:val="clear"/>
          </w:tcPr>
          <w:p>
            <w:pPr>
              <w:pStyle w:val="TableContents"/>
              <w:spacing w:before="0" w:after="0"/>
              <w:rPr>
                <w:rFonts w:ascii="Times New Roman" w:hAnsi="Times New Roman"/>
                <w:sz w:val="20"/>
              </w:rPr>
            </w:pPr>
            <w:r>
              <w:rPr>
                <w:rFonts w:ascii="Times New Roman" w:hAnsi="Times New Roman"/>
                <w:sz w:val="20"/>
              </w:rPr>
              <w:t>Inventory</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88" w:type="dxa"/>
            <w:tcBorders/>
            <w:shd w:fill="CCEEFF" w:val="clear"/>
            <w:vAlign w:val="bottom"/>
          </w:tcPr>
          <w:p>
            <w:pPr>
              <w:pStyle w:val="TableContents"/>
              <w:spacing w:before="0" w:after="283"/>
              <w:jc w:val="right"/>
              <w:rPr/>
            </w:pPr>
            <w:r>
              <w:rPr/>
              <w:t>355,049</w:t>
            </w:r>
          </w:p>
        </w:tc>
        <w:tc>
          <w:tcPr>
            <w:tcW w:w="64" w:type="dxa"/>
            <w:tcBorders/>
            <w:shd w:fill="CCEEFF" w:val="clear"/>
            <w:vAlign w:val="bottom"/>
          </w:tcPr>
          <w:p>
            <w:pPr>
              <w:pStyle w:val="TableContents"/>
              <w:spacing w:before="0" w:after="283"/>
              <w:rPr/>
            </w:pPr>
            <w:r>
              <w:rPr/>
              <w:t> </w:t>
            </w:r>
          </w:p>
        </w:tc>
      </w:tr>
      <w:tr>
        <w:trPr/>
        <w:tc>
          <w:tcPr>
            <w:tcW w:w="2837" w:type="dxa"/>
            <w:tcBorders/>
            <w:shd w:fill="auto" w:val="clear"/>
          </w:tcPr>
          <w:p>
            <w:pPr>
              <w:pStyle w:val="TableContents"/>
              <w:spacing w:before="0" w:after="0"/>
              <w:rPr>
                <w:rFonts w:ascii="Times New Roman" w:hAnsi="Times New Roman"/>
                <w:sz w:val="20"/>
              </w:rPr>
            </w:pPr>
            <w:r>
              <w:rPr>
                <w:rFonts w:ascii="Times New Roman" w:hAnsi="Times New Roman"/>
                <w:sz w:val="20"/>
              </w:rPr>
              <w:t>Loans receivable</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88" w:type="dxa"/>
            <w:tcBorders/>
            <w:shd w:fill="auto" w:val="clear"/>
            <w:vAlign w:val="bottom"/>
          </w:tcPr>
          <w:p>
            <w:pPr>
              <w:pStyle w:val="TableContents"/>
              <w:spacing w:before="0" w:after="283"/>
              <w:jc w:val="right"/>
              <w:rPr/>
            </w:pPr>
            <w:r>
              <w:rPr/>
              <w:t>598,414</w:t>
            </w:r>
          </w:p>
        </w:tc>
        <w:tc>
          <w:tcPr>
            <w:tcW w:w="6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88"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2837" w:type="dxa"/>
            <w:tcBorders/>
            <w:shd w:fill="CCEEFF" w:val="clear"/>
          </w:tcPr>
          <w:p>
            <w:pPr>
              <w:pStyle w:val="TableContents"/>
              <w:spacing w:before="0" w:after="0"/>
              <w:rPr>
                <w:rFonts w:ascii="Times New Roman" w:hAnsi="Times New Roman"/>
                <w:sz w:val="20"/>
              </w:rPr>
            </w:pPr>
            <w:r>
              <w:rPr>
                <w:rFonts w:ascii="Times New Roman" w:hAnsi="Times New Roman"/>
                <w:sz w:val="20"/>
              </w:rPr>
              <w:t>Input tax credit</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88" w:type="dxa"/>
            <w:tcBorders/>
            <w:shd w:fill="CCEEFF" w:val="clear"/>
            <w:vAlign w:val="bottom"/>
          </w:tcPr>
          <w:p>
            <w:pPr>
              <w:pStyle w:val="TableContents"/>
              <w:spacing w:before="0" w:after="283"/>
              <w:jc w:val="right"/>
              <w:rPr/>
            </w:pPr>
            <w:r>
              <w:rPr/>
              <w:t>219,421</w:t>
            </w:r>
          </w:p>
        </w:tc>
        <w:tc>
          <w:tcPr>
            <w:tcW w:w="6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88" w:type="dxa"/>
            <w:tcBorders/>
            <w:shd w:fill="CCEEFF" w:val="clear"/>
            <w:vAlign w:val="bottom"/>
          </w:tcPr>
          <w:p>
            <w:pPr>
              <w:pStyle w:val="TableContents"/>
              <w:spacing w:before="0" w:after="283"/>
              <w:jc w:val="right"/>
              <w:rPr/>
            </w:pPr>
            <w:r>
              <w:rPr/>
              <w:t>683,362</w:t>
            </w:r>
          </w:p>
        </w:tc>
        <w:tc>
          <w:tcPr>
            <w:tcW w:w="64" w:type="dxa"/>
            <w:tcBorders/>
            <w:shd w:fill="CCEEFF" w:val="clear"/>
            <w:vAlign w:val="bottom"/>
          </w:tcPr>
          <w:p>
            <w:pPr>
              <w:pStyle w:val="TableContents"/>
              <w:spacing w:before="0" w:after="283"/>
              <w:rPr/>
            </w:pPr>
            <w:r>
              <w:rPr/>
              <w:t> </w:t>
            </w:r>
          </w:p>
        </w:tc>
      </w:tr>
      <w:tr>
        <w:trPr/>
        <w:tc>
          <w:tcPr>
            <w:tcW w:w="2837" w:type="dxa"/>
            <w:tcBorders/>
            <w:shd w:fill="auto" w:val="clear"/>
          </w:tcPr>
          <w:p>
            <w:pPr>
              <w:pStyle w:val="TableContents"/>
              <w:spacing w:before="0" w:after="0"/>
              <w:rPr>
                <w:rFonts w:ascii="Times New Roman" w:hAnsi="Times New Roman"/>
                <w:sz w:val="20"/>
              </w:rPr>
            </w:pPr>
            <w:r>
              <w:rPr>
                <w:rFonts w:ascii="Times New Roman" w:hAnsi="Times New Roman"/>
                <w:sz w:val="20"/>
              </w:rPr>
              <w:t>Other receivables</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88" w:type="dxa"/>
            <w:tcBorders/>
            <w:shd w:fill="auto" w:val="clear"/>
            <w:vAlign w:val="bottom"/>
          </w:tcPr>
          <w:p>
            <w:pPr>
              <w:pStyle w:val="TableContents"/>
              <w:spacing w:before="0" w:after="283"/>
              <w:jc w:val="right"/>
              <w:rPr/>
            </w:pPr>
            <w:r>
              <w:rPr/>
              <w:t>163,312</w:t>
            </w:r>
          </w:p>
        </w:tc>
        <w:tc>
          <w:tcPr>
            <w:tcW w:w="60" w:type="dxa"/>
            <w:tcBorders/>
            <w:shd w:fill="auto" w:val="clear"/>
            <w:vAlign w:val="bottom"/>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88" w:type="dxa"/>
            <w:tcBorders/>
            <w:shd w:fill="auto" w:val="clear"/>
            <w:vAlign w:val="bottom"/>
          </w:tcPr>
          <w:p>
            <w:pPr>
              <w:pStyle w:val="TableContents"/>
              <w:spacing w:before="0" w:after="283"/>
              <w:jc w:val="right"/>
              <w:rPr/>
            </w:pPr>
            <w:r>
              <w:rPr/>
              <w:t>6,669</w:t>
            </w:r>
          </w:p>
        </w:tc>
        <w:tc>
          <w:tcPr>
            <w:tcW w:w="64" w:type="dxa"/>
            <w:tcBorders/>
            <w:shd w:fill="auto" w:val="clear"/>
            <w:vAlign w:val="bottom"/>
          </w:tcPr>
          <w:p>
            <w:pPr>
              <w:pStyle w:val="TableContents"/>
              <w:spacing w:before="0" w:after="283"/>
              <w:rPr/>
            </w:pPr>
            <w:r>
              <w:rPr/>
              <w:t> </w:t>
            </w:r>
          </w:p>
        </w:tc>
      </w:tr>
      <w:tr>
        <w:trPr/>
        <w:tc>
          <w:tcPr>
            <w:tcW w:w="2837"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0"/>
              <w:rPr/>
            </w:pPr>
            <w:r>
              <w:rPr/>
              <w:t> </w:t>
            </w:r>
          </w:p>
        </w:tc>
        <w:tc>
          <w:tcPr>
            <w:tcW w:w="178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0"/>
              <w:rPr/>
            </w:pPr>
            <w:r>
              <w:rPr/>
              <w:t> </w:t>
            </w:r>
          </w:p>
        </w:tc>
        <w:tc>
          <w:tcPr>
            <w:tcW w:w="178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837"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b/>
              </w:rPr>
            </w:pPr>
            <w:r>
              <w:rPr>
                <w:b/>
              </w:rPr>
              <w:t>$</w:t>
            </w:r>
          </w:p>
        </w:tc>
        <w:tc>
          <w:tcPr>
            <w:tcW w:w="1788" w:type="dxa"/>
            <w:tcBorders/>
            <w:shd w:fill="CCEEFF" w:val="clear"/>
            <w:vAlign w:val="bottom"/>
          </w:tcPr>
          <w:p>
            <w:pPr>
              <w:pStyle w:val="TableContents"/>
              <w:spacing w:before="0" w:after="283"/>
              <w:jc w:val="right"/>
              <w:rPr>
                <w:b/>
              </w:rPr>
            </w:pPr>
            <w:r>
              <w:rPr>
                <w:b/>
              </w:rPr>
              <w:t>1,202,572</w:t>
            </w:r>
          </w:p>
        </w:tc>
        <w:tc>
          <w:tcPr>
            <w:tcW w:w="60" w:type="dxa"/>
            <w:tcBorders/>
            <w:shd w:fill="CCEEFF" w:val="clear"/>
            <w:vAlign w:val="bottom"/>
          </w:tcPr>
          <w:p>
            <w:pPr>
              <w:pStyle w:val="TableContents"/>
              <w:spacing w:before="0" w:after="283"/>
              <w:rPr/>
            </w:pPr>
            <w:r>
              <w:rPr/>
              <w:t> </w:t>
            </w:r>
          </w:p>
        </w:tc>
        <w:tc>
          <w:tcPr>
            <w:tcW w:w="49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b/>
              </w:rPr>
            </w:pPr>
            <w:r>
              <w:rPr>
                <w:b/>
              </w:rPr>
              <w:t>$</w:t>
            </w:r>
          </w:p>
        </w:tc>
        <w:tc>
          <w:tcPr>
            <w:tcW w:w="1788" w:type="dxa"/>
            <w:tcBorders/>
            <w:shd w:fill="CCEEFF" w:val="clear"/>
            <w:vAlign w:val="bottom"/>
          </w:tcPr>
          <w:p>
            <w:pPr>
              <w:pStyle w:val="TableContents"/>
              <w:spacing w:before="0" w:after="283"/>
              <w:jc w:val="right"/>
              <w:rPr>
                <w:b/>
              </w:rPr>
            </w:pPr>
            <w:r>
              <w:rPr>
                <w:b/>
              </w:rPr>
              <w:t>1,719,045</w:t>
            </w:r>
          </w:p>
        </w:tc>
        <w:tc>
          <w:tcPr>
            <w:tcW w:w="64" w:type="dxa"/>
            <w:tcBorders/>
            <w:shd w:fill="CCEEFF" w:val="clear"/>
            <w:vAlign w:val="bottom"/>
          </w:tcPr>
          <w:p>
            <w:pPr>
              <w:pStyle w:val="TableContents"/>
              <w:spacing w:before="0" w:after="283"/>
              <w:rPr/>
            </w:pPr>
            <w:r>
              <w:rPr/>
              <w:t> </w:t>
            </w:r>
          </w:p>
        </w:tc>
      </w:tr>
      <w:tr>
        <w:trPr/>
        <w:tc>
          <w:tcPr>
            <w:tcW w:w="2837" w:type="dxa"/>
            <w:tcBorders/>
            <w:shd w:fill="auto" w:val="clear"/>
            <w:vAlign w:val="bottom"/>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double" w:sz="6" w:space="1" w:color="000000"/>
              </w:pBdr>
              <w:spacing w:before="0" w:after="0"/>
              <w:rPr/>
            </w:pPr>
            <w:r>
              <w:rPr/>
              <w:t> </w:t>
            </w:r>
          </w:p>
        </w:tc>
        <w:tc>
          <w:tcPr>
            <w:tcW w:w="178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92"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double" w:sz="6" w:space="1" w:color="000000"/>
              </w:pBdr>
              <w:spacing w:before="0" w:after="0"/>
              <w:rPr/>
            </w:pPr>
            <w:r>
              <w:rPr/>
              <w:t> </w:t>
            </w:r>
          </w:p>
        </w:tc>
        <w:tc>
          <w:tcPr>
            <w:tcW w:w="1788"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Loans receivable consists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$406,827 including accrued interest loaned to Neighbor, Inc. (Swipeby). 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$181,816 loaned to Grupo Hanhei Sapi de CV (Moneymatic). The loan initially provided $100,000 in August 2022, plus up to $25,000 per month terminating on October 31, 2022 while the Company completes integration of the Companys technology into Moneymatics applications. As of the date of issuance of these Carve-out Consolidated Financial Statement, the loan maturity date was in the process of being amended to mature past the original October 31, 2022 termination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5.</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763"/>
        <w:gridCol w:w="468"/>
        <w:gridCol w:w="292"/>
        <w:gridCol w:w="1706"/>
        <w:gridCol w:w="155"/>
        <w:gridCol w:w="468"/>
        <w:gridCol w:w="292"/>
        <w:gridCol w:w="1706"/>
        <w:gridCol w:w="159"/>
      </w:tblGrid>
      <w:tr>
        <w:trPr/>
        <w:tc>
          <w:tcPr>
            <w:tcW w:w="276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63"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1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9" w:type="dxa"/>
            <w:tcBorders/>
            <w:shd w:fill="auto" w:val="clear"/>
            <w:vAlign w:val="bottom"/>
          </w:tcPr>
          <w:p>
            <w:pPr>
              <w:pStyle w:val="TableContents"/>
              <w:spacing w:before="0" w:after="283"/>
              <w:rPr/>
            </w:pPr>
            <w:r>
              <w:rPr/>
              <w:t> </w:t>
            </w:r>
          </w:p>
        </w:tc>
      </w:tr>
      <w:tr>
        <w:trPr/>
        <w:tc>
          <w:tcPr>
            <w:tcW w:w="2763" w:type="dxa"/>
            <w:tcBorders/>
            <w:shd w:fill="CCEEFF" w:val="clear"/>
          </w:tcPr>
          <w:p>
            <w:pPr>
              <w:pStyle w:val="TableContents"/>
              <w:spacing w:before="0" w:after="0"/>
              <w:rPr>
                <w:rFonts w:ascii="Times New Roman" w:hAnsi="Times New Roman"/>
                <w:sz w:val="20"/>
              </w:rPr>
            </w:pPr>
            <w:r>
              <w:rPr>
                <w:rFonts w:ascii="Times New Roman" w:hAnsi="Times New Roman"/>
                <w:sz w:val="20"/>
              </w:rPr>
              <w:t>Computers</w:t>
            </w:r>
          </w:p>
        </w:tc>
        <w:tc>
          <w:tcPr>
            <w:tcW w:w="46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706" w:type="dxa"/>
            <w:tcBorders/>
            <w:shd w:fill="CCEEFF" w:val="clear"/>
            <w:vAlign w:val="bottom"/>
          </w:tcPr>
          <w:p>
            <w:pPr>
              <w:pStyle w:val="TableContents"/>
              <w:spacing w:before="0" w:after="283"/>
              <w:jc w:val="right"/>
              <w:rPr/>
            </w:pPr>
            <w:r>
              <w:rPr/>
              <w:t>168,298</w:t>
            </w:r>
          </w:p>
        </w:tc>
        <w:tc>
          <w:tcPr>
            <w:tcW w:w="155"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706" w:type="dxa"/>
            <w:tcBorders/>
            <w:shd w:fill="CCEEFF" w:val="clear"/>
            <w:vAlign w:val="bottom"/>
          </w:tcPr>
          <w:p>
            <w:pPr>
              <w:pStyle w:val="TableContents"/>
              <w:spacing w:before="0" w:after="283"/>
              <w:jc w:val="right"/>
              <w:rPr/>
            </w:pPr>
            <w:r>
              <w:rPr/>
              <w:t>145,186</w:t>
            </w:r>
          </w:p>
        </w:tc>
        <w:tc>
          <w:tcPr>
            <w:tcW w:w="159" w:type="dxa"/>
            <w:tcBorders/>
            <w:shd w:fill="CCEEFF" w:val="clear"/>
            <w:vAlign w:val="bottom"/>
          </w:tcPr>
          <w:p>
            <w:pPr>
              <w:pStyle w:val="TableContents"/>
              <w:spacing w:before="0" w:after="283"/>
              <w:rPr/>
            </w:pPr>
            <w:r>
              <w:rPr/>
              <w:t> </w:t>
            </w:r>
          </w:p>
        </w:tc>
      </w:tr>
      <w:tr>
        <w:trPr/>
        <w:tc>
          <w:tcPr>
            <w:tcW w:w="2763" w:type="dxa"/>
            <w:tcBorders/>
            <w:shd w:fill="auto" w:val="clear"/>
          </w:tcPr>
          <w:p>
            <w:pPr>
              <w:pStyle w:val="TableContents"/>
              <w:spacing w:before="0" w:after="0"/>
              <w:rPr>
                <w:rFonts w:ascii="Times New Roman" w:hAnsi="Times New Roman"/>
                <w:sz w:val="20"/>
              </w:rPr>
            </w:pPr>
            <w:r>
              <w:rPr>
                <w:rFonts w:ascii="Times New Roman" w:hAnsi="Times New Roman"/>
                <w:sz w:val="20"/>
              </w:rPr>
              <w:t>Office equipment</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pPr>
            <w:r>
              <w:rPr/>
              <w:t>49,972</w:t>
            </w:r>
          </w:p>
        </w:tc>
        <w:tc>
          <w:tcPr>
            <w:tcW w:w="155"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pPr>
            <w:r>
              <w:rPr/>
              <w:t>49,682</w:t>
            </w:r>
          </w:p>
        </w:tc>
        <w:tc>
          <w:tcPr>
            <w:tcW w:w="159" w:type="dxa"/>
            <w:tcBorders/>
            <w:shd w:fill="auto" w:val="clear"/>
            <w:vAlign w:val="bottom"/>
          </w:tcPr>
          <w:p>
            <w:pPr>
              <w:pStyle w:val="TableContents"/>
              <w:spacing w:before="0" w:after="283"/>
              <w:rPr/>
            </w:pPr>
            <w:r>
              <w:rPr/>
              <w:t> </w:t>
            </w:r>
          </w:p>
        </w:tc>
      </w:tr>
      <w:tr>
        <w:trPr/>
        <w:tc>
          <w:tcPr>
            <w:tcW w:w="2763"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single" w:sz="2" w:space="1" w:color="000000"/>
              </w:pBdr>
              <w:spacing w:before="0" w:after="0"/>
              <w:rPr/>
            </w:pPr>
            <w:r>
              <w:rPr/>
              <w:t> </w:t>
            </w:r>
          </w:p>
        </w:tc>
        <w:tc>
          <w:tcPr>
            <w:tcW w:w="170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single" w:sz="2" w:space="1" w:color="000000"/>
              </w:pBdr>
              <w:spacing w:before="0" w:after="0"/>
              <w:rPr/>
            </w:pPr>
            <w:r>
              <w:rPr/>
              <w:t> </w:t>
            </w:r>
          </w:p>
        </w:tc>
        <w:tc>
          <w:tcPr>
            <w:tcW w:w="170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763" w:type="dxa"/>
            <w:tcBorders/>
            <w:shd w:fill="CCEEFF" w:val="clear"/>
          </w:tcPr>
          <w:p>
            <w:pPr>
              <w:pStyle w:val="TableContents"/>
              <w:spacing w:before="0" w:after="0"/>
              <w:rPr>
                <w:rFonts w:ascii="Times New Roman" w:hAnsi="Times New Roman"/>
                <w:sz w:val="20"/>
              </w:rPr>
            </w:pPr>
            <w:r>
              <w:rPr>
                <w:rFonts w:ascii="Times New Roman" w:hAnsi="Times New Roman"/>
                <w:sz w:val="20"/>
              </w:rPr>
              <w:t>Less  Accumulated depreciation</w:t>
            </w:r>
          </w:p>
        </w:tc>
        <w:tc>
          <w:tcPr>
            <w:tcW w:w="46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706" w:type="dxa"/>
            <w:tcBorders/>
            <w:shd w:fill="CCEEFF" w:val="clear"/>
            <w:vAlign w:val="bottom"/>
          </w:tcPr>
          <w:p>
            <w:pPr>
              <w:pStyle w:val="TableContents"/>
              <w:spacing w:before="0" w:after="283"/>
              <w:jc w:val="right"/>
              <w:rPr/>
            </w:pPr>
            <w:r>
              <w:rPr/>
              <w:t>(78,710</w:t>
            </w:r>
          </w:p>
        </w:tc>
        <w:tc>
          <w:tcPr>
            <w:tcW w:w="155"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706" w:type="dxa"/>
            <w:tcBorders/>
            <w:shd w:fill="CCEEFF" w:val="clear"/>
            <w:vAlign w:val="bottom"/>
          </w:tcPr>
          <w:p>
            <w:pPr>
              <w:pStyle w:val="TableContents"/>
              <w:spacing w:before="0" w:after="283"/>
              <w:jc w:val="right"/>
              <w:rPr/>
            </w:pPr>
            <w:r>
              <w:rPr/>
              <w:t>(33,584</w:t>
            </w:r>
          </w:p>
        </w:tc>
        <w:tc>
          <w:tcPr>
            <w:tcW w:w="159" w:type="dxa"/>
            <w:tcBorders/>
            <w:shd w:fill="CCEEFF" w:val="clear"/>
            <w:vAlign w:val="bottom"/>
          </w:tcPr>
          <w:p>
            <w:pPr>
              <w:pStyle w:val="TableContents"/>
              <w:spacing w:before="0" w:after="283"/>
              <w:rPr/>
            </w:pPr>
            <w:r>
              <w:rPr/>
              <w:t>) </w:t>
            </w:r>
          </w:p>
        </w:tc>
      </w:tr>
      <w:tr>
        <w:trPr/>
        <w:tc>
          <w:tcPr>
            <w:tcW w:w="2763"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single" w:sz="2" w:space="1" w:color="000000"/>
              </w:pBdr>
              <w:spacing w:before="0" w:after="0"/>
              <w:rPr/>
            </w:pPr>
            <w:r>
              <w:rPr/>
              <w:t> </w:t>
            </w:r>
          </w:p>
        </w:tc>
        <w:tc>
          <w:tcPr>
            <w:tcW w:w="170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single" w:sz="2" w:space="1" w:color="000000"/>
              </w:pBdr>
              <w:spacing w:before="0" w:after="0"/>
              <w:rPr/>
            </w:pPr>
            <w:r>
              <w:rPr/>
              <w:t> </w:t>
            </w:r>
          </w:p>
        </w:tc>
        <w:tc>
          <w:tcPr>
            <w:tcW w:w="170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76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Property and equipment, net</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b/>
              </w:rPr>
            </w:pPr>
            <w:r>
              <w:rPr>
                <w:b/>
              </w:rPr>
              <w:t>$</w:t>
            </w:r>
          </w:p>
        </w:tc>
        <w:tc>
          <w:tcPr>
            <w:tcW w:w="1706" w:type="dxa"/>
            <w:tcBorders/>
            <w:shd w:fill="auto" w:val="clear"/>
            <w:vAlign w:val="bottom"/>
          </w:tcPr>
          <w:p>
            <w:pPr>
              <w:pStyle w:val="TableContents"/>
              <w:spacing w:before="0" w:after="283"/>
              <w:jc w:val="right"/>
              <w:rPr>
                <w:b/>
              </w:rPr>
            </w:pPr>
            <w:r>
              <w:rPr>
                <w:b/>
              </w:rPr>
              <w:t>139,560</w:t>
            </w:r>
          </w:p>
        </w:tc>
        <w:tc>
          <w:tcPr>
            <w:tcW w:w="155"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b/>
              </w:rPr>
            </w:pPr>
            <w:r>
              <w:rPr>
                <w:b/>
              </w:rPr>
              <w:t>$</w:t>
            </w:r>
          </w:p>
        </w:tc>
        <w:tc>
          <w:tcPr>
            <w:tcW w:w="1706" w:type="dxa"/>
            <w:tcBorders/>
            <w:shd w:fill="auto" w:val="clear"/>
            <w:vAlign w:val="bottom"/>
          </w:tcPr>
          <w:p>
            <w:pPr>
              <w:pStyle w:val="TableContents"/>
              <w:spacing w:before="0" w:after="283"/>
              <w:jc w:val="right"/>
              <w:rPr>
                <w:b/>
              </w:rPr>
            </w:pPr>
            <w:r>
              <w:rPr>
                <w:b/>
              </w:rPr>
              <w:t>161,284</w:t>
            </w:r>
          </w:p>
        </w:tc>
        <w:tc>
          <w:tcPr>
            <w:tcW w:w="159" w:type="dxa"/>
            <w:tcBorders/>
            <w:shd w:fill="auto" w:val="clear"/>
            <w:vAlign w:val="bottom"/>
          </w:tcPr>
          <w:p>
            <w:pPr>
              <w:pStyle w:val="TableContents"/>
              <w:spacing w:before="0" w:after="283"/>
              <w:rPr/>
            </w:pPr>
            <w:r>
              <w:rPr/>
              <w:t> </w:t>
            </w:r>
          </w:p>
        </w:tc>
      </w:tr>
      <w:tr>
        <w:trPr/>
        <w:tc>
          <w:tcPr>
            <w:tcW w:w="2763"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double" w:sz="6" w:space="1" w:color="000000"/>
              </w:pBdr>
              <w:spacing w:before="0" w:after="0"/>
              <w:rPr/>
            </w:pPr>
            <w:r>
              <w:rPr/>
              <w:t> </w:t>
            </w:r>
          </w:p>
        </w:tc>
        <w:tc>
          <w:tcPr>
            <w:tcW w:w="170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pBdr>
                <w:top w:val="double" w:sz="6" w:space="1" w:color="000000"/>
              </w:pBdr>
              <w:spacing w:before="0" w:after="0"/>
              <w:rPr/>
            </w:pPr>
            <w:r>
              <w:rPr/>
              <w:t> </w:t>
            </w:r>
          </w:p>
        </w:tc>
        <w:tc>
          <w:tcPr>
            <w:tcW w:w="170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Depreciation expense for the years ended December 31, 2022 and 2021 was $45,126 and $15,649 respectively. During the year ended December 31, 2022, the Company recognized disposals of office equipment of $2,571. In the year ended December 31, 2021 the Company recognized disposals of office equipment of $30,400.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6.</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798"/>
        <w:gridCol w:w="428"/>
        <w:gridCol w:w="231"/>
        <w:gridCol w:w="1789"/>
        <w:gridCol w:w="155"/>
        <w:gridCol w:w="428"/>
        <w:gridCol w:w="244"/>
        <w:gridCol w:w="1775"/>
        <w:gridCol w:w="161"/>
      </w:tblGrid>
      <w:tr>
        <w:trPr/>
        <w:tc>
          <w:tcPr>
            <w:tcW w:w="279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79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0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0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61" w:type="dxa"/>
            <w:tcBorders/>
            <w:shd w:fill="auto" w:val="clear"/>
            <w:vAlign w:val="bottom"/>
          </w:tcPr>
          <w:p>
            <w:pPr>
              <w:pStyle w:val="TableContents"/>
              <w:spacing w:before="0" w:after="283"/>
              <w:rPr/>
            </w:pPr>
            <w:r>
              <w:rPr/>
              <w:t> </w:t>
            </w:r>
          </w:p>
        </w:tc>
      </w:tr>
      <w:tr>
        <w:trPr/>
        <w:tc>
          <w:tcPr>
            <w:tcW w:w="2798" w:type="dxa"/>
            <w:tcBorders/>
            <w:shd w:fill="CCEEFF" w:val="clear"/>
          </w:tcPr>
          <w:p>
            <w:pPr>
              <w:pStyle w:val="TableContents"/>
              <w:spacing w:before="0" w:after="0"/>
              <w:rPr>
                <w:rFonts w:ascii="Times New Roman" w:hAnsi="Times New Roman"/>
                <w:sz w:val="20"/>
              </w:rPr>
            </w:pPr>
            <w:r>
              <w:rPr>
                <w:rFonts w:ascii="Times New Roman" w:hAnsi="Times New Roman"/>
                <w:sz w:val="20"/>
              </w:rPr>
              <w:t>Software</w:t>
            </w:r>
          </w:p>
        </w:tc>
        <w:tc>
          <w:tcPr>
            <w:tcW w:w="42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w:t>
            </w:r>
          </w:p>
        </w:tc>
        <w:tc>
          <w:tcPr>
            <w:tcW w:w="1789" w:type="dxa"/>
            <w:tcBorders/>
            <w:shd w:fill="CCEEFF" w:val="clear"/>
            <w:vAlign w:val="bottom"/>
          </w:tcPr>
          <w:p>
            <w:pPr>
              <w:pStyle w:val="TableContents"/>
              <w:spacing w:before="0" w:after="283"/>
              <w:jc w:val="right"/>
              <w:rPr/>
            </w:pPr>
            <w:r>
              <w:rPr/>
              <w:t>989,400</w:t>
            </w:r>
          </w:p>
        </w:tc>
        <w:tc>
          <w:tcPr>
            <w:tcW w:w="155"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775" w:type="dxa"/>
            <w:tcBorders/>
            <w:shd w:fill="CCEEFF" w:val="clear"/>
            <w:vAlign w:val="bottom"/>
          </w:tcPr>
          <w:p>
            <w:pPr>
              <w:pStyle w:val="TableContents"/>
              <w:spacing w:before="0" w:after="283"/>
              <w:jc w:val="right"/>
              <w:rPr/>
            </w:pPr>
            <w:r>
              <w:rPr/>
              <w:t>989,400</w:t>
            </w:r>
          </w:p>
        </w:tc>
        <w:tc>
          <w:tcPr>
            <w:tcW w:w="161" w:type="dxa"/>
            <w:tcBorders/>
            <w:shd w:fill="CCEEFF" w:val="clear"/>
            <w:vAlign w:val="bottom"/>
          </w:tcPr>
          <w:p>
            <w:pPr>
              <w:pStyle w:val="TableContents"/>
              <w:spacing w:before="0" w:after="283"/>
              <w:rPr/>
            </w:pPr>
            <w:r>
              <w:rPr/>
              <w:t> </w:t>
            </w:r>
          </w:p>
        </w:tc>
      </w:tr>
      <w:tr>
        <w:trPr/>
        <w:tc>
          <w:tcPr>
            <w:tcW w:w="2798" w:type="dxa"/>
            <w:tcBorders/>
            <w:shd w:fill="auto" w:val="clear"/>
          </w:tcPr>
          <w:p>
            <w:pPr>
              <w:pStyle w:val="TableContents"/>
              <w:spacing w:before="0" w:after="0"/>
              <w:rPr>
                <w:rFonts w:ascii="Times New Roman" w:hAnsi="Times New Roman"/>
                <w:sz w:val="20"/>
              </w:rPr>
            </w:pPr>
            <w:r>
              <w:rPr>
                <w:rFonts w:ascii="Times New Roman" w:hAnsi="Times New Roman"/>
                <w:sz w:val="20"/>
              </w:rPr>
              <w:t>Customer list</w:t>
            </w:r>
          </w:p>
        </w:tc>
        <w:tc>
          <w:tcPr>
            <w:tcW w:w="42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789" w:type="dxa"/>
            <w:tcBorders/>
            <w:shd w:fill="auto" w:val="clear"/>
            <w:vAlign w:val="bottom"/>
          </w:tcPr>
          <w:p>
            <w:pPr>
              <w:pStyle w:val="TableContents"/>
              <w:spacing w:before="0" w:after="283"/>
              <w:jc w:val="right"/>
              <w:rPr/>
            </w:pPr>
            <w:r>
              <w:rPr/>
              <w:t>7,093,574</w:t>
            </w:r>
          </w:p>
        </w:tc>
        <w:tc>
          <w:tcPr>
            <w:tcW w:w="155"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right"/>
              <w:rPr/>
            </w:pPr>
            <w:r>
              <w:rPr/>
              <w:t>7,093,574</w:t>
            </w:r>
          </w:p>
        </w:tc>
        <w:tc>
          <w:tcPr>
            <w:tcW w:w="161" w:type="dxa"/>
            <w:tcBorders/>
            <w:shd w:fill="auto" w:val="clear"/>
            <w:vAlign w:val="bottom"/>
          </w:tcPr>
          <w:p>
            <w:pPr>
              <w:pStyle w:val="TableContents"/>
              <w:spacing w:before="0" w:after="283"/>
              <w:rPr/>
            </w:pPr>
            <w:r>
              <w:rPr/>
              <w:t> </w:t>
            </w:r>
          </w:p>
        </w:tc>
      </w:tr>
      <w:tr>
        <w:trPr/>
        <w:tc>
          <w:tcPr>
            <w:tcW w:w="2798" w:type="dxa"/>
            <w:tcBorders/>
            <w:shd w:fill="CCEEFF" w:val="clear"/>
          </w:tcPr>
          <w:p>
            <w:pPr>
              <w:pStyle w:val="TableContents"/>
              <w:spacing w:before="0" w:after="0"/>
              <w:rPr>
                <w:rFonts w:ascii="Times New Roman" w:hAnsi="Times New Roman"/>
                <w:sz w:val="20"/>
              </w:rPr>
            </w:pPr>
            <w:r>
              <w:rPr>
                <w:rFonts w:ascii="Times New Roman" w:hAnsi="Times New Roman"/>
                <w:sz w:val="20"/>
              </w:rPr>
              <w:t>Other</w:t>
            </w:r>
          </w:p>
        </w:tc>
        <w:tc>
          <w:tcPr>
            <w:tcW w:w="42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789" w:type="dxa"/>
            <w:tcBorders/>
            <w:shd w:fill="CCEEFF" w:val="clear"/>
            <w:vAlign w:val="bottom"/>
          </w:tcPr>
          <w:p>
            <w:pPr>
              <w:pStyle w:val="TableContents"/>
              <w:spacing w:before="0" w:after="283"/>
              <w:jc w:val="right"/>
              <w:rPr/>
            </w:pPr>
            <w:r>
              <w:rPr/>
              <w:t>31,312</w:t>
            </w:r>
          </w:p>
        </w:tc>
        <w:tc>
          <w:tcPr>
            <w:tcW w:w="155"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jc w:val="right"/>
              <w:rPr/>
            </w:pPr>
            <w:r>
              <w:rPr/>
              <w:t>31,312</w:t>
            </w:r>
          </w:p>
        </w:tc>
        <w:tc>
          <w:tcPr>
            <w:tcW w:w="161" w:type="dxa"/>
            <w:tcBorders/>
            <w:shd w:fill="CCEEFF" w:val="clear"/>
            <w:vAlign w:val="bottom"/>
          </w:tcPr>
          <w:p>
            <w:pPr>
              <w:pStyle w:val="TableContents"/>
              <w:spacing w:before="0" w:after="283"/>
              <w:rPr/>
            </w:pPr>
            <w:r>
              <w:rPr/>
              <w:t> </w:t>
            </w:r>
          </w:p>
        </w:tc>
      </w:tr>
      <w:tr>
        <w:trPr/>
        <w:tc>
          <w:tcPr>
            <w:tcW w:w="2798"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178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0"/>
              <w:rPr/>
            </w:pPr>
            <w:r>
              <w:rPr/>
              <w:t> </w:t>
            </w:r>
          </w:p>
        </w:tc>
        <w:tc>
          <w:tcPr>
            <w:tcW w:w="1775"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798" w:type="dxa"/>
            <w:tcBorders/>
            <w:shd w:fill="auto" w:val="clea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789" w:type="dxa"/>
            <w:tcBorders/>
            <w:shd w:fill="auto" w:val="clear"/>
            <w:vAlign w:val="bottom"/>
          </w:tcPr>
          <w:p>
            <w:pPr>
              <w:pStyle w:val="TableContents"/>
              <w:spacing w:before="0" w:after="283"/>
              <w:jc w:val="right"/>
              <w:rPr>
                <w:b/>
              </w:rPr>
            </w:pPr>
            <w:r>
              <w:rPr>
                <w:b/>
              </w:rPr>
              <w:t>8,114,286</w:t>
            </w:r>
          </w:p>
        </w:tc>
        <w:tc>
          <w:tcPr>
            <w:tcW w:w="155"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right"/>
              <w:rPr/>
            </w:pPr>
            <w:r>
              <w:rPr/>
              <w:t>8,114,286</w:t>
            </w:r>
          </w:p>
        </w:tc>
        <w:tc>
          <w:tcPr>
            <w:tcW w:w="161" w:type="dxa"/>
            <w:tcBorders/>
            <w:shd w:fill="auto" w:val="clear"/>
            <w:vAlign w:val="bottom"/>
          </w:tcPr>
          <w:p>
            <w:pPr>
              <w:pStyle w:val="TableContents"/>
              <w:spacing w:before="0" w:after="283"/>
              <w:rPr/>
            </w:pPr>
            <w:r>
              <w:rPr/>
              <w:t> </w:t>
            </w:r>
          </w:p>
        </w:tc>
      </w:tr>
      <w:tr>
        <w:trPr/>
        <w:tc>
          <w:tcPr>
            <w:tcW w:w="2798"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translation adjustment</w:t>
            </w:r>
          </w:p>
        </w:tc>
        <w:tc>
          <w:tcPr>
            <w:tcW w:w="42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789" w:type="dxa"/>
            <w:tcBorders/>
            <w:shd w:fill="CCEEFF" w:val="clear"/>
            <w:vAlign w:val="bottom"/>
          </w:tcPr>
          <w:p>
            <w:pPr>
              <w:pStyle w:val="TableContents"/>
              <w:spacing w:before="0" w:after="283"/>
              <w:jc w:val="right"/>
              <w:rPr/>
            </w:pPr>
            <w:r>
              <w:rPr/>
              <w:t>(624,790</w:t>
            </w:r>
          </w:p>
        </w:tc>
        <w:tc>
          <w:tcPr>
            <w:tcW w:w="155"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775" w:type="dxa"/>
            <w:tcBorders/>
            <w:shd w:fill="CCEEFF" w:val="clear"/>
            <w:vAlign w:val="bottom"/>
          </w:tcPr>
          <w:p>
            <w:pPr>
              <w:pStyle w:val="TableContents"/>
              <w:spacing w:before="0" w:after="283"/>
              <w:jc w:val="right"/>
              <w:rPr/>
            </w:pPr>
            <w:r>
              <w:rPr/>
              <w:t>(239,920</w:t>
            </w:r>
          </w:p>
        </w:tc>
        <w:tc>
          <w:tcPr>
            <w:tcW w:w="161" w:type="dxa"/>
            <w:tcBorders/>
            <w:shd w:fill="CCEEFF" w:val="clear"/>
            <w:vAlign w:val="bottom"/>
          </w:tcPr>
          <w:p>
            <w:pPr>
              <w:pStyle w:val="TableContents"/>
              <w:spacing w:before="0" w:after="283"/>
              <w:rPr/>
            </w:pPr>
            <w:r>
              <w:rPr/>
              <w:t>) </w:t>
            </w:r>
          </w:p>
        </w:tc>
      </w:tr>
      <w:tr>
        <w:trPr/>
        <w:tc>
          <w:tcPr>
            <w:tcW w:w="2798" w:type="dxa"/>
            <w:tcBorders/>
            <w:shd w:fill="auto" w:val="clear"/>
          </w:tcPr>
          <w:p>
            <w:pPr>
              <w:pStyle w:val="TableContents"/>
              <w:spacing w:before="0" w:after="0"/>
              <w:rPr>
                <w:rFonts w:ascii="Times New Roman" w:hAnsi="Times New Roman"/>
                <w:sz w:val="20"/>
              </w:rPr>
            </w:pPr>
            <w:r>
              <w:rPr>
                <w:rFonts w:ascii="Times New Roman" w:hAnsi="Times New Roman"/>
                <w:sz w:val="20"/>
              </w:rPr>
              <w:t>Less  Accumulated amortization</w:t>
            </w:r>
          </w:p>
        </w:tc>
        <w:tc>
          <w:tcPr>
            <w:tcW w:w="42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789" w:type="dxa"/>
            <w:tcBorders/>
            <w:shd w:fill="auto" w:val="clear"/>
            <w:vAlign w:val="bottom"/>
          </w:tcPr>
          <w:p>
            <w:pPr>
              <w:pStyle w:val="TableContents"/>
              <w:spacing w:before="0" w:after="283"/>
              <w:jc w:val="right"/>
              <w:rPr/>
            </w:pPr>
            <w:r>
              <w:rPr/>
              <w:t>(1,252,053</w:t>
            </w:r>
          </w:p>
        </w:tc>
        <w:tc>
          <w:tcPr>
            <w:tcW w:w="155"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right"/>
              <w:rPr/>
            </w:pPr>
            <w:r>
              <w:rPr/>
              <w:t>(557,637</w:t>
            </w:r>
          </w:p>
        </w:tc>
        <w:tc>
          <w:tcPr>
            <w:tcW w:w="161" w:type="dxa"/>
            <w:tcBorders/>
            <w:shd w:fill="auto" w:val="clear"/>
            <w:vAlign w:val="bottom"/>
          </w:tcPr>
          <w:p>
            <w:pPr>
              <w:pStyle w:val="TableContents"/>
              <w:spacing w:before="0" w:after="283"/>
              <w:rPr/>
            </w:pPr>
            <w:r>
              <w:rPr/>
              <w:t>) </w:t>
            </w:r>
          </w:p>
        </w:tc>
      </w:tr>
      <w:tr>
        <w:trPr/>
        <w:tc>
          <w:tcPr>
            <w:tcW w:w="2798"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178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single" w:sz="2" w:space="1" w:color="000000"/>
              </w:pBdr>
              <w:spacing w:before="0" w:after="0"/>
              <w:rPr/>
            </w:pPr>
            <w:r>
              <w:rPr/>
              <w:t> </w:t>
            </w:r>
          </w:p>
        </w:tc>
        <w:tc>
          <w:tcPr>
            <w:tcW w:w="1775"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79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Intangible assets, net</w:t>
            </w:r>
          </w:p>
        </w:tc>
        <w:tc>
          <w:tcPr>
            <w:tcW w:w="42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b/>
              </w:rPr>
            </w:pPr>
            <w:r>
              <w:rPr>
                <w:b/>
              </w:rPr>
              <w:t>$</w:t>
            </w:r>
          </w:p>
        </w:tc>
        <w:tc>
          <w:tcPr>
            <w:tcW w:w="1789" w:type="dxa"/>
            <w:tcBorders/>
            <w:shd w:fill="CCEEFF" w:val="clear"/>
            <w:vAlign w:val="bottom"/>
          </w:tcPr>
          <w:p>
            <w:pPr>
              <w:pStyle w:val="TableContents"/>
              <w:spacing w:before="0" w:after="283"/>
              <w:jc w:val="right"/>
              <w:rPr>
                <w:b/>
              </w:rPr>
            </w:pPr>
            <w:r>
              <w:rPr>
                <w:b/>
              </w:rPr>
              <w:t>6,237,443</w:t>
            </w:r>
          </w:p>
        </w:tc>
        <w:tc>
          <w:tcPr>
            <w:tcW w:w="155"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b/>
              </w:rPr>
            </w:pPr>
            <w:r>
              <w:rPr>
                <w:b/>
              </w:rPr>
              <w:t>$</w:t>
            </w:r>
          </w:p>
        </w:tc>
        <w:tc>
          <w:tcPr>
            <w:tcW w:w="1775" w:type="dxa"/>
            <w:tcBorders/>
            <w:shd w:fill="CCEEFF" w:val="clear"/>
            <w:vAlign w:val="bottom"/>
          </w:tcPr>
          <w:p>
            <w:pPr>
              <w:pStyle w:val="TableContents"/>
              <w:spacing w:before="0" w:after="283"/>
              <w:jc w:val="right"/>
              <w:rPr>
                <w:b/>
              </w:rPr>
            </w:pPr>
            <w:r>
              <w:rPr>
                <w:b/>
              </w:rPr>
              <w:t>7,316,729</w:t>
            </w:r>
          </w:p>
        </w:tc>
        <w:tc>
          <w:tcPr>
            <w:tcW w:w="161" w:type="dxa"/>
            <w:tcBorders/>
            <w:shd w:fill="CCEEFF" w:val="clear"/>
            <w:vAlign w:val="bottom"/>
          </w:tcPr>
          <w:p>
            <w:pPr>
              <w:pStyle w:val="TableContents"/>
              <w:spacing w:before="0" w:after="283"/>
              <w:rPr/>
            </w:pPr>
            <w:r>
              <w:rPr/>
              <w:t> </w:t>
            </w:r>
          </w:p>
        </w:tc>
      </w:tr>
      <w:tr>
        <w:trPr/>
        <w:tc>
          <w:tcPr>
            <w:tcW w:w="2798"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178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pBdr>
                <w:top w:val="double" w:sz="6" w:space="1" w:color="000000"/>
              </w:pBdr>
              <w:spacing w:before="0" w:after="0"/>
              <w:rPr/>
            </w:pPr>
            <w:r>
              <w:rPr/>
              <w:t> </w:t>
            </w:r>
          </w:p>
        </w:tc>
        <w:tc>
          <w:tcPr>
            <w:tcW w:w="1775"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Amortization expense for the years ended December 31, 2022 and 2021 was $694,416 and $414,443 respectively. The customer list intangible acquired in the business combination of Any Lifestyle Management GmbH (note 15) is depreciated over its estimated useful life of 13 years. </w:t>
      </w:r>
    </w:p>
    <w:p>
      <w:pPr>
        <w:pStyle w:val="TextBody"/>
        <w:spacing w:before="120" w:after="0"/>
        <w:jc w:val="left"/>
        <w:rPr>
          <w:rFonts w:ascii="Times New Roman" w:hAnsi="Times New Roman"/>
          <w:sz w:val="20"/>
        </w:rPr>
      </w:pPr>
      <w:r>
        <w:rPr>
          <w:rFonts w:ascii="Times New Roman" w:hAnsi="Times New Roman"/>
          <w:sz w:val="20"/>
        </w:rPr>
        <w:t xml:space="preserve">As of December 31, 2022, expected amortization expense over the remaining intangible asset lives is as follows: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63"/>
        <w:gridCol w:w="430"/>
        <w:gridCol w:w="141"/>
        <w:gridCol w:w="1169"/>
        <w:gridCol w:w="63"/>
      </w:tblGrid>
      <w:tr>
        <w:trPr/>
        <w:tc>
          <w:tcPr>
            <w:tcW w:w="536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363" w:type="dxa"/>
            <w:tcBorders/>
            <w:shd w:fill="CCEEFF" w:val="clear"/>
          </w:tcPr>
          <w:p>
            <w:pPr>
              <w:pStyle w:val="TableContents"/>
              <w:spacing w:before="0" w:after="0"/>
              <w:rPr>
                <w:rFonts w:ascii="Times New Roman" w:hAnsi="Times New Roman"/>
                <w:sz w:val="20"/>
              </w:rPr>
            </w:pPr>
            <w:r>
              <w:rPr>
                <w:rFonts w:ascii="Times New Roman" w:hAnsi="Times New Roman"/>
                <w:sz w:val="20"/>
              </w:rPr>
              <w:t>2023</w:t>
            </w:r>
          </w:p>
        </w:tc>
        <w:tc>
          <w:tcPr>
            <w:tcW w:w="43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69" w:type="dxa"/>
            <w:tcBorders/>
            <w:shd w:fill="CCEEFF" w:val="clear"/>
            <w:vAlign w:val="bottom"/>
          </w:tcPr>
          <w:p>
            <w:pPr>
              <w:pStyle w:val="TableContents"/>
              <w:spacing w:before="0" w:after="283"/>
              <w:jc w:val="right"/>
              <w:rPr/>
            </w:pPr>
            <w:r>
              <w:rPr/>
              <w:t>788,608</w:t>
            </w:r>
          </w:p>
        </w:tc>
        <w:tc>
          <w:tcPr>
            <w:tcW w:w="63" w:type="dxa"/>
            <w:tcBorders/>
            <w:shd w:fill="CCEEFF" w:val="clear"/>
            <w:vAlign w:val="bottom"/>
          </w:tcPr>
          <w:p>
            <w:pPr>
              <w:pStyle w:val="TableContents"/>
              <w:spacing w:before="0" w:after="283"/>
              <w:rPr/>
            </w:pPr>
            <w:r>
              <w:rPr/>
              <w:t> </w:t>
            </w:r>
          </w:p>
        </w:tc>
      </w:tr>
      <w:tr>
        <w:trPr/>
        <w:tc>
          <w:tcPr>
            <w:tcW w:w="5363" w:type="dxa"/>
            <w:tcBorders/>
            <w:shd w:fill="auto" w:val="clear"/>
          </w:tcPr>
          <w:p>
            <w:pPr>
              <w:pStyle w:val="TableContents"/>
              <w:spacing w:before="0" w:after="0"/>
              <w:rPr>
                <w:rFonts w:ascii="Times New Roman" w:hAnsi="Times New Roman"/>
                <w:sz w:val="20"/>
              </w:rPr>
            </w:pPr>
            <w:r>
              <w:rPr>
                <w:rFonts w:ascii="Times New Roman" w:hAnsi="Times New Roman"/>
                <w:sz w:val="20"/>
              </w:rPr>
              <w:t>2024</w:t>
            </w:r>
          </w:p>
        </w:tc>
        <w:tc>
          <w:tcPr>
            <w:tcW w:w="43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788,608</w:t>
            </w:r>
          </w:p>
        </w:tc>
        <w:tc>
          <w:tcPr>
            <w:tcW w:w="63" w:type="dxa"/>
            <w:tcBorders/>
            <w:shd w:fill="auto" w:val="clear"/>
            <w:vAlign w:val="bottom"/>
          </w:tcPr>
          <w:p>
            <w:pPr>
              <w:pStyle w:val="TableContents"/>
              <w:spacing w:before="0" w:after="283"/>
              <w:rPr/>
            </w:pPr>
            <w:r>
              <w:rPr/>
              <w:t> </w:t>
            </w:r>
          </w:p>
        </w:tc>
      </w:tr>
      <w:tr>
        <w:trPr/>
        <w:tc>
          <w:tcPr>
            <w:tcW w:w="5363" w:type="dxa"/>
            <w:tcBorders/>
            <w:shd w:fill="CCEEFF" w:val="clear"/>
          </w:tcPr>
          <w:p>
            <w:pPr>
              <w:pStyle w:val="TableContents"/>
              <w:spacing w:before="0" w:after="0"/>
              <w:rPr>
                <w:rFonts w:ascii="Times New Roman" w:hAnsi="Times New Roman"/>
                <w:sz w:val="20"/>
              </w:rPr>
            </w:pPr>
            <w:r>
              <w:rPr>
                <w:rFonts w:ascii="Times New Roman" w:hAnsi="Times New Roman"/>
                <w:sz w:val="20"/>
              </w:rPr>
              <w:t>2025</w:t>
            </w:r>
          </w:p>
        </w:tc>
        <w:tc>
          <w:tcPr>
            <w:tcW w:w="43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688,495</w:t>
            </w:r>
          </w:p>
        </w:tc>
        <w:tc>
          <w:tcPr>
            <w:tcW w:w="63" w:type="dxa"/>
            <w:tcBorders/>
            <w:shd w:fill="CCEEFF" w:val="clear"/>
            <w:vAlign w:val="bottom"/>
          </w:tcPr>
          <w:p>
            <w:pPr>
              <w:pStyle w:val="TableContents"/>
              <w:spacing w:before="0" w:after="283"/>
              <w:rPr/>
            </w:pPr>
            <w:r>
              <w:rPr/>
              <w:t> </w:t>
            </w:r>
          </w:p>
        </w:tc>
      </w:tr>
      <w:tr>
        <w:trPr/>
        <w:tc>
          <w:tcPr>
            <w:tcW w:w="5363" w:type="dxa"/>
            <w:tcBorders/>
            <w:shd w:fill="auto" w:val="clear"/>
          </w:tcPr>
          <w:p>
            <w:pPr>
              <w:pStyle w:val="TableContents"/>
              <w:spacing w:before="0" w:after="0"/>
              <w:rPr>
                <w:rFonts w:ascii="Times New Roman" w:hAnsi="Times New Roman"/>
                <w:sz w:val="20"/>
              </w:rPr>
            </w:pPr>
            <w:r>
              <w:rPr>
                <w:rFonts w:ascii="Times New Roman" w:hAnsi="Times New Roman"/>
                <w:sz w:val="20"/>
              </w:rPr>
              <w:t>2026</w:t>
            </w:r>
          </w:p>
        </w:tc>
        <w:tc>
          <w:tcPr>
            <w:tcW w:w="43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547,647</w:t>
            </w:r>
          </w:p>
        </w:tc>
        <w:tc>
          <w:tcPr>
            <w:tcW w:w="63" w:type="dxa"/>
            <w:tcBorders/>
            <w:shd w:fill="auto" w:val="clear"/>
            <w:vAlign w:val="bottom"/>
          </w:tcPr>
          <w:p>
            <w:pPr>
              <w:pStyle w:val="TableContents"/>
              <w:spacing w:before="0" w:after="283"/>
              <w:rPr/>
            </w:pPr>
            <w:r>
              <w:rPr/>
              <w:t> </w:t>
            </w:r>
          </w:p>
        </w:tc>
      </w:tr>
      <w:tr>
        <w:trPr/>
        <w:tc>
          <w:tcPr>
            <w:tcW w:w="5363" w:type="dxa"/>
            <w:tcBorders/>
            <w:shd w:fill="CCEEFF" w:val="clear"/>
          </w:tcPr>
          <w:p>
            <w:pPr>
              <w:pStyle w:val="TableContents"/>
              <w:spacing w:before="0" w:after="0"/>
              <w:rPr>
                <w:rFonts w:ascii="Times New Roman" w:hAnsi="Times New Roman"/>
                <w:sz w:val="20"/>
              </w:rPr>
            </w:pPr>
            <w:r>
              <w:rPr>
                <w:rFonts w:ascii="Times New Roman" w:hAnsi="Times New Roman"/>
                <w:sz w:val="20"/>
              </w:rPr>
              <w:t>2027</w:t>
            </w:r>
          </w:p>
        </w:tc>
        <w:tc>
          <w:tcPr>
            <w:tcW w:w="43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69" w:type="dxa"/>
            <w:tcBorders/>
            <w:shd w:fill="CCEEFF" w:val="clear"/>
            <w:vAlign w:val="bottom"/>
          </w:tcPr>
          <w:p>
            <w:pPr>
              <w:pStyle w:val="TableContents"/>
              <w:spacing w:before="0" w:after="283"/>
              <w:jc w:val="right"/>
              <w:rPr/>
            </w:pPr>
            <w:r>
              <w:rPr/>
              <w:t>590,728</w:t>
            </w:r>
          </w:p>
        </w:tc>
        <w:tc>
          <w:tcPr>
            <w:tcW w:w="63" w:type="dxa"/>
            <w:tcBorders/>
            <w:shd w:fill="CCEEFF" w:val="clear"/>
            <w:vAlign w:val="bottom"/>
          </w:tcPr>
          <w:p>
            <w:pPr>
              <w:pStyle w:val="TableContents"/>
              <w:spacing w:before="0" w:after="283"/>
              <w:rPr/>
            </w:pPr>
            <w:r>
              <w:rPr/>
              <w:t> </w:t>
            </w:r>
          </w:p>
        </w:tc>
      </w:tr>
      <w:tr>
        <w:trPr/>
        <w:tc>
          <w:tcPr>
            <w:tcW w:w="5363" w:type="dxa"/>
            <w:tcBorders/>
            <w:shd w:fill="auto" w:val="clear"/>
          </w:tcPr>
          <w:p>
            <w:pPr>
              <w:pStyle w:val="TableContents"/>
              <w:spacing w:before="0" w:after="0"/>
              <w:rPr>
                <w:rFonts w:ascii="Times New Roman" w:hAnsi="Times New Roman"/>
                <w:sz w:val="20"/>
              </w:rPr>
            </w:pPr>
            <w:r>
              <w:rPr>
                <w:rFonts w:ascii="Times New Roman" w:hAnsi="Times New Roman"/>
                <w:sz w:val="20"/>
              </w:rPr>
              <w:t>Thereafter</w:t>
            </w:r>
          </w:p>
        </w:tc>
        <w:tc>
          <w:tcPr>
            <w:tcW w:w="43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69" w:type="dxa"/>
            <w:tcBorders/>
            <w:shd w:fill="auto" w:val="clear"/>
            <w:vAlign w:val="bottom"/>
          </w:tcPr>
          <w:p>
            <w:pPr>
              <w:pStyle w:val="TableContents"/>
              <w:spacing w:before="0" w:after="283"/>
              <w:jc w:val="right"/>
              <w:rPr/>
            </w:pPr>
            <w:r>
              <w:rPr/>
              <w:t>2,833,353</w:t>
            </w:r>
          </w:p>
        </w:tc>
        <w:tc>
          <w:tcPr>
            <w:tcW w:w="63" w:type="dxa"/>
            <w:tcBorders/>
            <w:shd w:fill="auto" w:val="clear"/>
            <w:vAlign w:val="bottom"/>
          </w:tcPr>
          <w:p>
            <w:pPr>
              <w:pStyle w:val="TableContents"/>
              <w:spacing w:before="0" w:after="283"/>
              <w:rPr/>
            </w:pPr>
            <w:r>
              <w:rPr/>
              <w:t> </w:t>
            </w:r>
          </w:p>
        </w:tc>
      </w:tr>
      <w:tr>
        <w:trPr/>
        <w:tc>
          <w:tcPr>
            <w:tcW w:w="5363"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69"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363" w:type="dxa"/>
            <w:tcBorders/>
            <w:shd w:fill="CCEEFF" w:val="clear"/>
          </w:tcPr>
          <w:p>
            <w:pPr>
              <w:pStyle w:val="TableContents"/>
              <w:spacing w:before="0" w:after="283"/>
              <w:rPr>
                <w:sz w:val="4"/>
                <w:szCs w:val="4"/>
              </w:rPr>
            </w:pPr>
            <w:r>
              <w:rPr>
                <w:sz w:val="4"/>
                <w:szCs w:val="4"/>
              </w:rPr>
            </w:r>
          </w:p>
        </w:tc>
        <w:tc>
          <w:tcPr>
            <w:tcW w:w="43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b/>
              </w:rPr>
            </w:pPr>
            <w:r>
              <w:rPr>
                <w:b/>
              </w:rPr>
              <w:t>$</w:t>
            </w:r>
          </w:p>
        </w:tc>
        <w:tc>
          <w:tcPr>
            <w:tcW w:w="1169" w:type="dxa"/>
            <w:tcBorders/>
            <w:shd w:fill="CCEEFF" w:val="clear"/>
            <w:vAlign w:val="bottom"/>
          </w:tcPr>
          <w:p>
            <w:pPr>
              <w:pStyle w:val="TableContents"/>
              <w:spacing w:before="0" w:after="283"/>
              <w:jc w:val="right"/>
              <w:rPr>
                <w:b/>
              </w:rPr>
            </w:pPr>
            <w:r>
              <w:rPr>
                <w:b/>
              </w:rPr>
              <w:t>6,237,443</w:t>
            </w:r>
          </w:p>
        </w:tc>
        <w:tc>
          <w:tcPr>
            <w:tcW w:w="63" w:type="dxa"/>
            <w:tcBorders/>
            <w:shd w:fill="CCEEFF" w:val="clear"/>
            <w:vAlign w:val="bottom"/>
          </w:tcPr>
          <w:p>
            <w:pPr>
              <w:pStyle w:val="TableContents"/>
              <w:spacing w:before="0" w:after="283"/>
              <w:rPr/>
            </w:pPr>
            <w:r>
              <w:rPr/>
              <w:t> </w:t>
            </w:r>
          </w:p>
        </w:tc>
      </w:tr>
      <w:tr>
        <w:trPr/>
        <w:tc>
          <w:tcPr>
            <w:tcW w:w="5363"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69"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In the year ended December 31, 2022, management determined that indicators of impairment were present in respect of the customer list intangible asset. Management prepared a valuation of the customer list based on the excess earnings approach, consistent with that of the purchase price allocation model when the customer list was acquired in the acquisition of ANY (note 15). The sum of the undiscounted cash flows exceeded that of the carrying value and no impairment charge was required to be measured. The significant assumptions used in the excess earnings approach included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Projected compound annual growth rates for the German radio advertising industry based on third party estimates;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Forecasted inflation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Customer attrition rates based on historical trends of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contributory asset charge for working capital investment necessary to sustain revenue growth as advised by an external valuation expert;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German corporate income tax rates expected to be in effect in the years included within the valuation. </w:t>
            </w:r>
          </w:p>
        </w:tc>
      </w:tr>
    </w:tbl>
    <w:p>
      <w:pPr>
        <w:pStyle w:val="TextBody"/>
        <w:spacing w:before="120" w:after="0"/>
        <w:jc w:val="left"/>
        <w:rPr>
          <w:rFonts w:ascii="Times New Roman" w:hAnsi="Times New Roman"/>
          <w:sz w:val="20"/>
        </w:rPr>
      </w:pPr>
      <w:r>
        <w:rPr>
          <w:rFonts w:ascii="Times New Roman" w:hAnsi="Times New Roman"/>
          <w:sz w:val="20"/>
        </w:rPr>
        <w:t xml:space="preserve">If one or more of these assumptions were to have been adversely impacted such as a 0.5% reduction in growth rates, and 0.5% increase in inflation, the outcome would have led to an impairment charge of the customer list asset of $2,760,144.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7.</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994"/>
        <w:gridCol w:w="412"/>
        <w:gridCol w:w="140"/>
        <w:gridCol w:w="1066"/>
        <w:gridCol w:w="155"/>
        <w:gridCol w:w="412"/>
        <w:gridCol w:w="60"/>
        <w:gridCol w:w="762"/>
        <w:gridCol w:w="155"/>
        <w:gridCol w:w="411"/>
        <w:gridCol w:w="60"/>
        <w:gridCol w:w="1066"/>
        <w:gridCol w:w="159"/>
      </w:tblGrid>
      <w:tr>
        <w:trPr/>
        <w:tc>
          <w:tcPr>
            <w:tcW w:w="399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9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Germany</w:t>
            </w:r>
          </w:p>
        </w:tc>
        <w:tc>
          <w:tcPr>
            <w:tcW w:w="15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8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r>
          </w:p>
        </w:tc>
        <w:tc>
          <w:tcPr>
            <w:tcW w:w="155"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1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59" w:type="dxa"/>
            <w:tcBorders/>
            <w:shd w:fill="auto" w:val="clear"/>
            <w:vAlign w:val="bottom"/>
          </w:tcPr>
          <w:p>
            <w:pPr>
              <w:pStyle w:val="TableContents"/>
              <w:spacing w:before="0" w:after="283"/>
              <w:rPr/>
            </w:pPr>
            <w:r>
              <w:rPr/>
              <w:t> </w:t>
            </w:r>
          </w:p>
        </w:tc>
      </w:tr>
      <w:tr>
        <w:trPr/>
        <w:tc>
          <w:tcPr>
            <w:tcW w:w="3994" w:type="dxa"/>
            <w:tcBorders/>
            <w:shd w:fill="CCEEFF" w:val="clear"/>
          </w:tcPr>
          <w:p>
            <w:pPr>
              <w:pStyle w:val="TableContents"/>
              <w:spacing w:before="0" w:after="0"/>
              <w:rPr>
                <w:rFonts w:ascii="Times New Roman" w:hAnsi="Times New Roman"/>
                <w:sz w:val="20"/>
              </w:rPr>
            </w:pPr>
            <w:r>
              <w:rPr>
                <w:rFonts w:ascii="Times New Roman" w:hAnsi="Times New Roman"/>
                <w:sz w:val="20"/>
              </w:rPr>
              <w:t>As at January 1, 2021</w:t>
            </w:r>
          </w:p>
        </w:tc>
        <w:tc>
          <w:tcPr>
            <w:tcW w:w="41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6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994" w:type="dxa"/>
            <w:tcBorders/>
            <w:shd w:fill="auto" w:val="clear"/>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6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994" w:type="dxa"/>
            <w:tcBorders/>
            <w:shd w:fill="CCEEFF" w:val="clear"/>
          </w:tcPr>
          <w:p>
            <w:pPr>
              <w:pStyle w:val="TableContents"/>
              <w:spacing w:before="0" w:after="0"/>
              <w:rPr>
                <w:rFonts w:ascii="Times New Roman" w:hAnsi="Times New Roman"/>
                <w:sz w:val="20"/>
              </w:rPr>
            </w:pPr>
            <w:r>
              <w:rPr>
                <w:rFonts w:ascii="Times New Roman" w:hAnsi="Times New Roman"/>
                <w:sz w:val="20"/>
              </w:rPr>
              <w:t>Additions</w:t>
            </w:r>
          </w:p>
        </w:tc>
        <w:tc>
          <w:tcPr>
            <w:tcW w:w="41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9,274,173</w:t>
            </w:r>
          </w:p>
        </w:tc>
        <w:tc>
          <w:tcPr>
            <w:tcW w:w="155"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44,438</w:t>
            </w:r>
          </w:p>
        </w:tc>
        <w:tc>
          <w:tcPr>
            <w:tcW w:w="155"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9,318,611</w:t>
            </w:r>
          </w:p>
        </w:tc>
        <w:tc>
          <w:tcPr>
            <w:tcW w:w="159" w:type="dxa"/>
            <w:tcBorders/>
            <w:shd w:fill="CCEEFF" w:val="clear"/>
            <w:vAlign w:val="bottom"/>
          </w:tcPr>
          <w:p>
            <w:pPr>
              <w:pStyle w:val="TableContents"/>
              <w:spacing w:before="0" w:after="283"/>
              <w:rPr/>
            </w:pPr>
            <w:r>
              <w:rPr/>
              <w:t> </w:t>
            </w:r>
          </w:p>
        </w:tc>
      </w:tr>
      <w:tr>
        <w:trPr/>
        <w:tc>
          <w:tcPr>
            <w:tcW w:w="3994" w:type="dxa"/>
            <w:tcBorders/>
            <w:shd w:fill="auto" w:val="clear"/>
          </w:tcPr>
          <w:p>
            <w:pPr>
              <w:pStyle w:val="TableContents"/>
              <w:spacing w:before="0" w:after="0"/>
              <w:rPr>
                <w:rFonts w:ascii="Times New Roman" w:hAnsi="Times New Roman"/>
                <w:sz w:val="20"/>
              </w:rPr>
            </w:pPr>
            <w:r>
              <w:rPr>
                <w:rFonts w:ascii="Times New Roman" w:hAnsi="Times New Roman"/>
                <w:sz w:val="20"/>
              </w:rPr>
              <w:t>Foreign currency translation adjustment</w:t>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(332,203</w:t>
            </w:r>
          </w:p>
        </w:tc>
        <w:tc>
          <w:tcPr>
            <w:tcW w:w="15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(332,203</w:t>
            </w:r>
          </w:p>
        </w:tc>
        <w:tc>
          <w:tcPr>
            <w:tcW w:w="159" w:type="dxa"/>
            <w:tcBorders/>
            <w:shd w:fill="auto" w:val="clear"/>
            <w:vAlign w:val="bottom"/>
          </w:tcPr>
          <w:p>
            <w:pPr>
              <w:pStyle w:val="TableContents"/>
              <w:spacing w:before="0" w:after="283"/>
              <w:rPr/>
            </w:pPr>
            <w:r>
              <w:rPr/>
              <w:t>) </w:t>
            </w:r>
          </w:p>
        </w:tc>
      </w:tr>
      <w:tr>
        <w:trPr/>
        <w:tc>
          <w:tcPr>
            <w:tcW w:w="3994"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94" w:type="dxa"/>
            <w:tcBorders/>
            <w:shd w:fill="CCEEFF" w:val="clear"/>
          </w:tcPr>
          <w:p>
            <w:pPr>
              <w:pStyle w:val="TableContents"/>
              <w:spacing w:before="0" w:after="0"/>
              <w:rPr>
                <w:rFonts w:ascii="Times New Roman" w:hAnsi="Times New Roman"/>
                <w:sz w:val="20"/>
              </w:rPr>
            </w:pPr>
            <w:r>
              <w:rPr>
                <w:rFonts w:ascii="Times New Roman" w:hAnsi="Times New Roman"/>
                <w:sz w:val="20"/>
              </w:rPr>
              <w:t>As at December 31, 2021</w:t>
            </w:r>
          </w:p>
        </w:tc>
        <w:tc>
          <w:tcPr>
            <w:tcW w:w="41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8,941,970</w:t>
            </w:r>
          </w:p>
        </w:tc>
        <w:tc>
          <w:tcPr>
            <w:tcW w:w="155"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44,438</w:t>
            </w:r>
          </w:p>
        </w:tc>
        <w:tc>
          <w:tcPr>
            <w:tcW w:w="155"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8,986,408</w:t>
            </w:r>
          </w:p>
        </w:tc>
        <w:tc>
          <w:tcPr>
            <w:tcW w:w="159" w:type="dxa"/>
            <w:tcBorders/>
            <w:shd w:fill="CCEEFF" w:val="clear"/>
            <w:vAlign w:val="bottom"/>
          </w:tcPr>
          <w:p>
            <w:pPr>
              <w:pStyle w:val="TableContents"/>
              <w:spacing w:before="0" w:after="283"/>
              <w:rPr/>
            </w:pPr>
            <w:r>
              <w:rPr/>
              <w:t> </w:t>
            </w:r>
          </w:p>
        </w:tc>
      </w:tr>
      <w:tr>
        <w:trPr/>
        <w:tc>
          <w:tcPr>
            <w:tcW w:w="3994" w:type="dxa"/>
            <w:tcBorders/>
            <w:shd w:fill="auto" w:val="clear"/>
          </w:tcPr>
          <w:p>
            <w:pPr>
              <w:pStyle w:val="TableContents"/>
              <w:spacing w:before="0" w:after="0"/>
              <w:rPr>
                <w:rFonts w:ascii="Times New Roman" w:hAnsi="Times New Roman"/>
                <w:sz w:val="20"/>
              </w:rPr>
            </w:pPr>
            <w:r>
              <w:rPr>
                <w:rFonts w:ascii="Times New Roman" w:hAnsi="Times New Roman"/>
                <w:sz w:val="20"/>
              </w:rPr>
              <w:t>Impairment losses</w:t>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(7,373,864</w:t>
            </w:r>
          </w:p>
        </w:tc>
        <w:tc>
          <w:tcPr>
            <w:tcW w:w="15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(44,438</w:t>
            </w:r>
          </w:p>
        </w:tc>
        <w:tc>
          <w:tcPr>
            <w:tcW w:w="155"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pPr>
            <w:r>
              <w:rPr/>
              <w:t>(7,418,302</w:t>
            </w:r>
          </w:p>
        </w:tc>
        <w:tc>
          <w:tcPr>
            <w:tcW w:w="159" w:type="dxa"/>
            <w:tcBorders/>
            <w:shd w:fill="auto" w:val="clear"/>
            <w:vAlign w:val="bottom"/>
          </w:tcPr>
          <w:p>
            <w:pPr>
              <w:pStyle w:val="TableContents"/>
              <w:spacing w:before="0" w:after="283"/>
              <w:rPr/>
            </w:pPr>
            <w:r>
              <w:rPr/>
              <w:t>) </w:t>
            </w:r>
          </w:p>
        </w:tc>
      </w:tr>
      <w:tr>
        <w:trPr/>
        <w:tc>
          <w:tcPr>
            <w:tcW w:w="3994" w:type="dxa"/>
            <w:tcBorders/>
            <w:shd w:fill="CCEEFF" w:val="clear"/>
          </w:tcPr>
          <w:p>
            <w:pPr>
              <w:pStyle w:val="TableContents"/>
              <w:spacing w:before="0" w:after="0"/>
              <w:rPr>
                <w:rFonts w:ascii="Times New Roman" w:hAnsi="Times New Roman"/>
                <w:sz w:val="20"/>
              </w:rPr>
            </w:pPr>
            <w:r>
              <w:rPr>
                <w:rFonts w:ascii="Times New Roman" w:hAnsi="Times New Roman"/>
                <w:sz w:val="20"/>
              </w:rPr>
              <w:t>Foreign currency translation adjustment</w:t>
            </w:r>
          </w:p>
        </w:tc>
        <w:tc>
          <w:tcPr>
            <w:tcW w:w="41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(506,343</w:t>
            </w:r>
          </w:p>
        </w:tc>
        <w:tc>
          <w:tcPr>
            <w:tcW w:w="155"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pPr>
            <w:r>
              <w:rPr/>
              <w:t>(506,343</w:t>
            </w:r>
          </w:p>
        </w:tc>
        <w:tc>
          <w:tcPr>
            <w:tcW w:w="159" w:type="dxa"/>
            <w:tcBorders/>
            <w:shd w:fill="CCEEFF" w:val="clear"/>
            <w:vAlign w:val="bottom"/>
          </w:tcPr>
          <w:p>
            <w:pPr>
              <w:pStyle w:val="TableContents"/>
              <w:spacing w:before="0" w:after="283"/>
              <w:rPr/>
            </w:pPr>
            <w:r>
              <w:rPr/>
              <w:t>) </w:t>
            </w:r>
          </w:p>
        </w:tc>
      </w:tr>
      <w:tr>
        <w:trPr/>
        <w:tc>
          <w:tcPr>
            <w:tcW w:w="3994"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7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6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9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As at December 31, 2022</w:t>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b/>
              </w:rPr>
            </w:pPr>
            <w:r>
              <w:rPr>
                <w:b/>
              </w:rPr>
              <w:t>1,061,763</w:t>
            </w:r>
          </w:p>
        </w:tc>
        <w:tc>
          <w:tcPr>
            <w:tcW w:w="155"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b/>
              </w:rPr>
            </w:pPr>
            <w:r>
              <w:rPr>
                <w:b/>
              </w:rPr>
              <w:t>  </w:t>
            </w:r>
          </w:p>
        </w:tc>
        <w:tc>
          <w:tcPr>
            <w:tcW w:w="155"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b/>
              </w:rPr>
            </w:pPr>
            <w:r>
              <w:rPr>
                <w:b/>
              </w:rPr>
              <w:t>1,061,763</w:t>
            </w:r>
          </w:p>
        </w:tc>
        <w:tc>
          <w:tcPr>
            <w:tcW w:w="159" w:type="dxa"/>
            <w:tcBorders/>
            <w:shd w:fill="auto" w:val="clear"/>
            <w:vAlign w:val="bottom"/>
          </w:tcPr>
          <w:p>
            <w:pPr>
              <w:pStyle w:val="TableContents"/>
              <w:spacing w:before="0" w:after="283"/>
              <w:rPr/>
            </w:pPr>
            <w:r>
              <w:rPr/>
              <w:t> </w:t>
            </w:r>
          </w:p>
        </w:tc>
      </w:tr>
      <w:tr>
        <w:trPr/>
        <w:tc>
          <w:tcPr>
            <w:tcW w:w="3994"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6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76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06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If, amongst various factors, the Companys equity values were to decline or, the adverse impacts of economic, competitive, regulatory or other factors were to cause our results of operations or cash flows to be worse than anticipated, we may conclude in future periods that impairment charges are required in order to reduce the carrying values of our goodwill. Any such impairment charges could be significant. </w:t>
      </w:r>
    </w:p>
    <w:p>
      <w:pPr>
        <w:pStyle w:val="TextBody"/>
        <w:spacing w:before="120" w:after="0"/>
        <w:jc w:val="left"/>
        <w:rPr>
          <w:rFonts w:ascii="Times New Roman" w:hAnsi="Times New Roman"/>
          <w:sz w:val="20"/>
        </w:rPr>
      </w:pPr>
      <w:r>
        <w:rPr>
          <w:rFonts w:ascii="Times New Roman" w:hAnsi="Times New Roman"/>
          <w:sz w:val="20"/>
        </w:rPr>
        <w:t xml:space="preserve">Goodwill is tested for impairment annually on December 31 or earlier, if indicators of impairment exist. Due to a revised forecast for the Companys German business, ANY, operating profits and cash flows are expected to be lower than initially anticipated when ANY was acquired in 2021. In the year ended December 31, 2022, a goodwill impairment loss of $7.4 million was recognized by ANY. The fair value of that reporting unit was estimated using the expected present value of future cash flows. </w:t>
      </w:r>
    </w:p>
    <w:p>
      <w:pPr>
        <w:pStyle w:val="TextBody"/>
        <w:spacing w:before="120" w:after="0"/>
        <w:jc w:val="left"/>
        <w:rPr>
          <w:rFonts w:ascii="Times New Roman" w:hAnsi="Times New Roman"/>
          <w:sz w:val="20"/>
        </w:rPr>
      </w:pPr>
      <w:r>
        <w:rPr>
          <w:rFonts w:ascii="Times New Roman" w:hAnsi="Times New Roman"/>
          <w:sz w:val="20"/>
        </w:rPr>
        <w:t xml:space="preserve">The significant assumptions used in the expected present value of future cash flows included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Projected compound annual growth rates for the German radio advertising industry based on third party estimates;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Forecasted inflation rates;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weighted average cost of capital of 10.5% prepared by an external valuation expert.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8.</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Debt and other liabilities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928"/>
        <w:gridCol w:w="510"/>
        <w:gridCol w:w="221"/>
        <w:gridCol w:w="1748"/>
        <w:gridCol w:w="60"/>
        <w:gridCol w:w="510"/>
        <w:gridCol w:w="221"/>
        <w:gridCol w:w="1748"/>
        <w:gridCol w:w="63"/>
      </w:tblGrid>
      <w:tr>
        <w:trPr/>
        <w:tc>
          <w:tcPr>
            <w:tcW w:w="292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928"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9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9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63"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0"/>
              <w:rPr>
                <w:rFonts w:ascii="Times New Roman" w:hAnsi="Times New Roman"/>
                <w:b/>
                <w:sz w:val="20"/>
              </w:rPr>
            </w:pPr>
            <w:r>
              <w:rPr>
                <w:rFonts w:ascii="Times New Roman" w:hAnsi="Times New Roman"/>
                <w:b/>
                <w:sz w:val="20"/>
              </w:rPr>
              <w:t>Short-term debt and other liabilities</w:t>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174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1748"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Short-term debt from related party (8.1)</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748" w:type="dxa"/>
            <w:tcBorders/>
            <w:shd w:fill="auto" w:val="clear"/>
            <w:vAlign w:val="bottom"/>
          </w:tcPr>
          <w:p>
            <w:pPr>
              <w:pStyle w:val="TableContents"/>
              <w:spacing w:before="0" w:after="283"/>
              <w:jc w:val="right"/>
              <w:rPr/>
            </w:pPr>
            <w:r>
              <w:rPr/>
              <w:t>697,067</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1748" w:type="dxa"/>
            <w:tcBorders/>
            <w:shd w:fill="auto" w:val="clear"/>
            <w:vAlign w:val="bottom"/>
          </w:tcPr>
          <w:p>
            <w:pPr>
              <w:pStyle w:val="TableContents"/>
              <w:spacing w:before="0" w:after="283"/>
              <w:jc w:val="right"/>
              <w:rPr/>
            </w:pPr>
            <w:r>
              <w:rPr/>
              <w:t>697,067</w:t>
            </w:r>
          </w:p>
        </w:tc>
        <w:tc>
          <w:tcPr>
            <w:tcW w:w="63"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0"/>
              <w:rPr>
                <w:rFonts w:ascii="Times New Roman" w:hAnsi="Times New Roman"/>
                <w:sz w:val="20"/>
              </w:rPr>
            </w:pPr>
            <w:r>
              <w:rPr>
                <w:rFonts w:ascii="Times New Roman" w:hAnsi="Times New Roman"/>
                <w:sz w:val="20"/>
              </w:rPr>
              <w:t>Lease liability  current (8.5)</w:t>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4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48" w:type="dxa"/>
            <w:tcBorders/>
            <w:shd w:fill="CCEEFF" w:val="clear"/>
            <w:vAlign w:val="bottom"/>
          </w:tcPr>
          <w:p>
            <w:pPr>
              <w:pStyle w:val="TableContents"/>
              <w:spacing w:before="0" w:after="283"/>
              <w:jc w:val="right"/>
              <w:rPr/>
            </w:pPr>
            <w:r>
              <w:rPr/>
              <w:t>46,236</w:t>
            </w:r>
          </w:p>
        </w:tc>
        <w:tc>
          <w:tcPr>
            <w:tcW w:w="63" w:type="dxa"/>
            <w:tcBorders/>
            <w:shd w:fill="CCEEFF" w:val="clear"/>
            <w:vAlign w:val="bottom"/>
          </w:tcPr>
          <w:p>
            <w:pPr>
              <w:pStyle w:val="TableContents"/>
              <w:spacing w:before="0" w:after="283"/>
              <w:rPr/>
            </w:pPr>
            <w:r>
              <w:rPr/>
              <w:t> </w:t>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Share consideration payable (8.2)</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14,600,000</w:t>
            </w:r>
          </w:p>
        </w:tc>
        <w:tc>
          <w:tcPr>
            <w:tcW w:w="63" w:type="dxa"/>
            <w:tcBorders/>
            <w:shd w:fill="auto" w:val="clear"/>
            <w:vAlign w:val="bottom"/>
          </w:tcPr>
          <w:p>
            <w:pPr>
              <w:pStyle w:val="TableContents"/>
              <w:spacing w:before="0" w:after="283"/>
              <w:rPr/>
            </w:pPr>
            <w:r>
              <w:rPr/>
              <w:t> </w:t>
            </w:r>
          </w:p>
        </w:tc>
      </w:tr>
      <w:tr>
        <w:trPr/>
        <w:tc>
          <w:tcPr>
            <w:tcW w:w="2928" w:type="dxa"/>
            <w:tcBorders/>
            <w:shd w:fill="auto" w:val="clear"/>
            <w:vAlign w:val="bottom"/>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pBdr>
                <w:top w:val="single" w:sz="2" w:space="1" w:color="000000"/>
              </w:pBdr>
              <w:spacing w:before="0" w:after="0"/>
              <w:rPr/>
            </w:pPr>
            <w:r>
              <w:rPr/>
              <w:t> </w:t>
            </w:r>
          </w:p>
        </w:tc>
        <w:tc>
          <w:tcPr>
            <w:tcW w:w="174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pBdr>
                <w:top w:val="single" w:sz="2" w:space="1" w:color="000000"/>
              </w:pBdr>
              <w:spacing w:before="0" w:after="0"/>
              <w:rPr/>
            </w:pPr>
            <w:r>
              <w:rPr/>
              <w:t> </w:t>
            </w:r>
          </w:p>
        </w:tc>
        <w:tc>
          <w:tcPr>
            <w:tcW w:w="174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2928"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debt and other liabilities</w:t>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174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1748"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Convertible debt (8.3)</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25,302,709</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2,509,589</w:t>
            </w:r>
          </w:p>
        </w:tc>
        <w:tc>
          <w:tcPr>
            <w:tcW w:w="63" w:type="dxa"/>
            <w:tcBorders/>
            <w:shd w:fill="auto" w:val="clear"/>
            <w:vAlign w:val="bottom"/>
          </w:tcPr>
          <w:p>
            <w:pPr>
              <w:pStyle w:val="TableContents"/>
              <w:spacing w:before="0" w:after="283"/>
              <w:rPr/>
            </w:pPr>
            <w:r>
              <w:rPr/>
              <w:t> </w:t>
            </w:r>
          </w:p>
        </w:tc>
      </w:tr>
      <w:tr>
        <w:trPr/>
        <w:tc>
          <w:tcPr>
            <w:tcW w:w="2928" w:type="dxa"/>
            <w:tcBorders/>
            <w:shd w:fill="CCEEFF" w:val="clear"/>
          </w:tcPr>
          <w:p>
            <w:pPr>
              <w:pStyle w:val="TableContents"/>
              <w:spacing w:before="0" w:after="0"/>
              <w:rPr>
                <w:rFonts w:ascii="Times New Roman" w:hAnsi="Times New Roman"/>
                <w:sz w:val="20"/>
              </w:rPr>
            </w:pPr>
            <w:r>
              <w:rPr>
                <w:rFonts w:ascii="Times New Roman" w:hAnsi="Times New Roman"/>
                <w:sz w:val="20"/>
              </w:rPr>
              <w:t>Share-based payment liability (8.4)</w:t>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48" w:type="dxa"/>
            <w:tcBorders/>
            <w:shd w:fill="CCEEFF" w:val="clear"/>
            <w:vAlign w:val="bottom"/>
          </w:tcPr>
          <w:p>
            <w:pPr>
              <w:pStyle w:val="TableContents"/>
              <w:spacing w:before="0" w:after="283"/>
              <w:jc w:val="right"/>
              <w:rPr/>
            </w:pPr>
            <w:r>
              <w:rPr/>
              <w:t>1,177,617</w:t>
            </w:r>
          </w:p>
        </w:tc>
        <w:tc>
          <w:tcPr>
            <w:tcW w:w="60"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748" w:type="dxa"/>
            <w:tcBorders/>
            <w:shd w:fill="CCEEFF" w:val="clear"/>
            <w:vAlign w:val="bottom"/>
          </w:tcPr>
          <w:p>
            <w:pPr>
              <w:pStyle w:val="TableContents"/>
              <w:spacing w:before="0" w:after="283"/>
              <w:jc w:val="right"/>
              <w:rPr/>
            </w:pPr>
            <w:r>
              <w:rPr/>
              <w:t>1,060,720</w:t>
            </w:r>
          </w:p>
        </w:tc>
        <w:tc>
          <w:tcPr>
            <w:tcW w:w="63" w:type="dxa"/>
            <w:tcBorders/>
            <w:shd w:fill="CCEEFF" w:val="clear"/>
            <w:vAlign w:val="bottom"/>
          </w:tcPr>
          <w:p>
            <w:pPr>
              <w:pStyle w:val="TableContents"/>
              <w:spacing w:before="0" w:after="283"/>
              <w:rPr/>
            </w:pPr>
            <w:r>
              <w:rPr/>
              <w:t> </w:t>
            </w:r>
          </w:p>
        </w:tc>
      </w:tr>
      <w:tr>
        <w:trPr/>
        <w:tc>
          <w:tcPr>
            <w:tcW w:w="2928" w:type="dxa"/>
            <w:tcBorders/>
            <w:shd w:fill="auto" w:val="clear"/>
          </w:tcPr>
          <w:p>
            <w:pPr>
              <w:pStyle w:val="TableContents"/>
              <w:spacing w:before="0" w:after="0"/>
              <w:rPr>
                <w:rFonts w:ascii="Times New Roman" w:hAnsi="Times New Roman"/>
                <w:sz w:val="20"/>
              </w:rPr>
            </w:pPr>
            <w:r>
              <w:rPr>
                <w:rFonts w:ascii="Times New Roman" w:hAnsi="Times New Roman"/>
                <w:sz w:val="20"/>
              </w:rPr>
              <w:t>Lease liability  non-current (8.5)</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748" w:type="dxa"/>
            <w:tcBorders/>
            <w:shd w:fill="auto" w:val="clear"/>
            <w:vAlign w:val="bottom"/>
          </w:tcPr>
          <w:p>
            <w:pPr>
              <w:pStyle w:val="TableContents"/>
              <w:spacing w:before="0" w:after="283"/>
              <w:jc w:val="right"/>
              <w:rPr/>
            </w:pPr>
            <w:r>
              <w:rPr/>
              <w:t>35,423</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b/>
              </w:rPr>
            </w:pPr>
            <w:r>
              <w:rPr>
                <w:b/>
              </w:rPr>
              <w:t>8.1</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Unsecured interest free loan taken from a related party (note 9) is repayable on demand.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b/>
              </w:rPr>
            </w:pPr>
            <w:r>
              <w:rPr>
                <w:b/>
              </w:rPr>
              <w:t>8.2</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August 30, 2021, the Company acquired ANY from the Radio Group GmbH. The Company acquired ANY by agreeing to issue 14,427,185 ordinary shares valued at $1.03 per share. The ordinary shares were issued on February 11,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The consideration shares issued on February 11, 2022 were to be adjusted on August 30, 2022 (one year from the signing of binding purchase agreement) by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43"/>
        <w:gridCol w:w="112"/>
        <w:gridCol w:w="9146"/>
      </w:tblGrid>
      <w:tr>
        <w:trPr/>
        <w:tc>
          <w:tcPr>
            <w:tcW w:w="103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 million in cash issued to the Radio Group in exchange for the re-transfer of 9,708,738 of the consideration shares back to Rezolve, if Rezolve is publicly listed with a valuation of $1 billion or more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43"/>
        <w:gridCol w:w="112"/>
        <w:gridCol w:w="9146"/>
      </w:tblGrid>
      <w:tr>
        <w:trPr/>
        <w:tc>
          <w:tcPr>
            <w:tcW w:w="103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14.86 million in cash issued to the Radio Group in exchange for the transfer of all consideration shares back to Rezolve, if Rezolve is publicly listed with a valuation of less than $1 billion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43"/>
        <w:gridCol w:w="112"/>
        <w:gridCol w:w="9146"/>
      </w:tblGrid>
      <w:tr>
        <w:trPr/>
        <w:tc>
          <w:tcPr>
            <w:tcW w:w="103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 million in cash issued to the Radio Group in exchange for the re-transfer of 8,737,864 of the consideration shares back to Rezolve, if Rezolve is privately held but has a valuation of more than $1 billion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7"/>
        <w:gridCol w:w="240"/>
        <w:gridCol w:w="111"/>
        <w:gridCol w:w="9151"/>
      </w:tblGrid>
      <w:tr>
        <w:trPr/>
        <w:tc>
          <w:tcPr>
            <w:tcW w:w="1037" w:type="dxa"/>
            <w:tcBorders/>
            <w:shd w:fill="auto" w:val="clear"/>
            <w:vAlign w:val="center"/>
          </w:tcPr>
          <w:p>
            <w:pPr>
              <w:pStyle w:val="TableContents"/>
              <w:spacing w:before="0" w:after="283"/>
              <w:rPr/>
            </w:pPr>
            <w:r>
              <w:rPr/>
              <w:t> </w:t>
            </w:r>
          </w:p>
        </w:tc>
        <w:tc>
          <w:tcPr>
            <w:tcW w:w="240"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5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$14.86 million in cash issued to the Radio Group, if Rezolve is privately held but has a valuation of less than $1 billion </w:t>
            </w:r>
          </w:p>
        </w:tc>
      </w:tr>
    </w:tbl>
    <w:p>
      <w:pPr>
        <w:pStyle w:val="TextBody"/>
        <w:spacing w:before="120" w:after="0"/>
        <w:jc w:val="left"/>
        <w:rPr>
          <w:rFonts w:ascii="Times New Roman" w:hAnsi="Times New Roman"/>
          <w:sz w:val="20"/>
        </w:rPr>
      </w:pPr>
      <w:r>
        <w:rPr>
          <w:rFonts w:ascii="Times New Roman" w:hAnsi="Times New Roman"/>
          <w:sz w:val="20"/>
        </w:rPr>
        <w:t xml:space="preserve">The fair value of the share consideration payable has been calculated as $14,600,000, based on the probability weighted outcomes of the discounted cash flow of the above mentioned scenarios and a risk-free rate of return. The valuation was performed by an independent third party valuation expert.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b/>
              </w:rPr>
            </w:pPr>
            <w:r>
              <w:rPr>
                <w:b/>
              </w:rPr>
              <w:t>8.3</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2023. </w:t>
            </w:r>
          </w:p>
        </w:tc>
      </w:tr>
    </w:tbl>
    <w:p>
      <w:pPr>
        <w:pStyle w:val="TextBody"/>
        <w:spacing w:before="120" w:after="0"/>
        <w:jc w:val="left"/>
        <w:rPr>
          <w:rFonts w:ascii="Times New Roman" w:hAnsi="Times New Roman"/>
          <w:sz w:val="20"/>
        </w:rPr>
      </w:pPr>
      <w:r>
        <w:rPr>
          <w:rFonts w:ascii="Times New Roman" w:hAnsi="Times New Roman"/>
          <w:sz w:val="20"/>
        </w:rPr>
        <w:t xml:space="preserve">In accordance with the executed subscription agreements, the investors that pre-funded the PIPE entered into an agreement to purchase secured convertible notes of the Company for a total of $20 million. These notes will mature on December 16, 2023, and are redeemable by the noteholder on the occurrence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4"/>
        <w:gridCol w:w="242"/>
        <w:gridCol w:w="112"/>
        <w:gridCol w:w="9141"/>
      </w:tblGrid>
      <w:tr>
        <w:trPr/>
        <w:tc>
          <w:tcPr>
            <w:tcW w:w="1044" w:type="dxa"/>
            <w:tcBorders/>
            <w:shd w:fill="auto" w:val="clear"/>
            <w:vAlign w:val="center"/>
          </w:tcPr>
          <w:p>
            <w:pPr>
              <w:pStyle w:val="TableContents"/>
              <w:spacing w:before="0" w:after="283"/>
              <w:rPr/>
            </w:pPr>
            <w:r>
              <w:rPr/>
              <w:t> </w:t>
            </w:r>
          </w:p>
        </w:tc>
        <w:tc>
          <w:tcPr>
            <w:tcW w:w="242"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maturity, with interest accrued at 20% per annum,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5"/>
        <w:gridCol w:w="243"/>
        <w:gridCol w:w="112"/>
        <w:gridCol w:w="9149"/>
      </w:tblGrid>
      <w:tr>
        <w:trPr/>
        <w:tc>
          <w:tcPr>
            <w:tcW w:w="1035"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 </w:t>
            </w:r>
          </w:p>
        </w:tc>
      </w:tr>
    </w:tbl>
    <w:p>
      <w:pPr>
        <w:pStyle w:val="TextBody"/>
        <w:spacing w:before="120" w:after="0"/>
        <w:jc w:val="left"/>
        <w:rPr>
          <w:rFonts w:ascii="Times New Roman" w:hAnsi="Times New Roman"/>
          <w:sz w:val="20"/>
        </w:rPr>
      </w:pPr>
      <w:r>
        <w:rPr>
          <w:rFonts w:ascii="Times New Roman" w:hAnsi="Times New Roman"/>
          <w:sz w:val="20"/>
        </w:rPr>
        <w:t xml:space="preserve">Immediately prior to an IPO or SPAC transaction, the principal amount and accrued interest is converted into ordinary shares at a 30% discount to the pre-close equity value of the Company. </w:t>
      </w:r>
    </w:p>
    <w:p>
      <w:pPr>
        <w:pStyle w:val="TextBody"/>
        <w:spacing w:before="120" w:after="0"/>
        <w:jc w:val="left"/>
        <w:rPr>
          <w:rFonts w:ascii="Times New Roman" w:hAnsi="Times New Roman"/>
          <w:sz w:val="20"/>
        </w:rPr>
      </w:pPr>
      <w:r>
        <w:rPr>
          <w:rFonts w:ascii="Times New Roman" w:hAnsi="Times New Roman"/>
          <w:sz w:val="20"/>
        </w:rPr>
        <w:t xml:space="preserve">The interest rate is 20% per annum, and is reduced in the following events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43"/>
        <w:gridCol w:w="112"/>
        <w:gridCol w:w="9146"/>
      </w:tblGrid>
      <w:tr>
        <w:trPr/>
        <w:tc>
          <w:tcPr>
            <w:tcW w:w="103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 per annum if the IPO or SPAC transaction occurred prior to December 16,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8"/>
        <w:gridCol w:w="243"/>
        <w:gridCol w:w="112"/>
        <w:gridCol w:w="9146"/>
      </w:tblGrid>
      <w:tr>
        <w:trPr/>
        <w:tc>
          <w:tcPr>
            <w:tcW w:w="1038" w:type="dxa"/>
            <w:tcBorders/>
            <w:shd w:fill="auto" w:val="clear"/>
            <w:vAlign w:val="center"/>
          </w:tcPr>
          <w:p>
            <w:pPr>
              <w:pStyle w:val="TableContents"/>
              <w:spacing w:before="0" w:after="283"/>
              <w:rPr/>
            </w:pPr>
            <w:r>
              <w:rPr/>
              <w:t> </w:t>
            </w:r>
          </w:p>
        </w:tc>
        <w:tc>
          <w:tcPr>
            <w:tcW w:w="243" w:type="dxa"/>
            <w:tcBorders/>
            <w:shd w:fill="auto" w:val="clear"/>
          </w:tcPr>
          <w:p>
            <w:pPr>
              <w:pStyle w:val="TableContents"/>
              <w:spacing w:before="0" w:after="283"/>
              <w:jc w:val="left"/>
              <w:rPr/>
            </w:pPr>
            <w:r>
              <w:rPr/>
              <w:t></w:t>
            </w:r>
          </w:p>
        </w:tc>
        <w:tc>
          <w:tcPr>
            <w:tcW w:w="112" w:type="dxa"/>
            <w:tcBorders/>
            <w:shd w:fill="auto" w:val="clear"/>
          </w:tcPr>
          <w:p>
            <w:pPr>
              <w:pStyle w:val="TableContents"/>
              <w:spacing w:before="0" w:after="283"/>
              <w:rPr/>
            </w:pPr>
            <w:r>
              <w:rPr/>
              <w:t> </w:t>
            </w:r>
          </w:p>
        </w:tc>
        <w:tc>
          <w:tcPr>
            <w:tcW w:w="914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15% per annum if the IPO or SPAC transaction occurs between December 16, 2022 and June 16, 2023. </w:t>
            </w:r>
          </w:p>
        </w:tc>
      </w:tr>
    </w:tbl>
    <w:p>
      <w:pPr>
        <w:pStyle w:val="TextBody"/>
        <w:spacing w:before="120" w:after="0"/>
        <w:jc w:val="left"/>
        <w:rPr>
          <w:rFonts w:ascii="Times New Roman" w:hAnsi="Times New Roman"/>
          <w:sz w:val="20"/>
        </w:rPr>
      </w:pPr>
      <w:r>
        <w:rPr>
          <w:rFonts w:ascii="Times New Roman" w:hAnsi="Times New Roman"/>
          <w:sz w:val="20"/>
        </w:rPr>
        <w:t xml:space="preserve">Upon the issuance of the notes, the amount pre-funded by each participating investor reduces their remaining respective commitment in the PIPE. </w:t>
      </w:r>
    </w:p>
    <w:p>
      <w:pPr>
        <w:pStyle w:val="TextBody"/>
        <w:spacing w:before="120" w:after="0"/>
        <w:jc w:val="left"/>
        <w:rPr>
          <w:rFonts w:ascii="Times New Roman" w:hAnsi="Times New Roman"/>
          <w:sz w:val="20"/>
        </w:rPr>
      </w:pPr>
      <w:r>
        <w:rPr>
          <w:rFonts w:ascii="Times New Roman" w:hAnsi="Times New Roman"/>
          <w:sz w:val="20"/>
        </w:rPr>
        <w:t xml:space="preserve">On November 21, 2022, the original as well as a new PIPE investor agreed to extend their commitment under the notes, by committing an additional $4 million which was drawn by December 31, 2022.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return for their commitment, the Company granted each investor 850,000 warrants (refer to note 9). These warrants have been accounted for as a discount to the convertible debt. The Company also agreed to provide as collateral all buildings, fittings, fixtures and intellectual property. </w:t>
      </w:r>
    </w:p>
    <w:p>
      <w:pPr>
        <w:pStyle w:val="TextBody"/>
        <w:spacing w:before="120" w:after="0"/>
        <w:jc w:val="left"/>
        <w:rPr>
          <w:rFonts w:ascii="Times New Roman" w:hAnsi="Times New Roman"/>
          <w:sz w:val="20"/>
        </w:rPr>
      </w:pPr>
      <w:r>
        <w:rPr>
          <w:rFonts w:ascii="Times New Roman" w:hAnsi="Times New Roman"/>
          <w:sz w:val="20"/>
        </w:rPr>
        <w:t xml:space="preserve">The secured convertible notes have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straight-line basis over the contractual terms of the secured convertible loan notes. The Company estimates that the difference between amortizing the debt discounts and the issuance costs using the straight-line method as compared to using effective interest rate method is immaterial. </w:t>
      </w:r>
    </w:p>
    <w:p>
      <w:pPr>
        <w:pStyle w:val="TextBody"/>
        <w:spacing w:before="120" w:after="0"/>
        <w:jc w:val="left"/>
        <w:rPr>
          <w:rFonts w:ascii="Times New Roman" w:hAnsi="Times New Roman"/>
          <w:sz w:val="20"/>
        </w:rPr>
      </w:pPr>
      <w:r>
        <w:rPr>
          <w:rFonts w:ascii="Times New Roman" w:hAnsi="Times New Roman"/>
          <w:sz w:val="20"/>
        </w:rPr>
        <w:t xml:space="preserve">The carrying amount of the convertible debt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64"/>
        <w:gridCol w:w="388"/>
        <w:gridCol w:w="164"/>
        <w:gridCol w:w="1357"/>
        <w:gridCol w:w="161"/>
        <w:gridCol w:w="388"/>
        <w:gridCol w:w="176"/>
        <w:gridCol w:w="1344"/>
        <w:gridCol w:w="67"/>
      </w:tblGrid>
      <w:tr>
        <w:trPr/>
        <w:tc>
          <w:tcPr>
            <w:tcW w:w="396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396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61"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5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67" w:type="dxa"/>
            <w:tcBorders/>
            <w:shd w:fill="auto" w:val="clear"/>
            <w:vAlign w:val="bottom"/>
          </w:tcPr>
          <w:p>
            <w:pPr>
              <w:pStyle w:val="TableContents"/>
              <w:spacing w:before="0" w:after="283"/>
              <w:rPr/>
            </w:pPr>
            <w:r>
              <w:rPr/>
              <w:t> </w:t>
            </w:r>
          </w:p>
        </w:tc>
      </w:tr>
      <w:tr>
        <w:trPr/>
        <w:tc>
          <w:tcPr>
            <w:tcW w:w="3964" w:type="dxa"/>
            <w:tcBorders/>
            <w:shd w:fill="CCEEFF" w:val="clear"/>
          </w:tcPr>
          <w:p>
            <w:pPr>
              <w:pStyle w:val="TableContents"/>
              <w:spacing w:before="0" w:after="0"/>
              <w:rPr>
                <w:rFonts w:ascii="Times New Roman" w:hAnsi="Times New Roman"/>
                <w:b/>
                <w:sz w:val="20"/>
              </w:rPr>
            </w:pPr>
            <w:r>
              <w:rPr>
                <w:rFonts w:ascii="Times New Roman" w:hAnsi="Times New Roman"/>
                <w:b/>
                <w:sz w:val="20"/>
              </w:rPr>
              <w:t>Convertible debt</w:t>
            </w:r>
          </w:p>
        </w:tc>
        <w:tc>
          <w:tcPr>
            <w:tcW w:w="3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357"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1344"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3964" w:type="dxa"/>
            <w:tcBorders/>
            <w:shd w:fill="auto" w:val="clear"/>
          </w:tcPr>
          <w:p>
            <w:pPr>
              <w:pStyle w:val="TableContents"/>
              <w:spacing w:before="0" w:after="0"/>
              <w:rPr>
                <w:rFonts w:ascii="Times New Roman" w:hAnsi="Times New Roman"/>
                <w:sz w:val="20"/>
              </w:rPr>
            </w:pPr>
            <w:r>
              <w:rPr>
                <w:rFonts w:ascii="Times New Roman" w:hAnsi="Times New Roman"/>
                <w:sz w:val="20"/>
              </w:rPr>
              <w:t>Principal amount of notes</w:t>
            </w:r>
          </w:p>
        </w:tc>
        <w:tc>
          <w:tcPr>
            <w:tcW w:w="3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357" w:type="dxa"/>
            <w:tcBorders/>
            <w:shd w:fill="auto" w:val="clear"/>
            <w:vAlign w:val="bottom"/>
          </w:tcPr>
          <w:p>
            <w:pPr>
              <w:pStyle w:val="TableContents"/>
              <w:spacing w:before="0" w:after="283"/>
              <w:jc w:val="right"/>
              <w:rPr/>
            </w:pPr>
            <w:r>
              <w:rPr/>
              <w:t>24,000,000</w:t>
            </w:r>
          </w:p>
        </w:tc>
        <w:tc>
          <w:tcPr>
            <w:tcW w:w="161"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w:t>
            </w:r>
          </w:p>
        </w:tc>
        <w:tc>
          <w:tcPr>
            <w:tcW w:w="1344" w:type="dxa"/>
            <w:tcBorders/>
            <w:shd w:fill="auto" w:val="clear"/>
            <w:vAlign w:val="bottom"/>
          </w:tcPr>
          <w:p>
            <w:pPr>
              <w:pStyle w:val="TableContents"/>
              <w:spacing w:before="0" w:after="283"/>
              <w:jc w:val="right"/>
              <w:rPr/>
            </w:pPr>
            <w:r>
              <w:rPr/>
              <w:t>2,500,000</w:t>
            </w:r>
          </w:p>
        </w:tc>
        <w:tc>
          <w:tcPr>
            <w:tcW w:w="67" w:type="dxa"/>
            <w:tcBorders/>
            <w:shd w:fill="auto" w:val="clear"/>
            <w:vAlign w:val="bottom"/>
          </w:tcPr>
          <w:p>
            <w:pPr>
              <w:pStyle w:val="TableContents"/>
              <w:spacing w:before="0" w:after="283"/>
              <w:rPr/>
            </w:pPr>
            <w:r>
              <w:rPr/>
              <w:t> </w:t>
            </w:r>
          </w:p>
        </w:tc>
      </w:tr>
      <w:tr>
        <w:trPr/>
        <w:tc>
          <w:tcPr>
            <w:tcW w:w="3964" w:type="dxa"/>
            <w:tcBorders/>
            <w:shd w:fill="CCEEFF" w:val="clear"/>
          </w:tcPr>
          <w:p>
            <w:pPr>
              <w:pStyle w:val="TableContents"/>
              <w:spacing w:before="0" w:after="0"/>
              <w:rPr>
                <w:rFonts w:ascii="Times New Roman" w:hAnsi="Times New Roman"/>
                <w:sz w:val="20"/>
              </w:rPr>
            </w:pPr>
            <w:r>
              <w:rPr>
                <w:rFonts w:ascii="Times New Roman" w:hAnsi="Times New Roman"/>
                <w:sz w:val="20"/>
              </w:rPr>
              <w:t>Accrued interest</w:t>
            </w:r>
          </w:p>
        </w:tc>
        <w:tc>
          <w:tcPr>
            <w:tcW w:w="3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spacing w:before="0" w:after="283"/>
              <w:jc w:val="right"/>
              <w:rPr/>
            </w:pPr>
            <w:r>
              <w:rPr/>
              <w:t>3,221,233</w:t>
            </w:r>
          </w:p>
        </w:tc>
        <w:tc>
          <w:tcPr>
            <w:tcW w:w="161"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pPr>
            <w:r>
              <w:rPr/>
              <w:t>9,589</w:t>
            </w:r>
          </w:p>
        </w:tc>
        <w:tc>
          <w:tcPr>
            <w:tcW w:w="67" w:type="dxa"/>
            <w:tcBorders/>
            <w:shd w:fill="CCEEFF" w:val="clear"/>
            <w:vAlign w:val="bottom"/>
          </w:tcPr>
          <w:p>
            <w:pPr>
              <w:pStyle w:val="TableContents"/>
              <w:spacing w:before="0" w:after="283"/>
              <w:rPr/>
            </w:pPr>
            <w:r>
              <w:rPr/>
              <w:t> </w:t>
            </w:r>
          </w:p>
        </w:tc>
      </w:tr>
      <w:tr>
        <w:trPr/>
        <w:tc>
          <w:tcPr>
            <w:tcW w:w="3964" w:type="dxa"/>
            <w:tcBorders/>
            <w:shd w:fill="auto" w:val="clear"/>
          </w:tcPr>
          <w:p>
            <w:pPr>
              <w:pStyle w:val="TableContents"/>
              <w:spacing w:before="0" w:after="0"/>
              <w:rPr>
                <w:rFonts w:ascii="Times New Roman" w:hAnsi="Times New Roman"/>
                <w:sz w:val="20"/>
              </w:rPr>
            </w:pPr>
            <w:r>
              <w:rPr>
                <w:rFonts w:ascii="Times New Roman" w:hAnsi="Times New Roman"/>
                <w:sz w:val="20"/>
              </w:rPr>
              <w:t>Discount on convertible debt</w:t>
            </w:r>
          </w:p>
        </w:tc>
        <w:tc>
          <w:tcPr>
            <w:tcW w:w="3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spacing w:before="0" w:after="283"/>
              <w:jc w:val="right"/>
              <w:rPr/>
            </w:pPr>
            <w:r>
              <w:rPr/>
              <w:t>(1,918,524</w:t>
            </w:r>
          </w:p>
        </w:tc>
        <w:tc>
          <w:tcPr>
            <w:tcW w:w="161"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344" w:type="dxa"/>
            <w:tcBorders/>
            <w:shd w:fill="auto" w:val="clear"/>
            <w:vAlign w:val="bottom"/>
          </w:tcPr>
          <w:p>
            <w:pPr>
              <w:pStyle w:val="TableContents"/>
              <w:spacing w:before="0" w:after="283"/>
              <w:jc w:val="right"/>
              <w:rPr/>
            </w:pPr>
            <w:r>
              <w:rPr/>
              <w:t>  </w:t>
            </w:r>
          </w:p>
        </w:tc>
        <w:tc>
          <w:tcPr>
            <w:tcW w:w="67" w:type="dxa"/>
            <w:tcBorders/>
            <w:shd w:fill="auto" w:val="clear"/>
            <w:vAlign w:val="bottom"/>
          </w:tcPr>
          <w:p>
            <w:pPr>
              <w:pStyle w:val="TableContents"/>
              <w:spacing w:before="0" w:after="283"/>
              <w:rPr/>
            </w:pPr>
            <w:r>
              <w:rPr/>
              <w:t> </w:t>
            </w:r>
          </w:p>
        </w:tc>
      </w:tr>
      <w:tr>
        <w:trPr/>
        <w:tc>
          <w:tcPr>
            <w:tcW w:w="3964"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35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1344"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3964" w:type="dxa"/>
            <w:tcBorders/>
            <w:shd w:fill="CCEEFF" w:val="clear"/>
          </w:tcPr>
          <w:p>
            <w:pPr>
              <w:pStyle w:val="TableContents"/>
              <w:spacing w:before="0" w:after="283"/>
              <w:rPr>
                <w:sz w:val="4"/>
                <w:szCs w:val="4"/>
              </w:rPr>
            </w:pPr>
            <w:r>
              <w:rPr>
                <w:sz w:val="4"/>
                <w:szCs w:val="4"/>
              </w:rPr>
            </w:r>
          </w:p>
        </w:tc>
        <w:tc>
          <w:tcPr>
            <w:tcW w:w="388"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357" w:type="dxa"/>
            <w:tcBorders/>
            <w:shd w:fill="CCEEFF" w:val="clear"/>
            <w:vAlign w:val="bottom"/>
          </w:tcPr>
          <w:p>
            <w:pPr>
              <w:pStyle w:val="TableContents"/>
              <w:spacing w:before="0" w:after="283"/>
              <w:jc w:val="right"/>
              <w:rPr>
                <w:b/>
              </w:rPr>
            </w:pPr>
            <w:r>
              <w:rPr>
                <w:b/>
              </w:rPr>
              <w:t>25,302,709</w:t>
            </w:r>
          </w:p>
        </w:tc>
        <w:tc>
          <w:tcPr>
            <w:tcW w:w="161"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344" w:type="dxa"/>
            <w:tcBorders/>
            <w:shd w:fill="CCEEFF" w:val="clear"/>
            <w:vAlign w:val="bottom"/>
          </w:tcPr>
          <w:p>
            <w:pPr>
              <w:pStyle w:val="TableContents"/>
              <w:spacing w:before="0" w:after="283"/>
              <w:jc w:val="right"/>
              <w:rPr>
                <w:b/>
              </w:rPr>
            </w:pPr>
            <w:r>
              <w:rPr>
                <w:b/>
              </w:rPr>
              <w:t>2,509,589</w:t>
            </w:r>
          </w:p>
        </w:tc>
        <w:tc>
          <w:tcPr>
            <w:tcW w:w="67" w:type="dxa"/>
            <w:tcBorders/>
            <w:shd w:fill="CCEEFF" w:val="clear"/>
            <w:vAlign w:val="bottom"/>
          </w:tcPr>
          <w:p>
            <w:pPr>
              <w:pStyle w:val="TableContents"/>
              <w:spacing w:before="0" w:after="283"/>
              <w:rPr/>
            </w:pPr>
            <w:r>
              <w:rPr/>
              <w:t> </w:t>
            </w:r>
          </w:p>
        </w:tc>
      </w:tr>
      <w:tr>
        <w:trPr/>
        <w:tc>
          <w:tcPr>
            <w:tcW w:w="3964"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35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1344"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 Company has not incurred any material debt issuance costs.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the interest expense recognized related to the convertible debt: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94"/>
        <w:gridCol w:w="576"/>
        <w:gridCol w:w="176"/>
        <w:gridCol w:w="1304"/>
        <w:gridCol w:w="60"/>
        <w:gridCol w:w="576"/>
        <w:gridCol w:w="782"/>
        <w:gridCol w:w="677"/>
        <w:gridCol w:w="64"/>
      </w:tblGrid>
      <w:tr>
        <w:trPr/>
        <w:tc>
          <w:tcPr>
            <w:tcW w:w="379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bottom"/>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794"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60"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64" w:type="dxa"/>
            <w:tcBorders/>
            <w:shd w:fill="auto" w:val="clear"/>
            <w:vAlign w:val="bottom"/>
          </w:tcPr>
          <w:p>
            <w:pPr>
              <w:pStyle w:val="TableContents"/>
              <w:spacing w:before="0" w:after="283"/>
              <w:rPr/>
            </w:pPr>
            <w:r>
              <w:rPr/>
              <w:t> </w:t>
            </w:r>
          </w:p>
        </w:tc>
      </w:tr>
      <w:tr>
        <w:trPr/>
        <w:tc>
          <w:tcPr>
            <w:tcW w:w="3794" w:type="dxa"/>
            <w:tcBorders/>
            <w:shd w:fill="CCEEFF" w:val="clear"/>
          </w:tcPr>
          <w:p>
            <w:pPr>
              <w:pStyle w:val="TableContents"/>
              <w:spacing w:before="0" w:after="0"/>
              <w:rPr>
                <w:rFonts w:ascii="Times New Roman" w:hAnsi="Times New Roman"/>
                <w:b/>
                <w:sz w:val="20"/>
              </w:rPr>
            </w:pPr>
            <w:r>
              <w:rPr>
                <w:rFonts w:ascii="Times New Roman" w:hAnsi="Times New Roman"/>
                <w:b/>
                <w:sz w:val="20"/>
              </w:rPr>
              <w:t>Convertible debt</w:t>
            </w:r>
          </w:p>
        </w:tc>
        <w:tc>
          <w:tcPr>
            <w:tcW w:w="57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sz w:val="4"/>
                <w:szCs w:val="4"/>
              </w:rPr>
            </w:pPr>
            <w:r>
              <w:rPr>
                <w:sz w:val="4"/>
                <w:szCs w:val="4"/>
              </w:rPr>
            </w:r>
          </w:p>
        </w:tc>
        <w:tc>
          <w:tcPr>
            <w:tcW w:w="13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76"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rPr>
                <w:sz w:val="4"/>
                <w:szCs w:val="4"/>
              </w:rPr>
            </w:pPr>
            <w:r>
              <w:rPr>
                <w:sz w:val="4"/>
                <w:szCs w:val="4"/>
              </w:rPr>
            </w:r>
          </w:p>
        </w:tc>
        <w:tc>
          <w:tcPr>
            <w:tcW w:w="677"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794" w:type="dxa"/>
            <w:tcBorders/>
            <w:shd w:fill="auto" w:val="clear"/>
          </w:tcPr>
          <w:p>
            <w:pPr>
              <w:pStyle w:val="TableContents"/>
              <w:spacing w:before="0" w:after="0"/>
              <w:rPr>
                <w:rFonts w:ascii="Times New Roman" w:hAnsi="Times New Roman"/>
                <w:sz w:val="20"/>
              </w:rPr>
            </w:pPr>
            <w:r>
              <w:rPr>
                <w:rFonts w:ascii="Times New Roman" w:hAnsi="Times New Roman"/>
                <w:sz w:val="20"/>
              </w:rPr>
              <w:t>Accrued interest</w:t>
            </w:r>
          </w:p>
        </w:tc>
        <w:tc>
          <w:tcPr>
            <w:tcW w:w="57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w:t>
            </w:r>
          </w:p>
        </w:tc>
        <w:tc>
          <w:tcPr>
            <w:tcW w:w="1304" w:type="dxa"/>
            <w:tcBorders/>
            <w:shd w:fill="auto" w:val="clear"/>
            <w:vAlign w:val="bottom"/>
          </w:tcPr>
          <w:p>
            <w:pPr>
              <w:pStyle w:val="TableContents"/>
              <w:spacing w:before="0" w:after="283"/>
              <w:jc w:val="right"/>
              <w:rPr/>
            </w:pPr>
            <w:r>
              <w:rPr/>
              <w:t>3,111,664</w:t>
            </w:r>
          </w:p>
        </w:tc>
        <w:tc>
          <w:tcPr>
            <w:tcW w:w="60"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r>
              <w:rPr/>
              <w:t>$</w:t>
            </w:r>
          </w:p>
        </w:tc>
        <w:tc>
          <w:tcPr>
            <w:tcW w:w="677" w:type="dxa"/>
            <w:tcBorders/>
            <w:shd w:fill="auto" w:val="clear"/>
            <w:vAlign w:val="bottom"/>
          </w:tcPr>
          <w:p>
            <w:pPr>
              <w:pStyle w:val="TableContents"/>
              <w:spacing w:before="0" w:after="283"/>
              <w:jc w:val="right"/>
              <w:rPr/>
            </w:pPr>
            <w:r>
              <w:rPr/>
              <w:t>9,589</w:t>
            </w:r>
          </w:p>
        </w:tc>
        <w:tc>
          <w:tcPr>
            <w:tcW w:w="64" w:type="dxa"/>
            <w:tcBorders/>
            <w:shd w:fill="auto" w:val="clear"/>
            <w:vAlign w:val="bottom"/>
          </w:tcPr>
          <w:p>
            <w:pPr>
              <w:pStyle w:val="TableContents"/>
              <w:spacing w:before="0" w:after="283"/>
              <w:rPr/>
            </w:pPr>
            <w:r>
              <w:rPr/>
              <w:t> </w:t>
            </w:r>
          </w:p>
        </w:tc>
      </w:tr>
      <w:tr>
        <w:trPr/>
        <w:tc>
          <w:tcPr>
            <w:tcW w:w="3794" w:type="dxa"/>
            <w:tcBorders/>
            <w:shd w:fill="CCEEFF" w:val="clear"/>
          </w:tcPr>
          <w:p>
            <w:pPr>
              <w:pStyle w:val="TableContents"/>
              <w:spacing w:before="0" w:after="0"/>
              <w:rPr>
                <w:rFonts w:ascii="Times New Roman" w:hAnsi="Times New Roman"/>
                <w:sz w:val="20"/>
              </w:rPr>
            </w:pPr>
            <w:r>
              <w:rPr>
                <w:rFonts w:ascii="Times New Roman" w:hAnsi="Times New Roman"/>
                <w:sz w:val="20"/>
              </w:rPr>
              <w:t>Amortization of debt discount</w:t>
            </w:r>
          </w:p>
        </w:tc>
        <w:tc>
          <w:tcPr>
            <w:tcW w:w="576"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304" w:type="dxa"/>
            <w:tcBorders/>
            <w:shd w:fill="CCEEFF" w:val="clear"/>
            <w:vAlign w:val="bottom"/>
          </w:tcPr>
          <w:p>
            <w:pPr>
              <w:pStyle w:val="TableContents"/>
              <w:spacing w:before="0" w:after="283"/>
              <w:jc w:val="right"/>
              <w:rPr/>
            </w:pPr>
            <w:r>
              <w:rPr/>
              <w:t>163,976</w:t>
            </w:r>
          </w:p>
        </w:tc>
        <w:tc>
          <w:tcPr>
            <w:tcW w:w="60" w:type="dxa"/>
            <w:tcBorders/>
            <w:shd w:fill="CCEEFF" w:val="clear"/>
            <w:vAlign w:val="bottom"/>
          </w:tcPr>
          <w:p>
            <w:pPr>
              <w:pStyle w:val="TableContents"/>
              <w:spacing w:before="0" w:after="283"/>
              <w:rPr/>
            </w:pPr>
            <w:r>
              <w:rPr/>
              <w:t> </w:t>
            </w:r>
          </w:p>
        </w:tc>
        <w:tc>
          <w:tcPr>
            <w:tcW w:w="576"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794" w:type="dxa"/>
            <w:tcBorders/>
            <w:shd w:fill="auto" w:val="clear"/>
            <w:vAlign w:val="bottom"/>
          </w:tcPr>
          <w:p>
            <w:pPr>
              <w:pStyle w:val="TableContents"/>
              <w:spacing w:before="0" w:after="283"/>
              <w:rPr>
                <w:sz w:val="4"/>
                <w:szCs w:val="4"/>
              </w:rPr>
            </w:pPr>
            <w:r>
              <w:rPr>
                <w:sz w:val="4"/>
                <w:szCs w:val="4"/>
              </w:rPr>
            </w:r>
          </w:p>
        </w:tc>
        <w:tc>
          <w:tcPr>
            <w:tcW w:w="57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794" w:type="dxa"/>
            <w:tcBorders/>
            <w:shd w:fill="auto" w:val="clear"/>
          </w:tcPr>
          <w:p>
            <w:pPr>
              <w:pStyle w:val="TableContents"/>
              <w:spacing w:before="0" w:after="283"/>
              <w:rPr>
                <w:sz w:val="4"/>
                <w:szCs w:val="4"/>
              </w:rPr>
            </w:pPr>
            <w:r>
              <w:rPr>
                <w:sz w:val="4"/>
                <w:szCs w:val="4"/>
              </w:rPr>
            </w:r>
          </w:p>
        </w:tc>
        <w:tc>
          <w:tcPr>
            <w:tcW w:w="57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304" w:type="dxa"/>
            <w:tcBorders/>
            <w:shd w:fill="auto" w:val="clear"/>
            <w:vAlign w:val="bottom"/>
          </w:tcPr>
          <w:p>
            <w:pPr>
              <w:pStyle w:val="TableContents"/>
              <w:spacing w:before="0" w:after="283"/>
              <w:jc w:val="right"/>
              <w:rPr>
                <w:b/>
              </w:rPr>
            </w:pPr>
            <w:r>
              <w:rPr>
                <w:b/>
              </w:rPr>
              <w:t>3,275,640</w:t>
            </w:r>
          </w:p>
        </w:tc>
        <w:tc>
          <w:tcPr>
            <w:tcW w:w="60" w:type="dxa"/>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b/>
              </w:rPr>
            </w:pPr>
            <w:r>
              <w:rPr>
                <w:b/>
              </w:rPr>
              <w:t>9,589</w:t>
            </w:r>
          </w:p>
        </w:tc>
        <w:tc>
          <w:tcPr>
            <w:tcW w:w="64" w:type="dxa"/>
            <w:tcBorders/>
            <w:shd w:fill="auto" w:val="clear"/>
            <w:vAlign w:val="bottom"/>
          </w:tcPr>
          <w:p>
            <w:pPr>
              <w:pStyle w:val="TableContents"/>
              <w:spacing w:before="0" w:after="283"/>
              <w:rPr/>
            </w:pPr>
            <w:r>
              <w:rPr/>
              <w:t> </w:t>
            </w:r>
          </w:p>
        </w:tc>
      </w:tr>
      <w:tr>
        <w:trPr/>
        <w:tc>
          <w:tcPr>
            <w:tcW w:w="3794" w:type="dxa"/>
            <w:tcBorders/>
            <w:shd w:fill="auto" w:val="clear"/>
            <w:vAlign w:val="bottom"/>
          </w:tcPr>
          <w:p>
            <w:pPr>
              <w:pStyle w:val="TableContents"/>
              <w:spacing w:before="0" w:after="283"/>
              <w:rPr>
                <w:sz w:val="4"/>
                <w:szCs w:val="4"/>
              </w:rPr>
            </w:pPr>
            <w:r>
              <w:rPr>
                <w:sz w:val="4"/>
                <w:szCs w:val="4"/>
              </w:rPr>
            </w:r>
          </w:p>
        </w:tc>
        <w:tc>
          <w:tcPr>
            <w:tcW w:w="57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0"/>
              <w:rPr/>
            </w:pPr>
            <w:r>
              <w:rPr/>
              <w:t> </w:t>
            </w:r>
          </w:p>
        </w:tc>
        <w:tc>
          <w:tcPr>
            <w:tcW w:w="13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76"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On May 23, 2023, the Company executed a further amendment to the secured convertible loan notes. </w:t>
      </w:r>
    </w:p>
    <w:p>
      <w:pPr>
        <w:pStyle w:val="TextBody"/>
        <w:spacing w:before="120" w:after="0"/>
        <w:jc w:val="left"/>
        <w:rPr>
          <w:rFonts w:ascii="Times New Roman" w:hAnsi="Times New Roman"/>
          <w:sz w:val="20"/>
        </w:rPr>
      </w:pPr>
      <w:r>
        <w:rPr>
          <w:rFonts w:ascii="Times New Roman" w:hAnsi="Times New Roman"/>
          <w:sz w:val="20"/>
        </w:rPr>
        <w:t xml:space="preserve">The amendments are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3"/>
        <w:gridCol w:w="233"/>
        <w:gridCol w:w="110"/>
        <w:gridCol w:w="9153"/>
      </w:tblGrid>
      <w:tr>
        <w:trPr/>
        <w:tc>
          <w:tcPr>
            <w:tcW w:w="1043" w:type="dxa"/>
            <w:tcBorders/>
            <w:shd w:fill="auto" w:val="clear"/>
            <w:vAlign w:val="center"/>
          </w:tcPr>
          <w:p>
            <w:pPr>
              <w:pStyle w:val="TableContents"/>
              <w:spacing w:before="0" w:after="283"/>
              <w:rPr/>
            </w:pPr>
            <w:r>
              <w:rPr/>
              <w:t> </w:t>
            </w:r>
          </w:p>
        </w:tc>
        <w:tc>
          <w:tcPr>
            <w:tcW w:w="233"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additional $15,625,000 commitment has been added to the principal amount of the notes, split between 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74"/>
        <w:gridCol w:w="316"/>
        <w:gridCol w:w="210"/>
        <w:gridCol w:w="8539"/>
      </w:tblGrid>
      <w:tr>
        <w:trPr/>
        <w:tc>
          <w:tcPr>
            <w:tcW w:w="1474"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210" w:type="dxa"/>
            <w:tcBorders/>
            <w:shd w:fill="auto" w:val="clear"/>
          </w:tcPr>
          <w:p>
            <w:pPr>
              <w:pStyle w:val="TableContents"/>
              <w:spacing w:before="0" w:after="283"/>
              <w:rPr/>
            </w:pPr>
            <w:r>
              <w:rPr/>
              <w:t> </w:t>
            </w:r>
          </w:p>
        </w:tc>
        <w:tc>
          <w:tcPr>
            <w:tcW w:w="85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Conversion of accrued interest of $3,000,000 into loan principal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75"/>
        <w:gridCol w:w="315"/>
        <w:gridCol w:w="210"/>
        <w:gridCol w:w="8539"/>
      </w:tblGrid>
      <w:tr>
        <w:trPr/>
        <w:tc>
          <w:tcPr>
            <w:tcW w:w="147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210" w:type="dxa"/>
            <w:tcBorders/>
            <w:shd w:fill="auto" w:val="clear"/>
          </w:tcPr>
          <w:p>
            <w:pPr>
              <w:pStyle w:val="TableContents"/>
              <w:spacing w:before="0" w:after="283"/>
              <w:rPr/>
            </w:pPr>
            <w:r>
              <w:rPr/>
              <w:t> </w:t>
            </w:r>
          </w:p>
        </w:tc>
        <w:tc>
          <w:tcPr>
            <w:tcW w:w="85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$1,250,000 of loan principal previously advanced in February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75"/>
        <w:gridCol w:w="316"/>
        <w:gridCol w:w="210"/>
        <w:gridCol w:w="8538"/>
      </w:tblGrid>
      <w:tr>
        <w:trPr/>
        <w:tc>
          <w:tcPr>
            <w:tcW w:w="147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210" w:type="dxa"/>
            <w:tcBorders/>
            <w:shd w:fill="auto" w:val="clear"/>
          </w:tcPr>
          <w:p>
            <w:pPr>
              <w:pStyle w:val="TableContents"/>
              <w:spacing w:before="0" w:after="283"/>
              <w:rPr/>
            </w:pPr>
            <w:r>
              <w:rPr/>
              <w:t> </w:t>
            </w:r>
          </w:p>
        </w:tc>
        <w:tc>
          <w:tcPr>
            <w:tcW w:w="85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$125,000 of loan principal advanced by a director and related party in February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75"/>
        <w:gridCol w:w="315"/>
        <w:gridCol w:w="210"/>
        <w:gridCol w:w="8539"/>
      </w:tblGrid>
      <w:tr>
        <w:trPr/>
        <w:tc>
          <w:tcPr>
            <w:tcW w:w="147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210" w:type="dxa"/>
            <w:tcBorders/>
            <w:shd w:fill="auto" w:val="clear"/>
          </w:tcPr>
          <w:p>
            <w:pPr>
              <w:pStyle w:val="TableContents"/>
              <w:spacing w:before="0" w:after="283"/>
              <w:rPr/>
            </w:pPr>
            <w:r>
              <w:rPr/>
              <w:t> </w:t>
            </w:r>
          </w:p>
        </w:tc>
        <w:tc>
          <w:tcPr>
            <w:tcW w:w="85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additional $2,750,000 of loan notes to be advanced,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475"/>
        <w:gridCol w:w="315"/>
        <w:gridCol w:w="210"/>
        <w:gridCol w:w="8539"/>
      </w:tblGrid>
      <w:tr>
        <w:trPr/>
        <w:tc>
          <w:tcPr>
            <w:tcW w:w="1475"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210" w:type="dxa"/>
            <w:tcBorders/>
            <w:shd w:fill="auto" w:val="clear"/>
          </w:tcPr>
          <w:p>
            <w:pPr>
              <w:pStyle w:val="TableContents"/>
              <w:spacing w:before="0" w:after="283"/>
              <w:rPr/>
            </w:pPr>
            <w:r>
              <w:rPr/>
              <w:t> </w:t>
            </w:r>
          </w:p>
        </w:tc>
        <w:tc>
          <w:tcPr>
            <w:tcW w:w="853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$8,500,000 in notes upon completion of the Demerger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4"/>
        <w:gridCol w:w="230"/>
        <w:gridCol w:w="109"/>
        <w:gridCol w:w="9156"/>
      </w:tblGrid>
      <w:tr>
        <w:trPr/>
        <w:tc>
          <w:tcPr>
            <w:tcW w:w="1044" w:type="dxa"/>
            <w:tcBorders/>
            <w:shd w:fill="auto" w:val="clear"/>
            <w:vAlign w:val="center"/>
          </w:tcPr>
          <w:p>
            <w:pPr>
              <w:pStyle w:val="TableContents"/>
              <w:spacing w:before="0" w:after="283"/>
              <w:rPr/>
            </w:pPr>
            <w:r>
              <w:rPr/>
              <w:t> </w:t>
            </w:r>
          </w:p>
        </w:tc>
        <w:tc>
          <w:tcPr>
            <w:tcW w:w="230" w:type="dxa"/>
            <w:tcBorders/>
            <w:shd w:fill="auto" w:val="clear"/>
          </w:tcPr>
          <w:p>
            <w:pPr>
              <w:pStyle w:val="TableContents"/>
              <w:spacing w:before="0" w:after="283"/>
              <w:jc w:val="left"/>
              <w:rPr/>
            </w:pPr>
            <w:r>
              <w:rPr/>
              <w:t></w:t>
            </w:r>
          </w:p>
        </w:tc>
        <w:tc>
          <w:tcPr>
            <w:tcW w:w="109" w:type="dxa"/>
            <w:tcBorders/>
            <w:shd w:fill="auto" w:val="clear"/>
          </w:tcPr>
          <w:p>
            <w:pPr>
              <w:pStyle w:val="TableContents"/>
              <w:spacing w:before="0" w:after="283"/>
              <w:rPr/>
            </w:pPr>
            <w:r>
              <w:rPr/>
              <w:t> </w:t>
            </w:r>
          </w:p>
        </w:tc>
        <w:tc>
          <w:tcPr>
            <w:tcW w:w="915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maturity date was extended to three years from the date of an IPO or Business Combination, or December 31, 2024 if an IPO or Business Combination with a publicly listed company has not yet occurred by December 31,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3"/>
        <w:gridCol w:w="237"/>
        <w:gridCol w:w="111"/>
        <w:gridCol w:w="9148"/>
      </w:tblGrid>
      <w:tr>
        <w:trPr/>
        <w:tc>
          <w:tcPr>
            <w:tcW w:w="1043"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interest rate was reduced to 7.5% per annum from the date that the amendment was executed.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0"/>
        <w:gridCol w:w="239"/>
        <w:gridCol w:w="111"/>
        <w:gridCol w:w="9149"/>
      </w:tblGrid>
      <w:tr>
        <w:trPr/>
        <w:tc>
          <w:tcPr>
            <w:tcW w:w="1040"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914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Conversion into ordinary shares of the Company is at the option of the investor from any date of an IPO or Business Combination with a publicly listed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5"/>
        <w:gridCol w:w="237"/>
        <w:gridCol w:w="110"/>
        <w:gridCol w:w="9157"/>
      </w:tblGrid>
      <w:tr>
        <w:trPr/>
        <w:tc>
          <w:tcPr>
            <w:tcW w:w="1035"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0" w:type="dxa"/>
            <w:tcBorders/>
            <w:shd w:fill="auto" w:val="clear"/>
          </w:tcPr>
          <w:p>
            <w:pPr>
              <w:pStyle w:val="TableContents"/>
              <w:spacing w:before="0" w:after="283"/>
              <w:rPr/>
            </w:pPr>
            <w:r>
              <w:rPr/>
              <w:t> </w:t>
            </w:r>
          </w:p>
        </w:tc>
        <w:tc>
          <w:tcPr>
            <w:tcW w:w="915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w:t>
            </w:r>
          </w:p>
        </w:tc>
      </w:tr>
    </w:tbl>
    <w:p>
      <w:pPr>
        <w:pStyle w:val="TextBody"/>
        <w:spacing w:before="120" w:after="0"/>
        <w:jc w:val="left"/>
        <w:rPr>
          <w:rFonts w:ascii="Times New Roman" w:hAnsi="Times New Roman"/>
          <w:sz w:val="20"/>
        </w:rPr>
      </w:pPr>
      <w:r>
        <w:rPr>
          <w:rFonts w:ascii="Times New Roman" w:hAnsi="Times New Roman"/>
          <w:sz w:val="20"/>
        </w:rPr>
        <w:t xml:space="preserve">Under the May 23, 2023 amendment terms of the secured convertible notes, Rezolve has given certain covenants to the noteholders which remain in force while the convertible notes are outstanding, including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0"/>
        <w:gridCol w:w="9171"/>
      </w:tblGrid>
      <w:tr>
        <w:trPr/>
        <w:tc>
          <w:tcPr>
            <w:tcW w:w="948" w:type="dxa"/>
            <w:tcBorders/>
            <w:shd w:fill="auto" w:val="clear"/>
            <w:vAlign w:val="center"/>
          </w:tcPr>
          <w:p>
            <w:pPr>
              <w:pStyle w:val="TableContents"/>
              <w:spacing w:before="0" w:after="283"/>
              <w:rPr/>
            </w:pPr>
            <w:r>
              <w:rPr/>
              <w:t> </w:t>
            </w:r>
          </w:p>
        </w:tc>
        <w:tc>
          <w:tcPr>
            <w:tcW w:w="420"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 </w:t>
            </w:r>
          </w:p>
        </w:tc>
      </w:tr>
    </w:tbl>
    <w:p>
      <w:pPr>
        <w:pStyle w:val="TextBody"/>
        <w:spacing w:before="120" w:after="0"/>
        <w:jc w:val="left"/>
        <w:rPr>
          <w:rFonts w:ascii="Times New Roman" w:hAnsi="Times New Roman"/>
          <w:sz w:val="20"/>
        </w:rPr>
      </w:pPr>
      <w:r>
        <w:rPr>
          <w:rFonts w:ascii="Times New Roman" w:hAnsi="Times New Roman"/>
          <w:sz w:val="20"/>
        </w:rPr>
        <w:t xml:space="preserve">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 </w:t>
      </w:r>
    </w:p>
    <w:p>
      <w:pPr>
        <w:pStyle w:val="TextBody"/>
        <w:spacing w:before="120" w:after="0"/>
        <w:jc w:val="left"/>
        <w:rPr>
          <w:rFonts w:ascii="Times New Roman" w:hAnsi="Times New Roman"/>
          <w:sz w:val="20"/>
        </w:rPr>
      </w:pPr>
      <w:r>
        <w:rPr>
          <w:rFonts w:ascii="Times New Roman" w:hAnsi="Times New Roman"/>
          <w:sz w:val="20"/>
        </w:rPr>
        <w:t xml:space="preserve">Upon execution of the amendment the secured convertible notes are then referred to as the senior secured convertible notes. </w:t>
      </w:r>
    </w:p>
    <w:p>
      <w:pPr>
        <w:pStyle w:val="TextBody"/>
        <w:spacing w:before="120" w:after="0"/>
        <w:jc w:val="left"/>
        <w:rPr>
          <w:rFonts w:ascii="Times New Roman" w:hAnsi="Times New Roman"/>
          <w:sz w:val="20"/>
        </w:rPr>
      </w:pPr>
      <w:r>
        <w:rPr>
          <w:rFonts w:ascii="Times New Roman" w:hAnsi="Times New Roman"/>
          <w:sz w:val="20"/>
        </w:rPr>
        <w:t xml:space="preserve">It is the Companys current intent to settle the principal amount and accrued interest of its outstanding convertible debt in the Companys ordinary share. Upon execution of the senior secured convertible note on May 23, 2023, and extension to the maturity date to at least December 31, 2024, the Company classified the Convertible debt as non-current as at December 31, 2022 under the guidance in ASC 470-10-45-14.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b/>
              </w:rPr>
            </w:pPr>
            <w:r>
              <w:rPr>
                <w:b/>
              </w:rPr>
              <w:t>8.4</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7 October,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7 October 2021. The cost of the share-based payment is considered to have vested immediately upon commencement of the non-compete period as management is confident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7"/>
        <w:gridCol w:w="9592"/>
      </w:tblGrid>
      <w:tr>
        <w:trPr/>
        <w:tc>
          <w:tcPr>
            <w:tcW w:w="420"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b/>
              </w:rPr>
            </w:pPr>
            <w:r>
              <w:rPr>
                <w:b/>
              </w:rPr>
              <w:t>8.5</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non-current portion of the lease liability as at December 31, 2021 related to a 2-year operating lease for an office lease in Taipei, Taiwan. In December 2022, the lease was formally terminated and an immaterial termination charge was incurred.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10120"/>
      </w:tblGrid>
      <w:tr>
        <w:trPr/>
        <w:tc>
          <w:tcPr>
            <w:tcW w:w="419" w:type="dxa"/>
            <w:tcBorders/>
            <w:shd w:fill="auto" w:val="clear"/>
          </w:tcPr>
          <w:p>
            <w:pPr>
              <w:pStyle w:val="TableContents"/>
              <w:spacing w:before="0" w:after="283"/>
              <w:jc w:val="left"/>
              <w:rPr>
                <w:b/>
              </w:rPr>
            </w:pPr>
            <w:r>
              <w:rPr>
                <w:b/>
              </w:rPr>
              <w:t>9.</w:t>
            </w:r>
          </w:p>
        </w:tc>
        <w:tc>
          <w:tcPr>
            <w:tcW w:w="101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Warrants </w:t>
            </w:r>
          </w:p>
        </w:tc>
      </w:tr>
    </w:tbl>
    <w:p>
      <w:pPr>
        <w:pStyle w:val="TextBody"/>
        <w:spacing w:before="120" w:after="0"/>
        <w:jc w:val="left"/>
        <w:rPr>
          <w:rFonts w:ascii="Times New Roman" w:hAnsi="Times New Roman"/>
          <w:sz w:val="20"/>
        </w:rPr>
      </w:pPr>
      <w:r>
        <w:rPr>
          <w:rFonts w:ascii="Times New Roman" w:hAnsi="Times New Roman"/>
          <w:sz w:val="20"/>
        </w:rPr>
        <w:t xml:space="preserve">On November 14, 2021, 8,100,000 warrants issued to Apeiron on December 18, 2018 were exercised for proceeds of $1.928 million. </w:t>
      </w:r>
    </w:p>
    <w:p>
      <w:pPr>
        <w:pStyle w:val="TextBody"/>
        <w:spacing w:before="240" w:after="0"/>
        <w:jc w:val="left"/>
        <w:rPr>
          <w:rFonts w:ascii="Times New Roman" w:hAnsi="Times New Roman"/>
          <w:sz w:val="20"/>
        </w:rPr>
      </w:pPr>
      <w:r>
        <w:rPr>
          <w:rFonts w:ascii="Times New Roman" w:hAnsi="Times New Roman"/>
          <w:sz w:val="20"/>
        </w:rPr>
        <w:t xml:space="preserve">On December 14, 2021, 9,600,000 warrants issued to Bradley Wickens, the initial expiry date for which was December 31, 2021 had their expiry date later extended by one year to December 31, 2022. The Company measured the effect of the modification as a difference between the fair value between the modified call option and the fair value of the call option immediately before the modification. The Company revalued the warrants both after and before the modification using the Black-Scholes Merton option pricing model and determined the fair value of the Warrants to purchase at $ Nil per share option after modification and $ Nil per share before modification. The key inputs to the valuation model included an average volatility of 42.3% for options after modification and 45.9% before modification, the fair value of the ordinary shares at $0.02 per unit and an expected term of 0.52 and 0.01 years, respectively. The warrants are freestanding equity-classified instruments, the modification of which does not cause the warrant to become liability-classified and is deemed to be an exchange of the original warrant for a new warrant. The increase in the fair value of $16 has been deemed as immaterial. </w:t>
      </w:r>
    </w:p>
    <w:p>
      <w:pPr>
        <w:pStyle w:val="TextBody"/>
        <w:spacing w:before="240" w:after="0"/>
        <w:jc w:val="left"/>
        <w:rPr>
          <w:rFonts w:ascii="Times New Roman" w:hAnsi="Times New Roman"/>
          <w:sz w:val="20"/>
        </w:rPr>
      </w:pPr>
      <w:r>
        <w:rPr>
          <w:rFonts w:ascii="Times New Roman" w:hAnsi="Times New Roman"/>
          <w:sz w:val="20"/>
        </w:rPr>
        <w:t xml:space="preserve">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and the fair value of the ordinary shares of the Company based on a recent financing. These warrants have been recorded as a discount of $2.1 million to the Convertible debt.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10.</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Ordinary shares issued at nominal value in lieu of services </w:t>
            </w:r>
          </w:p>
        </w:tc>
      </w:tr>
    </w:tbl>
    <w:p>
      <w:pPr>
        <w:pStyle w:val="TextBody"/>
        <w:spacing w:before="120" w:after="0"/>
        <w:jc w:val="left"/>
        <w:rPr>
          <w:rFonts w:ascii="Times New Roman" w:hAnsi="Times New Roman"/>
          <w:sz w:val="20"/>
        </w:rPr>
      </w:pPr>
      <w:r>
        <w:rPr>
          <w:rFonts w:ascii="Times New Roman" w:hAnsi="Times New Roman"/>
          <w:sz w:val="20"/>
        </w:rPr>
        <w:t xml:space="preserve">10.1 Ordinary share issued under share incentive plan </w:t>
      </w:r>
    </w:p>
    <w:p>
      <w:pPr>
        <w:pStyle w:val="TextBody"/>
        <w:spacing w:before="240" w:after="0"/>
        <w:jc w:val="left"/>
        <w:rPr>
          <w:rFonts w:ascii="Times New Roman" w:hAnsi="Times New Roman"/>
          <w:sz w:val="20"/>
        </w:rPr>
      </w:pPr>
      <w:r>
        <w:rPr>
          <w:rFonts w:ascii="Times New Roman" w:hAnsi="Times New Roman"/>
          <w:sz w:val="20"/>
        </w:rPr>
        <w:t xml:space="preserve">On October 12, 2020, the board issued a 36-month maximum term share incentive plan to the Group CEO and founder, Dan Wagner to receive share issuances up to a maximum of 5% of the ordinary share of the Company, cumulatively, based on the below specific enterprise value milestones: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0"/>
        <w:gridCol w:w="237"/>
        <w:gridCol w:w="111"/>
        <w:gridCol w:w="10081"/>
      </w:tblGrid>
      <w:tr>
        <w:trPr/>
        <w:tc>
          <w:tcPr>
            <w:tcW w:w="110" w:type="dxa"/>
            <w:tcBorders/>
            <w:shd w:fill="auto" w:val="clear"/>
            <w:vAlign w:val="center"/>
          </w:tcPr>
          <w:p>
            <w:pPr>
              <w:pStyle w:val="TableContents"/>
              <w:spacing w:before="0" w:after="283"/>
              <w:rPr/>
            </w:pPr>
            <w:r>
              <w:rPr/>
              <w:t> </w:t>
            </w:r>
          </w:p>
        </w:tc>
        <w:tc>
          <w:tcPr>
            <w:tcW w:w="237"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100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 issued at $500 million;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0"/>
        <w:gridCol w:w="235"/>
        <w:gridCol w:w="111"/>
        <w:gridCol w:w="10083"/>
      </w:tblGrid>
      <w:tr>
        <w:trPr/>
        <w:tc>
          <w:tcPr>
            <w:tcW w:w="110" w:type="dxa"/>
            <w:tcBorders/>
            <w:shd w:fill="auto" w:val="clear"/>
            <w:vAlign w:val="center"/>
          </w:tcPr>
          <w:p>
            <w:pPr>
              <w:pStyle w:val="TableContents"/>
              <w:spacing w:before="0" w:after="283"/>
              <w:rPr/>
            </w:pPr>
            <w:r>
              <w:rPr/>
              <w:t> </w:t>
            </w:r>
          </w:p>
        </w:tc>
        <w:tc>
          <w:tcPr>
            <w:tcW w:w="235"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100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 at $1 billion;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0"/>
        <w:gridCol w:w="239"/>
        <w:gridCol w:w="111"/>
        <w:gridCol w:w="10079"/>
      </w:tblGrid>
      <w:tr>
        <w:trPr/>
        <w:tc>
          <w:tcPr>
            <w:tcW w:w="110" w:type="dxa"/>
            <w:tcBorders/>
            <w:shd w:fill="auto" w:val="clear"/>
            <w:vAlign w:val="center"/>
          </w:tcPr>
          <w:p>
            <w:pPr>
              <w:pStyle w:val="TableContents"/>
              <w:spacing w:before="0" w:after="283"/>
              <w:rPr/>
            </w:pPr>
            <w:r>
              <w:rPr/>
              <w:t> </w:t>
            </w:r>
          </w:p>
        </w:tc>
        <w:tc>
          <w:tcPr>
            <w:tcW w:w="239" w:type="dxa"/>
            <w:tcBorders/>
            <w:shd w:fill="auto" w:val="clear"/>
          </w:tcPr>
          <w:p>
            <w:pPr>
              <w:pStyle w:val="TableContents"/>
              <w:spacing w:before="0" w:after="283"/>
              <w:jc w:val="left"/>
              <w:rPr/>
            </w:pPr>
            <w:r>
              <w:rPr/>
              <w:t></w:t>
            </w:r>
          </w:p>
        </w:tc>
        <w:tc>
          <w:tcPr>
            <w:tcW w:w="111" w:type="dxa"/>
            <w:tcBorders/>
            <w:shd w:fill="auto" w:val="clear"/>
          </w:tcPr>
          <w:p>
            <w:pPr>
              <w:pStyle w:val="TableContents"/>
              <w:spacing w:before="0" w:after="283"/>
              <w:rPr/>
            </w:pPr>
            <w:r>
              <w:rPr/>
              <w:t> </w:t>
            </w:r>
          </w:p>
        </w:tc>
        <w:tc>
          <w:tcPr>
            <w:tcW w:w="100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 at $1.5 billion;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
        <w:gridCol w:w="244"/>
        <w:gridCol w:w="113"/>
        <w:gridCol w:w="10070"/>
      </w:tblGrid>
      <w:tr>
        <w:trPr/>
        <w:tc>
          <w:tcPr>
            <w:tcW w:w="112" w:type="dxa"/>
            <w:tcBorders/>
            <w:shd w:fill="auto" w:val="clear"/>
            <w:vAlign w:val="center"/>
          </w:tcPr>
          <w:p>
            <w:pPr>
              <w:pStyle w:val="TableContents"/>
              <w:spacing w:before="0" w:after="283"/>
              <w:rPr/>
            </w:pPr>
            <w:r>
              <w:rPr/>
              <w:t> </w:t>
            </w:r>
          </w:p>
        </w:tc>
        <w:tc>
          <w:tcPr>
            <w:tcW w:w="244" w:type="dxa"/>
            <w:tcBorders/>
            <w:shd w:fill="auto" w:val="clear"/>
          </w:tcPr>
          <w:p>
            <w:pPr>
              <w:pStyle w:val="TableContents"/>
              <w:spacing w:before="0" w:after="283"/>
              <w:jc w:val="left"/>
              <w:rPr/>
            </w:pPr>
            <w:r>
              <w:rPr/>
              <w:t></w:t>
            </w:r>
          </w:p>
        </w:tc>
        <w:tc>
          <w:tcPr>
            <w:tcW w:w="113" w:type="dxa"/>
            <w:tcBorders/>
            <w:shd w:fill="auto" w:val="clear"/>
          </w:tcPr>
          <w:p>
            <w:pPr>
              <w:pStyle w:val="TableContents"/>
              <w:spacing w:before="0" w:after="283"/>
              <w:rPr/>
            </w:pPr>
            <w:r>
              <w:rPr/>
              <w:t> </w:t>
            </w:r>
          </w:p>
        </w:tc>
        <w:tc>
          <w:tcPr>
            <w:tcW w:w="100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 at $2 billion;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12"/>
        <w:gridCol w:w="246"/>
        <w:gridCol w:w="113"/>
        <w:gridCol w:w="10068"/>
      </w:tblGrid>
      <w:tr>
        <w:trPr/>
        <w:tc>
          <w:tcPr>
            <w:tcW w:w="112" w:type="dxa"/>
            <w:tcBorders/>
            <w:shd w:fill="auto" w:val="clear"/>
            <w:vAlign w:val="center"/>
          </w:tcPr>
          <w:p>
            <w:pPr>
              <w:pStyle w:val="TableContents"/>
              <w:spacing w:before="0" w:after="283"/>
              <w:rPr/>
            </w:pPr>
            <w:r>
              <w:rPr/>
              <w:t> </w:t>
            </w:r>
          </w:p>
        </w:tc>
        <w:tc>
          <w:tcPr>
            <w:tcW w:w="246" w:type="dxa"/>
            <w:tcBorders/>
            <w:shd w:fill="auto" w:val="clear"/>
          </w:tcPr>
          <w:p>
            <w:pPr>
              <w:pStyle w:val="TableContents"/>
              <w:spacing w:before="0" w:after="283"/>
              <w:jc w:val="left"/>
              <w:rPr/>
            </w:pPr>
            <w:r>
              <w:rPr/>
              <w:t></w:t>
            </w:r>
          </w:p>
        </w:tc>
        <w:tc>
          <w:tcPr>
            <w:tcW w:w="113" w:type="dxa"/>
            <w:tcBorders/>
            <w:shd w:fill="auto" w:val="clear"/>
          </w:tcPr>
          <w:p>
            <w:pPr>
              <w:pStyle w:val="TableContents"/>
              <w:spacing w:before="0" w:after="283"/>
              <w:rPr/>
            </w:pPr>
            <w:r>
              <w:rPr/>
              <w:t> </w:t>
            </w:r>
          </w:p>
        </w:tc>
        <w:tc>
          <w:tcPr>
            <w:tcW w:w="1006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 at $2.5 billion. </w:t>
            </w:r>
          </w:p>
        </w:tc>
      </w:tr>
    </w:tbl>
    <w:p>
      <w:pPr>
        <w:pStyle w:val="TextBody"/>
        <w:spacing w:before="240" w:after="0"/>
        <w:jc w:val="left"/>
        <w:rPr>
          <w:rFonts w:ascii="Times New Roman" w:hAnsi="Times New Roman"/>
          <w:sz w:val="20"/>
        </w:rPr>
      </w:pPr>
      <w:r>
        <w:rPr>
          <w:rFonts w:ascii="Times New Roman" w:hAnsi="Times New Roman"/>
          <w:sz w:val="20"/>
        </w:rPr>
        <w:t xml:space="preserve">The shares would be granted based on any successful capital raise, subject to the above meaningful enterprise valuations being achieved. </w:t>
      </w:r>
    </w:p>
    <w:p>
      <w:pPr>
        <w:pStyle w:val="TextBody"/>
        <w:spacing w:before="240" w:after="0"/>
        <w:jc w:val="left"/>
        <w:rPr>
          <w:rFonts w:ascii="Times New Roman" w:hAnsi="Times New Roman"/>
          <w:sz w:val="20"/>
        </w:rPr>
      </w:pPr>
      <w:r>
        <w:rPr>
          <w:rFonts w:ascii="Times New Roman" w:hAnsi="Times New Roman"/>
          <w:sz w:val="20"/>
        </w:rPr>
        <w:t xml:space="preserve">In April 2021, Dan Wagner was awarded 20,037,059 ordinary shares under this arrangement when the Company raised $13,765,000 from the issuance of series A preferred share and conversion of the loan from Future Fund, under an implied enterprise valuation of $1 billion. </w:t>
      </w:r>
    </w:p>
    <w:p>
      <w:pPr>
        <w:pStyle w:val="TextBody"/>
        <w:spacing w:before="240" w:after="0"/>
        <w:jc w:val="left"/>
        <w:rPr>
          <w:rFonts w:ascii="Times New Roman" w:hAnsi="Times New Roman"/>
          <w:sz w:val="20"/>
        </w:rPr>
      </w:pPr>
      <w:r>
        <w:rPr>
          <w:rFonts w:ascii="Times New Roman" w:hAnsi="Times New Roman"/>
          <w:sz w:val="20"/>
        </w:rPr>
        <w:t xml:space="preserve">The ordinary shares were vested and allotted on the same date. The fair value of the ordinary share of $.66 per unit was back-solved using an option pricing model based on the Series A preferred share issued at $1.03 on the same date. Accordingly, $13.22 million is recognized as an employee cost with a corresponding credit in additional paid-in-capital in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10.2 On August 12, 2021, the Company issued 2,000,000 and 1,359,223 ordinary shares each to two promotors in Taiwan for services provided at a fair value of $1.03 per unit which were vested and allocated on the same date. The fair value of the ordinary shares was based on the shares agreed to be issued for the acquisition of ANY (note 15) near the date of issuance. The Company recognized $3.46 million as consultancy charges with a corresponding credit in shareholders deficit. </w:t>
      </w:r>
    </w:p>
    <w:p>
      <w:pPr>
        <w:pStyle w:val="TextBody"/>
        <w:spacing w:before="240" w:after="0"/>
        <w:jc w:val="left"/>
        <w:rPr>
          <w:rFonts w:ascii="Times New Roman" w:hAnsi="Times New Roman"/>
          <w:sz w:val="20"/>
        </w:rPr>
      </w:pPr>
      <w:r>
        <w:rPr>
          <w:rFonts w:ascii="Times New Roman" w:hAnsi="Times New Roman"/>
          <w:sz w:val="20"/>
        </w:rPr>
        <w:t xml:space="preserve">10.3 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consultancy charges with a corresponding credit in shareholders deficit. The fair value of the ordinary shares was based on a Black-Scholes model using an average volatility of 60.4% based on a group of similar companies, a risk-free rate available on the issuance date, and the exercise price of £.0001 per share, and the fair value of the ordinary shares of the Company based on a recent financing. </w:t>
      </w:r>
    </w:p>
    <w:p>
      <w:pPr>
        <w:pStyle w:val="TextBody"/>
        <w:spacing w:before="240" w:after="0"/>
        <w:jc w:val="left"/>
        <w:rPr>
          <w:rFonts w:ascii="Times New Roman" w:hAnsi="Times New Roman"/>
          <w:sz w:val="20"/>
        </w:rPr>
      </w:pPr>
      <w:r>
        <w:rPr>
          <w:rFonts w:ascii="Times New Roman" w:hAnsi="Times New Roman"/>
          <w:sz w:val="20"/>
        </w:rPr>
        <w:t xml:space="preserve">10.4 On November 30, 2022, the Company awarded 27,246,461 ordinary shares at a fair value of $1.20 per unit respectively to DBLP Sea Cow Limited (founding shareholder) in lieu of services to the Company which were vested and allotted on the same date. The Company recognized $33.4 million as consultancy charges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11.</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Series A preferred shares </w:t>
            </w:r>
          </w:p>
        </w:tc>
      </w:tr>
    </w:tbl>
    <w:p>
      <w:pPr>
        <w:pStyle w:val="TextBody"/>
        <w:spacing w:before="120" w:after="0"/>
        <w:jc w:val="left"/>
        <w:rPr>
          <w:rFonts w:ascii="Times New Roman" w:hAnsi="Times New Roman"/>
          <w:sz w:val="20"/>
        </w:rPr>
      </w:pPr>
      <w:r>
        <w:rPr>
          <w:rFonts w:ascii="Times New Roman" w:hAnsi="Times New Roman"/>
          <w:sz w:val="20"/>
        </w:rPr>
        <w:t xml:space="preserve">In July 2020, the Company issued an unsecured 8 percent optionally convertible term loan note to Future Fund and other investors amounting to $ 11,349,957 with maturity of 3 years from the date of agreement. On occurrence of any of the following events, the loan will convert into the following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Qualified financing  automatic conversion into the most senior class of shares issued in such financing at a 20 percent discount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Non-qualified financing  conversion at the option of the majority of the holders exercising the right into the most senior class of shares issued in such financing at a 20 percent discount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Maturity  automatic conversion into the most senior class of shares as are in issue as that date at a 20 percent discount. </w:t>
            </w:r>
          </w:p>
        </w:tc>
      </w:tr>
    </w:tbl>
    <w:p>
      <w:pPr>
        <w:pStyle w:val="TextBody"/>
        <w:spacing w:before="120" w:after="0"/>
        <w:jc w:val="left"/>
        <w:rPr>
          <w:rFonts w:ascii="Times New Roman" w:hAnsi="Times New Roman"/>
          <w:sz w:val="20"/>
        </w:rPr>
      </w:pPr>
      <w:r>
        <w:rPr>
          <w:rFonts w:ascii="Times New Roman" w:hAnsi="Times New Roman"/>
          <w:sz w:val="20"/>
        </w:rPr>
        <w:t xml:space="preserve">In the case of an exit event (i.e. change in control, sale of business or an IPO event), the lender would have had the right to receive the greater of the cash consideration on sale of its shares received upon conversion as if the principal loan amount was being repaid with a 100 percent redemption premium or the option to receive non cash consideration for the sale of its shares issued on conversion equivalent to the principal loan amount with a 100 percent redemption premium converted into the most senior class of share issued on completion of the exit. This exit event will be extinguished on a subsequent round of qualified financing or post six months after a subsequent round of non-qualified financing, whichever is earlier. </w:t>
      </w:r>
    </w:p>
    <w:p>
      <w:pPr>
        <w:pStyle w:val="TextBody"/>
        <w:spacing w:before="120" w:after="0"/>
        <w:jc w:val="left"/>
        <w:rPr>
          <w:rFonts w:ascii="Times New Roman" w:hAnsi="Times New Roman"/>
          <w:sz w:val="20"/>
        </w:rPr>
      </w:pPr>
      <w:r>
        <w:rPr>
          <w:rFonts w:ascii="Times New Roman" w:hAnsi="Times New Roman"/>
          <w:sz w:val="20"/>
        </w:rPr>
        <w:t xml:space="preserve">The above loan was accounted for as a liability in accordance with ASC 47020. The Company early adopted ASU 2020-06, effective on January 1, 2021, and therefore no bifurcation of the beneficial conversion feature was recorded in equity. </w:t>
      </w:r>
    </w:p>
    <w:p>
      <w:pPr>
        <w:pStyle w:val="TextBody"/>
        <w:spacing w:before="120" w:after="0"/>
        <w:jc w:val="left"/>
        <w:rPr>
          <w:rFonts w:ascii="Times New Roman" w:hAnsi="Times New Roman"/>
          <w:sz w:val="20"/>
        </w:rPr>
      </w:pPr>
      <w:r>
        <w:rPr>
          <w:rFonts w:ascii="Times New Roman" w:hAnsi="Times New Roman"/>
          <w:sz w:val="20"/>
        </w:rPr>
        <w:t xml:space="preserve">On April 14, 2021, upon issuance of 13,404,541 shares of series A preferred share (occurrence of a qualified financing), the Company entered into an investment deed with the lenders wherein the long-term debt including accrued interest of $12.7 million was converted into 14,634,976 Series A preferred shares. The shares were issued at a discount of 20 percent from the price per share issued to new investors.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12.</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spacing w:before="120" w:after="0"/>
        <w:jc w:val="left"/>
        <w:rPr>
          <w:rFonts w:ascii="Times New Roman" w:hAnsi="Times New Roman"/>
          <w:sz w:val="20"/>
        </w:rPr>
      </w:pPr>
      <w:r>
        <w:rPr>
          <w:rFonts w:ascii="Times New Roman" w:hAnsi="Times New Roman"/>
          <w:sz w:val="20"/>
        </w:rPr>
        <w:t xml:space="preserve">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9), 5,000,000 (note 10.3) and 27,246,461 (note 10.4) ordinary shares to financers, a consultant and its principal shareholder and founder, respectively, the Company had 18,750,000 ordinary shares available to grant. The Company granted 15,750,000 share options in the year ended December 31, 2022. </w:t>
      </w:r>
    </w:p>
    <w:p>
      <w:pPr>
        <w:pStyle w:val="TextBody"/>
        <w:spacing w:before="120" w:after="0"/>
        <w:jc w:val="left"/>
        <w:rPr>
          <w:rFonts w:ascii="Times New Roman" w:hAnsi="Times New Roman"/>
          <w:sz w:val="20"/>
        </w:rPr>
      </w:pPr>
      <w:r>
        <w:rPr>
          <w:rFonts w:ascii="Times New Roman" w:hAnsi="Times New Roman"/>
          <w:sz w:val="20"/>
        </w:rPr>
        <w:t xml:space="preserve">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in 2021.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631"/>
        <w:gridCol w:w="402"/>
        <w:gridCol w:w="60"/>
        <w:gridCol w:w="1795"/>
        <w:gridCol w:w="278"/>
      </w:tblGrid>
      <w:tr>
        <w:trPr/>
        <w:tc>
          <w:tcPr>
            <w:tcW w:w="463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4631"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8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278" w:type="dxa"/>
            <w:tcBorders/>
            <w:shd w:fill="auto" w:val="clear"/>
            <w:vAlign w:val="bottom"/>
          </w:tcPr>
          <w:p>
            <w:pPr>
              <w:pStyle w:val="TableContents"/>
              <w:spacing w:before="0" w:after="283"/>
              <w:rPr/>
            </w:pPr>
            <w:r>
              <w:rPr/>
              <w:t> </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Expected term  years(1)</w:t>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5" w:type="dxa"/>
            <w:tcBorders/>
            <w:shd w:fill="CCEEFF" w:val="clear"/>
            <w:vAlign w:val="bottom"/>
          </w:tcPr>
          <w:p>
            <w:pPr>
              <w:pStyle w:val="TableContents"/>
              <w:spacing w:before="0" w:after="283"/>
              <w:jc w:val="right"/>
              <w:rPr/>
            </w:pPr>
            <w:r>
              <w:rPr/>
              <w:t>2.5  5.1</w:t>
            </w:r>
          </w:p>
        </w:tc>
        <w:tc>
          <w:tcPr>
            <w:tcW w:w="278" w:type="dxa"/>
            <w:tcBorders/>
            <w:shd w:fill="CCEEFF" w:val="clear"/>
            <w:vAlign w:val="bottom"/>
          </w:tcPr>
          <w:p>
            <w:pPr>
              <w:pStyle w:val="TableContents"/>
              <w:spacing w:before="0" w:after="283"/>
              <w:rPr/>
            </w:pPr>
            <w:r>
              <w:rPr/>
              <w:t> </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Current share value</w:t>
            </w:r>
          </w:p>
        </w:tc>
        <w:tc>
          <w:tcPr>
            <w:tcW w:w="4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5" w:type="dxa"/>
            <w:tcBorders/>
            <w:shd w:fill="auto" w:val="clear"/>
            <w:vAlign w:val="bottom"/>
          </w:tcPr>
          <w:p>
            <w:pPr>
              <w:pStyle w:val="TableContents"/>
              <w:spacing w:before="0" w:after="283"/>
              <w:jc w:val="right"/>
              <w:rPr/>
            </w:pPr>
            <w:r>
              <w:rPr/>
              <w:t>1.23</w:t>
            </w:r>
          </w:p>
        </w:tc>
        <w:tc>
          <w:tcPr>
            <w:tcW w:w="278" w:type="dxa"/>
            <w:tcBorders/>
            <w:shd w:fill="auto" w:val="clear"/>
            <w:vAlign w:val="bottom"/>
          </w:tcPr>
          <w:p>
            <w:pPr>
              <w:pStyle w:val="TableContents"/>
              <w:spacing w:before="0" w:after="283"/>
              <w:rPr/>
            </w:pPr>
            <w:r>
              <w:rPr/>
              <w:t> </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Expected volatility(2)</w:t>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5" w:type="dxa"/>
            <w:tcBorders/>
            <w:shd w:fill="CCEEFF" w:val="clear"/>
            <w:vAlign w:val="bottom"/>
          </w:tcPr>
          <w:p>
            <w:pPr>
              <w:pStyle w:val="TableContents"/>
              <w:spacing w:before="0" w:after="283"/>
              <w:jc w:val="right"/>
              <w:rPr/>
            </w:pPr>
            <w:r>
              <w:rPr/>
              <w:t>59.6%  63.5%</w:t>
            </w:r>
          </w:p>
        </w:tc>
        <w:tc>
          <w:tcPr>
            <w:tcW w:w="278" w:type="dxa"/>
            <w:tcBorders/>
            <w:shd w:fill="CCEEFF" w:val="clear"/>
            <w:vAlign w:val="bottom"/>
          </w:tcPr>
          <w:p>
            <w:pPr>
              <w:pStyle w:val="TableContents"/>
              <w:spacing w:before="0" w:after="283"/>
              <w:rPr/>
            </w:pPr>
            <w:r>
              <w:rPr/>
              <w:t> </w:t>
            </w:r>
          </w:p>
        </w:tc>
      </w:tr>
      <w:tr>
        <w:trPr/>
        <w:tc>
          <w:tcPr>
            <w:tcW w:w="4631" w:type="dxa"/>
            <w:tcBorders/>
            <w:shd w:fill="auto" w:val="clear"/>
          </w:tcPr>
          <w:p>
            <w:pPr>
              <w:pStyle w:val="TableContents"/>
              <w:spacing w:before="0" w:after="0"/>
              <w:rPr>
                <w:rFonts w:ascii="Times New Roman" w:hAnsi="Times New Roman"/>
                <w:sz w:val="20"/>
              </w:rPr>
            </w:pPr>
            <w:r>
              <w:rPr>
                <w:rFonts w:ascii="Times New Roman" w:hAnsi="Times New Roman"/>
                <w:sz w:val="20"/>
              </w:rPr>
              <w:t>Risk-free interest rate(3)</w:t>
            </w:r>
          </w:p>
        </w:tc>
        <w:tc>
          <w:tcPr>
            <w:tcW w:w="4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5" w:type="dxa"/>
            <w:tcBorders/>
            <w:shd w:fill="auto" w:val="clear"/>
            <w:vAlign w:val="bottom"/>
          </w:tcPr>
          <w:p>
            <w:pPr>
              <w:pStyle w:val="TableContents"/>
              <w:spacing w:before="0" w:after="283"/>
              <w:jc w:val="right"/>
              <w:rPr/>
            </w:pPr>
            <w:r>
              <w:rPr/>
              <w:t>3.8%  4.2%</w:t>
            </w:r>
          </w:p>
        </w:tc>
        <w:tc>
          <w:tcPr>
            <w:tcW w:w="278" w:type="dxa"/>
            <w:tcBorders/>
            <w:shd w:fill="auto" w:val="clear"/>
            <w:vAlign w:val="bottom"/>
          </w:tcPr>
          <w:p>
            <w:pPr>
              <w:pStyle w:val="TableContents"/>
              <w:spacing w:before="0" w:after="283"/>
              <w:rPr/>
            </w:pPr>
            <w:r>
              <w:rPr/>
              <w:t> </w:t>
            </w:r>
          </w:p>
        </w:tc>
      </w:tr>
      <w:tr>
        <w:trPr/>
        <w:tc>
          <w:tcPr>
            <w:tcW w:w="4631" w:type="dxa"/>
            <w:tcBorders/>
            <w:shd w:fill="CCEEFF" w:val="clear"/>
          </w:tcPr>
          <w:p>
            <w:pPr>
              <w:pStyle w:val="TableContents"/>
              <w:spacing w:before="0" w:after="0"/>
              <w:rPr>
                <w:rFonts w:ascii="Times New Roman" w:hAnsi="Times New Roman"/>
                <w:sz w:val="20"/>
              </w:rPr>
            </w:pPr>
            <w:r>
              <w:rPr>
                <w:rFonts w:ascii="Times New Roman" w:hAnsi="Times New Roman"/>
                <w:sz w:val="20"/>
              </w:rPr>
              <w:t>Dividend yield(4)</w:t>
            </w:r>
          </w:p>
        </w:tc>
        <w:tc>
          <w:tcPr>
            <w:tcW w:w="4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95" w:type="dxa"/>
            <w:tcBorders/>
            <w:shd w:fill="CCEEFF" w:val="clear"/>
            <w:vAlign w:val="bottom"/>
          </w:tcPr>
          <w:p>
            <w:pPr>
              <w:pStyle w:val="TableContents"/>
              <w:spacing w:before="0" w:after="283"/>
              <w:jc w:val="right"/>
              <w:rPr/>
            </w:pPr>
            <w:r>
              <w:rPr/>
              <w:t>0</w:t>
            </w:r>
          </w:p>
        </w:tc>
        <w:tc>
          <w:tcPr>
            <w:tcW w:w="27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4"/>
        <w:gridCol w:w="9594"/>
      </w:tblGrid>
      <w:tr>
        <w:trPr/>
        <w:tc>
          <w:tcPr>
            <w:tcW w:w="421" w:type="dxa"/>
            <w:tcBorders/>
            <w:shd w:fill="auto" w:val="clear"/>
            <w:vAlign w:val="center"/>
          </w:tcPr>
          <w:p>
            <w:pPr>
              <w:pStyle w:val="TableContents"/>
              <w:spacing w:before="0" w:after="283"/>
              <w:rPr/>
            </w:pPr>
            <w:r>
              <w:rPr/>
              <w:t> </w:t>
            </w:r>
          </w:p>
        </w:tc>
        <w:tc>
          <w:tcPr>
            <w:tcW w:w="524" w:type="dxa"/>
            <w:tcBorders/>
            <w:shd w:fill="auto" w:val="clear"/>
          </w:tcPr>
          <w:p>
            <w:pPr>
              <w:pStyle w:val="TableContents"/>
              <w:spacing w:before="0" w:after="283"/>
              <w:jc w:val="left"/>
              <w:rPr/>
            </w:pPr>
            <w:r>
              <w:rPr/>
              <w:t>(1)</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(2)</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Volatility, or the standard deviation of annualized returns, was calculated based on comparable companies reported volatilities. </w:t>
            </w:r>
          </w:p>
        </w:tc>
      </w:tr>
    </w:tbl>
    <w:tbl>
      <w:tblPr>
        <w:tblW w:w="5000" w:type="pct"/>
        <w:jc w:val="left"/>
        <w:tblInd w:w="0" w:type="dxa"/>
        <w:tblCellMar>
          <w:top w:w="0" w:type="dxa"/>
          <w:left w:w="0" w:type="dxa"/>
          <w:bottom w:w="0" w:type="dxa"/>
          <w:right w:w="0" w:type="dxa"/>
        </w:tblCellMar>
      </w:tblPr>
      <w:tblGrid>
        <w:gridCol w:w="421"/>
        <w:gridCol w:w="527"/>
        <w:gridCol w:w="9591"/>
      </w:tblGrid>
      <w:tr>
        <w:trPr/>
        <w:tc>
          <w:tcPr>
            <w:tcW w:w="421"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(3)</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Risk free rate was obtained from US treasury notes for the expected terms noted as of the valuation date. </w:t>
            </w:r>
          </w:p>
        </w:tc>
      </w:tr>
    </w:tbl>
    <w:tbl>
      <w:tblPr>
        <w:tblW w:w="5000" w:type="pct"/>
        <w:jc w:val="left"/>
        <w:tblInd w:w="0" w:type="dxa"/>
        <w:tblCellMar>
          <w:top w:w="0" w:type="dxa"/>
          <w:left w:w="0" w:type="dxa"/>
          <w:bottom w:w="0" w:type="dxa"/>
          <w:right w:w="0" w:type="dxa"/>
        </w:tblCellMar>
      </w:tblPr>
      <w:tblGrid>
        <w:gridCol w:w="419"/>
        <w:gridCol w:w="527"/>
        <w:gridCol w:w="9593"/>
      </w:tblGrid>
      <w:tr>
        <w:trPr/>
        <w:tc>
          <w:tcPr>
            <w:tcW w:w="419"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(4)</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assumed a dividend yield of zero as it has no plans to declare dividends in the foreseeable future. </w:t>
            </w:r>
          </w:p>
        </w:tc>
      </w:tr>
    </w:tbl>
    <w:p>
      <w:pPr>
        <w:pStyle w:val="TextBody"/>
        <w:spacing w:before="120" w:after="0"/>
        <w:jc w:val="left"/>
        <w:rPr>
          <w:rFonts w:ascii="Times New Roman" w:hAnsi="Times New Roman"/>
          <w:sz w:val="20"/>
        </w:rPr>
      </w:pPr>
      <w:r>
        <w:rPr>
          <w:rFonts w:ascii="Times New Roman" w:hAnsi="Times New Roman"/>
          <w:sz w:val="20"/>
        </w:rPr>
        <w:t xml:space="preserve">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 </w:t>
      </w:r>
    </w:p>
    <w:p>
      <w:pPr>
        <w:pStyle w:val="TextBody"/>
        <w:spacing w:before="120" w:after="0"/>
        <w:jc w:val="left"/>
        <w:rPr>
          <w:rFonts w:ascii="Times New Roman" w:hAnsi="Times New Roman"/>
          <w:sz w:val="20"/>
        </w:rPr>
      </w:pPr>
      <w:r>
        <w:rPr>
          <w:rFonts w:ascii="Times New Roman" w:hAnsi="Times New Roman"/>
          <w:sz w:val="20"/>
        </w:rPr>
        <w:t xml:space="preserve">The Companys share option activity for the year ended December 31, 2022 was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35"/>
        <w:gridCol w:w="362"/>
        <w:gridCol w:w="60"/>
        <w:gridCol w:w="1271"/>
        <w:gridCol w:w="60"/>
        <w:gridCol w:w="362"/>
        <w:gridCol w:w="183"/>
        <w:gridCol w:w="1012"/>
        <w:gridCol w:w="64"/>
      </w:tblGrid>
      <w:tr>
        <w:trPr/>
        <w:tc>
          <w:tcPr>
            <w:tcW w:w="463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635"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3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w:t>
              <w:br/>
              <w:t>options</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w:t>
              <w:br/>
              <w:t>Average</w:t>
              <w:br/>
              <w:t>Exercise</w:t>
              <w:br/>
              <w:t>Price</w:t>
            </w:r>
          </w:p>
        </w:tc>
        <w:tc>
          <w:tcPr>
            <w:tcW w:w="64" w:type="dxa"/>
            <w:tcBorders/>
            <w:shd w:fill="auto" w:val="clear"/>
            <w:vAlign w:val="bottom"/>
          </w:tcPr>
          <w:p>
            <w:pPr>
              <w:pStyle w:val="TableContents"/>
              <w:spacing w:before="0" w:after="283"/>
              <w:rPr/>
            </w:pPr>
            <w:r>
              <w:rPr/>
              <w:t> </w:t>
            </w:r>
          </w:p>
        </w:tc>
      </w:tr>
      <w:tr>
        <w:trPr/>
        <w:tc>
          <w:tcPr>
            <w:tcW w:w="4635" w:type="dxa"/>
            <w:tcBorders/>
            <w:shd w:fill="CCEEFF" w:val="clear"/>
          </w:tcPr>
          <w:p>
            <w:pPr>
              <w:pStyle w:val="TableContents"/>
              <w:spacing w:before="0" w:after="0"/>
              <w:rPr>
                <w:rFonts w:ascii="Times New Roman" w:hAnsi="Times New Roman"/>
                <w:sz w:val="20"/>
              </w:rPr>
            </w:pPr>
            <w:r>
              <w:rPr>
                <w:rFonts w:ascii="Times New Roman" w:hAnsi="Times New Roman"/>
                <w:sz w:val="20"/>
              </w:rPr>
              <w:t>Outstanding as of December 31, 2021</w:t>
            </w:r>
          </w:p>
        </w:tc>
        <w:tc>
          <w:tcPr>
            <w:tcW w:w="3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w:t>
            </w:r>
          </w:p>
        </w:tc>
        <w:tc>
          <w:tcPr>
            <w:tcW w:w="1012" w:type="dxa"/>
            <w:tcBorders/>
            <w:shd w:fill="CCEEFF" w:val="clear"/>
            <w:vAlign w:val="bottom"/>
          </w:tcPr>
          <w:p>
            <w:pPr>
              <w:pStyle w:val="TableContents"/>
              <w:spacing w:before="0" w:after="283"/>
              <w:jc w:val="right"/>
              <w:rPr/>
            </w:pPr>
            <w:r>
              <w:rPr/>
              <w:t>0.0001</w:t>
            </w:r>
          </w:p>
        </w:tc>
        <w:tc>
          <w:tcPr>
            <w:tcW w:w="64" w:type="dxa"/>
            <w:tcBorders/>
            <w:shd w:fill="CCEEFF" w:val="clear"/>
            <w:vAlign w:val="bottom"/>
          </w:tcPr>
          <w:p>
            <w:pPr>
              <w:pStyle w:val="TableContents"/>
              <w:spacing w:before="0" w:after="283"/>
              <w:rPr/>
            </w:pPr>
            <w:r>
              <w:rPr/>
              <w:t> </w:t>
            </w:r>
          </w:p>
        </w:tc>
      </w:tr>
      <w:tr>
        <w:trPr/>
        <w:tc>
          <w:tcPr>
            <w:tcW w:w="4635" w:type="dxa"/>
            <w:tcBorders/>
            <w:shd w:fill="auto" w:val="clear"/>
          </w:tcPr>
          <w:p>
            <w:pPr>
              <w:pStyle w:val="TableContents"/>
              <w:spacing w:before="0" w:after="0"/>
              <w:rPr>
                <w:rFonts w:ascii="Times New Roman" w:hAnsi="Times New Roman"/>
                <w:sz w:val="20"/>
              </w:rPr>
            </w:pPr>
            <w:r>
              <w:rPr>
                <w:rFonts w:ascii="Times New Roman" w:hAnsi="Times New Roman"/>
                <w:sz w:val="20"/>
              </w:rPr>
              <w:t>Issued</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15,750,000</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w:t>
            </w:r>
          </w:p>
        </w:tc>
        <w:tc>
          <w:tcPr>
            <w:tcW w:w="1012" w:type="dxa"/>
            <w:tcBorders/>
            <w:shd w:fill="auto" w:val="clear"/>
            <w:vAlign w:val="bottom"/>
          </w:tcPr>
          <w:p>
            <w:pPr>
              <w:pStyle w:val="TableContents"/>
              <w:spacing w:before="0" w:after="283"/>
              <w:jc w:val="right"/>
              <w:rPr/>
            </w:pPr>
            <w:r>
              <w:rPr/>
              <w:t>0.0001</w:t>
            </w:r>
          </w:p>
        </w:tc>
        <w:tc>
          <w:tcPr>
            <w:tcW w:w="64" w:type="dxa"/>
            <w:tcBorders/>
            <w:shd w:fill="auto" w:val="clear"/>
            <w:vAlign w:val="bottom"/>
          </w:tcPr>
          <w:p>
            <w:pPr>
              <w:pStyle w:val="TableContents"/>
              <w:spacing w:before="0" w:after="283"/>
              <w:rPr/>
            </w:pPr>
            <w:r>
              <w:rPr/>
              <w:t> </w:t>
            </w:r>
          </w:p>
        </w:tc>
      </w:tr>
      <w:tr>
        <w:trPr/>
        <w:tc>
          <w:tcPr>
            <w:tcW w:w="4635" w:type="dxa"/>
            <w:tcBorders/>
            <w:shd w:fill="CCEEFF" w:val="clear"/>
          </w:tcPr>
          <w:p>
            <w:pPr>
              <w:pStyle w:val="TableContents"/>
              <w:spacing w:before="0" w:after="0"/>
              <w:rPr>
                <w:rFonts w:ascii="Times New Roman" w:hAnsi="Times New Roman"/>
                <w:sz w:val="20"/>
              </w:rPr>
            </w:pPr>
            <w:r>
              <w:rPr>
                <w:rFonts w:ascii="Times New Roman" w:hAnsi="Times New Roman"/>
                <w:sz w:val="20"/>
              </w:rPr>
              <w:t>Exercised</w:t>
            </w:r>
          </w:p>
        </w:tc>
        <w:tc>
          <w:tcPr>
            <w:tcW w:w="3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4635" w:type="dxa"/>
            <w:tcBorders/>
            <w:shd w:fill="auto" w:val="clear"/>
          </w:tcPr>
          <w:p>
            <w:pPr>
              <w:pStyle w:val="TableContents"/>
              <w:spacing w:before="0" w:after="0"/>
              <w:rPr>
                <w:rFonts w:ascii="Times New Roman" w:hAnsi="Times New Roman"/>
                <w:sz w:val="20"/>
              </w:rPr>
            </w:pPr>
            <w:r>
              <w:rPr>
                <w:rFonts w:ascii="Times New Roman" w:hAnsi="Times New Roman"/>
                <w:sz w:val="20"/>
              </w:rPr>
              <w:t>Cancelled/Forfeited</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46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35"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Outstanding as of December 31, 2022</w:t>
            </w:r>
          </w:p>
        </w:tc>
        <w:tc>
          <w:tcPr>
            <w:tcW w:w="3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15,750,000</w:t>
            </w:r>
          </w:p>
        </w:tc>
        <w:tc>
          <w:tcPr>
            <w:tcW w:w="6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b/>
              </w:rPr>
            </w:pPr>
            <w:r>
              <w:rPr>
                <w:b/>
              </w:rPr>
              <w:t>£</w:t>
            </w:r>
          </w:p>
        </w:tc>
        <w:tc>
          <w:tcPr>
            <w:tcW w:w="1012" w:type="dxa"/>
            <w:tcBorders/>
            <w:shd w:fill="CCEEFF" w:val="clear"/>
            <w:vAlign w:val="bottom"/>
          </w:tcPr>
          <w:p>
            <w:pPr>
              <w:pStyle w:val="TableContents"/>
              <w:spacing w:before="0" w:after="283"/>
              <w:jc w:val="right"/>
              <w:rPr>
                <w:b/>
              </w:rPr>
            </w:pPr>
            <w:r>
              <w:rPr>
                <w:b/>
              </w:rPr>
              <w:t>0.0001</w:t>
            </w:r>
          </w:p>
        </w:tc>
        <w:tc>
          <w:tcPr>
            <w:tcW w:w="64" w:type="dxa"/>
            <w:tcBorders/>
            <w:shd w:fill="CCEEFF" w:val="clear"/>
            <w:vAlign w:val="bottom"/>
          </w:tcPr>
          <w:p>
            <w:pPr>
              <w:pStyle w:val="TableContents"/>
              <w:spacing w:before="0" w:after="283"/>
              <w:rPr/>
            </w:pPr>
            <w:r>
              <w:rPr/>
              <w:t> </w:t>
            </w:r>
          </w:p>
        </w:tc>
      </w:tr>
      <w:tr>
        <w:trPr/>
        <w:tc>
          <w:tcPr>
            <w:tcW w:w="46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7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pBdr>
                <w:top w:val="double" w:sz="6" w:space="1" w:color="000000"/>
              </w:pBdr>
              <w:spacing w:before="0" w:after="0"/>
              <w:rPr/>
            </w:pPr>
            <w:r>
              <w:rPr/>
              <w:t> </w:t>
            </w:r>
          </w:p>
        </w:tc>
        <w:tc>
          <w:tcPr>
            <w:tcW w:w="1012"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35" w:type="dxa"/>
            <w:tcBorders/>
            <w:shd w:fill="auto" w:val="clear"/>
          </w:tcPr>
          <w:p>
            <w:pPr>
              <w:pStyle w:val="TableContents"/>
              <w:spacing w:before="0" w:after="0"/>
              <w:rPr>
                <w:rFonts w:ascii="Times New Roman" w:hAnsi="Times New Roman"/>
                <w:sz w:val="20"/>
              </w:rPr>
            </w:pPr>
            <w:r>
              <w:rPr>
                <w:rFonts w:ascii="Times New Roman" w:hAnsi="Times New Roman"/>
                <w:sz w:val="20"/>
              </w:rPr>
              <w:t>Vested and exercisable</w:t>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27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w:t>
            </w:r>
          </w:p>
        </w:tc>
        <w:tc>
          <w:tcPr>
            <w:tcW w:w="1012" w:type="dxa"/>
            <w:tcBorders/>
            <w:shd w:fill="auto" w:val="clear"/>
            <w:vAlign w:val="bottom"/>
          </w:tcPr>
          <w:p>
            <w:pPr>
              <w:pStyle w:val="TableContents"/>
              <w:spacing w:before="0" w:after="283"/>
              <w:jc w:val="right"/>
              <w:rPr/>
            </w:pPr>
            <w:r>
              <w:rPr/>
              <w:t>0.0001</w:t>
            </w:r>
          </w:p>
        </w:tc>
        <w:tc>
          <w:tcPr>
            <w:tcW w:w="64" w:type="dxa"/>
            <w:tcBorders/>
            <w:shd w:fill="auto" w:val="clear"/>
            <w:vAlign w:val="bottom"/>
          </w:tcPr>
          <w:p>
            <w:pPr>
              <w:pStyle w:val="TableContents"/>
              <w:spacing w:before="0" w:after="283"/>
              <w:rPr/>
            </w:pPr>
            <w:r>
              <w:rPr/>
              <w:t> </w:t>
            </w:r>
          </w:p>
        </w:tc>
      </w:tr>
      <w:tr>
        <w:trPr/>
        <w:tc>
          <w:tcPr>
            <w:tcW w:w="46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463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Vested and expected to vest</w:t>
            </w:r>
          </w:p>
        </w:tc>
        <w:tc>
          <w:tcPr>
            <w:tcW w:w="36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15,750,000</w:t>
            </w:r>
          </w:p>
        </w:tc>
        <w:tc>
          <w:tcPr>
            <w:tcW w:w="60" w:type="dxa"/>
            <w:tcBorders/>
            <w:shd w:fill="CCEEFF" w:val="clear"/>
            <w:vAlign w:val="bottom"/>
          </w:tcPr>
          <w:p>
            <w:pPr>
              <w:pStyle w:val="TableContents"/>
              <w:spacing w:before="0" w:after="283"/>
              <w:rPr/>
            </w:pPr>
            <w:r>
              <w:rPr/>
              <w:t> </w:t>
            </w:r>
          </w:p>
        </w:tc>
        <w:tc>
          <w:tcPr>
            <w:tcW w:w="362"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b/>
              </w:rPr>
            </w:pPr>
            <w:r>
              <w:rPr>
                <w:b/>
              </w:rPr>
              <w:t>£</w:t>
            </w:r>
          </w:p>
        </w:tc>
        <w:tc>
          <w:tcPr>
            <w:tcW w:w="1012" w:type="dxa"/>
            <w:tcBorders/>
            <w:shd w:fill="CCEEFF" w:val="clear"/>
            <w:vAlign w:val="bottom"/>
          </w:tcPr>
          <w:p>
            <w:pPr>
              <w:pStyle w:val="TableContents"/>
              <w:spacing w:before="0" w:after="283"/>
              <w:jc w:val="right"/>
              <w:rPr>
                <w:b/>
              </w:rPr>
            </w:pPr>
            <w:r>
              <w:rPr>
                <w:b/>
              </w:rPr>
              <w:t>0.0001</w:t>
            </w:r>
          </w:p>
        </w:tc>
        <w:tc>
          <w:tcPr>
            <w:tcW w:w="64" w:type="dxa"/>
            <w:tcBorders/>
            <w:shd w:fill="CCEEFF" w:val="clear"/>
            <w:vAlign w:val="bottom"/>
          </w:tcPr>
          <w:p>
            <w:pPr>
              <w:pStyle w:val="TableContents"/>
              <w:spacing w:before="0" w:after="283"/>
              <w:rPr/>
            </w:pPr>
            <w:r>
              <w:rPr/>
              <w:t> </w:t>
            </w:r>
          </w:p>
        </w:tc>
      </w:tr>
      <w:tr>
        <w:trPr/>
        <w:tc>
          <w:tcPr>
            <w:tcW w:w="46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7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pBdr>
                <w:top w:val="double" w:sz="6" w:space="1" w:color="000000"/>
              </w:pBdr>
              <w:spacing w:before="0" w:after="0"/>
              <w:rPr/>
            </w:pPr>
            <w:r>
              <w:rPr/>
              <w:t> </w:t>
            </w:r>
          </w:p>
        </w:tc>
        <w:tc>
          <w:tcPr>
            <w:tcW w:w="1012"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 weighted-average grant date fair-value per share of the options granted during the year December 31, 2022 was $1.20. The total fair value of the options that vested during the year ended December 31, 2022 was $6,982,500. </w:t>
      </w:r>
    </w:p>
    <w:p>
      <w:pPr>
        <w:pStyle w:val="TextBody"/>
        <w:spacing w:before="120" w:after="0"/>
        <w:jc w:val="left"/>
        <w:rPr>
          <w:rFonts w:ascii="Times New Roman" w:hAnsi="Times New Roman"/>
          <w:sz w:val="20"/>
        </w:rPr>
      </w:pPr>
      <w:r>
        <w:rPr>
          <w:rFonts w:ascii="Times New Roman" w:hAnsi="Times New Roman"/>
          <w:sz w:val="20"/>
        </w:rPr>
        <w:t xml:space="preserve">No share options were exercised during the year ended December 31, 2022. </w:t>
      </w:r>
    </w:p>
    <w:p>
      <w:pPr>
        <w:pStyle w:val="TextBody"/>
        <w:spacing w:before="120" w:after="0"/>
        <w:jc w:val="left"/>
        <w:rPr>
          <w:rFonts w:ascii="Times New Roman" w:hAnsi="Times New Roman"/>
          <w:sz w:val="20"/>
        </w:rPr>
      </w:pPr>
      <w:r>
        <w:rPr>
          <w:rFonts w:ascii="Times New Roman" w:hAnsi="Times New Roman"/>
          <w:sz w:val="20"/>
        </w:rPr>
        <w:t xml:space="preserve">As of December 31, 2022, the Company had $11.6 million of unrecognized share-based compensation expense related to share options. This cost is expected to be recognized over a weighted-average period of 15 months. </w:t>
      </w:r>
    </w:p>
    <w:p>
      <w:pPr>
        <w:pStyle w:val="TextBody"/>
        <w:spacing w:before="120" w:after="0"/>
        <w:jc w:val="left"/>
        <w:rPr>
          <w:rFonts w:ascii="Times New Roman" w:hAnsi="Times New Roman"/>
          <w:sz w:val="20"/>
        </w:rPr>
      </w:pPr>
      <w:r>
        <w:rPr>
          <w:rFonts w:ascii="Times New Roman" w:hAnsi="Times New Roman"/>
          <w:sz w:val="20"/>
        </w:rPr>
        <w:t xml:space="preserve">There was no share option activity in the year ended December 31, 2021 as no share options were issued prior to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13.</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Accrued expenses and other payables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787"/>
        <w:gridCol w:w="545"/>
        <w:gridCol w:w="245"/>
        <w:gridCol w:w="1759"/>
        <w:gridCol w:w="60"/>
        <w:gridCol w:w="545"/>
        <w:gridCol w:w="245"/>
        <w:gridCol w:w="1759"/>
        <w:gridCol w:w="64"/>
      </w:tblGrid>
      <w:tr>
        <w:trPr/>
        <w:tc>
          <w:tcPr>
            <w:tcW w:w="2787"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787"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2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20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64" w:type="dxa"/>
            <w:tcBorders/>
            <w:shd w:fill="auto" w:val="clear"/>
            <w:vAlign w:val="bottom"/>
          </w:tcPr>
          <w:p>
            <w:pPr>
              <w:pStyle w:val="TableContents"/>
              <w:spacing w:before="0" w:after="283"/>
              <w:rPr/>
            </w:pPr>
            <w:r>
              <w:rPr/>
              <w:t> </w:t>
            </w:r>
          </w:p>
        </w:tc>
      </w:tr>
      <w:tr>
        <w:trPr/>
        <w:tc>
          <w:tcPr>
            <w:tcW w:w="2787" w:type="dxa"/>
            <w:tcBorders/>
            <w:shd w:fill="CCEEFF" w:val="clear"/>
          </w:tcPr>
          <w:p>
            <w:pPr>
              <w:pStyle w:val="TableContents"/>
              <w:spacing w:before="0" w:after="0"/>
              <w:rPr>
                <w:rFonts w:ascii="Times New Roman" w:hAnsi="Times New Roman"/>
                <w:sz w:val="20"/>
              </w:rPr>
            </w:pPr>
            <w:r>
              <w:rPr>
                <w:rFonts w:ascii="Times New Roman" w:hAnsi="Times New Roman"/>
                <w:sz w:val="20"/>
              </w:rPr>
              <w:t>Employee related payables</w:t>
            </w:r>
          </w:p>
        </w:tc>
        <w:tc>
          <w:tcPr>
            <w:tcW w:w="5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w:t>
            </w:r>
          </w:p>
        </w:tc>
        <w:tc>
          <w:tcPr>
            <w:tcW w:w="1759" w:type="dxa"/>
            <w:tcBorders/>
            <w:shd w:fill="CCEEFF" w:val="clear"/>
            <w:vAlign w:val="bottom"/>
          </w:tcPr>
          <w:p>
            <w:pPr>
              <w:pStyle w:val="TableContents"/>
              <w:spacing w:before="0" w:after="283"/>
              <w:jc w:val="right"/>
              <w:rPr/>
            </w:pPr>
            <w:r>
              <w:rPr/>
              <w:t>763,181</w:t>
            </w:r>
          </w:p>
        </w:tc>
        <w:tc>
          <w:tcPr>
            <w:tcW w:w="60"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w:t>
            </w:r>
          </w:p>
        </w:tc>
        <w:tc>
          <w:tcPr>
            <w:tcW w:w="1759" w:type="dxa"/>
            <w:tcBorders/>
            <w:shd w:fill="CCEEFF" w:val="clear"/>
            <w:vAlign w:val="bottom"/>
          </w:tcPr>
          <w:p>
            <w:pPr>
              <w:pStyle w:val="TableContents"/>
              <w:spacing w:before="0" w:after="283"/>
              <w:jc w:val="right"/>
              <w:rPr/>
            </w:pPr>
            <w:r>
              <w:rPr/>
              <w:t>470,153</w:t>
            </w:r>
          </w:p>
        </w:tc>
        <w:tc>
          <w:tcPr>
            <w:tcW w:w="64" w:type="dxa"/>
            <w:tcBorders/>
            <w:shd w:fill="CCEEFF" w:val="clear"/>
            <w:vAlign w:val="bottom"/>
          </w:tcPr>
          <w:p>
            <w:pPr>
              <w:pStyle w:val="TableContents"/>
              <w:spacing w:before="0" w:after="283"/>
              <w:rPr/>
            </w:pPr>
            <w:r>
              <w:rPr/>
              <w:t> </w:t>
            </w:r>
          </w:p>
        </w:tc>
      </w:tr>
      <w:tr>
        <w:trPr/>
        <w:tc>
          <w:tcPr>
            <w:tcW w:w="2787" w:type="dxa"/>
            <w:tcBorders/>
            <w:shd w:fill="auto" w:val="clear"/>
          </w:tcPr>
          <w:p>
            <w:pPr>
              <w:pStyle w:val="TableContents"/>
              <w:spacing w:before="0" w:after="0"/>
              <w:rPr>
                <w:rFonts w:ascii="Times New Roman" w:hAnsi="Times New Roman"/>
                <w:sz w:val="20"/>
              </w:rPr>
            </w:pPr>
            <w:r>
              <w:rPr>
                <w:rFonts w:ascii="Times New Roman" w:hAnsi="Times New Roman"/>
                <w:sz w:val="20"/>
              </w:rPr>
              <w:t>Accrued expenses</w:t>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2,535,133</w:t>
            </w:r>
          </w:p>
        </w:tc>
        <w:tc>
          <w:tcPr>
            <w:tcW w:w="6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1,399,433</w:t>
            </w:r>
          </w:p>
        </w:tc>
        <w:tc>
          <w:tcPr>
            <w:tcW w:w="64" w:type="dxa"/>
            <w:tcBorders/>
            <w:shd w:fill="auto" w:val="clear"/>
            <w:vAlign w:val="bottom"/>
          </w:tcPr>
          <w:p>
            <w:pPr>
              <w:pStyle w:val="TableContents"/>
              <w:spacing w:before="0" w:after="283"/>
              <w:rPr/>
            </w:pPr>
            <w:r>
              <w:rPr/>
              <w:t> </w:t>
            </w:r>
          </w:p>
        </w:tc>
      </w:tr>
      <w:tr>
        <w:trPr/>
        <w:tc>
          <w:tcPr>
            <w:tcW w:w="2787" w:type="dxa"/>
            <w:tcBorders/>
            <w:shd w:fill="CCEEFF" w:val="clear"/>
          </w:tcPr>
          <w:p>
            <w:pPr>
              <w:pStyle w:val="TableContents"/>
              <w:spacing w:before="0" w:after="0"/>
              <w:rPr>
                <w:rFonts w:ascii="Times New Roman" w:hAnsi="Times New Roman"/>
                <w:sz w:val="20"/>
              </w:rPr>
            </w:pPr>
            <w:r>
              <w:rPr>
                <w:rFonts w:ascii="Times New Roman" w:hAnsi="Times New Roman"/>
                <w:sz w:val="20"/>
              </w:rPr>
              <w:t>VAT Liability</w:t>
            </w:r>
          </w:p>
        </w:tc>
        <w:tc>
          <w:tcPr>
            <w:tcW w:w="5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11,515</w:t>
            </w:r>
          </w:p>
        </w:tc>
        <w:tc>
          <w:tcPr>
            <w:tcW w:w="60"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pPr>
            <w:r>
              <w:rPr/>
              <w:t>6,023</w:t>
            </w:r>
          </w:p>
        </w:tc>
        <w:tc>
          <w:tcPr>
            <w:tcW w:w="64" w:type="dxa"/>
            <w:tcBorders/>
            <w:shd w:fill="CCEEFF" w:val="clear"/>
            <w:vAlign w:val="bottom"/>
          </w:tcPr>
          <w:p>
            <w:pPr>
              <w:pStyle w:val="TableContents"/>
              <w:spacing w:before="0" w:after="283"/>
              <w:rPr/>
            </w:pPr>
            <w:r>
              <w:rPr/>
              <w:t> </w:t>
            </w:r>
          </w:p>
        </w:tc>
      </w:tr>
      <w:tr>
        <w:trPr/>
        <w:tc>
          <w:tcPr>
            <w:tcW w:w="2787" w:type="dxa"/>
            <w:tcBorders/>
            <w:shd w:fill="auto" w:val="clear"/>
          </w:tcPr>
          <w:p>
            <w:pPr>
              <w:pStyle w:val="TableContents"/>
              <w:spacing w:before="0" w:after="0"/>
              <w:rPr>
                <w:rFonts w:ascii="Times New Roman" w:hAnsi="Times New Roman"/>
                <w:sz w:val="20"/>
              </w:rPr>
            </w:pPr>
            <w:r>
              <w:rPr>
                <w:rFonts w:ascii="Times New Roman" w:hAnsi="Times New Roman"/>
                <w:sz w:val="20"/>
              </w:rPr>
              <w:t>Other</w:t>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179,080</w:t>
            </w:r>
          </w:p>
        </w:tc>
        <w:tc>
          <w:tcPr>
            <w:tcW w:w="60"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759"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2787"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pBdr>
                <w:top w:val="single" w:sz="2" w:space="1" w:color="000000"/>
              </w:pBdr>
              <w:spacing w:before="0" w:after="0"/>
              <w:rPr/>
            </w:pPr>
            <w:r>
              <w:rPr/>
              <w:t> </w:t>
            </w:r>
          </w:p>
        </w:tc>
        <w:tc>
          <w:tcPr>
            <w:tcW w:w="1759"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787"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5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3,488,909</w:t>
            </w:r>
          </w:p>
        </w:tc>
        <w:tc>
          <w:tcPr>
            <w:tcW w:w="60"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759" w:type="dxa"/>
            <w:tcBorders/>
            <w:shd w:fill="CCEEFF" w:val="clear"/>
            <w:vAlign w:val="bottom"/>
          </w:tcPr>
          <w:p>
            <w:pPr>
              <w:pStyle w:val="TableContents"/>
              <w:spacing w:before="0" w:after="283"/>
              <w:jc w:val="right"/>
              <w:rPr>
                <w:b/>
              </w:rPr>
            </w:pPr>
            <w:r>
              <w:rPr>
                <w:b/>
              </w:rPr>
              <w:t>1,875,609</w:t>
            </w:r>
          </w:p>
        </w:tc>
        <w:tc>
          <w:tcPr>
            <w:tcW w:w="64" w:type="dxa"/>
            <w:tcBorders/>
            <w:shd w:fill="CCEEFF" w:val="clear"/>
            <w:vAlign w:val="bottom"/>
          </w:tcPr>
          <w:p>
            <w:pPr>
              <w:pStyle w:val="TableContents"/>
              <w:spacing w:before="0" w:after="283"/>
              <w:rPr/>
            </w:pPr>
            <w:r>
              <w:rPr/>
              <w:t> </w:t>
            </w:r>
          </w:p>
        </w:tc>
      </w:tr>
      <w:tr>
        <w:trPr/>
        <w:tc>
          <w:tcPr>
            <w:tcW w:w="2787"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pBdr>
                <w:top w:val="double" w:sz="6" w:space="1" w:color="000000"/>
              </w:pBdr>
              <w:spacing w:before="0" w:after="0"/>
              <w:rPr/>
            </w:pPr>
            <w:r>
              <w:rPr/>
              <w:t> </w:t>
            </w:r>
          </w:p>
        </w:tc>
        <w:tc>
          <w:tcPr>
            <w:tcW w:w="175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pBdr>
                <w:top w:val="double" w:sz="6" w:space="1" w:color="000000"/>
              </w:pBdr>
              <w:spacing w:before="0" w:after="0"/>
              <w:rPr/>
            </w:pPr>
            <w:r>
              <w:rPr/>
              <w:t> </w:t>
            </w:r>
          </w:p>
        </w:tc>
        <w:tc>
          <w:tcPr>
            <w:tcW w:w="1759"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14.</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Non-operating expense, net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718"/>
        <w:gridCol w:w="467"/>
        <w:gridCol w:w="269"/>
        <w:gridCol w:w="1745"/>
        <w:gridCol w:w="155"/>
        <w:gridCol w:w="467"/>
        <w:gridCol w:w="112"/>
        <w:gridCol w:w="1916"/>
        <w:gridCol w:w="160"/>
      </w:tblGrid>
      <w:tr>
        <w:trPr/>
        <w:tc>
          <w:tcPr>
            <w:tcW w:w="2718"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9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718"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0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0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60" w:type="dxa"/>
            <w:tcBorders/>
            <w:shd w:fill="auto" w:val="clear"/>
            <w:vAlign w:val="bottom"/>
          </w:tcPr>
          <w:p>
            <w:pPr>
              <w:pStyle w:val="TableContents"/>
              <w:spacing w:before="0" w:after="283"/>
              <w:rPr/>
            </w:pPr>
            <w:r>
              <w:rPr/>
              <w:t> </w:t>
            </w:r>
          </w:p>
        </w:tc>
      </w:tr>
      <w:tr>
        <w:trPr/>
        <w:tc>
          <w:tcPr>
            <w:tcW w:w="2718" w:type="dxa"/>
            <w:tcBorders/>
            <w:shd w:fill="CCEEFF" w:val="clear"/>
          </w:tcPr>
          <w:p>
            <w:pPr>
              <w:pStyle w:val="TableContents"/>
              <w:spacing w:before="0" w:after="0"/>
              <w:rPr>
                <w:rFonts w:ascii="Times New Roman" w:hAnsi="Times New Roman"/>
                <w:sz w:val="20"/>
              </w:rPr>
            </w:pPr>
            <w:r>
              <w:rPr>
                <w:rFonts w:ascii="Times New Roman" w:hAnsi="Times New Roman"/>
                <w:sz w:val="20"/>
              </w:rPr>
              <w:t>Foreign exchange loss</w:t>
            </w:r>
          </w:p>
        </w:tc>
        <w:tc>
          <w:tcPr>
            <w:tcW w:w="46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w:t>
            </w:r>
          </w:p>
        </w:tc>
        <w:tc>
          <w:tcPr>
            <w:tcW w:w="1745" w:type="dxa"/>
            <w:tcBorders/>
            <w:shd w:fill="CCEEFF" w:val="clear"/>
            <w:vAlign w:val="bottom"/>
          </w:tcPr>
          <w:p>
            <w:pPr>
              <w:pStyle w:val="TableContents"/>
              <w:spacing w:before="0" w:after="283"/>
              <w:jc w:val="right"/>
              <w:rPr/>
            </w:pPr>
            <w:r>
              <w:rPr/>
              <w:t>194,595</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spacing w:before="0" w:after="283"/>
              <w:jc w:val="right"/>
              <w:rPr/>
            </w:pPr>
            <w:r>
              <w:rPr/>
              <w:t>714,914</w:t>
            </w:r>
          </w:p>
        </w:tc>
        <w:tc>
          <w:tcPr>
            <w:tcW w:w="160" w:type="dxa"/>
            <w:tcBorders/>
            <w:shd w:fill="CCEEFF" w:val="clear"/>
            <w:vAlign w:val="bottom"/>
          </w:tcPr>
          <w:p>
            <w:pPr>
              <w:pStyle w:val="TableContents"/>
              <w:spacing w:before="0" w:after="283"/>
              <w:rPr/>
            </w:pPr>
            <w:r>
              <w:rPr/>
              <w:t> </w:t>
            </w:r>
          </w:p>
        </w:tc>
      </w:tr>
      <w:tr>
        <w:trPr/>
        <w:tc>
          <w:tcPr>
            <w:tcW w:w="2718" w:type="dxa"/>
            <w:tcBorders/>
            <w:shd w:fill="auto" w:val="clear"/>
          </w:tcPr>
          <w:p>
            <w:pPr>
              <w:pStyle w:val="TableContents"/>
              <w:spacing w:before="0" w:after="0"/>
              <w:rPr>
                <w:rFonts w:ascii="Times New Roman" w:hAnsi="Times New Roman"/>
                <w:sz w:val="20"/>
              </w:rPr>
            </w:pPr>
            <w:r>
              <w:rPr>
                <w:rFonts w:ascii="Times New Roman" w:hAnsi="Times New Roman"/>
                <w:sz w:val="20"/>
              </w:rPr>
              <w:t>R&amp;D credits</w:t>
            </w:r>
          </w:p>
        </w:tc>
        <w:tc>
          <w:tcPr>
            <w:tcW w:w="46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745" w:type="dxa"/>
            <w:tcBorders/>
            <w:shd w:fill="auto" w:val="clear"/>
            <w:vAlign w:val="bottom"/>
          </w:tcPr>
          <w:p>
            <w:pPr>
              <w:pStyle w:val="TableContents"/>
              <w:spacing w:before="0" w:after="283"/>
              <w:jc w:val="right"/>
              <w:rPr/>
            </w:pPr>
            <w:r>
              <w:rPr/>
              <w:t>(467,563</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jc w:val="right"/>
              <w:rPr/>
            </w:pPr>
            <w:r>
              <w:rPr/>
              <w:t>(559,122</w:t>
            </w:r>
          </w:p>
        </w:tc>
        <w:tc>
          <w:tcPr>
            <w:tcW w:w="160" w:type="dxa"/>
            <w:tcBorders/>
            <w:shd w:fill="auto" w:val="clear"/>
            <w:vAlign w:val="bottom"/>
          </w:tcPr>
          <w:p>
            <w:pPr>
              <w:pStyle w:val="TableContents"/>
              <w:spacing w:before="0" w:after="283"/>
              <w:rPr/>
            </w:pPr>
            <w:r>
              <w:rPr/>
              <w:t>) </w:t>
            </w:r>
          </w:p>
        </w:tc>
      </w:tr>
      <w:tr>
        <w:trPr/>
        <w:tc>
          <w:tcPr>
            <w:tcW w:w="2718" w:type="dxa"/>
            <w:tcBorders/>
            <w:shd w:fill="CCEEFF" w:val="clear"/>
          </w:tcPr>
          <w:p>
            <w:pPr>
              <w:pStyle w:val="TableContents"/>
              <w:spacing w:before="0" w:after="0"/>
              <w:rPr>
                <w:rFonts w:ascii="Times New Roman" w:hAnsi="Times New Roman"/>
                <w:sz w:val="20"/>
              </w:rPr>
            </w:pPr>
            <w:r>
              <w:rPr>
                <w:rFonts w:ascii="Times New Roman" w:hAnsi="Times New Roman"/>
                <w:sz w:val="20"/>
              </w:rPr>
              <w:t>Other, net</w:t>
            </w:r>
          </w:p>
        </w:tc>
        <w:tc>
          <w:tcPr>
            <w:tcW w:w="46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745" w:type="dxa"/>
            <w:tcBorders/>
            <w:shd w:fill="CCEEFF" w:val="clear"/>
            <w:vAlign w:val="bottom"/>
          </w:tcPr>
          <w:p>
            <w:pPr>
              <w:pStyle w:val="TableContents"/>
              <w:spacing w:before="0" w:after="283"/>
              <w:jc w:val="right"/>
              <w:rPr/>
            </w:pPr>
            <w:r>
              <w:rPr/>
              <w:t>(42,604</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spacing w:before="0" w:after="283"/>
              <w:jc w:val="right"/>
              <w:rPr/>
            </w:pPr>
            <w:r>
              <w:rPr/>
              <w:t>25,119</w:t>
            </w:r>
          </w:p>
        </w:tc>
        <w:tc>
          <w:tcPr>
            <w:tcW w:w="160" w:type="dxa"/>
            <w:tcBorders/>
            <w:shd w:fill="CCEEFF" w:val="clear"/>
            <w:vAlign w:val="bottom"/>
          </w:tcPr>
          <w:p>
            <w:pPr>
              <w:pStyle w:val="TableContents"/>
              <w:spacing w:before="0" w:after="283"/>
              <w:rPr/>
            </w:pPr>
            <w:r>
              <w:rPr/>
              <w:t> </w:t>
            </w:r>
          </w:p>
        </w:tc>
      </w:tr>
      <w:tr>
        <w:trPr/>
        <w:tc>
          <w:tcPr>
            <w:tcW w:w="2718" w:type="dxa"/>
            <w:tcBorders/>
            <w:shd w:fill="auto" w:val="clear"/>
          </w:tcPr>
          <w:p>
            <w:pPr>
              <w:pStyle w:val="TableContents"/>
              <w:spacing w:before="0" w:after="0"/>
              <w:rPr>
                <w:rFonts w:ascii="Times New Roman" w:hAnsi="Times New Roman"/>
                <w:sz w:val="20"/>
              </w:rPr>
            </w:pPr>
            <w:r>
              <w:rPr>
                <w:rFonts w:ascii="Times New Roman" w:hAnsi="Times New Roman"/>
                <w:sz w:val="20"/>
              </w:rPr>
              <w:t>Impairment of accounts receivable</w:t>
            </w:r>
          </w:p>
        </w:tc>
        <w:tc>
          <w:tcPr>
            <w:tcW w:w="46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745" w:type="dxa"/>
            <w:tcBorders/>
            <w:shd w:fill="auto" w:val="clear"/>
            <w:vAlign w:val="bottom"/>
          </w:tcPr>
          <w:p>
            <w:pPr>
              <w:pStyle w:val="TableContents"/>
              <w:spacing w:before="0" w:after="283"/>
              <w:jc w:val="right"/>
              <w:rPr/>
            </w:pPr>
            <w:r>
              <w:rPr/>
              <w:t>334,952</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2718"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inventory</w:t>
            </w:r>
          </w:p>
        </w:tc>
        <w:tc>
          <w:tcPr>
            <w:tcW w:w="46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745" w:type="dxa"/>
            <w:tcBorders/>
            <w:shd w:fill="CCEEFF" w:val="clear"/>
            <w:vAlign w:val="bottom"/>
          </w:tcPr>
          <w:p>
            <w:pPr>
              <w:pStyle w:val="TableContents"/>
              <w:spacing w:before="0" w:after="283"/>
              <w:jc w:val="right"/>
              <w:rPr/>
            </w:pPr>
            <w:r>
              <w:rPr/>
              <w:t>731,940</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2718" w:type="dxa"/>
            <w:tcBorders/>
            <w:shd w:fill="auto" w:val="clear"/>
          </w:tcPr>
          <w:p>
            <w:pPr>
              <w:pStyle w:val="TableContents"/>
              <w:spacing w:before="0" w:after="0"/>
              <w:rPr>
                <w:rFonts w:ascii="Times New Roman" w:hAnsi="Times New Roman"/>
                <w:sz w:val="20"/>
              </w:rPr>
            </w:pPr>
            <w:r>
              <w:rPr>
                <w:rFonts w:ascii="Times New Roman" w:hAnsi="Times New Roman"/>
                <w:sz w:val="20"/>
              </w:rPr>
              <w:t>Share-based payment cost (note 8.4)</w:t>
            </w:r>
          </w:p>
        </w:tc>
        <w:tc>
          <w:tcPr>
            <w:tcW w:w="46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74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1916" w:type="dxa"/>
            <w:tcBorders/>
            <w:shd w:fill="auto" w:val="clear"/>
            <w:vAlign w:val="bottom"/>
          </w:tcPr>
          <w:p>
            <w:pPr>
              <w:pStyle w:val="TableContents"/>
              <w:spacing w:before="0" w:after="283"/>
              <w:jc w:val="right"/>
              <w:rPr/>
            </w:pPr>
            <w:r>
              <w:rPr/>
              <w:t>1,029,779</w:t>
            </w:r>
          </w:p>
        </w:tc>
        <w:tc>
          <w:tcPr>
            <w:tcW w:w="160" w:type="dxa"/>
            <w:tcBorders/>
            <w:shd w:fill="auto" w:val="clear"/>
            <w:vAlign w:val="bottom"/>
          </w:tcPr>
          <w:p>
            <w:pPr>
              <w:pStyle w:val="TableContents"/>
              <w:spacing w:before="0" w:after="283"/>
              <w:rPr/>
            </w:pPr>
            <w:r>
              <w:rPr/>
              <w:t> </w:t>
            </w:r>
          </w:p>
        </w:tc>
      </w:tr>
      <w:tr>
        <w:trPr/>
        <w:tc>
          <w:tcPr>
            <w:tcW w:w="271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174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pBdr>
                <w:top w:val="single" w:sz="2" w:space="1" w:color="000000"/>
              </w:pBdr>
              <w:spacing w:before="0" w:after="0"/>
              <w:rPr/>
            </w:pPr>
            <w:r>
              <w:rPr/>
              <w:t> </w:t>
            </w:r>
          </w:p>
        </w:tc>
        <w:tc>
          <w:tcPr>
            <w:tcW w:w="19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718"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67"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745" w:type="dxa"/>
            <w:tcBorders/>
            <w:shd w:fill="CCEEFF" w:val="clear"/>
            <w:vAlign w:val="bottom"/>
          </w:tcPr>
          <w:p>
            <w:pPr>
              <w:pStyle w:val="TableContents"/>
              <w:spacing w:before="0" w:after="283"/>
              <w:jc w:val="right"/>
              <w:rPr>
                <w:b/>
              </w:rPr>
            </w:pPr>
            <w:r>
              <w:rPr>
                <w:b/>
              </w:rPr>
              <w:t>751,320</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1916" w:type="dxa"/>
            <w:tcBorders/>
            <w:shd w:fill="CCEEFF" w:val="clear"/>
            <w:vAlign w:val="bottom"/>
          </w:tcPr>
          <w:p>
            <w:pPr>
              <w:pStyle w:val="TableContents"/>
              <w:spacing w:before="0" w:after="283"/>
              <w:jc w:val="right"/>
              <w:rPr>
                <w:b/>
              </w:rPr>
            </w:pPr>
            <w:r>
              <w:rPr>
                <w:b/>
              </w:rPr>
              <w:t>1,210,690</w:t>
            </w:r>
          </w:p>
        </w:tc>
        <w:tc>
          <w:tcPr>
            <w:tcW w:w="160" w:type="dxa"/>
            <w:tcBorders/>
            <w:shd w:fill="CCEEFF" w:val="clear"/>
            <w:vAlign w:val="bottom"/>
          </w:tcPr>
          <w:p>
            <w:pPr>
              <w:pStyle w:val="TableContents"/>
              <w:spacing w:before="0" w:after="283"/>
              <w:rPr/>
            </w:pPr>
            <w:r>
              <w:rPr/>
              <w:t> </w:t>
            </w:r>
          </w:p>
        </w:tc>
      </w:tr>
      <w:tr>
        <w:trPr/>
        <w:tc>
          <w:tcPr>
            <w:tcW w:w="2718"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double" w:sz="6" w:space="1" w:color="000000"/>
              </w:pBdr>
              <w:spacing w:before="0" w:after="0"/>
              <w:rPr/>
            </w:pPr>
            <w:r>
              <w:rPr/>
              <w:t> </w:t>
            </w:r>
          </w:p>
        </w:tc>
        <w:tc>
          <w:tcPr>
            <w:tcW w:w="174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pBdr>
                <w:top w:val="double" w:sz="6" w:space="1" w:color="000000"/>
              </w:pBdr>
              <w:spacing w:before="0" w:after="0"/>
              <w:rPr/>
            </w:pPr>
            <w:r>
              <w:rPr/>
              <w:t> </w:t>
            </w:r>
          </w:p>
        </w:tc>
        <w:tc>
          <w:tcPr>
            <w:tcW w:w="19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In June 2022, the Company determined that there were indicators to which the carrying value of the goodwill, accounts receivable and inventory in its Taiwanese subsidiary were no longer recoverable. Accordingly, an impairment charge was made after the Company determined that the recoverable values were less than the carrying value.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15.</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Business Combinations </w:t>
            </w:r>
          </w:p>
        </w:tc>
      </w:tr>
    </w:tbl>
    <w:p>
      <w:pPr>
        <w:pStyle w:val="TextBody"/>
        <w:spacing w:before="120" w:after="0"/>
        <w:jc w:val="left"/>
        <w:rPr>
          <w:rFonts w:ascii="Times New Roman" w:hAnsi="Times New Roman"/>
          <w:i/>
          <w:sz w:val="20"/>
        </w:rPr>
      </w:pPr>
      <w:r>
        <w:rPr>
          <w:rFonts w:ascii="Times New Roman" w:hAnsi="Times New Roman"/>
          <w:i/>
          <w:sz w:val="20"/>
        </w:rPr>
        <w:t xml:space="preserve">Acquisition of Any Lifestyle Marketing GmbH (ANY Acquisition) </w:t>
      </w:r>
    </w:p>
    <w:p>
      <w:pPr>
        <w:pStyle w:val="TextBody"/>
        <w:spacing w:before="120" w:after="0"/>
        <w:jc w:val="left"/>
        <w:rPr>
          <w:rFonts w:ascii="Times New Roman" w:hAnsi="Times New Roman"/>
          <w:sz w:val="20"/>
        </w:rPr>
      </w:pPr>
      <w:r>
        <w:rPr>
          <w:rFonts w:ascii="Times New Roman" w:hAnsi="Times New Roman"/>
          <w:sz w:val="20"/>
        </w:rPr>
        <w:t xml:space="preserve">On August 30, 2021, the Company acquired Any Lifestyle Marketing GmbH (ANY) from Radio Group Holding GmbH. ANY was incorporated on August 13, 2021. ANY was established to purchase the whole and exclusive rights to sell services of the companies owned by Radio Group Holding GmbH (Radio Group) such as events and airtime advertisements. ANYs business from incorporation is Radio Groups predecessor marketing business prior to being carved-out and inserted into the newly formed company, ANY. The establishment of ANY was done so to allow the acquisition of a foreign entity, (Rezolve) to acquire the Radio Groups marketing business as German regulation does not allow a foreign entity to acquire a media company. The acquisition of ANY by Rezolve was to (i) leverage the Radio Groups customer list and to gain immediate access to potential customers and (ii) achieve synergistic benefits through the embedding of the Rezolve technology (beacons) in Radio Group advertisements in Germany. </w:t>
      </w:r>
    </w:p>
    <w:p>
      <w:pPr>
        <w:pStyle w:val="TextBody"/>
        <w:spacing w:before="120" w:after="0"/>
        <w:jc w:val="left"/>
        <w:rPr>
          <w:rFonts w:ascii="Times New Roman" w:hAnsi="Times New Roman"/>
          <w:sz w:val="20"/>
        </w:rPr>
      </w:pPr>
      <w:r>
        <w:rPr>
          <w:rFonts w:ascii="Times New Roman" w:hAnsi="Times New Roman"/>
          <w:sz w:val="20"/>
        </w:rPr>
        <w:t xml:space="preserve">The Company acquired ANY by agreeing to issue 14,427,185 ordinary shares valued at $1.03 per share (the consideration shares). The shares were issued on February 11, 2022. </w:t>
      </w:r>
    </w:p>
    <w:p>
      <w:pPr>
        <w:pStyle w:val="TextBody"/>
        <w:spacing w:before="120" w:after="0"/>
        <w:jc w:val="left"/>
        <w:rPr>
          <w:rFonts w:ascii="Times New Roman" w:hAnsi="Times New Roman"/>
          <w:sz w:val="20"/>
        </w:rPr>
      </w:pPr>
      <w:r>
        <w:rPr>
          <w:rFonts w:ascii="Times New Roman" w:hAnsi="Times New Roman"/>
          <w:sz w:val="20"/>
        </w:rPr>
        <w:t xml:space="preserve">Subject to completion having occurred then on August 30, 2022 (the Settlement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then publicly listed with a valuation of $1 billion or more, Rezolve was to pay $10 million in cash to the sellers of ANY and 9,708,738 of the consideration shares were to be reclassified as deferred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then publicly listed with a valuation of less than $1 billion, Rezolve was to pay $14.86 million in cash to the Sellers of ANY and all consideration shares were to be reclassified as deferred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4"/>
        <w:gridCol w:w="9594"/>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not then publicly listed and had a valuation of $1 billion or more, Rezolve was to pay $9 million in cash to the sellers of ANY and 8,737,864 of the consideration shares of the consideration shares were to be reclassified as deferred shares;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Rezolve was not then publicly listed and had a valuation of less than $1 billion, Rezolve was to pay $14.86 million in cash to the sellers of ANY and all of the consideration shares were to be reclassified as deferred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If the Company failed to pay the cash in any of the above mentioned scenarios by the Settlement Date, the sellers of ANY could re-acquire the shares in ANY and their consideration shares would then be reclassified as deferred shares. </w:t>
      </w:r>
    </w:p>
    <w:p>
      <w:pPr>
        <w:pStyle w:val="TextBody"/>
        <w:spacing w:before="120" w:after="0"/>
        <w:jc w:val="left"/>
        <w:rPr>
          <w:rFonts w:ascii="Times New Roman" w:hAnsi="Times New Roman"/>
          <w:sz w:val="20"/>
        </w:rPr>
      </w:pPr>
      <w:r>
        <w:rPr>
          <w:rFonts w:ascii="Times New Roman" w:hAnsi="Times New Roman"/>
          <w:sz w:val="20"/>
        </w:rPr>
        <w:t xml:space="preserve">On June 10, 2022, the Company and the sellers of ANY entered into a Standstill Agreement, whereby the Settlement Date was extended to December 31, 2022. </w:t>
      </w:r>
    </w:p>
    <w:p>
      <w:pPr>
        <w:pStyle w:val="TextBody"/>
        <w:spacing w:before="120" w:after="0"/>
        <w:jc w:val="left"/>
        <w:rPr>
          <w:rFonts w:ascii="Times New Roman" w:hAnsi="Times New Roman"/>
          <w:sz w:val="20"/>
        </w:rPr>
      </w:pPr>
      <w:r>
        <w:rPr>
          <w:rFonts w:ascii="Times New Roman" w:hAnsi="Times New Roman"/>
          <w:sz w:val="20"/>
        </w:rPr>
        <w:t xml:space="preserve">In addition to the extension, the Company agreed to pay the sellers of ANY 70,000 monthly in each of the four months from September 2022 to December 2022, provided the Company was not yet listed on an internationally recognized stock exchange. </w:t>
      </w:r>
    </w:p>
    <w:p>
      <w:pPr>
        <w:pStyle w:val="TextBody"/>
        <w:spacing w:before="120" w:after="0"/>
        <w:jc w:val="left"/>
        <w:rPr>
          <w:rFonts w:ascii="Times New Roman" w:hAnsi="Times New Roman"/>
          <w:sz w:val="20"/>
        </w:rPr>
      </w:pPr>
      <w:r>
        <w:rPr>
          <w:rFonts w:ascii="Times New Roman" w:hAnsi="Times New Roman"/>
          <w:sz w:val="20"/>
        </w:rPr>
        <w:t xml:space="preserve">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so elect within 14 days of the listing of Rezolves Ordinary Shares, Rezolve is to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and would also be required to return the EUR2 million of cash referred to below, if it has been paid. If the Company does not complete an initial public offering by November 30, 2023, the sellers of ANY may terminate the acquisition of ANY. </w:t>
      </w:r>
    </w:p>
    <w:p>
      <w:pPr>
        <w:pStyle w:val="TextBody"/>
        <w:spacing w:before="120" w:after="0"/>
        <w:jc w:val="left"/>
        <w:rPr>
          <w:rFonts w:ascii="Times New Roman" w:hAnsi="Times New Roman"/>
          <w:sz w:val="20"/>
        </w:rPr>
      </w:pPr>
      <w:r>
        <w:rPr>
          <w:rFonts w:ascii="Times New Roman" w:hAnsi="Times New Roman"/>
          <w:sz w:val="20"/>
        </w:rPr>
        <w:t xml:space="preserve">The sellers of ANY may sell EUR two million (equivalent to $2,161,600) of their consideration shares within 60 days of the listing to existing shareholders of Rezolve. If the sellers of ANY do not find an interested buyer in the shares within 60 days, the sellers may elect within 14 days after that 60 day period that Rezolve pays the sellers EUR two million (equivalent to $2,161,600) within 10 business days and upon such payment 2,098,640 of the consideration shares (as adjusted as a result of the Pre-Closing Demerger) held by those sellers will be reclassified as deferred shares. If Rezolve fails to make such payment, the sellers of ANY may reverse the acquisition and would also be required to return the $5 million of cash if it has been paid. </w:t>
      </w:r>
    </w:p>
    <w:p>
      <w:pPr>
        <w:pStyle w:val="TextBody"/>
        <w:spacing w:before="120" w:after="0"/>
        <w:jc w:val="left"/>
        <w:rPr>
          <w:rFonts w:ascii="Times New Roman" w:hAnsi="Times New Roman"/>
          <w:sz w:val="20"/>
        </w:rPr>
      </w:pPr>
      <w:r>
        <w:rPr>
          <w:rFonts w:ascii="Times New Roman" w:hAnsi="Times New Roman"/>
          <w:sz w:val="20"/>
        </w:rPr>
        <w:t xml:space="preserve">ANY was determined to be a Variable Interest Entity with Rezolve to be the Primary Beneficiary in accordance with the provisions of ASC 810 from August 30, 2021. During the period from the negotiations entered into with the Radio Group in December 2022 and indefinitely thereafter, the Company continues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Have the power to direct ANY in a manner which most significantly impacts its economic activity, by having Rezolves chief executive Officer and Chief commercial officer execute all decisions regarding strategy, budgets and marketing,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to absorb any gains,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6"/>
        <w:gridCol w:w="9592"/>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obligation to absorb any losses, via requirement to fund ANY for any cash or working capital shortfalls. </w:t>
            </w:r>
          </w:p>
        </w:tc>
      </w:tr>
    </w:tbl>
    <w:p>
      <w:pPr>
        <w:pStyle w:val="TextBody"/>
        <w:spacing w:before="120" w:after="0"/>
        <w:jc w:val="left"/>
        <w:rPr>
          <w:rFonts w:ascii="Times New Roman" w:hAnsi="Times New Roman"/>
          <w:sz w:val="20"/>
        </w:rPr>
      </w:pPr>
      <w:r>
        <w:rPr>
          <w:rFonts w:ascii="Times New Roman" w:hAnsi="Times New Roman"/>
          <w:sz w:val="20"/>
        </w:rPr>
        <w:t xml:space="preserve">The Company accounted for the ANY Acquisition using the acquisition method of accounting, whereby the total purchase price was allocated to the acquired identifiable net assets of ANY based on assessments of their respective fair values, and the excess of the purchase price over the fair values of these identifiable net assets was allocated to goodwill. A summary of the purchase price and the balance sheet of ANY as at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August 30, 2021 acquisition date is presented in the following table. The balance sheet presented below reflects the Companys final purchase price allocation: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98"/>
        <w:gridCol w:w="744"/>
        <w:gridCol w:w="186"/>
        <w:gridCol w:w="1480"/>
        <w:gridCol w:w="158"/>
      </w:tblGrid>
      <w:tr>
        <w:trPr/>
        <w:tc>
          <w:tcPr>
            <w:tcW w:w="4598"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Contents"/>
              <w:spacing w:before="0" w:after="283"/>
              <w:rPr/>
            </w:pPr>
            <w:r>
              <w:rPr/>
              <w:t> </w:t>
            </w:r>
          </w:p>
        </w:tc>
        <w:tc>
          <w:tcPr>
            <w:tcW w:w="744" w:type="dxa"/>
            <w:tcBorders/>
            <w:shd w:fill="auto" w:val="clear"/>
            <w:vAlign w:val="bottom"/>
          </w:tcPr>
          <w:p>
            <w:pPr>
              <w:pStyle w:val="TableContents"/>
              <w:spacing w:before="0" w:after="283"/>
              <w:rPr/>
            </w:pPr>
            <w:r>
              <w:rPr/>
              <w:t>  </w:t>
            </w:r>
          </w:p>
        </w:tc>
        <w:tc>
          <w:tcPr>
            <w:tcW w:w="16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August 30, 2021</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74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w:t>
            </w:r>
          </w:p>
        </w:tc>
        <w:tc>
          <w:tcPr>
            <w:tcW w:w="1480" w:type="dxa"/>
            <w:tcBorders/>
            <w:shd w:fill="CCEEFF" w:val="clear"/>
            <w:vAlign w:val="bottom"/>
          </w:tcPr>
          <w:p>
            <w:pPr>
              <w:pStyle w:val="TableContents"/>
              <w:spacing w:before="0" w:after="283"/>
              <w:jc w:val="right"/>
              <w:rPr/>
            </w:pPr>
            <w:r>
              <w:rPr/>
              <w:t>29,476</w:t>
            </w:r>
          </w:p>
        </w:tc>
        <w:tc>
          <w:tcPr>
            <w:tcW w:w="158"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74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80" w:type="dxa"/>
            <w:tcBorders/>
            <w:shd w:fill="auto" w:val="clear"/>
            <w:vAlign w:val="bottom"/>
          </w:tcPr>
          <w:p>
            <w:pPr>
              <w:pStyle w:val="TableContents"/>
              <w:spacing w:before="0" w:after="283"/>
              <w:jc w:val="right"/>
              <w:rPr/>
            </w:pPr>
            <w:r>
              <w:rPr/>
              <w:t>18,940</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Property and equipment</w:t>
            </w:r>
          </w:p>
        </w:tc>
        <w:tc>
          <w:tcPr>
            <w:tcW w:w="74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480" w:type="dxa"/>
            <w:tcBorders/>
            <w:shd w:fill="CCEEFF" w:val="clear"/>
            <w:vAlign w:val="bottom"/>
          </w:tcPr>
          <w:p>
            <w:pPr>
              <w:pStyle w:val="TableContents"/>
              <w:spacing w:before="0" w:after="283"/>
              <w:jc w:val="right"/>
              <w:rPr/>
            </w:pPr>
            <w:r>
              <w:rPr/>
              <w:t>71,319</w:t>
            </w:r>
          </w:p>
        </w:tc>
        <w:tc>
          <w:tcPr>
            <w:tcW w:w="158"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Customer list</w:t>
            </w:r>
          </w:p>
        </w:tc>
        <w:tc>
          <w:tcPr>
            <w:tcW w:w="74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80" w:type="dxa"/>
            <w:tcBorders/>
            <w:shd w:fill="auto" w:val="clear"/>
            <w:vAlign w:val="bottom"/>
          </w:tcPr>
          <w:p>
            <w:pPr>
              <w:pStyle w:val="TableContents"/>
              <w:spacing w:before="0" w:after="283"/>
              <w:jc w:val="right"/>
              <w:rPr/>
            </w:pPr>
            <w:r>
              <w:rPr/>
              <w:t>7,093,574</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Goodwill (a)</w:t>
            </w:r>
          </w:p>
        </w:tc>
        <w:tc>
          <w:tcPr>
            <w:tcW w:w="74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480" w:type="dxa"/>
            <w:tcBorders/>
            <w:shd w:fill="CCEEFF" w:val="clear"/>
            <w:vAlign w:val="bottom"/>
          </w:tcPr>
          <w:p>
            <w:pPr>
              <w:pStyle w:val="TableContents"/>
              <w:spacing w:before="0" w:after="283"/>
              <w:jc w:val="right"/>
              <w:rPr/>
            </w:pPr>
            <w:r>
              <w:rPr/>
              <w:t>9,274,173</w:t>
            </w:r>
          </w:p>
        </w:tc>
        <w:tc>
          <w:tcPr>
            <w:tcW w:w="158" w:type="dxa"/>
            <w:tcBorders/>
            <w:shd w:fill="CCEEFF" w:val="clear"/>
            <w:vAlign w:val="bottom"/>
          </w:tcPr>
          <w:p>
            <w:pPr>
              <w:pStyle w:val="TableContents"/>
              <w:spacing w:before="0" w:after="283"/>
              <w:rPr/>
            </w:pPr>
            <w:r>
              <w:rPr/>
              <w:t> </w:t>
            </w:r>
          </w:p>
        </w:tc>
      </w:tr>
      <w:tr>
        <w:trPr/>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liability</w:t>
            </w:r>
          </w:p>
        </w:tc>
        <w:tc>
          <w:tcPr>
            <w:tcW w:w="74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80" w:type="dxa"/>
            <w:tcBorders/>
            <w:shd w:fill="auto" w:val="clear"/>
            <w:vAlign w:val="bottom"/>
          </w:tcPr>
          <w:p>
            <w:pPr>
              <w:pStyle w:val="TableContents"/>
              <w:spacing w:before="0" w:after="283"/>
              <w:jc w:val="right"/>
              <w:rPr/>
            </w:pPr>
            <w:r>
              <w:rPr/>
              <w:t>(1,884,457</w:t>
            </w:r>
          </w:p>
        </w:tc>
        <w:tc>
          <w:tcPr>
            <w:tcW w:w="158" w:type="dxa"/>
            <w:tcBorders/>
            <w:shd w:fill="auto" w:val="clear"/>
            <w:vAlign w:val="bottom"/>
          </w:tcPr>
          <w:p>
            <w:pPr>
              <w:pStyle w:val="TableContents"/>
              <w:spacing w:before="0" w:after="283"/>
              <w:rPr/>
            </w:pPr>
            <w:r>
              <w:rPr/>
              <w:t>) </w:t>
            </w:r>
          </w:p>
        </w:tc>
      </w:tr>
      <w:tr>
        <w:trPr/>
        <w:tc>
          <w:tcPr>
            <w:tcW w:w="4598" w:type="dxa"/>
            <w:tcBorders/>
            <w:shd w:fill="CCEEFF" w:val="clear"/>
          </w:tcPr>
          <w:p>
            <w:pPr>
              <w:pStyle w:val="TableContents"/>
              <w:spacing w:before="0" w:after="0"/>
              <w:rPr>
                <w:rFonts w:ascii="Times New Roman" w:hAnsi="Times New Roman"/>
                <w:sz w:val="20"/>
              </w:rPr>
            </w:pPr>
            <w:r>
              <w:rPr>
                <w:rFonts w:ascii="Times New Roman" w:hAnsi="Times New Roman"/>
                <w:sz w:val="20"/>
              </w:rPr>
              <w:t>Other payables</w:t>
            </w:r>
          </w:p>
        </w:tc>
        <w:tc>
          <w:tcPr>
            <w:tcW w:w="744"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480" w:type="dxa"/>
            <w:tcBorders/>
            <w:shd w:fill="CCEEFF" w:val="clear"/>
            <w:vAlign w:val="bottom"/>
          </w:tcPr>
          <w:p>
            <w:pPr>
              <w:pStyle w:val="TableContents"/>
              <w:spacing w:before="0" w:after="283"/>
              <w:jc w:val="right"/>
              <w:rPr/>
            </w:pPr>
            <w:r>
              <w:rPr/>
              <w:t>(3,025</w:t>
            </w:r>
          </w:p>
        </w:tc>
        <w:tc>
          <w:tcPr>
            <w:tcW w:w="158" w:type="dxa"/>
            <w:tcBorders/>
            <w:shd w:fill="CCEEFF" w:val="clear"/>
            <w:vAlign w:val="bottom"/>
          </w:tcPr>
          <w:p>
            <w:pPr>
              <w:pStyle w:val="TableContents"/>
              <w:spacing w:before="0" w:after="283"/>
              <w:rPr/>
            </w:pPr>
            <w:r>
              <w:rPr/>
              <w:t>) </w:t>
            </w:r>
          </w:p>
        </w:tc>
      </w:tr>
      <w:tr>
        <w:trPr/>
        <w:tc>
          <w:tcPr>
            <w:tcW w:w="4598" w:type="dxa"/>
            <w:tcBorders/>
            <w:shd w:fill="auto"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single" w:sz="2" w:space="1" w:color="000000"/>
              </w:pBdr>
              <w:spacing w:before="0" w:after="0"/>
              <w:rPr/>
            </w:pPr>
            <w:r>
              <w:rPr/>
              <w:t> </w:t>
            </w:r>
          </w:p>
        </w:tc>
        <w:tc>
          <w:tcPr>
            <w:tcW w:w="1480"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598"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Purchase Price (b)</w:t>
            </w:r>
          </w:p>
        </w:tc>
        <w:tc>
          <w:tcPr>
            <w:tcW w:w="74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480" w:type="dxa"/>
            <w:tcBorders/>
            <w:shd w:fill="auto" w:val="clear"/>
            <w:vAlign w:val="bottom"/>
          </w:tcPr>
          <w:p>
            <w:pPr>
              <w:pStyle w:val="TableContents"/>
              <w:spacing w:before="0" w:after="283"/>
              <w:jc w:val="right"/>
              <w:rPr>
                <w:b/>
              </w:rPr>
            </w:pPr>
            <w:r>
              <w:rPr>
                <w:b/>
              </w:rPr>
              <w:t>14,600,000</w:t>
            </w:r>
          </w:p>
        </w:tc>
        <w:tc>
          <w:tcPr>
            <w:tcW w:w="158" w:type="dxa"/>
            <w:tcBorders/>
            <w:shd w:fill="auto" w:val="clear"/>
            <w:vAlign w:val="bottom"/>
          </w:tcPr>
          <w:p>
            <w:pPr>
              <w:pStyle w:val="TableContents"/>
              <w:spacing w:before="0" w:after="283"/>
              <w:rPr/>
            </w:pPr>
            <w:r>
              <w:rPr/>
              <w:t> </w:t>
            </w:r>
          </w:p>
        </w:tc>
      </w:tr>
      <w:tr>
        <w:trPr/>
        <w:tc>
          <w:tcPr>
            <w:tcW w:w="4598" w:type="dxa"/>
            <w:tcBorders/>
            <w:shd w:fill="auto" w:val="clear"/>
            <w:vAlign w:val="bottom"/>
          </w:tcPr>
          <w:p>
            <w:pPr>
              <w:pStyle w:val="TableContents"/>
              <w:spacing w:before="0" w:after="283"/>
              <w:rPr>
                <w:sz w:val="4"/>
                <w:szCs w:val="4"/>
              </w:rPr>
            </w:pPr>
            <w:r>
              <w:rPr>
                <w:sz w:val="4"/>
                <w:szCs w:val="4"/>
              </w:rPr>
            </w:r>
          </w:p>
        </w:tc>
        <w:tc>
          <w:tcPr>
            <w:tcW w:w="744"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pBdr>
                <w:top w:val="double" w:sz="6" w:space="1" w:color="000000"/>
              </w:pBdr>
              <w:spacing w:before="0" w:after="0"/>
              <w:rPr/>
            </w:pPr>
            <w:r>
              <w:rPr/>
              <w:t> </w:t>
            </w:r>
          </w:p>
        </w:tc>
        <w:tc>
          <w:tcPr>
            <w:tcW w:w="1480"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(a)</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Goodwill is the excess of the consideration transferred over the net assets recognized and represents the expected future economic benefits as a result of other assets acquired that could not be individually identified and separately recognized. Goodwill is not amortized. </w:t>
            </w:r>
          </w:p>
        </w:tc>
      </w:tr>
    </w:tbl>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(b)</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Excludes direct acquisition costs of $0.08 million incurred during 2021, which are included in General and Administrative Expenses, in our consolidated statement of operations. </w:t>
            </w:r>
          </w:p>
        </w:tc>
      </w:tr>
    </w:tbl>
    <w:p>
      <w:pPr>
        <w:pStyle w:val="TextBody"/>
        <w:spacing w:before="360" w:after="0"/>
        <w:jc w:val="left"/>
        <w:rPr>
          <w:rFonts w:ascii="Times New Roman" w:hAnsi="Times New Roman"/>
          <w:i/>
          <w:sz w:val="20"/>
        </w:rPr>
      </w:pPr>
      <w:r>
        <w:rPr>
          <w:rFonts w:ascii="Times New Roman" w:hAnsi="Times New Roman"/>
          <w:i/>
          <w:sz w:val="20"/>
        </w:rPr>
        <w:t xml:space="preserve">Acquisition of Jaymax International Service Inc. (the Jaymax Acquisition) </w:t>
      </w:r>
    </w:p>
    <w:p>
      <w:pPr>
        <w:pStyle w:val="TextBody"/>
        <w:spacing w:before="120" w:after="0"/>
        <w:jc w:val="left"/>
        <w:rPr>
          <w:rFonts w:ascii="Times New Roman" w:hAnsi="Times New Roman"/>
          <w:sz w:val="20"/>
        </w:rPr>
      </w:pPr>
      <w:r>
        <w:rPr>
          <w:rFonts w:ascii="Times New Roman" w:hAnsi="Times New Roman"/>
          <w:sz w:val="20"/>
        </w:rPr>
        <w:t xml:space="preserve">On October 7, 2021, the Company acquired Jaymax International Service Inc. (Jaymax), an on demand human resource Company based in Taipei, Taiwan for cash consideration of $NTD 40,000 ($1,415). The acquisition of Jaymax was done so to provide an established sales team in Taiwan to market the use of the Companys technology. </w:t>
      </w:r>
    </w:p>
    <w:p>
      <w:pPr>
        <w:pStyle w:val="TextBody"/>
        <w:spacing w:before="120" w:after="0"/>
        <w:jc w:val="left"/>
        <w:rPr>
          <w:rFonts w:ascii="Times New Roman" w:hAnsi="Times New Roman"/>
          <w:sz w:val="20"/>
        </w:rPr>
      </w:pPr>
      <w:r>
        <w:rPr>
          <w:rFonts w:ascii="Times New Roman" w:hAnsi="Times New Roman"/>
          <w:sz w:val="20"/>
        </w:rPr>
        <w:t xml:space="preserve">As part of the acquisition of Jaymax, the Company were to issue $1,400,000 in Rezolve ordinary shares to Jaymaxs former owner for completion of a 3-year noncompete period which began on the October 7, 2021 (Note 8.4). </w:t>
      </w:r>
    </w:p>
    <w:p>
      <w:pPr>
        <w:pStyle w:val="TextBody"/>
        <w:spacing w:before="120" w:after="0"/>
        <w:jc w:val="left"/>
        <w:rPr>
          <w:rFonts w:ascii="Times New Roman" w:hAnsi="Times New Roman"/>
          <w:sz w:val="20"/>
        </w:rPr>
      </w:pPr>
      <w:r>
        <w:rPr>
          <w:rFonts w:ascii="Times New Roman" w:hAnsi="Times New Roman"/>
          <w:sz w:val="20"/>
        </w:rPr>
        <w:t xml:space="preserve">The Company accounted for the Jaymax Acquisition using the acquisition method of accounting, whereby the total purchase price was allocated to the acquired identifiable net assets of Jaymax based on assessments of their respective fair values, and the excess of the purchase price over the fair values of these identifiable net assets was allocated to goodwill. A summary of the purchase price and the balance sheet of Jaymax at the October 7, 2021 acquisition date is presented in the following table. The balance sheet presented below reflects the Companys final purchase price allocation: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685"/>
        <w:gridCol w:w="658"/>
        <w:gridCol w:w="192"/>
        <w:gridCol w:w="1474"/>
        <w:gridCol w:w="157"/>
      </w:tblGrid>
      <w:tr>
        <w:trPr/>
        <w:tc>
          <w:tcPr>
            <w:tcW w:w="4685"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8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c>
          <w:tcPr>
            <w:tcW w:w="16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October 7, 2021</w:t>
            </w:r>
          </w:p>
        </w:tc>
        <w:tc>
          <w:tcPr>
            <w:tcW w:w="157" w:type="dxa"/>
            <w:tcBorders/>
            <w:shd w:fill="auto" w:val="clear"/>
            <w:vAlign w:val="bottom"/>
          </w:tcPr>
          <w:p>
            <w:pPr>
              <w:pStyle w:val="TableContents"/>
              <w:spacing w:before="0" w:after="283"/>
              <w:rPr/>
            </w:pPr>
            <w:r>
              <w:rPr/>
              <w:t> </w:t>
            </w:r>
          </w:p>
        </w:tc>
      </w:tr>
      <w:tr>
        <w:trPr/>
        <w:tc>
          <w:tcPr>
            <w:tcW w:w="4685"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6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w:t>
            </w:r>
          </w:p>
        </w:tc>
        <w:tc>
          <w:tcPr>
            <w:tcW w:w="1474" w:type="dxa"/>
            <w:tcBorders/>
            <w:shd w:fill="CCEEFF" w:val="clear"/>
            <w:vAlign w:val="bottom"/>
          </w:tcPr>
          <w:p>
            <w:pPr>
              <w:pStyle w:val="TableContents"/>
              <w:spacing w:before="0" w:after="283"/>
              <w:jc w:val="right"/>
              <w:rPr/>
            </w:pPr>
            <w:r>
              <w:rPr/>
              <w:t>450,775</w:t>
            </w:r>
          </w:p>
        </w:tc>
        <w:tc>
          <w:tcPr>
            <w:tcW w:w="157" w:type="dxa"/>
            <w:tcBorders/>
            <w:shd w:fill="CCEEFF" w:val="clear"/>
            <w:vAlign w:val="bottom"/>
          </w:tcPr>
          <w:p>
            <w:pPr>
              <w:pStyle w:val="TableContents"/>
              <w:spacing w:before="0" w:after="283"/>
              <w:rPr/>
            </w:pPr>
            <w:r>
              <w:rPr/>
              <w:t> </w:t>
            </w:r>
          </w:p>
        </w:tc>
      </w:tr>
      <w:tr>
        <w:trPr/>
        <w:tc>
          <w:tcPr>
            <w:tcW w:w="4685"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1,156,752</w:t>
            </w:r>
          </w:p>
        </w:tc>
        <w:tc>
          <w:tcPr>
            <w:tcW w:w="157" w:type="dxa"/>
            <w:tcBorders/>
            <w:shd w:fill="auto" w:val="clear"/>
            <w:vAlign w:val="bottom"/>
          </w:tcPr>
          <w:p>
            <w:pPr>
              <w:pStyle w:val="TableContents"/>
              <w:spacing w:before="0" w:after="283"/>
              <w:rPr/>
            </w:pPr>
            <w:r>
              <w:rPr/>
              <w:t> </w:t>
            </w:r>
          </w:p>
        </w:tc>
      </w:tr>
      <w:tr>
        <w:trPr/>
        <w:tc>
          <w:tcPr>
            <w:tcW w:w="4685" w:type="dxa"/>
            <w:tcBorders/>
            <w:shd w:fill="CCEEFF" w:val="clear"/>
          </w:tcPr>
          <w:p>
            <w:pPr>
              <w:pStyle w:val="TableContents"/>
              <w:spacing w:before="0" w:after="0"/>
              <w:rPr>
                <w:rFonts w:ascii="Times New Roman" w:hAnsi="Times New Roman"/>
                <w:sz w:val="20"/>
              </w:rPr>
            </w:pPr>
            <w:r>
              <w:rPr>
                <w:rFonts w:ascii="Times New Roman" w:hAnsi="Times New Roman"/>
                <w:sz w:val="20"/>
              </w:rPr>
              <w:t>Inventory</w:t>
            </w:r>
          </w:p>
        </w:tc>
        <w:tc>
          <w:tcPr>
            <w:tcW w:w="6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1,217,244</w:t>
            </w:r>
          </w:p>
        </w:tc>
        <w:tc>
          <w:tcPr>
            <w:tcW w:w="157" w:type="dxa"/>
            <w:tcBorders/>
            <w:shd w:fill="CCEEFF" w:val="clear"/>
            <w:vAlign w:val="bottom"/>
          </w:tcPr>
          <w:p>
            <w:pPr>
              <w:pStyle w:val="TableContents"/>
              <w:spacing w:before="0" w:after="283"/>
              <w:rPr/>
            </w:pPr>
            <w:r>
              <w:rPr/>
              <w:t> </w:t>
            </w:r>
          </w:p>
        </w:tc>
      </w:tr>
      <w:tr>
        <w:trPr/>
        <w:tc>
          <w:tcPr>
            <w:tcW w:w="4685" w:type="dxa"/>
            <w:tcBorders/>
            <w:shd w:fill="auto" w:val="clear"/>
          </w:tcPr>
          <w:p>
            <w:pPr>
              <w:pStyle w:val="TableContents"/>
              <w:spacing w:before="0" w:after="0"/>
              <w:rPr>
                <w:rFonts w:ascii="Times New Roman" w:hAnsi="Times New Roman"/>
                <w:sz w:val="20"/>
              </w:rPr>
            </w:pPr>
            <w:r>
              <w:rPr>
                <w:rFonts w:ascii="Times New Roman" w:hAnsi="Times New Roman"/>
                <w:sz w:val="20"/>
              </w:rPr>
              <w:t>Other assets</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20,570</w:t>
            </w:r>
          </w:p>
        </w:tc>
        <w:tc>
          <w:tcPr>
            <w:tcW w:w="157" w:type="dxa"/>
            <w:tcBorders/>
            <w:shd w:fill="auto" w:val="clear"/>
            <w:vAlign w:val="bottom"/>
          </w:tcPr>
          <w:p>
            <w:pPr>
              <w:pStyle w:val="TableContents"/>
              <w:spacing w:before="0" w:after="283"/>
              <w:rPr/>
            </w:pPr>
            <w:r>
              <w:rPr/>
              <w:t> </w:t>
            </w:r>
          </w:p>
        </w:tc>
      </w:tr>
      <w:tr>
        <w:trPr/>
        <w:tc>
          <w:tcPr>
            <w:tcW w:w="4685" w:type="dxa"/>
            <w:tcBorders/>
            <w:shd w:fill="CCEEFF" w:val="clear"/>
          </w:tcPr>
          <w:p>
            <w:pPr>
              <w:pStyle w:val="TableContents"/>
              <w:spacing w:before="0" w:after="0"/>
              <w:rPr>
                <w:rFonts w:ascii="Times New Roman" w:hAnsi="Times New Roman"/>
                <w:sz w:val="20"/>
              </w:rPr>
            </w:pPr>
            <w:r>
              <w:rPr>
                <w:rFonts w:ascii="Times New Roman" w:hAnsi="Times New Roman"/>
                <w:sz w:val="20"/>
              </w:rPr>
              <w:t>Goodwill (a)</w:t>
            </w:r>
          </w:p>
        </w:tc>
        <w:tc>
          <w:tcPr>
            <w:tcW w:w="6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76,605</w:t>
            </w:r>
          </w:p>
        </w:tc>
        <w:tc>
          <w:tcPr>
            <w:tcW w:w="157" w:type="dxa"/>
            <w:tcBorders/>
            <w:shd w:fill="CCEEFF" w:val="clear"/>
            <w:vAlign w:val="bottom"/>
          </w:tcPr>
          <w:p>
            <w:pPr>
              <w:pStyle w:val="TableContents"/>
              <w:spacing w:before="0" w:after="283"/>
              <w:rPr/>
            </w:pPr>
            <w:r>
              <w:rPr/>
              <w:t> </w:t>
            </w:r>
          </w:p>
        </w:tc>
      </w:tr>
      <w:tr>
        <w:trPr/>
        <w:tc>
          <w:tcPr>
            <w:tcW w:w="4685" w:type="dxa"/>
            <w:tcBorders/>
            <w:shd w:fill="auto" w:val="clear"/>
          </w:tcPr>
          <w:p>
            <w:pPr>
              <w:pStyle w:val="TableContents"/>
              <w:spacing w:before="0" w:after="0"/>
              <w:rPr>
                <w:rFonts w:ascii="Times New Roman" w:hAnsi="Times New Roman"/>
                <w:sz w:val="20"/>
              </w:rPr>
            </w:pPr>
            <w:r>
              <w:rPr>
                <w:rFonts w:ascii="Times New Roman" w:hAnsi="Times New Roman"/>
                <w:sz w:val="20"/>
              </w:rPr>
              <w:t>Other payables and accrued liabilities</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pPr>
            <w:r>
              <w:rPr/>
              <w:t>(1,519,937</w:t>
            </w:r>
          </w:p>
        </w:tc>
        <w:tc>
          <w:tcPr>
            <w:tcW w:w="157" w:type="dxa"/>
            <w:tcBorders/>
            <w:shd w:fill="auto" w:val="clear"/>
            <w:vAlign w:val="bottom"/>
          </w:tcPr>
          <w:p>
            <w:pPr>
              <w:pStyle w:val="TableContents"/>
              <w:spacing w:before="0" w:after="283"/>
              <w:rPr/>
            </w:pPr>
            <w:r>
              <w:rPr/>
              <w:t>) </w:t>
            </w:r>
          </w:p>
        </w:tc>
      </w:tr>
      <w:tr>
        <w:trPr/>
        <w:tc>
          <w:tcPr>
            <w:tcW w:w="4685" w:type="dxa"/>
            <w:tcBorders/>
            <w:shd w:fill="CCEEFF" w:val="clear"/>
          </w:tcPr>
          <w:p>
            <w:pPr>
              <w:pStyle w:val="TableContents"/>
              <w:spacing w:before="0" w:after="0"/>
              <w:rPr>
                <w:rFonts w:ascii="Times New Roman" w:hAnsi="Times New Roman"/>
                <w:sz w:val="20"/>
              </w:rPr>
            </w:pPr>
            <w:r>
              <w:rPr>
                <w:rFonts w:ascii="Times New Roman" w:hAnsi="Times New Roman"/>
                <w:sz w:val="20"/>
              </w:rPr>
              <w:t>Short-term debt</w:t>
            </w:r>
          </w:p>
        </w:tc>
        <w:tc>
          <w:tcPr>
            <w:tcW w:w="658"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74" w:type="dxa"/>
            <w:tcBorders/>
            <w:shd w:fill="CCEEFF" w:val="clear"/>
            <w:vAlign w:val="bottom"/>
          </w:tcPr>
          <w:p>
            <w:pPr>
              <w:pStyle w:val="TableContents"/>
              <w:spacing w:before="0" w:after="283"/>
              <w:jc w:val="right"/>
              <w:rPr/>
            </w:pPr>
            <w:r>
              <w:rPr/>
              <w:t>(1,400,579</w:t>
            </w:r>
          </w:p>
        </w:tc>
        <w:tc>
          <w:tcPr>
            <w:tcW w:w="157" w:type="dxa"/>
            <w:tcBorders/>
            <w:shd w:fill="CCEEFF" w:val="clear"/>
            <w:vAlign w:val="bottom"/>
          </w:tcPr>
          <w:p>
            <w:pPr>
              <w:pStyle w:val="TableContents"/>
              <w:spacing w:before="0" w:after="283"/>
              <w:rPr/>
            </w:pPr>
            <w:r>
              <w:rPr/>
              <w:t>) </w:t>
            </w:r>
          </w:p>
        </w:tc>
      </w:tr>
      <w:tr>
        <w:trPr/>
        <w:tc>
          <w:tcPr>
            <w:tcW w:w="4685"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pBdr>
                <w:top w:val="single" w:sz="2" w:space="1" w:color="000000"/>
              </w:pBdr>
              <w:spacing w:before="0" w:after="0"/>
              <w:rPr/>
            </w:pPr>
            <w:r>
              <w:rPr/>
              <w:t> </w:t>
            </w:r>
          </w:p>
        </w:tc>
        <w:tc>
          <w:tcPr>
            <w:tcW w:w="1474"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468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Purchase Price (b)</w:t>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74" w:type="dxa"/>
            <w:tcBorders/>
            <w:shd w:fill="auto" w:val="clear"/>
            <w:vAlign w:val="bottom"/>
          </w:tcPr>
          <w:p>
            <w:pPr>
              <w:pStyle w:val="TableContents"/>
              <w:spacing w:before="0" w:after="283"/>
              <w:jc w:val="right"/>
              <w:rPr>
                <w:b/>
              </w:rPr>
            </w:pPr>
            <w:r>
              <w:rPr>
                <w:b/>
              </w:rPr>
              <w:t>1,430</w:t>
            </w:r>
          </w:p>
        </w:tc>
        <w:tc>
          <w:tcPr>
            <w:tcW w:w="157" w:type="dxa"/>
            <w:tcBorders/>
            <w:shd w:fill="auto" w:val="clear"/>
            <w:vAlign w:val="bottom"/>
          </w:tcPr>
          <w:p>
            <w:pPr>
              <w:pStyle w:val="TableContents"/>
              <w:spacing w:before="0" w:after="283"/>
              <w:rPr/>
            </w:pPr>
            <w:r>
              <w:rPr/>
              <w:t> </w:t>
            </w:r>
          </w:p>
        </w:tc>
      </w:tr>
      <w:tr>
        <w:trPr/>
        <w:tc>
          <w:tcPr>
            <w:tcW w:w="4685" w:type="dxa"/>
            <w:tcBorders/>
            <w:shd w:fill="auto" w:val="clear"/>
            <w:vAlign w:val="bottom"/>
          </w:tcPr>
          <w:p>
            <w:pPr>
              <w:pStyle w:val="TableContents"/>
              <w:spacing w:before="0" w:after="283"/>
              <w:rPr>
                <w:sz w:val="4"/>
                <w:szCs w:val="4"/>
              </w:rPr>
            </w:pPr>
            <w:r>
              <w:rPr>
                <w:sz w:val="4"/>
                <w:szCs w:val="4"/>
              </w:rPr>
            </w:r>
          </w:p>
        </w:tc>
        <w:tc>
          <w:tcPr>
            <w:tcW w:w="658"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pBdr>
                <w:top w:val="double" w:sz="6" w:space="1" w:color="000000"/>
              </w:pBdr>
              <w:spacing w:before="0" w:after="0"/>
              <w:rPr/>
            </w:pPr>
            <w:r>
              <w:rPr/>
              <w:t> </w:t>
            </w:r>
          </w:p>
        </w:tc>
        <w:tc>
          <w:tcPr>
            <w:tcW w:w="1474" w:type="dxa"/>
            <w:tcBorders/>
            <w:shd w:fill="auto" w:val="clear"/>
            <w:vAlign w:val="bottom"/>
          </w:tcPr>
          <w:p>
            <w:pPr>
              <w:pStyle w:val="TableContents"/>
              <w:pBdr>
                <w:top w:val="double" w:sz="6"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(a)</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Goodwill is the excess of the consideration transferred over the net assets recognized and represents the expected future economic benefits as a result of other assets acquired that could not be individually identified and separately recognized. Goodwill is not amortized.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(b)</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Excludes direct acquisition costs of $.48 million incurred during 2021, which are included in General and Administrative Expenses, in our consolidated statement of operations </w:t>
            </w:r>
          </w:p>
        </w:tc>
      </w:tr>
    </w:tbl>
    <w:p>
      <w:pPr>
        <w:pStyle w:val="TextBody"/>
        <w:spacing w:before="360" w:after="0"/>
        <w:jc w:val="left"/>
        <w:rPr>
          <w:rFonts w:ascii="Times New Roman" w:hAnsi="Times New Roman"/>
          <w:i/>
          <w:sz w:val="20"/>
        </w:rPr>
      </w:pPr>
      <w:r>
        <w:rPr>
          <w:rFonts w:ascii="Times New Roman" w:hAnsi="Times New Roman"/>
          <w:i/>
          <w:sz w:val="20"/>
        </w:rPr>
        <w:t xml:space="preserve">Pro Forma Information </w:t>
      </w:r>
    </w:p>
    <w:p>
      <w:pPr>
        <w:pStyle w:val="TextBody"/>
        <w:spacing w:before="120" w:after="0"/>
        <w:jc w:val="left"/>
        <w:rPr>
          <w:rFonts w:ascii="Times New Roman" w:hAnsi="Times New Roman"/>
          <w:sz w:val="20"/>
        </w:rPr>
      </w:pPr>
      <w:r>
        <w:rPr>
          <w:rFonts w:ascii="Times New Roman" w:hAnsi="Times New Roman"/>
          <w:sz w:val="20"/>
        </w:rPr>
        <w:t xml:space="preserve">The following unaudited pro forma consolidated operating results give effect to the ANY Acquisition as if it had been completed as of January 1, 2021. No effect has been given to the Jaymax Acquisition since it would not have had a significant impact on our results of operations during 2021. These pro forma amounts are not necessarily indicative of the operating results that would have occurred if the ANY Acquisition had occurred on such date. The pro forma adjustments are based on certain assumptions that we believe are reasonable.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371"/>
        <w:gridCol w:w="569"/>
        <w:gridCol w:w="94"/>
        <w:gridCol w:w="1973"/>
        <w:gridCol w:w="159"/>
      </w:tblGrid>
      <w:tr>
        <w:trPr/>
        <w:tc>
          <w:tcPr>
            <w:tcW w:w="437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37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20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9" w:type="dxa"/>
            <w:tcBorders/>
            <w:shd w:fill="auto" w:val="clear"/>
            <w:vAlign w:val="bottom"/>
          </w:tcPr>
          <w:p>
            <w:pPr>
              <w:pStyle w:val="TableContents"/>
              <w:spacing w:before="0" w:after="283"/>
              <w:rPr/>
            </w:pPr>
            <w:r>
              <w:rPr/>
              <w:t> </w:t>
            </w:r>
          </w:p>
        </w:tc>
      </w:tr>
      <w:tr>
        <w:trPr/>
        <w:tc>
          <w:tcPr>
            <w:tcW w:w="4371" w:type="dxa"/>
            <w:tcBorders/>
            <w:shd w:fill="CCEEFF" w:val="clear"/>
          </w:tcPr>
          <w:p>
            <w:pPr>
              <w:pStyle w:val="TableContents"/>
              <w:spacing w:before="0" w:after="0"/>
              <w:rPr>
                <w:rFonts w:ascii="Times New Roman" w:hAnsi="Times New Roman"/>
                <w:sz w:val="20"/>
              </w:rPr>
            </w:pPr>
            <w:r>
              <w:rPr>
                <w:rFonts w:ascii="Times New Roman" w:hAnsi="Times New Roman"/>
                <w:sz w:val="20"/>
              </w:rPr>
              <w:t>Revenue</w:t>
            </w:r>
          </w:p>
        </w:tc>
        <w:tc>
          <w:tcPr>
            <w:tcW w:w="569"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6,069,872</w:t>
            </w:r>
          </w:p>
        </w:tc>
        <w:tc>
          <w:tcPr>
            <w:tcW w:w="159" w:type="dxa"/>
            <w:tcBorders/>
            <w:shd w:fill="CCEEFF" w:val="clear"/>
            <w:vAlign w:val="bottom"/>
          </w:tcPr>
          <w:p>
            <w:pPr>
              <w:pStyle w:val="TableContents"/>
              <w:spacing w:before="0" w:after="283"/>
              <w:rPr/>
            </w:pPr>
            <w:r>
              <w:rPr/>
              <w:t> </w:t>
            </w:r>
          </w:p>
        </w:tc>
      </w:tr>
      <w:tr>
        <w:trPr/>
        <w:tc>
          <w:tcPr>
            <w:tcW w:w="4371" w:type="dxa"/>
            <w:tcBorders/>
            <w:shd w:fill="auto" w:val="clear"/>
          </w:tcPr>
          <w:p>
            <w:pPr>
              <w:pStyle w:val="TableContents"/>
              <w:spacing w:before="0" w:after="0"/>
              <w:rPr>
                <w:rFonts w:ascii="Times New Roman" w:hAnsi="Times New Roman"/>
                <w:sz w:val="20"/>
              </w:rPr>
            </w:pPr>
            <w:r>
              <w:rPr>
                <w:rFonts w:ascii="Times New Roman" w:hAnsi="Times New Roman"/>
                <w:sz w:val="20"/>
              </w:rPr>
              <w:t>Net loss attributable to Rezolve shareholders</w:t>
            </w:r>
          </w:p>
        </w:tc>
        <w:tc>
          <w:tcPr>
            <w:tcW w:w="569"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973" w:type="dxa"/>
            <w:tcBorders/>
            <w:shd w:fill="auto" w:val="clear"/>
            <w:vAlign w:val="bottom"/>
          </w:tcPr>
          <w:p>
            <w:pPr>
              <w:pStyle w:val="TableContents"/>
              <w:spacing w:before="0" w:after="283"/>
              <w:jc w:val="right"/>
              <w:rPr/>
            </w:pPr>
            <w:r>
              <w:rPr/>
              <w:t>(37,459,485</w:t>
            </w:r>
          </w:p>
        </w:tc>
        <w:tc>
          <w:tcPr>
            <w:tcW w:w="159" w:type="dxa"/>
            <w:tcBorders/>
            <w:shd w:fill="auto" w:val="clear"/>
            <w:vAlign w:val="bottom"/>
          </w:tcPr>
          <w:p>
            <w:pPr>
              <w:pStyle w:val="TableContents"/>
              <w:spacing w:before="0" w:after="283"/>
              <w:rPr/>
            </w:pPr>
            <w:r>
              <w:rPr/>
              <w:t>) </w:t>
            </w:r>
          </w:p>
        </w:tc>
      </w:tr>
      <w:tr>
        <w:trPr/>
        <w:tc>
          <w:tcPr>
            <w:tcW w:w="4371" w:type="dxa"/>
            <w:tcBorders/>
            <w:shd w:fill="auto" w:val="clear"/>
            <w:vAlign w:val="bottom"/>
          </w:tcPr>
          <w:p>
            <w:pPr>
              <w:pStyle w:val="TableContents"/>
              <w:spacing w:before="0" w:after="283"/>
              <w:rPr>
                <w:sz w:val="4"/>
                <w:szCs w:val="4"/>
              </w:rPr>
            </w:pPr>
            <w:r>
              <w:rPr>
                <w:sz w:val="4"/>
                <w:szCs w:val="4"/>
              </w:rPr>
            </w:r>
          </w:p>
        </w:tc>
        <w:tc>
          <w:tcPr>
            <w:tcW w:w="569"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97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371" w:type="dxa"/>
            <w:tcBorders/>
            <w:shd w:fill="CCEEFF" w:val="clear"/>
          </w:tcPr>
          <w:p>
            <w:pPr>
              <w:pStyle w:val="TableContents"/>
              <w:spacing w:before="0" w:after="0"/>
              <w:rPr>
                <w:rFonts w:ascii="Times New Roman" w:hAnsi="Times New Roman"/>
                <w:b/>
                <w:sz w:val="20"/>
              </w:rPr>
            </w:pPr>
            <w:r>
              <w:rPr>
                <w:rFonts w:ascii="Times New Roman" w:hAnsi="Times New Roman"/>
                <w:b/>
                <w:sz w:val="20"/>
              </w:rPr>
              <w:t>Basic and diluted loss per share for Rezolve shareholders</w:t>
            </w:r>
          </w:p>
        </w:tc>
        <w:tc>
          <w:tcPr>
            <w:tcW w:w="569"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973" w:type="dxa"/>
            <w:tcBorders/>
            <w:shd w:fill="CCEEFF" w:val="clear"/>
            <w:vAlign w:val="bottom"/>
          </w:tcPr>
          <w:p>
            <w:pPr>
              <w:pStyle w:val="TableContents"/>
              <w:spacing w:before="0" w:after="283"/>
              <w:jc w:val="right"/>
              <w:rPr/>
            </w:pPr>
            <w:r>
              <w:rPr/>
              <w:t>(.04</w:t>
            </w:r>
          </w:p>
        </w:tc>
        <w:tc>
          <w:tcPr>
            <w:tcW w:w="159" w:type="dxa"/>
            <w:tcBorders/>
            <w:shd w:fill="CCEEFF" w:val="clear"/>
            <w:vAlign w:val="bottom"/>
          </w:tcPr>
          <w:p>
            <w:pPr>
              <w:pStyle w:val="TableContents"/>
              <w:spacing w:before="0" w:after="283"/>
              <w:rPr/>
            </w:pPr>
            <w:r>
              <w:rPr/>
              <w:t>) </w:t>
            </w:r>
          </w:p>
        </w:tc>
      </w:tr>
      <w:tr>
        <w:trPr/>
        <w:tc>
          <w:tcPr>
            <w:tcW w:w="4371" w:type="dxa"/>
            <w:tcBorders/>
            <w:shd w:fill="auto" w:val="clear"/>
            <w:vAlign w:val="bottom"/>
          </w:tcPr>
          <w:p>
            <w:pPr>
              <w:pStyle w:val="TableContents"/>
              <w:spacing w:before="0" w:after="283"/>
              <w:rPr>
                <w:sz w:val="4"/>
                <w:szCs w:val="4"/>
              </w:rPr>
            </w:pPr>
            <w:r>
              <w:rPr>
                <w:sz w:val="4"/>
                <w:szCs w:val="4"/>
              </w:rPr>
            </w:r>
          </w:p>
        </w:tc>
        <w:tc>
          <w:tcPr>
            <w:tcW w:w="569"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double" w:sz="6" w:space="1" w:color="000000"/>
              </w:pBdr>
              <w:spacing w:before="0" w:after="0"/>
              <w:rPr/>
            </w:pPr>
            <w:r>
              <w:rPr/>
              <w:t> </w:t>
            </w:r>
          </w:p>
        </w:tc>
        <w:tc>
          <w:tcPr>
            <w:tcW w:w="197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Our consolidated statement of operations for the year ended December 31, 2021 includes revenue and a net loss of $3,842,207 and $223,719, respectively, attributable to ANY.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16.</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Related party disclosures </w:t>
            </w:r>
          </w:p>
        </w:tc>
      </w:tr>
    </w:tbl>
    <w:p>
      <w:pPr>
        <w:pStyle w:val="TextBody"/>
        <w:spacing w:before="120" w:after="0"/>
        <w:jc w:val="left"/>
        <w:rPr>
          <w:rFonts w:ascii="Times New Roman" w:hAnsi="Times New Roman"/>
          <w:b/>
          <w:sz w:val="20"/>
          <w:u w:val="single"/>
        </w:rPr>
      </w:pPr>
      <w:r>
        <w:rPr>
          <w:rFonts w:ascii="Times New Roman" w:hAnsi="Times New Roman"/>
          <w:b/>
          <w:sz w:val="20"/>
          <w:u w:val="single"/>
        </w:rPr>
        <w:t xml:space="preserve">Key managerial personnel (KMP) and Members of their immediate families </w:t>
      </w:r>
    </w:p>
    <w:p>
      <w:pPr>
        <w:pStyle w:val="TextBody"/>
        <w:spacing w:before="0" w:after="0"/>
        <w:jc w:val="left"/>
        <w:rPr/>
      </w:pPr>
      <w:r>
        <w:rPr/>
        <w:t> </w:t>
      </w:r>
    </w:p>
    <w:tbl>
      <w:tblPr>
        <w:tblW w:w="4800" w:type="pct"/>
        <w:jc w:val="right"/>
        <w:tblInd w:w="0" w:type="dxa"/>
        <w:tblCellMar>
          <w:top w:w="0" w:type="dxa"/>
          <w:left w:w="0" w:type="dxa"/>
          <w:bottom w:w="0" w:type="dxa"/>
          <w:right w:w="0" w:type="dxa"/>
        </w:tblCellMar>
      </w:tblPr>
      <w:tblGrid>
        <w:gridCol w:w="3764"/>
        <w:gridCol w:w="189"/>
        <w:gridCol w:w="6164"/>
      </w:tblGrid>
      <w:tr>
        <w:trPr/>
        <w:tc>
          <w:tcPr>
            <w:tcW w:w="376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6164" w:type="dxa"/>
            <w:tcBorders/>
            <w:shd w:fill="auto" w:val="clear"/>
            <w:vAlign w:val="center"/>
          </w:tcPr>
          <w:p>
            <w:pPr>
              <w:pStyle w:val="TableContents"/>
              <w:spacing w:before="0" w:after="283"/>
              <w:rPr>
                <w:sz w:val="4"/>
                <w:szCs w:val="4"/>
              </w:rPr>
            </w:pPr>
            <w:r>
              <w:rPr>
                <w:sz w:val="4"/>
                <w:szCs w:val="4"/>
              </w:rPr>
            </w:r>
          </w:p>
        </w:tc>
      </w:tr>
      <w:tr>
        <w:trPr/>
        <w:tc>
          <w:tcPr>
            <w:tcW w:w="3764" w:type="dxa"/>
            <w:tcBorders/>
            <w:shd w:fill="CCEEFF" w:val="clear"/>
          </w:tcPr>
          <w:p>
            <w:pPr>
              <w:pStyle w:val="TableContents"/>
              <w:spacing w:before="0" w:after="0"/>
              <w:rPr>
                <w:rFonts w:ascii="Times New Roman" w:hAnsi="Times New Roman"/>
                <w:sz w:val="20"/>
              </w:rPr>
            </w:pPr>
            <w:r>
              <w:rPr>
                <w:rFonts w:ascii="Times New Roman" w:hAnsi="Times New Roman"/>
                <w:sz w:val="20"/>
              </w:rPr>
              <w:t>Dan Wagner</w:t>
            </w:r>
          </w:p>
        </w:tc>
        <w:tc>
          <w:tcPr>
            <w:tcW w:w="189" w:type="dxa"/>
            <w:tcBorders/>
            <w:shd w:fill="CCEEFF" w:val="clear"/>
            <w:vAlign w:val="bottom"/>
          </w:tcPr>
          <w:p>
            <w:pPr>
              <w:pStyle w:val="TableContents"/>
              <w:spacing w:before="0" w:after="283"/>
              <w:rPr/>
            </w:pPr>
            <w:r>
              <w:rPr/>
              <w:t>  </w:t>
            </w:r>
          </w:p>
        </w:tc>
        <w:tc>
          <w:tcPr>
            <w:tcW w:w="6164" w:type="dxa"/>
            <w:tcBorders/>
            <w:shd w:fill="CCEEFF" w:val="clear"/>
            <w:vAlign w:val="bottom"/>
          </w:tcPr>
          <w:p>
            <w:pPr>
              <w:pStyle w:val="TableContents"/>
              <w:spacing w:before="0" w:after="283"/>
              <w:rPr/>
            </w:pPr>
            <w:r>
              <w:rPr/>
              <w:t>Director and chief executive officer</w:t>
            </w:r>
          </w:p>
        </w:tc>
      </w:tr>
      <w:tr>
        <w:trPr/>
        <w:tc>
          <w:tcPr>
            <w:tcW w:w="3764" w:type="dxa"/>
            <w:tcBorders/>
            <w:shd w:fill="auto" w:val="clear"/>
          </w:tcPr>
          <w:p>
            <w:pPr>
              <w:pStyle w:val="TableContents"/>
              <w:spacing w:before="0" w:after="0"/>
              <w:rPr>
                <w:rFonts w:ascii="Times New Roman" w:hAnsi="Times New Roman"/>
                <w:sz w:val="20"/>
              </w:rPr>
            </w:pPr>
            <w:r>
              <w:rPr>
                <w:rFonts w:ascii="Times New Roman" w:hAnsi="Times New Roman"/>
                <w:sz w:val="20"/>
              </w:rPr>
              <w:t>Richard Burchill</w:t>
            </w:r>
          </w:p>
        </w:tc>
        <w:tc>
          <w:tcPr>
            <w:tcW w:w="189" w:type="dxa"/>
            <w:tcBorders/>
            <w:shd w:fill="auto" w:val="clear"/>
            <w:vAlign w:val="bottom"/>
          </w:tcPr>
          <w:p>
            <w:pPr>
              <w:pStyle w:val="TableContents"/>
              <w:spacing w:before="0" w:after="283"/>
              <w:rPr/>
            </w:pPr>
            <w:r>
              <w:rPr/>
              <w:t>  </w:t>
            </w:r>
          </w:p>
        </w:tc>
        <w:tc>
          <w:tcPr>
            <w:tcW w:w="6164" w:type="dxa"/>
            <w:tcBorders/>
            <w:shd w:fill="auto" w:val="clear"/>
            <w:vAlign w:val="bottom"/>
          </w:tcPr>
          <w:p>
            <w:pPr>
              <w:pStyle w:val="TableContents"/>
              <w:spacing w:before="0" w:after="283"/>
              <w:rPr/>
            </w:pPr>
            <w:r>
              <w:rPr/>
              <w:t>Chief financial officer</w:t>
            </w:r>
          </w:p>
        </w:tc>
      </w:tr>
      <w:tr>
        <w:trPr/>
        <w:tc>
          <w:tcPr>
            <w:tcW w:w="3764" w:type="dxa"/>
            <w:tcBorders/>
            <w:shd w:fill="CCEEFF" w:val="clear"/>
          </w:tcPr>
          <w:p>
            <w:pPr>
              <w:pStyle w:val="TableContents"/>
              <w:spacing w:before="0" w:after="0"/>
              <w:rPr>
                <w:rFonts w:ascii="Times New Roman" w:hAnsi="Times New Roman"/>
                <w:sz w:val="20"/>
              </w:rPr>
            </w:pPr>
            <w:r>
              <w:rPr>
                <w:rFonts w:ascii="Times New Roman" w:hAnsi="Times New Roman"/>
                <w:sz w:val="20"/>
              </w:rPr>
              <w:t>Sauvik Banerjjee</w:t>
            </w:r>
          </w:p>
        </w:tc>
        <w:tc>
          <w:tcPr>
            <w:tcW w:w="189" w:type="dxa"/>
            <w:tcBorders/>
            <w:shd w:fill="CCEEFF" w:val="clear"/>
            <w:vAlign w:val="bottom"/>
          </w:tcPr>
          <w:p>
            <w:pPr>
              <w:pStyle w:val="TableContents"/>
              <w:spacing w:before="0" w:after="283"/>
              <w:rPr/>
            </w:pPr>
            <w:r>
              <w:rPr/>
              <w:t>  </w:t>
            </w:r>
          </w:p>
        </w:tc>
        <w:tc>
          <w:tcPr>
            <w:tcW w:w="6164" w:type="dxa"/>
            <w:tcBorders/>
            <w:shd w:fill="CCEEFF" w:val="clear"/>
            <w:vAlign w:val="bottom"/>
          </w:tcPr>
          <w:p>
            <w:pPr>
              <w:pStyle w:val="TableContents"/>
              <w:spacing w:before="0" w:after="283"/>
              <w:rPr/>
            </w:pPr>
            <w:r>
              <w:rPr/>
              <w:t>Chief executive officer, products, technology and digital services</w:t>
            </w:r>
          </w:p>
        </w:tc>
      </w:tr>
      <w:tr>
        <w:trPr/>
        <w:tc>
          <w:tcPr>
            <w:tcW w:w="3764" w:type="dxa"/>
            <w:tcBorders/>
            <w:shd w:fill="auto" w:val="clear"/>
          </w:tcPr>
          <w:p>
            <w:pPr>
              <w:pStyle w:val="TableContents"/>
              <w:spacing w:before="0" w:after="0"/>
              <w:rPr>
                <w:rFonts w:ascii="Times New Roman" w:hAnsi="Times New Roman"/>
                <w:sz w:val="20"/>
              </w:rPr>
            </w:pPr>
            <w:r>
              <w:rPr>
                <w:rFonts w:ascii="Times New Roman" w:hAnsi="Times New Roman"/>
                <w:sz w:val="20"/>
              </w:rPr>
              <w:t>Salman Ahmad</w:t>
            </w:r>
          </w:p>
        </w:tc>
        <w:tc>
          <w:tcPr>
            <w:tcW w:w="189" w:type="dxa"/>
            <w:tcBorders/>
            <w:shd w:fill="auto" w:val="clear"/>
            <w:vAlign w:val="bottom"/>
          </w:tcPr>
          <w:p>
            <w:pPr>
              <w:pStyle w:val="TableContents"/>
              <w:spacing w:before="0" w:after="283"/>
              <w:rPr/>
            </w:pPr>
            <w:r>
              <w:rPr/>
              <w:t>  </w:t>
            </w:r>
          </w:p>
        </w:tc>
        <w:tc>
          <w:tcPr>
            <w:tcW w:w="6164" w:type="dxa"/>
            <w:tcBorders/>
            <w:shd w:fill="auto" w:val="clear"/>
            <w:vAlign w:val="bottom"/>
          </w:tcPr>
          <w:p>
            <w:pPr>
              <w:pStyle w:val="TableContents"/>
              <w:spacing w:before="0" w:after="283"/>
              <w:rPr/>
            </w:pPr>
            <w:r>
              <w:rPr/>
              <w:t>Chief technical officer</w:t>
            </w:r>
          </w:p>
        </w:tc>
      </w:tr>
      <w:tr>
        <w:trPr/>
        <w:tc>
          <w:tcPr>
            <w:tcW w:w="3764" w:type="dxa"/>
            <w:tcBorders/>
            <w:shd w:fill="CCEEFF" w:val="clear"/>
          </w:tcPr>
          <w:p>
            <w:pPr>
              <w:pStyle w:val="TableContents"/>
              <w:spacing w:before="0" w:after="0"/>
              <w:rPr>
                <w:rFonts w:ascii="Times New Roman" w:hAnsi="Times New Roman"/>
                <w:sz w:val="20"/>
              </w:rPr>
            </w:pPr>
            <w:r>
              <w:rPr>
                <w:rFonts w:ascii="Times New Roman" w:hAnsi="Times New Roman"/>
                <w:sz w:val="20"/>
              </w:rPr>
              <w:t>Peter Vesco</w:t>
            </w:r>
          </w:p>
        </w:tc>
        <w:tc>
          <w:tcPr>
            <w:tcW w:w="189" w:type="dxa"/>
            <w:tcBorders/>
            <w:shd w:fill="CCEEFF" w:val="clear"/>
            <w:vAlign w:val="bottom"/>
          </w:tcPr>
          <w:p>
            <w:pPr>
              <w:pStyle w:val="TableContents"/>
              <w:spacing w:before="0" w:after="283"/>
              <w:rPr/>
            </w:pPr>
            <w:r>
              <w:rPr/>
              <w:t>  </w:t>
            </w:r>
          </w:p>
        </w:tc>
        <w:tc>
          <w:tcPr>
            <w:tcW w:w="6164" w:type="dxa"/>
            <w:tcBorders/>
            <w:shd w:fill="CCEEFF" w:val="clear"/>
            <w:vAlign w:val="bottom"/>
          </w:tcPr>
          <w:p>
            <w:pPr>
              <w:pStyle w:val="TableContents"/>
              <w:spacing w:before="0" w:after="283"/>
              <w:rPr/>
            </w:pPr>
            <w:r>
              <w:rPr/>
              <w:t>Chief commercial officer</w:t>
            </w:r>
          </w:p>
        </w:tc>
      </w:tr>
      <w:tr>
        <w:trPr/>
        <w:tc>
          <w:tcPr>
            <w:tcW w:w="3764" w:type="dxa"/>
            <w:tcBorders/>
            <w:shd w:fill="auto" w:val="clear"/>
          </w:tcPr>
          <w:p>
            <w:pPr>
              <w:pStyle w:val="TableContents"/>
              <w:spacing w:before="0" w:after="0"/>
              <w:rPr>
                <w:rFonts w:ascii="Times New Roman" w:hAnsi="Times New Roman"/>
                <w:sz w:val="20"/>
              </w:rPr>
            </w:pPr>
            <w:r>
              <w:rPr>
                <w:rFonts w:ascii="Times New Roman" w:hAnsi="Times New Roman"/>
                <w:sz w:val="20"/>
              </w:rPr>
              <w:t>Sunder Madakshira</w:t>
            </w:r>
          </w:p>
        </w:tc>
        <w:tc>
          <w:tcPr>
            <w:tcW w:w="189" w:type="dxa"/>
            <w:tcBorders/>
            <w:shd w:fill="auto" w:val="clear"/>
            <w:vAlign w:val="bottom"/>
          </w:tcPr>
          <w:p>
            <w:pPr>
              <w:pStyle w:val="TableContents"/>
              <w:spacing w:before="0" w:after="283"/>
              <w:rPr/>
            </w:pPr>
            <w:r>
              <w:rPr/>
              <w:t>  </w:t>
            </w:r>
          </w:p>
        </w:tc>
        <w:tc>
          <w:tcPr>
            <w:tcW w:w="6164" w:type="dxa"/>
            <w:tcBorders/>
            <w:shd w:fill="auto" w:val="clear"/>
            <w:vAlign w:val="bottom"/>
          </w:tcPr>
          <w:p>
            <w:pPr>
              <w:pStyle w:val="TableContents"/>
              <w:spacing w:before="0" w:after="283"/>
              <w:rPr/>
            </w:pPr>
            <w:r>
              <w:rPr/>
              <w:t>Chief executive officer, India</w:t>
            </w:r>
          </w:p>
        </w:tc>
      </w:tr>
      <w:tr>
        <w:trPr/>
        <w:tc>
          <w:tcPr>
            <w:tcW w:w="3764" w:type="dxa"/>
            <w:tcBorders/>
            <w:shd w:fill="CCEEFF" w:val="clear"/>
          </w:tcPr>
          <w:p>
            <w:pPr>
              <w:pStyle w:val="TableContents"/>
              <w:spacing w:before="0" w:after="0"/>
              <w:rPr>
                <w:rFonts w:ascii="Times New Roman" w:hAnsi="Times New Roman"/>
                <w:sz w:val="20"/>
              </w:rPr>
            </w:pPr>
            <w:r>
              <w:rPr>
                <w:rFonts w:ascii="Times New Roman" w:hAnsi="Times New Roman"/>
                <w:sz w:val="20"/>
              </w:rPr>
              <w:t>Arthur Yao (1)</w:t>
            </w:r>
          </w:p>
        </w:tc>
        <w:tc>
          <w:tcPr>
            <w:tcW w:w="189" w:type="dxa"/>
            <w:tcBorders/>
            <w:shd w:fill="CCEEFF" w:val="clear"/>
            <w:vAlign w:val="bottom"/>
          </w:tcPr>
          <w:p>
            <w:pPr>
              <w:pStyle w:val="TableContents"/>
              <w:spacing w:before="0" w:after="283"/>
              <w:rPr/>
            </w:pPr>
            <w:r>
              <w:rPr/>
              <w:t>  </w:t>
            </w:r>
          </w:p>
        </w:tc>
        <w:tc>
          <w:tcPr>
            <w:tcW w:w="6164" w:type="dxa"/>
            <w:tcBorders/>
            <w:shd w:fill="CCEEFF" w:val="clear"/>
            <w:vAlign w:val="bottom"/>
          </w:tcPr>
          <w:p>
            <w:pPr>
              <w:pStyle w:val="TableContents"/>
              <w:spacing w:before="0" w:after="283"/>
              <w:rPr/>
            </w:pPr>
            <w:r>
              <w:rPr/>
              <w:t>Chief executive officer, Rezolve China</w:t>
            </w:r>
          </w:p>
        </w:tc>
      </w:tr>
      <w:tr>
        <w:trPr/>
        <w:tc>
          <w:tcPr>
            <w:tcW w:w="3764" w:type="dxa"/>
            <w:tcBorders/>
            <w:shd w:fill="auto" w:val="clear"/>
          </w:tcPr>
          <w:p>
            <w:pPr>
              <w:pStyle w:val="TableContents"/>
              <w:spacing w:before="0" w:after="0"/>
              <w:rPr>
                <w:rFonts w:ascii="Times New Roman" w:hAnsi="Times New Roman"/>
                <w:sz w:val="20"/>
              </w:rPr>
            </w:pPr>
            <w:r>
              <w:rPr>
                <w:rFonts w:ascii="Times New Roman" w:hAnsi="Times New Roman"/>
                <w:sz w:val="20"/>
              </w:rPr>
              <w:t>Anthony Sharp</w:t>
            </w:r>
          </w:p>
        </w:tc>
        <w:tc>
          <w:tcPr>
            <w:tcW w:w="189" w:type="dxa"/>
            <w:tcBorders/>
            <w:shd w:fill="auto" w:val="clear"/>
            <w:vAlign w:val="bottom"/>
          </w:tcPr>
          <w:p>
            <w:pPr>
              <w:pStyle w:val="TableContents"/>
              <w:spacing w:before="0" w:after="283"/>
              <w:rPr/>
            </w:pPr>
            <w:r>
              <w:rPr/>
              <w:t>  </w:t>
            </w:r>
          </w:p>
        </w:tc>
        <w:tc>
          <w:tcPr>
            <w:tcW w:w="6164" w:type="dxa"/>
            <w:tcBorders/>
            <w:shd w:fill="auto" w:val="clear"/>
            <w:vAlign w:val="bottom"/>
          </w:tcPr>
          <w:p>
            <w:pPr>
              <w:pStyle w:val="TableContents"/>
              <w:spacing w:before="0" w:after="283"/>
              <w:rPr/>
            </w:pPr>
            <w:r>
              <w:rPr/>
              <w:t>Non-executive deputy chairman</w:t>
            </w:r>
          </w:p>
        </w:tc>
      </w:tr>
      <w:tr>
        <w:trPr/>
        <w:tc>
          <w:tcPr>
            <w:tcW w:w="3764" w:type="dxa"/>
            <w:tcBorders/>
            <w:shd w:fill="CCEEFF" w:val="clear"/>
          </w:tcPr>
          <w:p>
            <w:pPr>
              <w:pStyle w:val="TableContents"/>
              <w:spacing w:before="0" w:after="0"/>
              <w:rPr>
                <w:rFonts w:ascii="Times New Roman" w:hAnsi="Times New Roman"/>
                <w:sz w:val="20"/>
              </w:rPr>
            </w:pPr>
            <w:r>
              <w:rPr>
                <w:rFonts w:ascii="Times New Roman" w:hAnsi="Times New Roman"/>
                <w:sz w:val="20"/>
              </w:rPr>
              <w:t>Sir David Wright</w:t>
            </w:r>
          </w:p>
        </w:tc>
        <w:tc>
          <w:tcPr>
            <w:tcW w:w="189" w:type="dxa"/>
            <w:tcBorders/>
            <w:shd w:fill="CCEEFF" w:val="clear"/>
            <w:vAlign w:val="bottom"/>
          </w:tcPr>
          <w:p>
            <w:pPr>
              <w:pStyle w:val="TableContents"/>
              <w:spacing w:before="0" w:after="283"/>
              <w:rPr/>
            </w:pPr>
            <w:r>
              <w:rPr/>
              <w:t>  </w:t>
            </w:r>
          </w:p>
        </w:tc>
        <w:tc>
          <w:tcPr>
            <w:tcW w:w="6164" w:type="dxa"/>
            <w:tcBorders/>
            <w:shd w:fill="CCEEFF" w:val="clear"/>
            <w:vAlign w:val="bottom"/>
          </w:tcPr>
          <w:p>
            <w:pPr>
              <w:pStyle w:val="TableContents"/>
              <w:spacing w:before="0" w:after="283"/>
              <w:rPr/>
            </w:pPr>
            <w:r>
              <w:rPr/>
              <w:t>Non-executive director</w:t>
            </w:r>
          </w:p>
        </w:tc>
      </w:tr>
      <w:tr>
        <w:trPr/>
        <w:tc>
          <w:tcPr>
            <w:tcW w:w="3764" w:type="dxa"/>
            <w:tcBorders/>
            <w:shd w:fill="auto" w:val="clear"/>
          </w:tcPr>
          <w:p>
            <w:pPr>
              <w:pStyle w:val="TableContents"/>
              <w:spacing w:before="0" w:after="0"/>
              <w:rPr>
                <w:rFonts w:ascii="Times New Roman" w:hAnsi="Times New Roman"/>
                <w:sz w:val="20"/>
              </w:rPr>
            </w:pPr>
            <w:r>
              <w:rPr>
                <w:rFonts w:ascii="Times New Roman" w:hAnsi="Times New Roman"/>
                <w:sz w:val="20"/>
              </w:rPr>
              <w:t>Steve Perry</w:t>
            </w:r>
          </w:p>
        </w:tc>
        <w:tc>
          <w:tcPr>
            <w:tcW w:w="189" w:type="dxa"/>
            <w:tcBorders/>
            <w:shd w:fill="auto" w:val="clear"/>
            <w:vAlign w:val="bottom"/>
          </w:tcPr>
          <w:p>
            <w:pPr>
              <w:pStyle w:val="TableContents"/>
              <w:spacing w:before="0" w:after="283"/>
              <w:rPr/>
            </w:pPr>
            <w:r>
              <w:rPr/>
              <w:t>  </w:t>
            </w:r>
          </w:p>
        </w:tc>
        <w:tc>
          <w:tcPr>
            <w:tcW w:w="6164" w:type="dxa"/>
            <w:tcBorders/>
            <w:shd w:fill="auto" w:val="clear"/>
            <w:vAlign w:val="bottom"/>
          </w:tcPr>
          <w:p>
            <w:pPr>
              <w:pStyle w:val="TableContents"/>
              <w:spacing w:before="0" w:after="283"/>
              <w:rPr/>
            </w:pPr>
            <w:r>
              <w:rPr/>
              <w:t>Non-executive director</w:t>
            </w:r>
          </w:p>
        </w:tc>
      </w:tr>
      <w:tr>
        <w:trPr/>
        <w:tc>
          <w:tcPr>
            <w:tcW w:w="3764" w:type="dxa"/>
            <w:tcBorders/>
            <w:shd w:fill="CCEEFF" w:val="clear"/>
          </w:tcPr>
          <w:p>
            <w:pPr>
              <w:pStyle w:val="TableContents"/>
              <w:spacing w:before="0" w:after="0"/>
              <w:rPr>
                <w:rFonts w:ascii="Times New Roman" w:hAnsi="Times New Roman"/>
                <w:sz w:val="20"/>
              </w:rPr>
            </w:pPr>
            <w:r>
              <w:rPr>
                <w:rFonts w:ascii="Times New Roman" w:hAnsi="Times New Roman"/>
                <w:sz w:val="20"/>
              </w:rPr>
              <w:t>Derek Smith</w:t>
            </w:r>
          </w:p>
        </w:tc>
        <w:tc>
          <w:tcPr>
            <w:tcW w:w="189" w:type="dxa"/>
            <w:tcBorders/>
            <w:shd w:fill="CCEEFF" w:val="clear"/>
            <w:vAlign w:val="bottom"/>
          </w:tcPr>
          <w:p>
            <w:pPr>
              <w:pStyle w:val="TableContents"/>
              <w:spacing w:before="0" w:after="283"/>
              <w:rPr/>
            </w:pPr>
            <w:r>
              <w:rPr/>
              <w:t>  </w:t>
            </w:r>
          </w:p>
        </w:tc>
        <w:tc>
          <w:tcPr>
            <w:tcW w:w="6164" w:type="dxa"/>
            <w:tcBorders/>
            <w:shd w:fill="CCEEFF" w:val="clear"/>
            <w:vAlign w:val="bottom"/>
          </w:tcPr>
          <w:p>
            <w:pPr>
              <w:pStyle w:val="TableContents"/>
              <w:spacing w:before="0" w:after="283"/>
              <w:rPr/>
            </w:pPr>
            <w:r>
              <w:rPr/>
              <w:t>Non-executive director</w:t>
            </w:r>
          </w:p>
        </w:tc>
      </w:tr>
      <w:tr>
        <w:trPr/>
        <w:tc>
          <w:tcPr>
            <w:tcW w:w="3764" w:type="dxa"/>
            <w:tcBorders/>
            <w:shd w:fill="auto" w:val="clear"/>
          </w:tcPr>
          <w:p>
            <w:pPr>
              <w:pStyle w:val="TableContents"/>
              <w:spacing w:before="0" w:after="0"/>
              <w:rPr>
                <w:rFonts w:ascii="Times New Roman" w:hAnsi="Times New Roman"/>
                <w:sz w:val="20"/>
              </w:rPr>
            </w:pPr>
            <w:r>
              <w:rPr>
                <w:rFonts w:ascii="Times New Roman" w:hAnsi="Times New Roman"/>
                <w:sz w:val="20"/>
              </w:rPr>
              <w:t>Susan Wagner</w:t>
            </w:r>
          </w:p>
        </w:tc>
        <w:tc>
          <w:tcPr>
            <w:tcW w:w="189" w:type="dxa"/>
            <w:tcBorders/>
            <w:shd w:fill="auto" w:val="clear"/>
            <w:vAlign w:val="bottom"/>
          </w:tcPr>
          <w:p>
            <w:pPr>
              <w:pStyle w:val="TableContents"/>
              <w:spacing w:before="0" w:after="283"/>
              <w:rPr/>
            </w:pPr>
            <w:r>
              <w:rPr/>
              <w:t>  </w:t>
            </w:r>
          </w:p>
        </w:tc>
        <w:tc>
          <w:tcPr>
            <w:tcW w:w="6164" w:type="dxa"/>
            <w:tcBorders/>
            <w:shd w:fill="auto" w:val="clear"/>
            <w:vAlign w:val="bottom"/>
          </w:tcPr>
          <w:p>
            <w:pPr>
              <w:pStyle w:val="TableContents"/>
              <w:spacing w:before="0" w:after="283"/>
              <w:rPr/>
            </w:pPr>
            <w:r>
              <w:rPr/>
              <w:t>Member</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paid to Arthur Yao were paid out of Rezolve Limited in the UK. The Companys operations in China have since been approved for a planned liquidation through the Demerger (Refer to Note 2.1  Basis of presentation).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Transactions and outstanding balances of related parties were as follows: </w:t>
      </w:r>
    </w:p>
    <w:p>
      <w:pPr>
        <w:pStyle w:val="TextBody"/>
        <w:spacing w:before="120" w:after="0"/>
        <w:jc w:val="left"/>
        <w:rPr>
          <w:rFonts w:ascii="Times New Roman" w:hAnsi="Times New Roman"/>
          <w:b/>
          <w:sz w:val="20"/>
          <w:u w:val="single"/>
        </w:rPr>
      </w:pPr>
      <w:r>
        <w:rPr>
          <w:rFonts w:ascii="Times New Roman" w:hAnsi="Times New Roman"/>
          <w:b/>
          <w:sz w:val="20"/>
          <w:u w:val="single"/>
        </w:rPr>
        <w:t xml:space="preserve">Transactions during the year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82"/>
        <w:gridCol w:w="632"/>
        <w:gridCol w:w="159"/>
        <w:gridCol w:w="1261"/>
        <w:gridCol w:w="60"/>
        <w:gridCol w:w="632"/>
        <w:gridCol w:w="159"/>
        <w:gridCol w:w="1261"/>
        <w:gridCol w:w="63"/>
      </w:tblGrid>
      <w:tr>
        <w:trPr/>
        <w:tc>
          <w:tcPr>
            <w:tcW w:w="378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3782"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Share Capital Issued at nominal value</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Dan Wagner (number of ordinary shares issued in 2022  nil and 2021 20,037,059)</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w:t>
            </w:r>
          </w:p>
        </w:tc>
        <w:tc>
          <w:tcPr>
            <w:tcW w:w="126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b/>
              </w:rPr>
            </w:pPr>
            <w:r>
              <w:rPr>
                <w:b/>
              </w:rPr>
              <w:t>$</w:t>
            </w:r>
          </w:p>
        </w:tc>
        <w:tc>
          <w:tcPr>
            <w:tcW w:w="1261" w:type="dxa"/>
            <w:tcBorders/>
            <w:shd w:fill="auto" w:val="clear"/>
            <w:vAlign w:val="bottom"/>
          </w:tcPr>
          <w:p>
            <w:pPr>
              <w:pStyle w:val="TableContents"/>
              <w:spacing w:before="0" w:after="283"/>
              <w:jc w:val="right"/>
              <w:rPr/>
            </w:pPr>
            <w:r>
              <w:rPr/>
              <w:t>2,763</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DBLP Sea Cow (1) (number of ordinary shares issued in 2022  27,246,461 and 2021  nil)</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3,225</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Igor Lychagov (number of Series A shares Issued in 2022  nil and 2021  11,685,761)</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1,622</w:t>
            </w:r>
          </w:p>
        </w:tc>
        <w:tc>
          <w:tcPr>
            <w:tcW w:w="63" w:type="dxa"/>
            <w:tcBorders/>
            <w:shd w:fill="auto"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Loans Repaid</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560,000</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1,000,000</w:t>
            </w:r>
          </w:p>
        </w:tc>
        <w:tc>
          <w:tcPr>
            <w:tcW w:w="63" w:type="dxa"/>
            <w:tcBorders/>
            <w:shd w:fill="auto"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Loan taken</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Dan Wagner</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20,000</w:t>
            </w:r>
          </w:p>
        </w:tc>
        <w:tc>
          <w:tcPr>
            <w:tcW w:w="63" w:type="dxa"/>
            <w:tcBorders/>
            <w:shd w:fill="auto"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Reimbursement of expenses</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Dan Wagner</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297,566</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112,609</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Salman Ahmed</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3,724</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Peter Vesco</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19,226</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2,437</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Arthur Yao</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28,561</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92,715</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42,176</w:t>
            </w:r>
          </w:p>
        </w:tc>
        <w:tc>
          <w:tcPr>
            <w:tcW w:w="63" w:type="dxa"/>
            <w:tcBorders/>
            <w:shd w:fill="auto"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Managerial remuneration</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b/>
                <w:sz w:val="20"/>
              </w:rPr>
            </w:pPr>
            <w:r>
              <w:rPr>
                <w:rFonts w:ascii="Times New Roman" w:hAnsi="Times New Roman"/>
                <w:b/>
                <w:sz w:val="20"/>
              </w:rPr>
              <w:t>Key Management Personnel</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61"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Dan Wagner</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298,654</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330,673</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Salman Ahmad</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207,395</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220,449</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Richard Burchill</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273,761</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Sauvik Banerjjee</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188,972</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Sunder Madakshira</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226,497</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b/>
                <w:sz w:val="20"/>
              </w:rPr>
            </w:pPr>
            <w:r>
              <w:rPr>
                <w:rFonts w:ascii="Times New Roman" w:hAnsi="Times New Roman"/>
                <w:b/>
                <w:sz w:val="20"/>
              </w:rPr>
              <w:t>Share-based compensation</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6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61"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DBLP Sea Cow</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33,374,018</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Dan Wagner</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13,224,459</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Steve Perry</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2,449,787</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Derek Smith</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3,674,681</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Consulting fees</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300,000</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300,000</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Peter Vesco</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380,805</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430,666</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Arthur Yao</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300,000</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270,000</w:t>
            </w:r>
          </w:p>
        </w:tc>
        <w:tc>
          <w:tcPr>
            <w:tcW w:w="63" w:type="dxa"/>
            <w:tcBorders/>
            <w:shd w:fill="auto" w:val="clear"/>
            <w:vAlign w:val="bottom"/>
          </w:tcPr>
          <w:p>
            <w:pPr>
              <w:pStyle w:val="TableContents"/>
              <w:spacing w:before="0" w:after="283"/>
              <w:rPr/>
            </w:pPr>
            <w:r>
              <w:rPr/>
              <w:t> </w:t>
            </w:r>
          </w:p>
        </w:tc>
      </w:tr>
      <w:tr>
        <w:trPr>
          <w:trHeight w:val="120" w:hRule="atLeast"/>
        </w:trPr>
        <w:tc>
          <w:tcPr>
            <w:tcW w:w="3782" w:type="dxa"/>
            <w:tcBorders/>
            <w:shd w:fill="auto" w:val="clear"/>
            <w:vAlign w:val="center"/>
          </w:tcPr>
          <w:p>
            <w:pPr>
              <w:pStyle w:val="TableContents"/>
              <w:spacing w:before="0" w:after="283"/>
              <w:rPr>
                <w:sz w:val="4"/>
                <w:szCs w:val="4"/>
              </w:rPr>
            </w:pPr>
            <w:r>
              <w:rPr>
                <w:sz w:val="4"/>
                <w:szCs w:val="4"/>
              </w:rPr>
            </w:r>
          </w:p>
        </w:tc>
        <w:tc>
          <w:tcPr>
            <w:tcW w:w="2112" w:type="dxa"/>
            <w:gridSpan w:val="4"/>
            <w:tcBorders/>
            <w:shd w:fill="auto" w:val="clear"/>
            <w:vAlign w:val="center"/>
          </w:tcPr>
          <w:p>
            <w:pPr>
              <w:pStyle w:val="TableContents"/>
              <w:spacing w:before="0" w:after="283"/>
              <w:rPr>
                <w:sz w:val="4"/>
                <w:szCs w:val="4"/>
              </w:rPr>
            </w:pPr>
            <w:r>
              <w:rPr>
                <w:sz w:val="4"/>
                <w:szCs w:val="4"/>
              </w:rPr>
            </w:r>
          </w:p>
        </w:tc>
        <w:tc>
          <w:tcPr>
            <w:tcW w:w="2115" w:type="dxa"/>
            <w:gridSpan w:val="4"/>
            <w:tcBorders/>
            <w:shd w:fill="auto" w:val="clear"/>
            <w:vAlign w:val="center"/>
          </w:tcPr>
          <w:p>
            <w:pPr>
              <w:pStyle w:val="TableContents"/>
              <w:spacing w:before="0" w:after="283"/>
              <w:rPr>
                <w:sz w:val="4"/>
                <w:szCs w:val="4"/>
              </w:rPr>
            </w:pPr>
            <w:r>
              <w:rPr>
                <w:sz w:val="4"/>
                <w:szCs w:val="4"/>
              </w:rPr>
            </w:r>
          </w:p>
        </w:tc>
      </w:tr>
      <w:tr>
        <w:trPr/>
        <w:tc>
          <w:tcPr>
            <w:tcW w:w="3782" w:type="dxa"/>
            <w:tcBorders/>
            <w:shd w:fill="CCEEFF" w:val="clear"/>
          </w:tcPr>
          <w:p>
            <w:pPr>
              <w:pStyle w:val="TableContents"/>
              <w:spacing w:before="0" w:after="0"/>
              <w:rPr>
                <w:rFonts w:ascii="Times New Roman" w:hAnsi="Times New Roman"/>
                <w:b/>
                <w:sz w:val="20"/>
              </w:rPr>
            </w:pPr>
            <w:r>
              <w:rPr>
                <w:rFonts w:ascii="Times New Roman" w:hAnsi="Times New Roman"/>
                <w:b/>
                <w:sz w:val="20"/>
              </w:rPr>
              <w:t>Director remuneration</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1"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Sir David Wright</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87,107</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70,000</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Anthony Sharp</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376,428</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165,336</w:t>
            </w:r>
          </w:p>
        </w:tc>
        <w:tc>
          <w:tcPr>
            <w:tcW w:w="63" w:type="dxa"/>
            <w:tcBorders/>
            <w:shd w:fill="CCEEFF" w:val="clear"/>
            <w:vAlign w:val="bottom"/>
          </w:tcPr>
          <w:p>
            <w:pPr>
              <w:pStyle w:val="TableContents"/>
              <w:spacing w:before="0" w:after="283"/>
              <w:rPr/>
            </w:pPr>
            <w:r>
              <w:rPr/>
              <w:t> </w:t>
            </w:r>
          </w:p>
        </w:tc>
      </w:tr>
      <w:tr>
        <w:trPr/>
        <w:tc>
          <w:tcPr>
            <w:tcW w:w="3782" w:type="dxa"/>
            <w:tcBorders/>
            <w:shd w:fill="auto" w:val="clear"/>
          </w:tcPr>
          <w:p>
            <w:pPr>
              <w:pStyle w:val="TableContents"/>
              <w:spacing w:before="0" w:after="0"/>
              <w:rPr>
                <w:rFonts w:ascii="Times New Roman" w:hAnsi="Times New Roman"/>
                <w:sz w:val="20"/>
              </w:rPr>
            </w:pPr>
            <w:r>
              <w:rPr>
                <w:rFonts w:ascii="Times New Roman" w:hAnsi="Times New Roman"/>
                <w:sz w:val="20"/>
              </w:rPr>
              <w:t>Steve Perry</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93,329</w:t>
            </w:r>
          </w:p>
        </w:tc>
        <w:tc>
          <w:tcPr>
            <w:tcW w:w="60" w:type="dxa"/>
            <w:tcBorders/>
            <w:shd w:fill="auto" w:val="clear"/>
            <w:vAlign w:val="bottom"/>
          </w:tcPr>
          <w:p>
            <w:pPr>
              <w:pStyle w:val="TableContents"/>
              <w:spacing w:before="0" w:after="283"/>
              <w:rPr/>
            </w:pPr>
            <w:r>
              <w:rPr/>
              <w:t> </w:t>
            </w:r>
          </w:p>
        </w:tc>
        <w:tc>
          <w:tcPr>
            <w:tcW w:w="63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3782" w:type="dxa"/>
            <w:tcBorders/>
            <w:shd w:fill="CCEEFF" w:val="clear"/>
          </w:tcPr>
          <w:p>
            <w:pPr>
              <w:pStyle w:val="TableContents"/>
              <w:spacing w:before="0" w:after="0"/>
              <w:rPr>
                <w:rFonts w:ascii="Times New Roman" w:hAnsi="Times New Roman"/>
                <w:sz w:val="20"/>
              </w:rPr>
            </w:pPr>
            <w:r>
              <w:rPr>
                <w:rFonts w:ascii="Times New Roman" w:hAnsi="Times New Roman"/>
                <w:sz w:val="20"/>
              </w:rPr>
              <w:t>Derek Smith</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93,329</w:t>
            </w:r>
          </w:p>
        </w:tc>
        <w:tc>
          <w:tcPr>
            <w:tcW w:w="60" w:type="dxa"/>
            <w:tcBorders/>
            <w:shd w:fill="CCEEFF" w:val="clear"/>
            <w:vAlign w:val="bottom"/>
          </w:tcPr>
          <w:p>
            <w:pPr>
              <w:pStyle w:val="TableContents"/>
              <w:spacing w:before="0" w:after="283"/>
              <w:rPr/>
            </w:pPr>
            <w:r>
              <w:rPr/>
              <w:t> </w:t>
            </w:r>
          </w:p>
        </w:tc>
        <w:tc>
          <w:tcPr>
            <w:tcW w:w="63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DBLP Sea Cow Ltd. (a company incorporated in the Seychelles) (DBLP Sea Cow) is wholly legally owned by Dan Wagner, Chief Executive Officer of Rezolve.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b/>
          <w:sz w:val="20"/>
          <w:u w:val="single"/>
        </w:rPr>
      </w:pPr>
      <w:r>
        <w:rPr>
          <w:rFonts w:ascii="Times New Roman" w:hAnsi="Times New Roman"/>
          <w:b/>
          <w:sz w:val="20"/>
          <w:u w:val="single"/>
        </w:rPr>
        <w:t xml:space="preserve">Outstanding balances as at reporting date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906"/>
        <w:gridCol w:w="530"/>
        <w:gridCol w:w="136"/>
        <w:gridCol w:w="1824"/>
        <w:gridCol w:w="60"/>
        <w:gridCol w:w="530"/>
        <w:gridCol w:w="136"/>
        <w:gridCol w:w="1824"/>
        <w:gridCol w:w="63"/>
      </w:tblGrid>
      <w:tr>
        <w:trPr/>
        <w:tc>
          <w:tcPr>
            <w:tcW w:w="2906"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906"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96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December 31, 2022</w:t>
            </w:r>
            <w:r>
              <w:rPr/>
              <w:br/>
            </w:r>
            <w:r>
              <w:rPr>
                <w:b/>
              </w:rPr>
              <w:t>$</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96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December 31, 2021</w:t>
            </w:r>
            <w:r>
              <w:rPr/>
              <w:br/>
            </w:r>
            <w:r>
              <w:rPr>
                <w:b/>
              </w:rPr>
              <w:t>$</w:t>
            </w:r>
          </w:p>
        </w:tc>
        <w:tc>
          <w:tcPr>
            <w:tcW w:w="63" w:type="dxa"/>
            <w:tcBorders/>
            <w:shd w:fill="auto" w:val="clear"/>
            <w:vAlign w:val="bottom"/>
          </w:tcPr>
          <w:p>
            <w:pPr>
              <w:pStyle w:val="TableContents"/>
              <w:spacing w:before="0" w:after="283"/>
              <w:rPr/>
            </w:pPr>
            <w:r>
              <w:rPr/>
              <w:t> </w:t>
            </w:r>
          </w:p>
        </w:tc>
      </w:tr>
      <w:tr>
        <w:trPr/>
        <w:tc>
          <w:tcPr>
            <w:tcW w:w="2906" w:type="dxa"/>
            <w:tcBorders/>
            <w:shd w:fill="CCEEFF" w:val="clear"/>
          </w:tcPr>
          <w:p>
            <w:pPr>
              <w:pStyle w:val="TableContents"/>
              <w:spacing w:before="0" w:after="0"/>
              <w:rPr>
                <w:rFonts w:ascii="Times New Roman" w:hAnsi="Times New Roman"/>
                <w:b/>
                <w:sz w:val="20"/>
              </w:rPr>
            </w:pPr>
            <w:r>
              <w:rPr>
                <w:rFonts w:ascii="Times New Roman" w:hAnsi="Times New Roman"/>
                <w:b/>
                <w:sz w:val="20"/>
              </w:rPr>
              <w:t>Unsecured Loans payable</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2906"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697,067</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697,067</w:t>
            </w:r>
          </w:p>
        </w:tc>
        <w:tc>
          <w:tcPr>
            <w:tcW w:w="63" w:type="dxa"/>
            <w:tcBorders/>
            <w:shd w:fill="auto" w:val="clear"/>
            <w:vAlign w:val="bottom"/>
          </w:tcPr>
          <w:p>
            <w:pPr>
              <w:pStyle w:val="TableContents"/>
              <w:spacing w:before="0" w:after="283"/>
              <w:rPr/>
            </w:pPr>
            <w:r>
              <w:rPr/>
              <w:t> </w:t>
            </w:r>
          </w:p>
        </w:tc>
      </w:tr>
      <w:tr>
        <w:trPr>
          <w:trHeight w:val="120" w:hRule="atLeast"/>
        </w:trPr>
        <w:tc>
          <w:tcPr>
            <w:tcW w:w="2906" w:type="dxa"/>
            <w:tcBorders/>
            <w:shd w:fill="auto" w:val="clear"/>
            <w:vAlign w:val="center"/>
          </w:tcPr>
          <w:p>
            <w:pPr>
              <w:pStyle w:val="TableContents"/>
              <w:spacing w:before="0" w:after="283"/>
              <w:rPr>
                <w:sz w:val="4"/>
                <w:szCs w:val="4"/>
              </w:rPr>
            </w:pPr>
            <w:r>
              <w:rPr>
                <w:sz w:val="4"/>
                <w:szCs w:val="4"/>
              </w:rPr>
            </w:r>
          </w:p>
        </w:tc>
        <w:tc>
          <w:tcPr>
            <w:tcW w:w="2550" w:type="dxa"/>
            <w:gridSpan w:val="4"/>
            <w:tcBorders/>
            <w:shd w:fill="auto" w:val="clear"/>
            <w:vAlign w:val="center"/>
          </w:tcPr>
          <w:p>
            <w:pPr>
              <w:pStyle w:val="TableContents"/>
              <w:spacing w:before="0" w:after="283"/>
              <w:rPr>
                <w:sz w:val="4"/>
                <w:szCs w:val="4"/>
              </w:rPr>
            </w:pPr>
            <w:r>
              <w:rPr>
                <w:sz w:val="4"/>
                <w:szCs w:val="4"/>
              </w:rPr>
            </w:r>
          </w:p>
        </w:tc>
        <w:tc>
          <w:tcPr>
            <w:tcW w:w="2553" w:type="dxa"/>
            <w:gridSpan w:val="4"/>
            <w:tcBorders/>
            <w:shd w:fill="auto" w:val="clear"/>
            <w:vAlign w:val="center"/>
          </w:tcPr>
          <w:p>
            <w:pPr>
              <w:pStyle w:val="TableContents"/>
              <w:spacing w:before="0" w:after="283"/>
              <w:rPr>
                <w:sz w:val="4"/>
                <w:szCs w:val="4"/>
              </w:rPr>
            </w:pPr>
            <w:r>
              <w:rPr>
                <w:sz w:val="4"/>
                <w:szCs w:val="4"/>
              </w:rPr>
            </w:r>
          </w:p>
        </w:tc>
      </w:tr>
      <w:tr>
        <w:trPr/>
        <w:tc>
          <w:tcPr>
            <w:tcW w:w="2906"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receivables</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2906" w:type="dxa"/>
            <w:tcBorders/>
            <w:shd w:fill="auto" w:val="clear"/>
          </w:tcPr>
          <w:p>
            <w:pPr>
              <w:pStyle w:val="TableContents"/>
              <w:spacing w:before="0" w:after="0"/>
              <w:rPr>
                <w:rFonts w:ascii="Times New Roman" w:hAnsi="Times New Roman"/>
                <w:sz w:val="20"/>
              </w:rPr>
            </w:pPr>
            <w:r>
              <w:rPr>
                <w:rFonts w:ascii="Times New Roman" w:hAnsi="Times New Roman"/>
                <w:sz w:val="20"/>
              </w:rPr>
              <w:t>Dan Wagner</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147,125</w:t>
            </w:r>
          </w:p>
        </w:tc>
        <w:tc>
          <w:tcPr>
            <w:tcW w:w="63" w:type="dxa"/>
            <w:tcBorders/>
            <w:shd w:fill="auto" w:val="clear"/>
            <w:vAlign w:val="bottom"/>
          </w:tcPr>
          <w:p>
            <w:pPr>
              <w:pStyle w:val="TableContents"/>
              <w:spacing w:before="0" w:after="283"/>
              <w:rPr/>
            </w:pPr>
            <w:r>
              <w:rPr/>
              <w:t> </w:t>
            </w:r>
          </w:p>
        </w:tc>
      </w:tr>
      <w:tr>
        <w:trPr>
          <w:trHeight w:val="120" w:hRule="atLeast"/>
        </w:trPr>
        <w:tc>
          <w:tcPr>
            <w:tcW w:w="2906" w:type="dxa"/>
            <w:tcBorders/>
            <w:shd w:fill="auto" w:val="clear"/>
            <w:vAlign w:val="center"/>
          </w:tcPr>
          <w:p>
            <w:pPr>
              <w:pStyle w:val="TableContents"/>
              <w:spacing w:before="0" w:after="283"/>
              <w:rPr>
                <w:sz w:val="4"/>
                <w:szCs w:val="4"/>
              </w:rPr>
            </w:pPr>
            <w:r>
              <w:rPr>
                <w:sz w:val="4"/>
                <w:szCs w:val="4"/>
              </w:rPr>
            </w:r>
          </w:p>
        </w:tc>
        <w:tc>
          <w:tcPr>
            <w:tcW w:w="2550" w:type="dxa"/>
            <w:gridSpan w:val="4"/>
            <w:tcBorders/>
            <w:shd w:fill="auto" w:val="clear"/>
            <w:vAlign w:val="center"/>
          </w:tcPr>
          <w:p>
            <w:pPr>
              <w:pStyle w:val="TableContents"/>
              <w:spacing w:before="0" w:after="283"/>
              <w:rPr>
                <w:sz w:val="4"/>
                <w:szCs w:val="4"/>
              </w:rPr>
            </w:pPr>
            <w:r>
              <w:rPr>
                <w:sz w:val="4"/>
                <w:szCs w:val="4"/>
              </w:rPr>
            </w:r>
          </w:p>
        </w:tc>
        <w:tc>
          <w:tcPr>
            <w:tcW w:w="2553" w:type="dxa"/>
            <w:gridSpan w:val="4"/>
            <w:tcBorders/>
            <w:shd w:fill="auto" w:val="clear"/>
            <w:vAlign w:val="center"/>
          </w:tcPr>
          <w:p>
            <w:pPr>
              <w:pStyle w:val="TableContents"/>
              <w:spacing w:before="0" w:after="283"/>
              <w:rPr>
                <w:sz w:val="4"/>
                <w:szCs w:val="4"/>
              </w:rPr>
            </w:pPr>
            <w:r>
              <w:rPr>
                <w:sz w:val="4"/>
                <w:szCs w:val="4"/>
              </w:rPr>
            </w:r>
          </w:p>
        </w:tc>
      </w:tr>
      <w:tr>
        <w:trPr/>
        <w:tc>
          <w:tcPr>
            <w:tcW w:w="2906" w:type="dxa"/>
            <w:tcBorders/>
            <w:shd w:fill="CCEEFF" w:val="clear"/>
          </w:tcPr>
          <w:p>
            <w:pPr>
              <w:pStyle w:val="TableContents"/>
              <w:spacing w:before="0" w:after="0"/>
              <w:rPr>
                <w:rFonts w:ascii="Times New Roman" w:hAnsi="Times New Roman"/>
                <w:b/>
                <w:sz w:val="20"/>
              </w:rPr>
            </w:pPr>
            <w:r>
              <w:rPr>
                <w:rFonts w:ascii="Times New Roman" w:hAnsi="Times New Roman"/>
                <w:b/>
                <w:sz w:val="20"/>
              </w:rPr>
              <w:t>Trade and other payables</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2906"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225,000</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485,000</w:t>
            </w:r>
          </w:p>
        </w:tc>
        <w:tc>
          <w:tcPr>
            <w:tcW w:w="63" w:type="dxa"/>
            <w:tcBorders/>
            <w:shd w:fill="auto" w:val="clear"/>
            <w:vAlign w:val="bottom"/>
          </w:tcPr>
          <w:p>
            <w:pPr>
              <w:pStyle w:val="TableContents"/>
              <w:spacing w:before="0" w:after="283"/>
              <w:rPr/>
            </w:pPr>
            <w:r>
              <w:rPr/>
              <w:t> </w:t>
            </w:r>
          </w:p>
        </w:tc>
      </w:tr>
      <w:tr>
        <w:trPr/>
        <w:tc>
          <w:tcPr>
            <w:tcW w:w="2906" w:type="dxa"/>
            <w:tcBorders/>
            <w:shd w:fill="CCEEFF" w:val="clear"/>
          </w:tcPr>
          <w:p>
            <w:pPr>
              <w:pStyle w:val="TableContents"/>
              <w:spacing w:before="0" w:after="0"/>
              <w:rPr>
                <w:rFonts w:ascii="Times New Roman" w:hAnsi="Times New Roman"/>
                <w:sz w:val="20"/>
              </w:rPr>
            </w:pPr>
            <w:r>
              <w:rPr>
                <w:rFonts w:ascii="Times New Roman" w:hAnsi="Times New Roman"/>
                <w:sz w:val="20"/>
              </w:rPr>
              <w:t>Dan Wagner</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172,356</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sz w:val="4"/>
                <w:szCs w:val="4"/>
              </w:rPr>
            </w:pPr>
            <w:r>
              <w:rPr>
                <w:sz w:val="4"/>
                <w:szCs w:val="4"/>
              </w:rPr>
            </w:r>
          </w:p>
        </w:tc>
        <w:tc>
          <w:tcPr>
            <w:tcW w:w="1824"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2906" w:type="dxa"/>
            <w:tcBorders/>
            <w:shd w:fill="auto" w:val="clear"/>
          </w:tcPr>
          <w:p>
            <w:pPr>
              <w:pStyle w:val="TableContents"/>
              <w:spacing w:before="0" w:after="0"/>
              <w:rPr>
                <w:rFonts w:ascii="Times New Roman" w:hAnsi="Times New Roman"/>
                <w:sz w:val="20"/>
              </w:rPr>
            </w:pPr>
            <w:r>
              <w:rPr>
                <w:rFonts w:ascii="Times New Roman" w:hAnsi="Times New Roman"/>
                <w:sz w:val="20"/>
              </w:rPr>
              <w:t>Richard Burchill</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535</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2906" w:type="dxa"/>
            <w:tcBorders/>
            <w:shd w:fill="CCEEFF" w:val="clear"/>
          </w:tcPr>
          <w:p>
            <w:pPr>
              <w:pStyle w:val="TableContents"/>
              <w:spacing w:before="0" w:after="0"/>
              <w:rPr>
                <w:rFonts w:ascii="Times New Roman" w:hAnsi="Times New Roman"/>
                <w:sz w:val="20"/>
              </w:rPr>
            </w:pPr>
            <w:r>
              <w:rPr>
                <w:rFonts w:ascii="Times New Roman" w:hAnsi="Times New Roman"/>
                <w:sz w:val="20"/>
              </w:rPr>
              <w:t>Arthur Yao</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51,414</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34,813</w:t>
            </w:r>
          </w:p>
        </w:tc>
        <w:tc>
          <w:tcPr>
            <w:tcW w:w="63" w:type="dxa"/>
            <w:tcBorders/>
            <w:shd w:fill="CCEEFF" w:val="clear"/>
            <w:vAlign w:val="bottom"/>
          </w:tcPr>
          <w:p>
            <w:pPr>
              <w:pStyle w:val="TableContents"/>
              <w:spacing w:before="0" w:after="283"/>
              <w:rPr/>
            </w:pPr>
            <w:r>
              <w:rPr/>
              <w:t> </w:t>
            </w:r>
          </w:p>
        </w:tc>
      </w:tr>
      <w:tr>
        <w:trPr/>
        <w:tc>
          <w:tcPr>
            <w:tcW w:w="2906" w:type="dxa"/>
            <w:tcBorders/>
            <w:shd w:fill="auto" w:val="clear"/>
          </w:tcPr>
          <w:p>
            <w:pPr>
              <w:pStyle w:val="TableContents"/>
              <w:spacing w:before="0" w:after="0"/>
              <w:rPr>
                <w:rFonts w:ascii="Times New Roman" w:hAnsi="Times New Roman"/>
                <w:sz w:val="20"/>
              </w:rPr>
            </w:pPr>
            <w:r>
              <w:rPr>
                <w:rFonts w:ascii="Times New Roman" w:hAnsi="Times New Roman"/>
                <w:sz w:val="20"/>
              </w:rPr>
              <w:t>Peter Vesco</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42,906</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2906" w:type="dxa"/>
            <w:tcBorders/>
            <w:shd w:fill="CCEEFF" w:val="clear"/>
          </w:tcPr>
          <w:p>
            <w:pPr>
              <w:pStyle w:val="TableContents"/>
              <w:spacing w:before="0" w:after="0"/>
              <w:rPr>
                <w:rFonts w:ascii="Times New Roman" w:hAnsi="Times New Roman"/>
                <w:sz w:val="20"/>
              </w:rPr>
            </w:pPr>
            <w:r>
              <w:rPr>
                <w:rFonts w:ascii="Times New Roman" w:hAnsi="Times New Roman"/>
                <w:sz w:val="20"/>
              </w:rPr>
              <w:t>Anthony Sharp</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129,460</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rHeight w:val="120" w:hRule="atLeast"/>
        </w:trPr>
        <w:tc>
          <w:tcPr>
            <w:tcW w:w="2906" w:type="dxa"/>
            <w:tcBorders/>
            <w:shd w:fill="auto" w:val="clear"/>
            <w:vAlign w:val="center"/>
          </w:tcPr>
          <w:p>
            <w:pPr>
              <w:pStyle w:val="TableContents"/>
              <w:spacing w:before="0" w:after="283"/>
              <w:rPr>
                <w:sz w:val="4"/>
                <w:szCs w:val="4"/>
              </w:rPr>
            </w:pPr>
            <w:r>
              <w:rPr>
                <w:sz w:val="4"/>
                <w:szCs w:val="4"/>
              </w:rPr>
            </w:r>
          </w:p>
        </w:tc>
        <w:tc>
          <w:tcPr>
            <w:tcW w:w="2550" w:type="dxa"/>
            <w:gridSpan w:val="4"/>
            <w:tcBorders/>
            <w:shd w:fill="auto" w:val="clear"/>
            <w:vAlign w:val="center"/>
          </w:tcPr>
          <w:p>
            <w:pPr>
              <w:pStyle w:val="TableContents"/>
              <w:spacing w:before="0" w:after="283"/>
              <w:rPr>
                <w:sz w:val="4"/>
                <w:szCs w:val="4"/>
              </w:rPr>
            </w:pPr>
            <w:r>
              <w:rPr>
                <w:sz w:val="4"/>
                <w:szCs w:val="4"/>
              </w:rPr>
            </w:r>
          </w:p>
        </w:tc>
        <w:tc>
          <w:tcPr>
            <w:tcW w:w="2553" w:type="dxa"/>
            <w:gridSpan w:val="4"/>
            <w:tcBorders/>
            <w:shd w:fill="auto" w:val="clear"/>
            <w:vAlign w:val="center"/>
          </w:tcPr>
          <w:p>
            <w:pPr>
              <w:pStyle w:val="TableContents"/>
              <w:spacing w:before="0" w:after="283"/>
              <w:rPr>
                <w:sz w:val="4"/>
                <w:szCs w:val="4"/>
              </w:rPr>
            </w:pPr>
            <w:r>
              <w:rPr>
                <w:sz w:val="4"/>
                <w:szCs w:val="4"/>
              </w:rPr>
            </w:r>
          </w:p>
        </w:tc>
      </w:tr>
      <w:tr>
        <w:trPr/>
        <w:tc>
          <w:tcPr>
            <w:tcW w:w="2906" w:type="dxa"/>
            <w:tcBorders/>
            <w:shd w:fill="auto" w:val="clear"/>
          </w:tcPr>
          <w:p>
            <w:pPr>
              <w:pStyle w:val="TableContents"/>
              <w:spacing w:before="0" w:after="0"/>
              <w:rPr>
                <w:rFonts w:ascii="Times New Roman" w:hAnsi="Times New Roman"/>
                <w:b/>
                <w:sz w:val="20"/>
              </w:rPr>
            </w:pPr>
            <w:r>
              <w:rPr>
                <w:rFonts w:ascii="Times New Roman" w:hAnsi="Times New Roman"/>
                <w:b/>
                <w:sz w:val="20"/>
              </w:rPr>
              <w:t>Share Subscription Receivables</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sz w:val="4"/>
                <w:szCs w:val="4"/>
              </w:rPr>
            </w:pPr>
            <w:r>
              <w:rPr>
                <w:sz w:val="4"/>
                <w:szCs w:val="4"/>
              </w:rPr>
            </w:r>
          </w:p>
        </w:tc>
        <w:tc>
          <w:tcPr>
            <w:tcW w:w="18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sz w:val="4"/>
                <w:szCs w:val="4"/>
              </w:rPr>
            </w:pPr>
            <w:r>
              <w:rPr>
                <w:sz w:val="4"/>
                <w:szCs w:val="4"/>
              </w:rPr>
            </w:r>
          </w:p>
        </w:tc>
        <w:tc>
          <w:tcPr>
            <w:tcW w:w="1824"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2906" w:type="dxa"/>
            <w:tcBorders/>
            <w:shd w:fill="CCEEFF" w:val="clear"/>
          </w:tcPr>
          <w:p>
            <w:pPr>
              <w:pStyle w:val="TableContents"/>
              <w:spacing w:before="0" w:after="0"/>
              <w:rPr>
                <w:rFonts w:ascii="Times New Roman" w:hAnsi="Times New Roman"/>
                <w:sz w:val="20"/>
              </w:rPr>
            </w:pPr>
            <w:r>
              <w:rPr>
                <w:rFonts w:ascii="Times New Roman" w:hAnsi="Times New Roman"/>
                <w:sz w:val="20"/>
              </w:rPr>
              <w:t>Dan Wagner</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111,845</w:t>
            </w:r>
          </w:p>
        </w:tc>
        <w:tc>
          <w:tcPr>
            <w:tcW w:w="60" w:type="dxa"/>
            <w:tcBorders/>
            <w:shd w:fill="CCEEFF" w:val="clear"/>
            <w:vAlign w:val="bottom"/>
          </w:tcPr>
          <w:p>
            <w:pPr>
              <w:pStyle w:val="TableContents"/>
              <w:spacing w:before="0" w:after="283"/>
              <w:rPr/>
            </w:pPr>
            <w:r>
              <w:rPr/>
              <w:t> </w:t>
            </w:r>
          </w:p>
        </w:tc>
        <w:tc>
          <w:tcPr>
            <w:tcW w:w="53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824" w:type="dxa"/>
            <w:tcBorders/>
            <w:shd w:fill="CCEEFF" w:val="clear"/>
            <w:vAlign w:val="bottom"/>
          </w:tcPr>
          <w:p>
            <w:pPr>
              <w:pStyle w:val="TableContents"/>
              <w:spacing w:before="0" w:after="283"/>
              <w:jc w:val="right"/>
              <w:rPr/>
            </w:pPr>
            <w:r>
              <w:rPr/>
              <w:t>111,845</w:t>
            </w:r>
          </w:p>
        </w:tc>
        <w:tc>
          <w:tcPr>
            <w:tcW w:w="63" w:type="dxa"/>
            <w:tcBorders/>
            <w:shd w:fill="CCEEFF" w:val="clear"/>
            <w:vAlign w:val="bottom"/>
          </w:tcPr>
          <w:p>
            <w:pPr>
              <w:pStyle w:val="TableContents"/>
              <w:spacing w:before="0" w:after="283"/>
              <w:rPr/>
            </w:pPr>
            <w:r>
              <w:rPr/>
              <w:t> </w:t>
            </w:r>
          </w:p>
        </w:tc>
      </w:tr>
      <w:tr>
        <w:trPr/>
        <w:tc>
          <w:tcPr>
            <w:tcW w:w="2906" w:type="dxa"/>
            <w:tcBorders/>
            <w:shd w:fill="auto" w:val="clear"/>
          </w:tcPr>
          <w:p>
            <w:pPr>
              <w:pStyle w:val="TableContents"/>
              <w:spacing w:before="0" w:after="0"/>
              <w:rPr>
                <w:rFonts w:ascii="Times New Roman" w:hAnsi="Times New Roman"/>
                <w:sz w:val="20"/>
              </w:rPr>
            </w:pPr>
            <w:r>
              <w:rPr>
                <w:rFonts w:ascii="Times New Roman" w:hAnsi="Times New Roman"/>
                <w:sz w:val="20"/>
              </w:rPr>
              <w:t>DBLP Sea Cow</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7,999</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824" w:type="dxa"/>
            <w:tcBorders/>
            <w:shd w:fill="auto" w:val="clear"/>
            <w:vAlign w:val="bottom"/>
          </w:tcPr>
          <w:p>
            <w:pPr>
              <w:pStyle w:val="TableContents"/>
              <w:spacing w:before="0" w:after="283"/>
              <w:jc w:val="right"/>
              <w:rPr/>
            </w:pPr>
            <w:r>
              <w:rPr/>
              <w:t>4,774</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b/>
              </w:rPr>
            </w:pPr>
            <w:r>
              <w:rPr>
                <w:b/>
              </w:rPr>
              <w:t>17.</w:t>
            </w:r>
          </w:p>
        </w:tc>
        <w:tc>
          <w:tcPr>
            <w:tcW w:w="1011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Operating leases as lessee </w:t>
            </w:r>
          </w:p>
        </w:tc>
      </w:tr>
    </w:tbl>
    <w:p>
      <w:pPr>
        <w:pStyle w:val="TextBody"/>
        <w:spacing w:before="120" w:after="0"/>
        <w:jc w:val="left"/>
        <w:rPr>
          <w:rFonts w:ascii="Times New Roman" w:hAnsi="Times New Roman"/>
          <w:sz w:val="20"/>
        </w:rPr>
      </w:pPr>
      <w:r>
        <w:rPr>
          <w:rFonts w:ascii="Times New Roman" w:hAnsi="Times New Roman"/>
          <w:sz w:val="20"/>
        </w:rPr>
        <w:t xml:space="preserve">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18.</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spacing w:before="120" w:after="0"/>
        <w:jc w:val="left"/>
        <w:rPr>
          <w:rFonts w:ascii="Times New Roman" w:hAnsi="Times New Roman"/>
          <w:sz w:val="20"/>
        </w:rPr>
      </w:pPr>
      <w:r>
        <w:rPr>
          <w:rFonts w:ascii="Times New Roman" w:hAnsi="Times New Roman"/>
          <w:sz w:val="20"/>
        </w:rPr>
        <w:t xml:space="preserve">As per the disclosure requirement of ASC 606 Revenue from Contracts with Customers, an entity will have to disaggregate revenue from contracts with customers into categories that depict how the nature, amount, timing, and uncertainty of revenue and cash flows are affected by economic factors.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916"/>
        <w:gridCol w:w="426"/>
        <w:gridCol w:w="224"/>
        <w:gridCol w:w="1835"/>
        <w:gridCol w:w="60"/>
        <w:gridCol w:w="426"/>
        <w:gridCol w:w="245"/>
        <w:gridCol w:w="1814"/>
        <w:gridCol w:w="63"/>
      </w:tblGrid>
      <w:tr>
        <w:trPr/>
        <w:tc>
          <w:tcPr>
            <w:tcW w:w="291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916"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0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0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63" w:type="dxa"/>
            <w:tcBorders/>
            <w:shd w:fill="auto" w:val="clear"/>
            <w:vAlign w:val="bottom"/>
          </w:tcPr>
          <w:p>
            <w:pPr>
              <w:pStyle w:val="TableContents"/>
              <w:spacing w:before="0" w:after="283"/>
              <w:rPr/>
            </w:pPr>
            <w:r>
              <w:rPr/>
              <w:t> </w:t>
            </w:r>
          </w:p>
        </w:tc>
      </w:tr>
      <w:tr>
        <w:trPr/>
        <w:tc>
          <w:tcPr>
            <w:tcW w:w="2916" w:type="dxa"/>
            <w:tcBorders/>
            <w:shd w:fill="CCEEFF" w:val="clear"/>
          </w:tcPr>
          <w:p>
            <w:pPr>
              <w:pStyle w:val="TableContents"/>
              <w:spacing w:before="0" w:after="0"/>
              <w:rPr>
                <w:rFonts w:ascii="Times New Roman" w:hAnsi="Times New Roman"/>
                <w:sz w:val="20"/>
              </w:rPr>
            </w:pPr>
            <w:r>
              <w:rPr>
                <w:rFonts w:ascii="Times New Roman" w:hAnsi="Times New Roman"/>
                <w:sz w:val="20"/>
              </w:rPr>
              <w:t>Radio Advertisements</w:t>
            </w:r>
          </w:p>
        </w:tc>
        <w:tc>
          <w:tcPr>
            <w:tcW w:w="42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b/>
              </w:rPr>
            </w:pPr>
            <w:r>
              <w:rPr>
                <w:b/>
              </w:rPr>
              <w:t>$</w:t>
            </w:r>
          </w:p>
        </w:tc>
        <w:tc>
          <w:tcPr>
            <w:tcW w:w="1835" w:type="dxa"/>
            <w:tcBorders/>
            <w:shd w:fill="CCEEFF" w:val="clear"/>
            <w:vAlign w:val="bottom"/>
          </w:tcPr>
          <w:p>
            <w:pPr>
              <w:pStyle w:val="TableContents"/>
              <w:spacing w:before="0" w:after="283"/>
              <w:jc w:val="right"/>
              <w:rPr/>
            </w:pPr>
            <w:r>
              <w:rPr/>
              <w:t>12,210,593</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b/>
              </w:rPr>
            </w:pPr>
            <w:r>
              <w:rPr>
                <w:b/>
              </w:rPr>
              <w:t>$</w:t>
            </w:r>
          </w:p>
        </w:tc>
        <w:tc>
          <w:tcPr>
            <w:tcW w:w="1814" w:type="dxa"/>
            <w:tcBorders/>
            <w:shd w:fill="CCEEFF" w:val="clear"/>
            <w:vAlign w:val="bottom"/>
          </w:tcPr>
          <w:p>
            <w:pPr>
              <w:pStyle w:val="TableContents"/>
              <w:spacing w:before="0" w:after="283"/>
              <w:jc w:val="right"/>
              <w:rPr/>
            </w:pPr>
            <w:r>
              <w:rPr/>
              <w:t>3,842,207</w:t>
            </w:r>
          </w:p>
        </w:tc>
        <w:tc>
          <w:tcPr>
            <w:tcW w:w="63" w:type="dxa"/>
            <w:tcBorders/>
            <w:shd w:fill="CCEEFF" w:val="clear"/>
            <w:vAlign w:val="bottom"/>
          </w:tcPr>
          <w:p>
            <w:pPr>
              <w:pStyle w:val="TableContents"/>
              <w:spacing w:before="0" w:after="283"/>
              <w:rPr/>
            </w:pPr>
            <w:r>
              <w:rPr/>
              <w:t> </w:t>
            </w:r>
          </w:p>
        </w:tc>
      </w:tr>
      <w:tr>
        <w:trPr/>
        <w:tc>
          <w:tcPr>
            <w:tcW w:w="2916" w:type="dxa"/>
            <w:tcBorders/>
            <w:shd w:fill="auto" w:val="clear"/>
          </w:tcPr>
          <w:p>
            <w:pPr>
              <w:pStyle w:val="TableContents"/>
              <w:spacing w:before="0" w:after="0"/>
              <w:rPr>
                <w:rFonts w:ascii="Times New Roman" w:hAnsi="Times New Roman"/>
                <w:sz w:val="20"/>
              </w:rPr>
            </w:pPr>
            <w:r>
              <w:rPr>
                <w:rFonts w:ascii="Times New Roman" w:hAnsi="Times New Roman"/>
                <w:sz w:val="20"/>
              </w:rPr>
              <w:t>Other</w:t>
            </w:r>
          </w:p>
        </w:tc>
        <w:tc>
          <w:tcPr>
            <w:tcW w:w="42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spacing w:before="0" w:after="283"/>
              <w:jc w:val="right"/>
              <w:rPr/>
            </w:pPr>
            <w:r>
              <w:rPr/>
              <w:t>115,160</w:t>
            </w:r>
          </w:p>
        </w:tc>
        <w:tc>
          <w:tcPr>
            <w:tcW w:w="6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814" w:type="dxa"/>
            <w:tcBorders/>
            <w:shd w:fill="auto" w:val="clear"/>
            <w:vAlign w:val="bottom"/>
          </w:tcPr>
          <w:p>
            <w:pPr>
              <w:pStyle w:val="TableContents"/>
              <w:spacing w:before="0" w:after="283"/>
              <w:jc w:val="right"/>
              <w:rPr/>
            </w:pPr>
            <w:r>
              <w:rPr/>
              <w:t>62,367</w:t>
            </w:r>
          </w:p>
        </w:tc>
        <w:tc>
          <w:tcPr>
            <w:tcW w:w="63" w:type="dxa"/>
            <w:tcBorders/>
            <w:shd w:fill="auto" w:val="clear"/>
            <w:vAlign w:val="bottom"/>
          </w:tcPr>
          <w:p>
            <w:pPr>
              <w:pStyle w:val="TableContents"/>
              <w:spacing w:before="0" w:after="283"/>
              <w:rPr/>
            </w:pPr>
            <w:r>
              <w:rPr/>
              <w:t> </w:t>
            </w:r>
          </w:p>
        </w:tc>
      </w:tr>
      <w:tr>
        <w:trPr/>
        <w:tc>
          <w:tcPr>
            <w:tcW w:w="2916"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pBdr>
                <w:top w:val="single" w:sz="2" w:space="1" w:color="000000"/>
              </w:pBdr>
              <w:spacing w:before="0" w:after="0"/>
              <w:rPr/>
            </w:pPr>
            <w:r>
              <w:rPr/>
              <w:t> </w:t>
            </w:r>
          </w:p>
        </w:tc>
        <w:tc>
          <w:tcPr>
            <w:tcW w:w="183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pBdr>
                <w:top w:val="single" w:sz="2" w:space="1" w:color="000000"/>
              </w:pBdr>
              <w:spacing w:before="0" w:after="0"/>
              <w:rPr/>
            </w:pPr>
            <w:r>
              <w:rPr/>
              <w:t> </w:t>
            </w:r>
          </w:p>
        </w:tc>
        <w:tc>
          <w:tcPr>
            <w:tcW w:w="181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2916"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26"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835" w:type="dxa"/>
            <w:tcBorders/>
            <w:shd w:fill="CCEEFF" w:val="clear"/>
            <w:vAlign w:val="bottom"/>
          </w:tcPr>
          <w:p>
            <w:pPr>
              <w:pStyle w:val="TableContents"/>
              <w:spacing w:before="0" w:after="283"/>
              <w:jc w:val="right"/>
              <w:rPr>
                <w:b/>
              </w:rPr>
            </w:pPr>
            <w:r>
              <w:rPr>
                <w:b/>
              </w:rPr>
              <w:t>12,325,753</w:t>
            </w:r>
          </w:p>
        </w:tc>
        <w:tc>
          <w:tcPr>
            <w:tcW w:w="6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1814" w:type="dxa"/>
            <w:tcBorders/>
            <w:shd w:fill="CCEEFF" w:val="clear"/>
            <w:vAlign w:val="bottom"/>
          </w:tcPr>
          <w:p>
            <w:pPr>
              <w:pStyle w:val="TableContents"/>
              <w:spacing w:before="0" w:after="283"/>
              <w:jc w:val="right"/>
              <w:rPr>
                <w:b/>
              </w:rPr>
            </w:pPr>
            <w:r>
              <w:rPr>
                <w:b/>
              </w:rPr>
              <w:t>3,904,574</w:t>
            </w:r>
          </w:p>
        </w:tc>
        <w:tc>
          <w:tcPr>
            <w:tcW w:w="63" w:type="dxa"/>
            <w:tcBorders/>
            <w:shd w:fill="CCEEFF" w:val="clear"/>
            <w:vAlign w:val="bottom"/>
          </w:tcPr>
          <w:p>
            <w:pPr>
              <w:pStyle w:val="TableContents"/>
              <w:spacing w:before="0" w:after="283"/>
              <w:rPr/>
            </w:pPr>
            <w:r>
              <w:rPr/>
              <w:t> </w:t>
            </w:r>
          </w:p>
        </w:tc>
      </w:tr>
      <w:tr>
        <w:trPr/>
        <w:tc>
          <w:tcPr>
            <w:tcW w:w="2916"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pBdr>
                <w:top w:val="double" w:sz="6" w:space="1" w:color="000000"/>
              </w:pBdr>
              <w:spacing w:before="0" w:after="0"/>
              <w:rPr/>
            </w:pPr>
            <w:r>
              <w:rPr/>
              <w:t> </w:t>
            </w:r>
          </w:p>
        </w:tc>
        <w:tc>
          <w:tcPr>
            <w:tcW w:w="183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pBdr>
                <w:top w:val="double" w:sz="6" w:space="1" w:color="000000"/>
              </w:pBdr>
              <w:spacing w:before="0" w:after="0"/>
              <w:rPr/>
            </w:pPr>
            <w:r>
              <w:rPr/>
              <w:t> </w:t>
            </w:r>
          </w:p>
        </w:tc>
        <w:tc>
          <w:tcPr>
            <w:tcW w:w="1814"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Revenue disaggregated by time of transfer of services: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885"/>
        <w:gridCol w:w="442"/>
        <w:gridCol w:w="223"/>
        <w:gridCol w:w="1835"/>
        <w:gridCol w:w="60"/>
        <w:gridCol w:w="442"/>
        <w:gridCol w:w="244"/>
        <w:gridCol w:w="1814"/>
        <w:gridCol w:w="64"/>
      </w:tblGrid>
      <w:tr>
        <w:trPr/>
        <w:tc>
          <w:tcPr>
            <w:tcW w:w="2885"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885" w:type="dxa"/>
            <w:tcBorders/>
            <w:shd w:fill="auto" w:val="clear"/>
            <w:vAlign w:val="bottom"/>
          </w:tcPr>
          <w:p>
            <w:pPr>
              <w:pStyle w:val="TableContents"/>
              <w:spacing w:before="0" w:after="283"/>
              <w:rPr>
                <w:b/>
              </w:rPr>
            </w:pPr>
            <w:r>
              <w:rPr>
                <w:b/>
              </w:rPr>
              <w:t>Particulars</w:t>
            </w:r>
          </w:p>
        </w:tc>
        <w:tc>
          <w:tcPr>
            <w:tcW w:w="442" w:type="dxa"/>
            <w:tcBorders/>
            <w:shd w:fill="auto" w:val="clear"/>
            <w:vAlign w:val="bottom"/>
          </w:tcPr>
          <w:p>
            <w:pPr>
              <w:pStyle w:val="TableContents"/>
              <w:spacing w:before="0" w:after="283"/>
              <w:rPr/>
            </w:pPr>
            <w:r>
              <w:rPr/>
              <w:t>  </w:t>
            </w:r>
          </w:p>
        </w:tc>
        <w:tc>
          <w:tcPr>
            <w:tcW w:w="2058" w:type="dxa"/>
            <w:gridSpan w:val="2"/>
            <w:tcBorders/>
            <w:shd w:fill="auto" w:val="cle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2058" w:type="dxa"/>
            <w:gridSpan w:val="2"/>
            <w:tcBorders/>
            <w:shd w:fill="auto" w:val="clear"/>
            <w:vAlign w:val="bottom"/>
          </w:tcPr>
          <w:p>
            <w:pPr>
              <w:pStyle w:val="TableContents"/>
              <w:spacing w:before="0" w:after="283"/>
              <w:jc w:val="center"/>
              <w:rPr>
                <w:b/>
              </w:rPr>
            </w:pPr>
            <w:r>
              <w:rPr>
                <w:b/>
              </w:rPr>
              <w:t>December 31, 2021</w:t>
            </w:r>
          </w:p>
        </w:tc>
        <w:tc>
          <w:tcPr>
            <w:tcW w:w="64" w:type="dxa"/>
            <w:tcBorders/>
            <w:shd w:fill="auto" w:val="clear"/>
            <w:vAlign w:val="bottom"/>
          </w:tcPr>
          <w:p>
            <w:pPr>
              <w:pStyle w:val="TableContents"/>
              <w:spacing w:before="0" w:after="283"/>
              <w:rPr/>
            </w:pPr>
            <w:r>
              <w:rPr/>
              <w:t> </w:t>
            </w:r>
          </w:p>
        </w:tc>
      </w:tr>
      <w:tr>
        <w:trPr/>
        <w:tc>
          <w:tcPr>
            <w:tcW w:w="2885" w:type="dxa"/>
            <w:tcBorders/>
            <w:shd w:fill="CCEEFF" w:val="clear"/>
          </w:tcPr>
          <w:p>
            <w:pPr>
              <w:pStyle w:val="TableContents"/>
              <w:spacing w:before="0" w:after="0"/>
              <w:rPr>
                <w:rFonts w:ascii="Times New Roman" w:hAnsi="Times New Roman"/>
                <w:sz w:val="20"/>
              </w:rPr>
            </w:pPr>
            <w:r>
              <w:rPr>
                <w:rFonts w:ascii="Times New Roman" w:hAnsi="Times New Roman"/>
                <w:sz w:val="20"/>
              </w:rPr>
              <w:t>Services transferred to customers at a point in time</w:t>
            </w:r>
          </w:p>
        </w:tc>
        <w:tc>
          <w:tcPr>
            <w:tcW w:w="442"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b/>
              </w:rPr>
            </w:pPr>
            <w:r>
              <w:rPr>
                <w:b/>
              </w:rPr>
              <w:t>$</w:t>
            </w:r>
          </w:p>
        </w:tc>
        <w:tc>
          <w:tcPr>
            <w:tcW w:w="1835" w:type="dxa"/>
            <w:tcBorders/>
            <w:shd w:fill="CCEEFF" w:val="clear"/>
            <w:vAlign w:val="bottom"/>
          </w:tcPr>
          <w:p>
            <w:pPr>
              <w:pStyle w:val="TableContents"/>
              <w:spacing w:before="0" w:after="283"/>
              <w:jc w:val="right"/>
              <w:rPr/>
            </w:pPr>
            <w:r>
              <w:rPr/>
              <w:t>12,325,753</w:t>
            </w:r>
          </w:p>
        </w:tc>
        <w:tc>
          <w:tcPr>
            <w:tcW w:w="60"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b/>
              </w:rPr>
            </w:pPr>
            <w:r>
              <w:rPr>
                <w:b/>
              </w:rPr>
              <w:t>$</w:t>
            </w:r>
          </w:p>
        </w:tc>
        <w:tc>
          <w:tcPr>
            <w:tcW w:w="1814" w:type="dxa"/>
            <w:tcBorders/>
            <w:shd w:fill="CCEEFF" w:val="clear"/>
            <w:vAlign w:val="bottom"/>
          </w:tcPr>
          <w:p>
            <w:pPr>
              <w:pStyle w:val="TableContents"/>
              <w:spacing w:before="0" w:after="283"/>
              <w:jc w:val="right"/>
              <w:rPr/>
            </w:pPr>
            <w:r>
              <w:rPr/>
              <w:t>3,904,574</w:t>
            </w:r>
          </w:p>
        </w:tc>
        <w:tc>
          <w:tcPr>
            <w:tcW w:w="64" w:type="dxa"/>
            <w:tcBorders/>
            <w:shd w:fill="CCEEFF" w:val="clear"/>
            <w:vAlign w:val="bottom"/>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Significant customers are those which represent more than 10% of the Companys total revenue or gross accounts receivable balance at each balance sheet date. As of December 31, 2022 and 2021, the Company had one customer in Germany that accounted for 10% or more of accounts receivable, and as well, accounted for 99% and 98% of revenue in the years ending December 31, 2022 and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19.</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spacing w:before="120" w:after="0"/>
        <w:jc w:val="left"/>
        <w:rPr>
          <w:rFonts w:ascii="Times New Roman" w:hAnsi="Times New Roman"/>
          <w:sz w:val="20"/>
        </w:rPr>
      </w:pPr>
      <w:r>
        <w:rPr>
          <w:rFonts w:ascii="Times New Roman" w:hAnsi="Times New Roman"/>
          <w:sz w:val="20"/>
        </w:rPr>
        <w:t xml:space="preserve">The Company files its primary tax return in the United Kingdom (the UK). Its subsidiaries file income tax returns in the US, Spain, Germany, India and Taiwan. The income taxes of the Company are presented on a separate return basis for each tax-paying entity. </w:t>
      </w:r>
    </w:p>
    <w:p>
      <w:pPr>
        <w:pStyle w:val="TextBody"/>
        <w:spacing w:before="120" w:after="0"/>
        <w:jc w:val="left"/>
        <w:rPr>
          <w:rFonts w:ascii="Times New Roman" w:hAnsi="Times New Roman"/>
          <w:sz w:val="20"/>
        </w:rPr>
      </w:pPr>
      <w:r>
        <w:rPr>
          <w:rFonts w:ascii="Times New Roman" w:hAnsi="Times New Roman"/>
          <w:sz w:val="20"/>
        </w:rPr>
        <w:t xml:space="preserve">The components of our loss (income) before income taxes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733"/>
        <w:gridCol w:w="438"/>
        <w:gridCol w:w="205"/>
        <w:gridCol w:w="1839"/>
        <w:gridCol w:w="155"/>
        <w:gridCol w:w="438"/>
        <w:gridCol w:w="220"/>
        <w:gridCol w:w="1823"/>
        <w:gridCol w:w="158"/>
      </w:tblGrid>
      <w:tr>
        <w:trPr/>
        <w:tc>
          <w:tcPr>
            <w:tcW w:w="273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733"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0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0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8" w:type="dxa"/>
            <w:tcBorders/>
            <w:shd w:fill="auto" w:val="clear"/>
            <w:vAlign w:val="bottom"/>
          </w:tcPr>
          <w:p>
            <w:pPr>
              <w:pStyle w:val="TableContents"/>
              <w:spacing w:before="0" w:after="283"/>
              <w:rPr/>
            </w:pPr>
            <w:r>
              <w:rPr/>
              <w:t> </w:t>
            </w:r>
          </w:p>
        </w:tc>
      </w:tr>
      <w:tr>
        <w:trPr/>
        <w:tc>
          <w:tcPr>
            <w:tcW w:w="2733" w:type="dxa"/>
            <w:tcBorders/>
            <w:shd w:fill="CCEEFF" w:val="clear"/>
          </w:tcPr>
          <w:p>
            <w:pPr>
              <w:pStyle w:val="TableContents"/>
              <w:spacing w:before="0" w:after="0"/>
              <w:rPr>
                <w:rFonts w:ascii="Times New Roman" w:hAnsi="Times New Roman"/>
                <w:sz w:val="20"/>
              </w:rPr>
            </w:pPr>
            <w:r>
              <w:rPr>
                <w:rFonts w:ascii="Times New Roman" w:hAnsi="Times New Roman"/>
                <w:sz w:val="20"/>
              </w:rPr>
              <w:t>UK</w:t>
            </w:r>
          </w:p>
        </w:tc>
        <w:tc>
          <w:tcPr>
            <w:tcW w:w="43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b/>
              </w:rPr>
            </w:pPr>
            <w:r>
              <w:rPr>
                <w:b/>
              </w:rPr>
              <w:t>$</w:t>
            </w:r>
          </w:p>
        </w:tc>
        <w:tc>
          <w:tcPr>
            <w:tcW w:w="1839" w:type="dxa"/>
            <w:tcBorders/>
            <w:shd w:fill="CCEEFF" w:val="clear"/>
            <w:vAlign w:val="bottom"/>
          </w:tcPr>
          <w:p>
            <w:pPr>
              <w:pStyle w:val="TableContents"/>
              <w:spacing w:before="0" w:after="283"/>
              <w:jc w:val="right"/>
              <w:rPr/>
            </w:pPr>
            <w:r>
              <w:rPr/>
              <w:t>93,218,490</w:t>
            </w:r>
          </w:p>
        </w:tc>
        <w:tc>
          <w:tcPr>
            <w:tcW w:w="15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823" w:type="dxa"/>
            <w:tcBorders/>
            <w:shd w:fill="CCEEFF" w:val="clear"/>
            <w:vAlign w:val="bottom"/>
          </w:tcPr>
          <w:p>
            <w:pPr>
              <w:pStyle w:val="TableContents"/>
              <w:spacing w:before="0" w:after="283"/>
              <w:jc w:val="right"/>
              <w:rPr/>
            </w:pPr>
            <w:r>
              <w:rPr/>
              <w:t>36,661,866</w:t>
            </w:r>
          </w:p>
        </w:tc>
        <w:tc>
          <w:tcPr>
            <w:tcW w:w="158" w:type="dxa"/>
            <w:tcBorders/>
            <w:shd w:fill="CCEEFF" w:val="clear"/>
            <w:vAlign w:val="bottom"/>
          </w:tcPr>
          <w:p>
            <w:pPr>
              <w:pStyle w:val="TableContents"/>
              <w:spacing w:before="0" w:after="283"/>
              <w:rPr/>
            </w:pPr>
            <w:r>
              <w:rPr/>
              <w:t> </w:t>
            </w:r>
          </w:p>
        </w:tc>
      </w:tr>
      <w:tr>
        <w:trPr/>
        <w:tc>
          <w:tcPr>
            <w:tcW w:w="2733" w:type="dxa"/>
            <w:tcBorders/>
            <w:shd w:fill="auto" w:val="clear"/>
          </w:tcPr>
          <w:p>
            <w:pPr>
              <w:pStyle w:val="TableContents"/>
              <w:spacing w:before="0" w:after="0"/>
              <w:rPr>
                <w:rFonts w:ascii="Times New Roman" w:hAnsi="Times New Roman"/>
                <w:sz w:val="20"/>
              </w:rPr>
            </w:pPr>
            <w:r>
              <w:rPr>
                <w:rFonts w:ascii="Times New Roman" w:hAnsi="Times New Roman"/>
                <w:sz w:val="20"/>
              </w:rPr>
              <w:t>US</w:t>
            </w:r>
          </w:p>
        </w:tc>
        <w:tc>
          <w:tcPr>
            <w:tcW w:w="4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jc w:val="right"/>
              <w:rPr/>
            </w:pPr>
            <w:r>
              <w:rPr/>
              <w:t>634,526</w:t>
            </w:r>
          </w:p>
        </w:tc>
        <w:tc>
          <w:tcPr>
            <w:tcW w:w="15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23" w:type="dxa"/>
            <w:tcBorders/>
            <w:shd w:fill="auto" w:val="clear"/>
            <w:vAlign w:val="bottom"/>
          </w:tcPr>
          <w:p>
            <w:pPr>
              <w:pStyle w:val="TableContents"/>
              <w:spacing w:before="0" w:after="283"/>
              <w:jc w:val="right"/>
              <w:rPr/>
            </w:pPr>
            <w:r>
              <w:rPr/>
              <w:t>412,651</w:t>
            </w:r>
          </w:p>
        </w:tc>
        <w:tc>
          <w:tcPr>
            <w:tcW w:w="158" w:type="dxa"/>
            <w:tcBorders/>
            <w:shd w:fill="auto" w:val="clear"/>
            <w:vAlign w:val="bottom"/>
          </w:tcPr>
          <w:p>
            <w:pPr>
              <w:pStyle w:val="TableContents"/>
              <w:spacing w:before="0" w:after="283"/>
              <w:rPr/>
            </w:pPr>
            <w:r>
              <w:rPr/>
              <w:t> </w:t>
            </w:r>
          </w:p>
        </w:tc>
      </w:tr>
      <w:tr>
        <w:trPr/>
        <w:tc>
          <w:tcPr>
            <w:tcW w:w="2733" w:type="dxa"/>
            <w:tcBorders/>
            <w:shd w:fill="CCEEFF" w:val="clear"/>
          </w:tcPr>
          <w:p>
            <w:pPr>
              <w:pStyle w:val="TableContents"/>
              <w:spacing w:before="0" w:after="0"/>
              <w:rPr>
                <w:rFonts w:ascii="Times New Roman" w:hAnsi="Times New Roman"/>
                <w:sz w:val="20"/>
              </w:rPr>
            </w:pPr>
            <w:r>
              <w:rPr>
                <w:rFonts w:ascii="Times New Roman" w:hAnsi="Times New Roman"/>
                <w:sz w:val="20"/>
              </w:rPr>
              <w:t>Spain</w:t>
            </w:r>
          </w:p>
        </w:tc>
        <w:tc>
          <w:tcPr>
            <w:tcW w:w="43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839" w:type="dxa"/>
            <w:tcBorders/>
            <w:shd w:fill="CCEEFF" w:val="clear"/>
            <w:vAlign w:val="bottom"/>
          </w:tcPr>
          <w:p>
            <w:pPr>
              <w:pStyle w:val="TableContents"/>
              <w:spacing w:before="0" w:after="283"/>
              <w:jc w:val="right"/>
              <w:rPr/>
            </w:pPr>
            <w:r>
              <w:rPr/>
              <w:t>381,321</w:t>
            </w:r>
          </w:p>
        </w:tc>
        <w:tc>
          <w:tcPr>
            <w:tcW w:w="15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23" w:type="dxa"/>
            <w:tcBorders/>
            <w:shd w:fill="CCEEFF" w:val="clear"/>
            <w:vAlign w:val="bottom"/>
          </w:tcPr>
          <w:p>
            <w:pPr>
              <w:pStyle w:val="TableContents"/>
              <w:spacing w:before="0" w:after="283"/>
              <w:jc w:val="right"/>
              <w:rPr/>
            </w:pPr>
            <w:r>
              <w:rPr/>
              <w:t>137,802</w:t>
            </w:r>
          </w:p>
        </w:tc>
        <w:tc>
          <w:tcPr>
            <w:tcW w:w="158" w:type="dxa"/>
            <w:tcBorders/>
            <w:shd w:fill="CCEEFF" w:val="clear"/>
            <w:vAlign w:val="bottom"/>
          </w:tcPr>
          <w:p>
            <w:pPr>
              <w:pStyle w:val="TableContents"/>
              <w:spacing w:before="0" w:after="283"/>
              <w:rPr/>
            </w:pPr>
            <w:r>
              <w:rPr/>
              <w:t> </w:t>
            </w:r>
          </w:p>
        </w:tc>
      </w:tr>
      <w:tr>
        <w:trPr/>
        <w:tc>
          <w:tcPr>
            <w:tcW w:w="2733" w:type="dxa"/>
            <w:tcBorders/>
            <w:shd w:fill="auto" w:val="clear"/>
          </w:tcPr>
          <w:p>
            <w:pPr>
              <w:pStyle w:val="TableContents"/>
              <w:spacing w:before="0" w:after="0"/>
              <w:rPr>
                <w:rFonts w:ascii="Times New Roman" w:hAnsi="Times New Roman"/>
                <w:sz w:val="20"/>
              </w:rPr>
            </w:pPr>
            <w:r>
              <w:rPr>
                <w:rFonts w:ascii="Times New Roman" w:hAnsi="Times New Roman"/>
                <w:sz w:val="20"/>
              </w:rPr>
              <w:t>India</w:t>
            </w:r>
          </w:p>
        </w:tc>
        <w:tc>
          <w:tcPr>
            <w:tcW w:w="4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jc w:val="right"/>
              <w:rPr/>
            </w:pPr>
            <w:r>
              <w:rPr/>
              <w:t>(300,433</w:t>
            </w:r>
          </w:p>
        </w:tc>
        <w:tc>
          <w:tcPr>
            <w:tcW w:w="15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23" w:type="dxa"/>
            <w:tcBorders/>
            <w:shd w:fill="auto" w:val="clear"/>
            <w:vAlign w:val="bottom"/>
          </w:tcPr>
          <w:p>
            <w:pPr>
              <w:pStyle w:val="TableContents"/>
              <w:spacing w:before="0" w:after="283"/>
              <w:jc w:val="right"/>
              <w:rPr/>
            </w:pPr>
            <w:r>
              <w:rPr/>
              <w:t>(13,407</w:t>
            </w:r>
          </w:p>
        </w:tc>
        <w:tc>
          <w:tcPr>
            <w:tcW w:w="158" w:type="dxa"/>
            <w:tcBorders/>
            <w:shd w:fill="auto" w:val="clear"/>
            <w:vAlign w:val="bottom"/>
          </w:tcPr>
          <w:p>
            <w:pPr>
              <w:pStyle w:val="TableContents"/>
              <w:spacing w:before="0" w:after="283"/>
              <w:rPr/>
            </w:pPr>
            <w:r>
              <w:rPr/>
              <w:t>) </w:t>
            </w:r>
          </w:p>
        </w:tc>
      </w:tr>
      <w:tr>
        <w:trPr/>
        <w:tc>
          <w:tcPr>
            <w:tcW w:w="2733"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43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839" w:type="dxa"/>
            <w:tcBorders/>
            <w:shd w:fill="CCEEFF" w:val="clear"/>
            <w:vAlign w:val="bottom"/>
          </w:tcPr>
          <w:p>
            <w:pPr>
              <w:pStyle w:val="TableContents"/>
              <w:spacing w:before="0" w:after="283"/>
              <w:jc w:val="right"/>
              <w:rPr/>
            </w:pPr>
            <w:r>
              <w:rPr/>
              <w:t>8,235,187</w:t>
            </w:r>
          </w:p>
        </w:tc>
        <w:tc>
          <w:tcPr>
            <w:tcW w:w="15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23" w:type="dxa"/>
            <w:tcBorders/>
            <w:shd w:fill="CCEEFF" w:val="clear"/>
            <w:vAlign w:val="bottom"/>
          </w:tcPr>
          <w:p>
            <w:pPr>
              <w:pStyle w:val="TableContents"/>
              <w:spacing w:before="0" w:after="283"/>
              <w:jc w:val="right"/>
              <w:rPr/>
            </w:pPr>
            <w:r>
              <w:rPr/>
              <w:t>250,474</w:t>
            </w:r>
          </w:p>
        </w:tc>
        <w:tc>
          <w:tcPr>
            <w:tcW w:w="158" w:type="dxa"/>
            <w:tcBorders/>
            <w:shd w:fill="CCEEFF" w:val="clear"/>
            <w:vAlign w:val="bottom"/>
          </w:tcPr>
          <w:p>
            <w:pPr>
              <w:pStyle w:val="TableContents"/>
              <w:spacing w:before="0" w:after="283"/>
              <w:rPr/>
            </w:pPr>
            <w:r>
              <w:rPr/>
              <w:t> </w:t>
            </w:r>
          </w:p>
        </w:tc>
      </w:tr>
      <w:tr>
        <w:trPr/>
        <w:tc>
          <w:tcPr>
            <w:tcW w:w="2733" w:type="dxa"/>
            <w:tcBorders/>
            <w:shd w:fill="auto" w:val="clear"/>
          </w:tcPr>
          <w:p>
            <w:pPr>
              <w:pStyle w:val="TableContents"/>
              <w:spacing w:before="0" w:after="0"/>
              <w:rPr>
                <w:rFonts w:ascii="Times New Roman" w:hAnsi="Times New Roman"/>
                <w:sz w:val="20"/>
              </w:rPr>
            </w:pPr>
            <w:r>
              <w:rPr>
                <w:rFonts w:ascii="Times New Roman" w:hAnsi="Times New Roman"/>
                <w:sz w:val="20"/>
              </w:rPr>
              <w:t>Taiwan</w:t>
            </w:r>
          </w:p>
        </w:tc>
        <w:tc>
          <w:tcPr>
            <w:tcW w:w="4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839" w:type="dxa"/>
            <w:tcBorders/>
            <w:shd w:fill="auto" w:val="clear"/>
            <w:vAlign w:val="bottom"/>
          </w:tcPr>
          <w:p>
            <w:pPr>
              <w:pStyle w:val="TableContents"/>
              <w:spacing w:before="0" w:after="283"/>
              <w:jc w:val="right"/>
              <w:rPr/>
            </w:pPr>
            <w:r>
              <w:rPr/>
              <w:t>2,051,794</w:t>
            </w:r>
          </w:p>
        </w:tc>
        <w:tc>
          <w:tcPr>
            <w:tcW w:w="15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823" w:type="dxa"/>
            <w:tcBorders/>
            <w:shd w:fill="auto" w:val="clear"/>
            <w:vAlign w:val="bottom"/>
          </w:tcPr>
          <w:p>
            <w:pPr>
              <w:pStyle w:val="TableContents"/>
              <w:spacing w:before="0" w:after="283"/>
              <w:jc w:val="right"/>
              <w:rPr/>
            </w:pPr>
            <w:r>
              <w:rPr/>
              <w:t>296,844</w:t>
            </w:r>
          </w:p>
        </w:tc>
        <w:tc>
          <w:tcPr>
            <w:tcW w:w="158" w:type="dxa"/>
            <w:tcBorders/>
            <w:shd w:fill="auto" w:val="clear"/>
            <w:vAlign w:val="bottom"/>
          </w:tcPr>
          <w:p>
            <w:pPr>
              <w:pStyle w:val="TableContents"/>
              <w:spacing w:before="0" w:after="283"/>
              <w:rPr/>
            </w:pPr>
            <w:r>
              <w:rPr/>
              <w:t> </w:t>
            </w:r>
          </w:p>
        </w:tc>
      </w:tr>
      <w:tr>
        <w:trPr/>
        <w:tc>
          <w:tcPr>
            <w:tcW w:w="2733" w:type="dxa"/>
            <w:tcBorders/>
            <w:shd w:fill="auto" w:val="clear"/>
            <w:vAlign w:val="bottom"/>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single" w:sz="2" w:space="1" w:color="000000"/>
              </w:pBdr>
              <w:spacing w:before="0" w:after="0"/>
              <w:rPr/>
            </w:pPr>
            <w:r>
              <w:rPr/>
              <w:t> </w:t>
            </w:r>
          </w:p>
        </w:tc>
        <w:tc>
          <w:tcPr>
            <w:tcW w:w="18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823"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2733"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43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839" w:type="dxa"/>
            <w:tcBorders/>
            <w:shd w:fill="CCEEFF" w:val="clear"/>
            <w:vAlign w:val="bottom"/>
          </w:tcPr>
          <w:p>
            <w:pPr>
              <w:pStyle w:val="TableContents"/>
              <w:spacing w:before="0" w:after="283"/>
              <w:jc w:val="right"/>
              <w:rPr>
                <w:b/>
              </w:rPr>
            </w:pPr>
            <w:r>
              <w:rPr>
                <w:b/>
              </w:rPr>
              <w:t>104,220,885</w:t>
            </w:r>
          </w:p>
        </w:tc>
        <w:tc>
          <w:tcPr>
            <w:tcW w:w="15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823" w:type="dxa"/>
            <w:tcBorders/>
            <w:shd w:fill="CCEEFF" w:val="clear"/>
            <w:vAlign w:val="bottom"/>
          </w:tcPr>
          <w:p>
            <w:pPr>
              <w:pStyle w:val="TableContents"/>
              <w:spacing w:before="0" w:after="283"/>
              <w:jc w:val="right"/>
              <w:rPr>
                <w:b/>
              </w:rPr>
            </w:pPr>
            <w:r>
              <w:rPr>
                <w:b/>
              </w:rPr>
              <w:t>37,746,230</w:t>
            </w:r>
          </w:p>
        </w:tc>
        <w:tc>
          <w:tcPr>
            <w:tcW w:w="158" w:type="dxa"/>
            <w:tcBorders/>
            <w:shd w:fill="CCEEFF" w:val="clear"/>
            <w:vAlign w:val="bottom"/>
          </w:tcPr>
          <w:p>
            <w:pPr>
              <w:pStyle w:val="TableContents"/>
              <w:spacing w:before="0" w:after="283"/>
              <w:rPr/>
            </w:pPr>
            <w:r>
              <w:rPr/>
              <w:t> </w:t>
            </w:r>
          </w:p>
        </w:tc>
      </w:tr>
      <w:tr>
        <w:trPr/>
        <w:tc>
          <w:tcPr>
            <w:tcW w:w="2733" w:type="dxa"/>
            <w:tcBorders/>
            <w:shd w:fill="auto" w:val="clear"/>
            <w:vAlign w:val="bottom"/>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double" w:sz="6" w:space="1" w:color="000000"/>
              </w:pBdr>
              <w:spacing w:before="0" w:after="0"/>
              <w:rPr/>
            </w:pPr>
            <w:r>
              <w:rPr/>
              <w:t> </w:t>
            </w:r>
          </w:p>
        </w:tc>
        <w:tc>
          <w:tcPr>
            <w:tcW w:w="18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823"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Current Income tax expense (benefit) consists of: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99"/>
        <w:gridCol w:w="597"/>
        <w:gridCol w:w="308"/>
        <w:gridCol w:w="1690"/>
        <w:gridCol w:w="155"/>
        <w:gridCol w:w="597"/>
        <w:gridCol w:w="333"/>
        <w:gridCol w:w="1665"/>
        <w:gridCol w:w="65"/>
      </w:tblGrid>
      <w:tr>
        <w:trPr/>
        <w:tc>
          <w:tcPr>
            <w:tcW w:w="259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6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599"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1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19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65" w:type="dxa"/>
            <w:tcBorders/>
            <w:shd w:fill="auto" w:val="clear"/>
            <w:vAlign w:val="bottom"/>
          </w:tcPr>
          <w:p>
            <w:pPr>
              <w:pStyle w:val="TableContents"/>
              <w:spacing w:before="0" w:after="283"/>
              <w:rPr/>
            </w:pPr>
            <w:r>
              <w:rPr/>
              <w:t> </w:t>
            </w:r>
          </w:p>
        </w:tc>
      </w:tr>
      <w:tr>
        <w:trPr/>
        <w:tc>
          <w:tcPr>
            <w:tcW w:w="2599"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59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b/>
              </w:rPr>
            </w:pPr>
            <w:r>
              <w:rPr>
                <w:b/>
              </w:rPr>
              <w:t>$</w:t>
            </w:r>
          </w:p>
        </w:tc>
        <w:tc>
          <w:tcPr>
            <w:tcW w:w="1690" w:type="dxa"/>
            <w:tcBorders/>
            <w:shd w:fill="CCEEFF" w:val="clear"/>
            <w:vAlign w:val="bottom"/>
          </w:tcPr>
          <w:p>
            <w:pPr>
              <w:pStyle w:val="TableContents"/>
              <w:spacing w:before="0" w:after="283"/>
              <w:jc w:val="right"/>
              <w:rPr/>
            </w:pPr>
            <w:r>
              <w:rPr/>
              <w:t>(20,674</w:t>
            </w:r>
          </w:p>
        </w:tc>
        <w:tc>
          <w:tcPr>
            <w:tcW w:w="15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b/>
              </w:rPr>
            </w:pPr>
            <w:r>
              <w:rPr>
                <w:b/>
              </w:rPr>
              <w:t>$</w:t>
            </w:r>
          </w:p>
        </w:tc>
        <w:tc>
          <w:tcPr>
            <w:tcW w:w="1665" w:type="dxa"/>
            <w:tcBorders/>
            <w:shd w:fill="CCEEFF" w:val="clear"/>
            <w:vAlign w:val="bottom"/>
          </w:tcPr>
          <w:p>
            <w:pPr>
              <w:pStyle w:val="TableContents"/>
              <w:spacing w:before="0" w:after="283"/>
              <w:jc w:val="right"/>
              <w:rPr/>
            </w:pPr>
            <w:r>
              <w:rPr/>
              <w:t>23,201</w:t>
            </w:r>
          </w:p>
        </w:tc>
        <w:tc>
          <w:tcPr>
            <w:tcW w:w="65" w:type="dxa"/>
            <w:tcBorders/>
            <w:shd w:fill="CCEEFF" w:val="clear"/>
            <w:vAlign w:val="bottom"/>
          </w:tcPr>
          <w:p>
            <w:pPr>
              <w:pStyle w:val="TableContents"/>
              <w:spacing w:before="0" w:after="283"/>
              <w:rPr/>
            </w:pPr>
            <w:r>
              <w:rPr/>
              <w:t> </w:t>
            </w:r>
          </w:p>
        </w:tc>
      </w:tr>
      <w:tr>
        <w:trPr/>
        <w:tc>
          <w:tcPr>
            <w:tcW w:w="2599" w:type="dxa"/>
            <w:tcBorders/>
            <w:shd w:fill="auto" w:val="clear"/>
          </w:tcPr>
          <w:p>
            <w:pPr>
              <w:pStyle w:val="TableContents"/>
              <w:spacing w:before="0" w:after="0"/>
              <w:rPr>
                <w:rFonts w:ascii="Times New Roman" w:hAnsi="Times New Roman"/>
                <w:sz w:val="20"/>
              </w:rPr>
            </w:pPr>
            <w:r>
              <w:rPr>
                <w:rFonts w:ascii="Times New Roman" w:hAnsi="Times New Roman"/>
                <w:sz w:val="20"/>
              </w:rPr>
              <w:t>Taiwan</w:t>
            </w:r>
          </w:p>
        </w:tc>
        <w:tc>
          <w:tcPr>
            <w:tcW w:w="59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690" w:type="dxa"/>
            <w:tcBorders/>
            <w:shd w:fill="auto" w:val="clear"/>
            <w:vAlign w:val="bottom"/>
          </w:tcPr>
          <w:p>
            <w:pPr>
              <w:pStyle w:val="TableContents"/>
              <w:spacing w:before="0" w:after="283"/>
              <w:jc w:val="right"/>
              <w:rPr/>
            </w:pPr>
            <w:r>
              <w:rPr/>
              <w:t>10,639</w:t>
            </w:r>
          </w:p>
        </w:tc>
        <w:tc>
          <w:tcPr>
            <w:tcW w:w="15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2599" w:type="dxa"/>
            <w:tcBorders/>
            <w:shd w:fill="CCEEFF" w:val="clear"/>
          </w:tcPr>
          <w:p>
            <w:pPr>
              <w:pStyle w:val="TableContents"/>
              <w:spacing w:before="0" w:after="0"/>
              <w:rPr>
                <w:rFonts w:ascii="Times New Roman" w:hAnsi="Times New Roman"/>
                <w:sz w:val="20"/>
              </w:rPr>
            </w:pPr>
            <w:r>
              <w:rPr>
                <w:rFonts w:ascii="Times New Roman" w:hAnsi="Times New Roman"/>
                <w:sz w:val="20"/>
              </w:rPr>
              <w:t>India</w:t>
            </w:r>
          </w:p>
        </w:tc>
        <w:tc>
          <w:tcPr>
            <w:tcW w:w="597"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690" w:type="dxa"/>
            <w:tcBorders/>
            <w:shd w:fill="CCEEFF" w:val="clear"/>
            <w:vAlign w:val="bottom"/>
          </w:tcPr>
          <w:p>
            <w:pPr>
              <w:pStyle w:val="TableContents"/>
              <w:spacing w:before="0" w:after="283"/>
              <w:jc w:val="right"/>
              <w:rPr/>
            </w:pPr>
            <w:r>
              <w:rPr/>
              <w:t>28,126</w:t>
            </w:r>
          </w:p>
        </w:tc>
        <w:tc>
          <w:tcPr>
            <w:tcW w:w="155" w:type="dxa"/>
            <w:tcBorders/>
            <w:shd w:fill="CCEEFF" w:val="clear"/>
            <w:vAlign w:val="bottom"/>
          </w:tcPr>
          <w:p>
            <w:pPr>
              <w:pStyle w:val="TableContents"/>
              <w:spacing w:before="0" w:after="283"/>
              <w:rPr/>
            </w:pPr>
            <w:r>
              <w:rPr/>
              <w:t> </w:t>
            </w:r>
          </w:p>
        </w:tc>
        <w:tc>
          <w:tcPr>
            <w:tcW w:w="597"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665"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pBdr>
                <w:top w:val="single" w:sz="2" w:space="1" w:color="000000"/>
              </w:pBdr>
              <w:spacing w:before="0" w:after="0"/>
              <w:rPr/>
            </w:pPr>
            <w:r>
              <w:rPr/>
              <w:t> </w:t>
            </w:r>
          </w:p>
        </w:tc>
        <w:tc>
          <w:tcPr>
            <w:tcW w:w="169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single" w:sz="2" w:space="1" w:color="000000"/>
              </w:pBdr>
              <w:spacing w:before="0" w:after="0"/>
              <w:rPr/>
            </w:pPr>
            <w:r>
              <w:rPr/>
              <w:t> </w:t>
            </w:r>
          </w:p>
        </w:tc>
        <w:tc>
          <w:tcPr>
            <w:tcW w:w="166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59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59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690" w:type="dxa"/>
            <w:tcBorders/>
            <w:shd w:fill="auto" w:val="clear"/>
            <w:vAlign w:val="bottom"/>
          </w:tcPr>
          <w:p>
            <w:pPr>
              <w:pStyle w:val="TableContents"/>
              <w:spacing w:before="0" w:after="283"/>
              <w:jc w:val="right"/>
              <w:rPr>
                <w:b/>
              </w:rPr>
            </w:pPr>
            <w:r>
              <w:rPr>
                <w:b/>
              </w:rPr>
              <w:t>18,091</w:t>
            </w:r>
          </w:p>
        </w:tc>
        <w:tc>
          <w:tcPr>
            <w:tcW w:w="155"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65" w:type="dxa"/>
            <w:tcBorders/>
            <w:shd w:fill="auto" w:val="clear"/>
            <w:vAlign w:val="bottom"/>
          </w:tcPr>
          <w:p>
            <w:pPr>
              <w:pStyle w:val="TableContents"/>
              <w:spacing w:before="0" w:after="283"/>
              <w:jc w:val="right"/>
              <w:rPr>
                <w:b/>
              </w:rPr>
            </w:pPr>
            <w:r>
              <w:rPr>
                <w:b/>
              </w:rPr>
              <w:t>23,201</w:t>
            </w:r>
          </w:p>
        </w:tc>
        <w:tc>
          <w:tcPr>
            <w:tcW w:w="65" w:type="dxa"/>
            <w:tcBorders/>
            <w:shd w:fill="auto"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pBdr>
                <w:top w:val="double" w:sz="6" w:space="1" w:color="000000"/>
              </w:pBdr>
              <w:spacing w:before="0" w:after="0"/>
              <w:rPr/>
            </w:pPr>
            <w:r>
              <w:rPr/>
              <w:t> </w:t>
            </w:r>
          </w:p>
        </w:tc>
        <w:tc>
          <w:tcPr>
            <w:tcW w:w="169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97"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double" w:sz="6" w:space="1" w:color="000000"/>
              </w:pBdr>
              <w:spacing w:before="0" w:after="0"/>
              <w:rPr/>
            </w:pPr>
            <w:r>
              <w:rPr/>
              <w:t> </w:t>
            </w:r>
          </w:p>
        </w:tc>
        <w:tc>
          <w:tcPr>
            <w:tcW w:w="1665"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Deferred income tax (benefit) consists of: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66"/>
        <w:gridCol w:w="554"/>
        <w:gridCol w:w="273"/>
        <w:gridCol w:w="1737"/>
        <w:gridCol w:w="155"/>
        <w:gridCol w:w="554"/>
        <w:gridCol w:w="305"/>
        <w:gridCol w:w="1705"/>
        <w:gridCol w:w="160"/>
      </w:tblGrid>
      <w:tr>
        <w:trPr/>
        <w:tc>
          <w:tcPr>
            <w:tcW w:w="256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7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70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6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20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20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60" w:type="dxa"/>
            <w:tcBorders/>
            <w:shd w:fill="auto" w:val="clear"/>
            <w:vAlign w:val="bottom"/>
          </w:tcPr>
          <w:p>
            <w:pPr>
              <w:pStyle w:val="TableContents"/>
              <w:spacing w:before="0" w:after="283"/>
              <w:rPr/>
            </w:pPr>
            <w:r>
              <w:rPr/>
              <w:t> </w:t>
            </w:r>
          </w:p>
        </w:tc>
      </w:tr>
      <w:tr>
        <w:trPr/>
        <w:tc>
          <w:tcPr>
            <w:tcW w:w="2566"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55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b/>
              </w:rPr>
            </w:pPr>
            <w:r>
              <w:rPr>
                <w:b/>
              </w:rPr>
              <w:t>$</w:t>
            </w:r>
          </w:p>
        </w:tc>
        <w:tc>
          <w:tcPr>
            <w:tcW w:w="1737" w:type="dxa"/>
            <w:tcBorders/>
            <w:shd w:fill="CCEEFF" w:val="clear"/>
            <w:vAlign w:val="bottom"/>
          </w:tcPr>
          <w:p>
            <w:pPr>
              <w:pStyle w:val="TableContents"/>
              <w:spacing w:before="0" w:after="283"/>
              <w:jc w:val="right"/>
              <w:rPr/>
            </w:pPr>
            <w:r>
              <w:rPr/>
              <w:t>(133,538</w:t>
            </w:r>
          </w:p>
        </w:tc>
        <w:tc>
          <w:tcPr>
            <w:tcW w:w="155"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b/>
              </w:rPr>
            </w:pPr>
            <w:r>
              <w:rPr>
                <w:b/>
              </w:rPr>
              <w:t>$</w:t>
            </w:r>
          </w:p>
        </w:tc>
        <w:tc>
          <w:tcPr>
            <w:tcW w:w="1705" w:type="dxa"/>
            <w:tcBorders/>
            <w:shd w:fill="CCEEFF" w:val="clear"/>
            <w:vAlign w:val="bottom"/>
          </w:tcPr>
          <w:p>
            <w:pPr>
              <w:pStyle w:val="TableContents"/>
              <w:spacing w:before="0" w:after="283"/>
              <w:jc w:val="right"/>
              <w:rPr/>
            </w:pPr>
            <w:r>
              <w:rPr/>
              <w:t>(49,956</w:t>
            </w:r>
          </w:p>
        </w:tc>
        <w:tc>
          <w:tcPr>
            <w:tcW w:w="160" w:type="dxa"/>
            <w:tcBorders/>
            <w:shd w:fill="CCEEFF" w:val="clear"/>
            <w:vAlign w:val="bottom"/>
          </w:tcPr>
          <w:p>
            <w:pPr>
              <w:pStyle w:val="TableContents"/>
              <w:spacing w:before="0" w:after="283"/>
              <w:rPr/>
            </w:pPr>
            <w:r>
              <w:rPr/>
              <w:t>) </w:t>
            </w:r>
          </w:p>
        </w:tc>
      </w:tr>
      <w:tr>
        <w:trPr/>
        <w:tc>
          <w:tcPr>
            <w:tcW w:w="2566"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pBdr>
                <w:top w:val="single" w:sz="2" w:space="1" w:color="000000"/>
              </w:pBdr>
              <w:spacing w:before="0" w:after="0"/>
              <w:rPr/>
            </w:pPr>
            <w:r>
              <w:rPr/>
              <w:t> </w:t>
            </w:r>
          </w:p>
        </w:tc>
        <w:tc>
          <w:tcPr>
            <w:tcW w:w="173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1705"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6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55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37" w:type="dxa"/>
            <w:tcBorders/>
            <w:shd w:fill="auto" w:val="clear"/>
            <w:vAlign w:val="bottom"/>
          </w:tcPr>
          <w:p>
            <w:pPr>
              <w:pStyle w:val="TableContents"/>
              <w:spacing w:before="0" w:after="283"/>
              <w:jc w:val="right"/>
              <w:rPr>
                <w:b/>
              </w:rPr>
            </w:pPr>
            <w:r>
              <w:rPr>
                <w:b/>
              </w:rPr>
              <w:t>(133,538</w:t>
            </w:r>
          </w:p>
        </w:tc>
        <w:tc>
          <w:tcPr>
            <w:tcW w:w="155" w:type="dxa"/>
            <w:tcBorders/>
            <w:shd w:fill="auto" w:val="clear"/>
            <w:vAlign w:val="bottom"/>
          </w:tcPr>
          <w:p>
            <w:pPr>
              <w:pStyle w:val="TableContents"/>
              <w:spacing w:before="0" w:after="283"/>
              <w:rPr>
                <w:b/>
              </w:rPr>
            </w:pPr>
            <w:r>
              <w:rPr>
                <w:b/>
              </w:rPr>
              <w:t>) </w:t>
            </w:r>
          </w:p>
        </w:tc>
        <w:tc>
          <w:tcPr>
            <w:tcW w:w="55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705" w:type="dxa"/>
            <w:tcBorders/>
            <w:shd w:fill="auto" w:val="clear"/>
            <w:vAlign w:val="bottom"/>
          </w:tcPr>
          <w:p>
            <w:pPr>
              <w:pStyle w:val="TableContents"/>
              <w:spacing w:before="0" w:after="283"/>
              <w:jc w:val="right"/>
              <w:rPr>
                <w:b/>
              </w:rPr>
            </w:pPr>
            <w:r>
              <w:rPr>
                <w:b/>
              </w:rPr>
              <w:t>(49,956</w:t>
            </w:r>
          </w:p>
        </w:tc>
        <w:tc>
          <w:tcPr>
            <w:tcW w:w="160" w:type="dxa"/>
            <w:tcBorders/>
            <w:shd w:fill="auto" w:val="clear"/>
            <w:vAlign w:val="bottom"/>
          </w:tcPr>
          <w:p>
            <w:pPr>
              <w:pStyle w:val="TableContents"/>
              <w:spacing w:before="0" w:after="283"/>
              <w:rPr>
                <w:b/>
              </w:rPr>
            </w:pPr>
            <w:r>
              <w:rPr>
                <w:b/>
              </w:rPr>
              <w:t>) </w:t>
            </w:r>
          </w:p>
        </w:tc>
      </w:tr>
      <w:tr>
        <w:trPr/>
        <w:tc>
          <w:tcPr>
            <w:tcW w:w="2566"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pBdr>
                <w:top w:val="double" w:sz="6" w:space="1" w:color="000000"/>
              </w:pBdr>
              <w:spacing w:before="0" w:after="0"/>
              <w:rPr/>
            </w:pPr>
            <w:r>
              <w:rPr/>
              <w:t> </w:t>
            </w:r>
          </w:p>
        </w:tc>
        <w:tc>
          <w:tcPr>
            <w:tcW w:w="173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1705"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Total income tax benefit: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50"/>
        <w:gridCol w:w="586"/>
        <w:gridCol w:w="274"/>
        <w:gridCol w:w="1712"/>
        <w:gridCol w:w="155"/>
        <w:gridCol w:w="586"/>
        <w:gridCol w:w="306"/>
        <w:gridCol w:w="1679"/>
        <w:gridCol w:w="161"/>
      </w:tblGrid>
      <w:tr>
        <w:trPr/>
        <w:tc>
          <w:tcPr>
            <w:tcW w:w="255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550"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19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19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61" w:type="dxa"/>
            <w:tcBorders/>
            <w:shd w:fill="auto" w:val="clear"/>
            <w:vAlign w:val="bottom"/>
          </w:tcPr>
          <w:p>
            <w:pPr>
              <w:pStyle w:val="TableContents"/>
              <w:spacing w:before="0" w:after="283"/>
              <w:rPr/>
            </w:pPr>
            <w:r>
              <w:rPr/>
              <w:t> </w:t>
            </w:r>
          </w:p>
        </w:tc>
      </w:tr>
      <w:tr>
        <w:trPr/>
        <w:tc>
          <w:tcPr>
            <w:tcW w:w="2550" w:type="dxa"/>
            <w:tcBorders/>
            <w:shd w:fill="CCEEFF" w:val="clear"/>
          </w:tcPr>
          <w:p>
            <w:pPr>
              <w:pStyle w:val="TableContents"/>
              <w:spacing w:before="0" w:after="0"/>
              <w:rPr>
                <w:rFonts w:ascii="Times New Roman" w:hAnsi="Times New Roman"/>
                <w:sz w:val="20"/>
              </w:rPr>
            </w:pPr>
            <w:r>
              <w:rPr>
                <w:rFonts w:ascii="Times New Roman" w:hAnsi="Times New Roman"/>
                <w:sz w:val="20"/>
              </w:rPr>
              <w:t>Current</w:t>
            </w:r>
          </w:p>
        </w:tc>
        <w:tc>
          <w:tcPr>
            <w:tcW w:w="58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b/>
              </w:rPr>
            </w:pPr>
            <w:r>
              <w:rPr>
                <w:b/>
              </w:rPr>
              <w:t>$</w:t>
            </w:r>
          </w:p>
        </w:tc>
        <w:tc>
          <w:tcPr>
            <w:tcW w:w="1712" w:type="dxa"/>
            <w:tcBorders/>
            <w:shd w:fill="CCEEFF" w:val="clear"/>
            <w:vAlign w:val="bottom"/>
          </w:tcPr>
          <w:p>
            <w:pPr>
              <w:pStyle w:val="TableContents"/>
              <w:spacing w:before="0" w:after="283"/>
              <w:jc w:val="right"/>
              <w:rPr/>
            </w:pPr>
            <w:r>
              <w:rPr/>
              <w:t>18,091</w:t>
            </w:r>
          </w:p>
        </w:tc>
        <w:tc>
          <w:tcPr>
            <w:tcW w:w="155"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b/>
              </w:rPr>
            </w:pPr>
            <w:r>
              <w:rPr>
                <w:b/>
              </w:rPr>
              <w:t>$</w:t>
            </w:r>
          </w:p>
        </w:tc>
        <w:tc>
          <w:tcPr>
            <w:tcW w:w="1679" w:type="dxa"/>
            <w:tcBorders/>
            <w:shd w:fill="CCEEFF" w:val="clear"/>
            <w:vAlign w:val="bottom"/>
          </w:tcPr>
          <w:p>
            <w:pPr>
              <w:pStyle w:val="TableContents"/>
              <w:spacing w:before="0" w:after="283"/>
              <w:jc w:val="right"/>
              <w:rPr/>
            </w:pPr>
            <w:r>
              <w:rPr/>
              <w:t>23,201</w:t>
            </w:r>
          </w:p>
        </w:tc>
        <w:tc>
          <w:tcPr>
            <w:tcW w:w="161" w:type="dxa"/>
            <w:tcBorders/>
            <w:shd w:fill="CCEEFF" w:val="clear"/>
            <w:vAlign w:val="bottom"/>
          </w:tcPr>
          <w:p>
            <w:pPr>
              <w:pStyle w:val="TableContents"/>
              <w:spacing w:before="0" w:after="283"/>
              <w:rPr/>
            </w:pPr>
            <w:r>
              <w:rPr/>
              <w:t> </w:t>
            </w:r>
          </w:p>
        </w:tc>
      </w:tr>
      <w:tr>
        <w:trPr/>
        <w:tc>
          <w:tcPr>
            <w:tcW w:w="2550" w:type="dxa"/>
            <w:tcBorders/>
            <w:shd w:fill="auto" w:val="clear"/>
          </w:tcPr>
          <w:p>
            <w:pPr>
              <w:pStyle w:val="TableContents"/>
              <w:spacing w:before="0" w:after="0"/>
              <w:rPr>
                <w:rFonts w:ascii="Times New Roman" w:hAnsi="Times New Roman"/>
                <w:sz w:val="20"/>
              </w:rPr>
            </w:pPr>
            <w:r>
              <w:rPr>
                <w:rFonts w:ascii="Times New Roman" w:hAnsi="Times New Roman"/>
                <w:sz w:val="20"/>
              </w:rPr>
              <w:t>Deferred</w:t>
            </w:r>
          </w:p>
        </w:tc>
        <w:tc>
          <w:tcPr>
            <w:tcW w:w="58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712" w:type="dxa"/>
            <w:tcBorders/>
            <w:shd w:fill="auto" w:val="clear"/>
            <w:vAlign w:val="bottom"/>
          </w:tcPr>
          <w:p>
            <w:pPr>
              <w:pStyle w:val="TableContents"/>
              <w:spacing w:before="0" w:after="283"/>
              <w:jc w:val="right"/>
              <w:rPr/>
            </w:pPr>
            <w:r>
              <w:rPr/>
              <w:t>(133,538</w:t>
            </w:r>
          </w:p>
        </w:tc>
        <w:tc>
          <w:tcPr>
            <w:tcW w:w="155"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679" w:type="dxa"/>
            <w:tcBorders/>
            <w:shd w:fill="auto" w:val="clear"/>
            <w:vAlign w:val="bottom"/>
          </w:tcPr>
          <w:p>
            <w:pPr>
              <w:pStyle w:val="TableContents"/>
              <w:spacing w:before="0" w:after="283"/>
              <w:jc w:val="right"/>
              <w:rPr/>
            </w:pPr>
            <w:r>
              <w:rPr/>
              <w:t>(49,956</w:t>
            </w:r>
          </w:p>
        </w:tc>
        <w:tc>
          <w:tcPr>
            <w:tcW w:w="161" w:type="dxa"/>
            <w:tcBorders/>
            <w:shd w:fill="auto" w:val="clear"/>
            <w:vAlign w:val="bottom"/>
          </w:tcPr>
          <w:p>
            <w:pPr>
              <w:pStyle w:val="TableContents"/>
              <w:spacing w:before="0" w:after="283"/>
              <w:rPr/>
            </w:pPr>
            <w:r>
              <w:rPr/>
              <w:t>) </w:t>
            </w:r>
          </w:p>
        </w:tc>
      </w:tr>
      <w:tr>
        <w:trPr/>
        <w:tc>
          <w:tcPr>
            <w:tcW w:w="2550" w:type="dxa"/>
            <w:tcBorders/>
            <w:shd w:fill="auto" w:val="clear"/>
            <w:vAlign w:val="bottom"/>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17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pBdr>
                <w:top w:val="single" w:sz="2" w:space="1" w:color="000000"/>
              </w:pBdr>
              <w:spacing w:before="0" w:after="0"/>
              <w:rPr/>
            </w:pPr>
            <w:r>
              <w:rPr/>
              <w:t> </w:t>
            </w:r>
          </w:p>
        </w:tc>
        <w:tc>
          <w:tcPr>
            <w:tcW w:w="1679"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550"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w:t>
            </w:r>
          </w:p>
        </w:tc>
        <w:tc>
          <w:tcPr>
            <w:tcW w:w="586"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712" w:type="dxa"/>
            <w:tcBorders/>
            <w:shd w:fill="CCEEFF" w:val="clear"/>
            <w:vAlign w:val="bottom"/>
          </w:tcPr>
          <w:p>
            <w:pPr>
              <w:pStyle w:val="TableContents"/>
              <w:spacing w:before="0" w:after="283"/>
              <w:jc w:val="right"/>
              <w:rPr>
                <w:b/>
              </w:rPr>
            </w:pPr>
            <w:r>
              <w:rPr>
                <w:b/>
              </w:rPr>
              <w:t>(115,447</w:t>
            </w:r>
          </w:p>
        </w:tc>
        <w:tc>
          <w:tcPr>
            <w:tcW w:w="155" w:type="dxa"/>
            <w:tcBorders/>
            <w:shd w:fill="CCEEFF" w:val="clear"/>
            <w:vAlign w:val="bottom"/>
          </w:tcPr>
          <w:p>
            <w:pPr>
              <w:pStyle w:val="TableContents"/>
              <w:spacing w:before="0" w:after="283"/>
              <w:rPr>
                <w:b/>
              </w:rPr>
            </w:pPr>
            <w:r>
              <w:rPr>
                <w:b/>
              </w:rPr>
              <w:t>) </w:t>
            </w:r>
          </w:p>
        </w:tc>
        <w:tc>
          <w:tcPr>
            <w:tcW w:w="586"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1679" w:type="dxa"/>
            <w:tcBorders/>
            <w:shd w:fill="CCEEFF" w:val="clear"/>
            <w:vAlign w:val="bottom"/>
          </w:tcPr>
          <w:p>
            <w:pPr>
              <w:pStyle w:val="TableContents"/>
              <w:spacing w:before="0" w:after="283"/>
              <w:jc w:val="right"/>
              <w:rPr>
                <w:b/>
              </w:rPr>
            </w:pPr>
            <w:r>
              <w:rPr>
                <w:b/>
              </w:rPr>
              <w:t>(26,755</w:t>
            </w:r>
          </w:p>
        </w:tc>
        <w:tc>
          <w:tcPr>
            <w:tcW w:w="161" w:type="dxa"/>
            <w:tcBorders/>
            <w:shd w:fill="CCEEFF" w:val="clear"/>
            <w:vAlign w:val="bottom"/>
          </w:tcPr>
          <w:p>
            <w:pPr>
              <w:pStyle w:val="TableContents"/>
              <w:spacing w:before="0" w:after="283"/>
              <w:rPr>
                <w:b/>
              </w:rPr>
            </w:pPr>
            <w:r>
              <w:rPr>
                <w:b/>
              </w:rPr>
              <w:t>) </w:t>
            </w:r>
          </w:p>
        </w:tc>
      </w:tr>
      <w:tr>
        <w:trPr/>
        <w:tc>
          <w:tcPr>
            <w:tcW w:w="2550" w:type="dxa"/>
            <w:tcBorders/>
            <w:shd w:fill="auto" w:val="clear"/>
            <w:vAlign w:val="bottom"/>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double" w:sz="6" w:space="1" w:color="000000"/>
              </w:pBdr>
              <w:spacing w:before="0" w:after="0"/>
              <w:rPr/>
            </w:pPr>
            <w:r>
              <w:rPr/>
              <w:t> </w:t>
            </w:r>
          </w:p>
        </w:tc>
        <w:tc>
          <w:tcPr>
            <w:tcW w:w="171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pBdr>
                <w:top w:val="double" w:sz="6" w:space="1" w:color="000000"/>
              </w:pBdr>
              <w:spacing w:before="0" w:after="0"/>
              <w:rPr/>
            </w:pPr>
            <w:r>
              <w:rPr/>
              <w:t> </w:t>
            </w:r>
          </w:p>
        </w:tc>
        <w:tc>
          <w:tcPr>
            <w:tcW w:w="1679"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Income tax benefit attributable to our loss before income taxes differs from the amounts computed using the applicable income tax rate as a result of the following factors: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02"/>
        <w:gridCol w:w="329"/>
        <w:gridCol w:w="145"/>
        <w:gridCol w:w="1429"/>
        <w:gridCol w:w="155"/>
        <w:gridCol w:w="329"/>
        <w:gridCol w:w="151"/>
        <w:gridCol w:w="1408"/>
        <w:gridCol w:w="161"/>
      </w:tblGrid>
      <w:tr>
        <w:trPr/>
        <w:tc>
          <w:tcPr>
            <w:tcW w:w="3902"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90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161" w:type="dxa"/>
            <w:tcBorders/>
            <w:shd w:fill="auto" w:val="clear"/>
            <w:vAlign w:val="bottom"/>
          </w:tcPr>
          <w:p>
            <w:pPr>
              <w:pStyle w:val="TableContents"/>
              <w:spacing w:before="0" w:after="283"/>
              <w:rPr/>
            </w:pPr>
            <w:r>
              <w:rPr/>
              <w:t> </w:t>
            </w:r>
          </w:p>
        </w:tc>
      </w:tr>
      <w:tr>
        <w:trPr/>
        <w:tc>
          <w:tcPr>
            <w:tcW w:w="3902" w:type="dxa"/>
            <w:tcBorders/>
            <w:shd w:fill="CCEEFF" w:val="clear"/>
          </w:tcPr>
          <w:p>
            <w:pPr>
              <w:pStyle w:val="TableContents"/>
              <w:spacing w:before="0" w:after="0"/>
              <w:rPr>
                <w:rFonts w:ascii="Times New Roman" w:hAnsi="Times New Roman"/>
                <w:sz w:val="20"/>
              </w:rPr>
            </w:pPr>
            <w:r>
              <w:rPr>
                <w:rFonts w:ascii="Times New Roman" w:hAnsi="Times New Roman"/>
                <w:sz w:val="20"/>
              </w:rPr>
              <w:t>Loss before income taxes</w:t>
            </w:r>
          </w:p>
        </w:tc>
        <w:tc>
          <w:tcPr>
            <w:tcW w:w="32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b/>
              </w:rPr>
            </w:pPr>
            <w:r>
              <w:rPr>
                <w:b/>
              </w:rPr>
              <w:t>$</w:t>
            </w:r>
          </w:p>
        </w:tc>
        <w:tc>
          <w:tcPr>
            <w:tcW w:w="1429" w:type="dxa"/>
            <w:tcBorders/>
            <w:shd w:fill="CCEEFF" w:val="clear"/>
            <w:vAlign w:val="bottom"/>
          </w:tcPr>
          <w:p>
            <w:pPr>
              <w:pStyle w:val="TableContents"/>
              <w:spacing w:before="0" w:after="283"/>
              <w:jc w:val="right"/>
              <w:rPr/>
            </w:pPr>
            <w:r>
              <w:rPr/>
              <w:t>(104,220,885</w:t>
            </w:r>
          </w:p>
        </w:tc>
        <w:tc>
          <w:tcPr>
            <w:tcW w:w="15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b/>
              </w:rPr>
            </w:pPr>
            <w:r>
              <w:rPr>
                <w:b/>
              </w:rPr>
              <w:t>$</w:t>
            </w:r>
          </w:p>
        </w:tc>
        <w:tc>
          <w:tcPr>
            <w:tcW w:w="1408" w:type="dxa"/>
            <w:tcBorders/>
            <w:shd w:fill="CCEEFF" w:val="clear"/>
            <w:vAlign w:val="bottom"/>
          </w:tcPr>
          <w:p>
            <w:pPr>
              <w:pStyle w:val="TableContents"/>
              <w:spacing w:before="0" w:after="283"/>
              <w:jc w:val="right"/>
              <w:rPr/>
            </w:pPr>
            <w:r>
              <w:rPr/>
              <w:t>(37,746,230</w:t>
            </w:r>
          </w:p>
        </w:tc>
        <w:tc>
          <w:tcPr>
            <w:tcW w:w="161" w:type="dxa"/>
            <w:tcBorders/>
            <w:shd w:fill="CCEEFF" w:val="clear"/>
            <w:vAlign w:val="bottom"/>
          </w:tcPr>
          <w:p>
            <w:pPr>
              <w:pStyle w:val="TableContents"/>
              <w:spacing w:before="0" w:after="283"/>
              <w:rPr/>
            </w:pPr>
            <w:r>
              <w:rPr/>
              <w:t>) </w:t>
            </w:r>
          </w:p>
        </w:tc>
      </w:tr>
      <w:tr>
        <w:trPr/>
        <w:tc>
          <w:tcPr>
            <w:tcW w:w="3902" w:type="dxa"/>
            <w:tcBorders/>
            <w:shd w:fill="auto" w:val="clear"/>
          </w:tcPr>
          <w:p>
            <w:pPr>
              <w:pStyle w:val="TableContents"/>
              <w:spacing w:before="0" w:after="0"/>
              <w:rPr>
                <w:rFonts w:ascii="Times New Roman" w:hAnsi="Times New Roman"/>
                <w:sz w:val="20"/>
              </w:rPr>
            </w:pPr>
            <w:r>
              <w:rPr>
                <w:rFonts w:ascii="Times New Roman" w:hAnsi="Times New Roman"/>
                <w:sz w:val="20"/>
              </w:rPr>
              <w:t>Income tax benefit at statutory tax rates (a)</w:t>
            </w:r>
          </w:p>
        </w:tc>
        <w:tc>
          <w:tcPr>
            <w:tcW w:w="32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jc w:val="right"/>
              <w:rPr/>
            </w:pPr>
            <w:r>
              <w:rPr/>
              <w:t>19,801,968</w:t>
            </w:r>
          </w:p>
        </w:tc>
        <w:tc>
          <w:tcPr>
            <w:tcW w:w="15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7,171,784</w:t>
            </w:r>
          </w:p>
        </w:tc>
        <w:tc>
          <w:tcPr>
            <w:tcW w:w="161" w:type="dxa"/>
            <w:tcBorders/>
            <w:shd w:fill="auto" w:val="clear"/>
            <w:vAlign w:val="bottom"/>
          </w:tcPr>
          <w:p>
            <w:pPr>
              <w:pStyle w:val="TableContents"/>
              <w:spacing w:before="0" w:after="283"/>
              <w:rPr/>
            </w:pPr>
            <w:r>
              <w:rPr/>
              <w:t> </w:t>
            </w:r>
          </w:p>
        </w:tc>
      </w:tr>
      <w:tr>
        <w:trPr/>
        <w:tc>
          <w:tcPr>
            <w:tcW w:w="3902" w:type="dxa"/>
            <w:tcBorders/>
            <w:shd w:fill="CCEEFF" w:val="clear"/>
          </w:tcPr>
          <w:p>
            <w:pPr>
              <w:pStyle w:val="TableContents"/>
              <w:spacing w:before="0" w:after="0"/>
              <w:rPr>
                <w:rFonts w:ascii="Times New Roman" w:hAnsi="Times New Roman"/>
                <w:sz w:val="20"/>
              </w:rPr>
            </w:pPr>
            <w:r>
              <w:rPr>
                <w:rFonts w:ascii="Times New Roman" w:hAnsi="Times New Roman"/>
                <w:sz w:val="20"/>
              </w:rPr>
              <w:t>Effect of:</w:t>
            </w:r>
          </w:p>
        </w:tc>
        <w:tc>
          <w:tcPr>
            <w:tcW w:w="32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42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2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sz w:val="4"/>
                <w:szCs w:val="4"/>
              </w:rPr>
            </w:pPr>
            <w:r>
              <w:rPr>
                <w:sz w:val="4"/>
                <w:szCs w:val="4"/>
              </w:rPr>
            </w:r>
          </w:p>
        </w:tc>
        <w:tc>
          <w:tcPr>
            <w:tcW w:w="1408"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902" w:type="dxa"/>
            <w:tcBorders/>
            <w:shd w:fill="auto" w:val="clear"/>
          </w:tcPr>
          <w:p>
            <w:pPr>
              <w:pStyle w:val="TableContents"/>
              <w:spacing w:before="0" w:after="0"/>
              <w:rPr>
                <w:rFonts w:ascii="Times New Roman" w:hAnsi="Times New Roman"/>
                <w:sz w:val="20"/>
              </w:rPr>
            </w:pPr>
            <w:r>
              <w:rPr>
                <w:rFonts w:ascii="Times New Roman" w:hAnsi="Times New Roman"/>
                <w:sz w:val="20"/>
              </w:rPr>
              <w:t>Non-deductible or non-taxable foreign currency exchange results</w:t>
            </w:r>
          </w:p>
        </w:tc>
        <w:tc>
          <w:tcPr>
            <w:tcW w:w="32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jc w:val="right"/>
              <w:rPr/>
            </w:pPr>
            <w:r>
              <w:rPr/>
              <w:t>(214,299</w:t>
            </w:r>
          </w:p>
        </w:tc>
        <w:tc>
          <w:tcPr>
            <w:tcW w:w="15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(137,765</w:t>
            </w:r>
          </w:p>
        </w:tc>
        <w:tc>
          <w:tcPr>
            <w:tcW w:w="161" w:type="dxa"/>
            <w:tcBorders/>
            <w:shd w:fill="auto" w:val="clear"/>
            <w:vAlign w:val="bottom"/>
          </w:tcPr>
          <w:p>
            <w:pPr>
              <w:pStyle w:val="TableContents"/>
              <w:spacing w:before="0" w:after="283"/>
              <w:rPr/>
            </w:pPr>
            <w:r>
              <w:rPr/>
              <w:t>) </w:t>
            </w:r>
          </w:p>
        </w:tc>
      </w:tr>
      <w:tr>
        <w:trPr/>
        <w:tc>
          <w:tcPr>
            <w:tcW w:w="3902" w:type="dxa"/>
            <w:tcBorders/>
            <w:shd w:fill="CCEEFF" w:val="clear"/>
          </w:tcPr>
          <w:p>
            <w:pPr>
              <w:pStyle w:val="TableContents"/>
              <w:spacing w:before="0" w:after="0"/>
              <w:rPr>
                <w:rFonts w:ascii="Times New Roman" w:hAnsi="Times New Roman"/>
                <w:sz w:val="20"/>
              </w:rPr>
            </w:pPr>
            <w:r>
              <w:rPr>
                <w:rFonts w:ascii="Times New Roman" w:hAnsi="Times New Roman"/>
                <w:sz w:val="20"/>
              </w:rPr>
              <w:t>International rate differences (b)</w:t>
            </w:r>
          </w:p>
        </w:tc>
        <w:tc>
          <w:tcPr>
            <w:tcW w:w="32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29" w:type="dxa"/>
            <w:tcBorders/>
            <w:shd w:fill="CCEEFF" w:val="clear"/>
            <w:vAlign w:val="bottom"/>
          </w:tcPr>
          <w:p>
            <w:pPr>
              <w:pStyle w:val="TableContents"/>
              <w:spacing w:before="0" w:after="283"/>
              <w:jc w:val="right"/>
              <w:rPr/>
            </w:pPr>
            <w:r>
              <w:rPr/>
              <w:t>1,347,282</w:t>
            </w:r>
          </w:p>
        </w:tc>
        <w:tc>
          <w:tcPr>
            <w:tcW w:w="15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408" w:type="dxa"/>
            <w:tcBorders/>
            <w:shd w:fill="CCEEFF" w:val="clear"/>
            <w:vAlign w:val="bottom"/>
          </w:tcPr>
          <w:p>
            <w:pPr>
              <w:pStyle w:val="TableContents"/>
              <w:spacing w:before="0" w:after="283"/>
              <w:jc w:val="right"/>
              <w:rPr/>
            </w:pPr>
            <w:r>
              <w:rPr/>
              <w:t>50,228</w:t>
            </w:r>
          </w:p>
        </w:tc>
        <w:tc>
          <w:tcPr>
            <w:tcW w:w="161" w:type="dxa"/>
            <w:tcBorders/>
            <w:shd w:fill="CCEEFF" w:val="clear"/>
            <w:vAlign w:val="bottom"/>
          </w:tcPr>
          <w:p>
            <w:pPr>
              <w:pStyle w:val="TableContents"/>
              <w:spacing w:before="0" w:after="283"/>
              <w:rPr/>
            </w:pPr>
            <w:r>
              <w:rPr/>
              <w:t> </w:t>
            </w:r>
          </w:p>
        </w:tc>
      </w:tr>
      <w:tr>
        <w:trPr/>
        <w:tc>
          <w:tcPr>
            <w:tcW w:w="3902" w:type="dxa"/>
            <w:tcBorders/>
            <w:shd w:fill="auto" w:val="clear"/>
          </w:tcPr>
          <w:p>
            <w:pPr>
              <w:pStyle w:val="TableContents"/>
              <w:spacing w:before="0" w:after="0"/>
              <w:rPr>
                <w:rFonts w:ascii="Times New Roman" w:hAnsi="Times New Roman"/>
                <w:sz w:val="20"/>
              </w:rPr>
            </w:pPr>
            <w:r>
              <w:rPr>
                <w:rFonts w:ascii="Times New Roman" w:hAnsi="Times New Roman"/>
                <w:sz w:val="20"/>
              </w:rPr>
              <w:t>Non-deductible expenses</w:t>
            </w:r>
          </w:p>
        </w:tc>
        <w:tc>
          <w:tcPr>
            <w:tcW w:w="32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jc w:val="right"/>
              <w:rPr/>
            </w:pPr>
            <w:r>
              <w:rPr/>
              <w:t>(13,496,313</w:t>
            </w:r>
          </w:p>
        </w:tc>
        <w:tc>
          <w:tcPr>
            <w:tcW w:w="15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(2,765,608</w:t>
            </w:r>
          </w:p>
        </w:tc>
        <w:tc>
          <w:tcPr>
            <w:tcW w:w="161" w:type="dxa"/>
            <w:tcBorders/>
            <w:shd w:fill="auto" w:val="clear"/>
            <w:vAlign w:val="bottom"/>
          </w:tcPr>
          <w:p>
            <w:pPr>
              <w:pStyle w:val="TableContents"/>
              <w:spacing w:before="0" w:after="283"/>
              <w:rPr/>
            </w:pPr>
            <w:r>
              <w:rPr/>
              <w:t>) </w:t>
            </w:r>
          </w:p>
        </w:tc>
      </w:tr>
      <w:tr>
        <w:trPr/>
        <w:tc>
          <w:tcPr>
            <w:tcW w:w="3902" w:type="dxa"/>
            <w:tcBorders/>
            <w:shd w:fill="CCEEFF" w:val="clear"/>
          </w:tcPr>
          <w:p>
            <w:pPr>
              <w:pStyle w:val="TableContents"/>
              <w:spacing w:before="0" w:after="0"/>
              <w:rPr>
                <w:rFonts w:ascii="Times New Roman" w:hAnsi="Times New Roman"/>
                <w:sz w:val="20"/>
              </w:rPr>
            </w:pPr>
            <w:r>
              <w:rPr>
                <w:rFonts w:ascii="Times New Roman" w:hAnsi="Times New Roman"/>
                <w:sz w:val="20"/>
              </w:rPr>
              <w:t>Enacted tax law and rate changes (c)</w:t>
            </w:r>
          </w:p>
        </w:tc>
        <w:tc>
          <w:tcPr>
            <w:tcW w:w="32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2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408" w:type="dxa"/>
            <w:tcBorders/>
            <w:shd w:fill="CCEEFF" w:val="clear"/>
            <w:vAlign w:val="bottom"/>
          </w:tcPr>
          <w:p>
            <w:pPr>
              <w:pStyle w:val="TableContents"/>
              <w:spacing w:before="0" w:after="283"/>
              <w:jc w:val="right"/>
              <w:rPr/>
            </w:pPr>
            <w:r>
              <w:rPr/>
              <w:t>3,476,426</w:t>
            </w:r>
          </w:p>
        </w:tc>
        <w:tc>
          <w:tcPr>
            <w:tcW w:w="161" w:type="dxa"/>
            <w:tcBorders/>
            <w:shd w:fill="CCEEFF" w:val="clear"/>
            <w:vAlign w:val="bottom"/>
          </w:tcPr>
          <w:p>
            <w:pPr>
              <w:pStyle w:val="TableContents"/>
              <w:spacing w:before="0" w:after="283"/>
              <w:rPr/>
            </w:pPr>
            <w:r>
              <w:rPr/>
              <w:t> </w:t>
            </w:r>
          </w:p>
        </w:tc>
      </w:tr>
      <w:tr>
        <w:trPr/>
        <w:tc>
          <w:tcPr>
            <w:tcW w:w="3902" w:type="dxa"/>
            <w:tcBorders/>
            <w:shd w:fill="auto" w:val="clear"/>
          </w:tcPr>
          <w:p>
            <w:pPr>
              <w:pStyle w:val="TableContents"/>
              <w:spacing w:before="0" w:after="0"/>
              <w:rPr>
                <w:rFonts w:ascii="Times New Roman" w:hAnsi="Times New Roman"/>
                <w:sz w:val="20"/>
              </w:rPr>
            </w:pPr>
            <w:r>
              <w:rPr>
                <w:rFonts w:ascii="Times New Roman" w:hAnsi="Times New Roman"/>
                <w:sz w:val="20"/>
              </w:rPr>
              <w:t>Change in valuation allowance</w:t>
            </w:r>
          </w:p>
        </w:tc>
        <w:tc>
          <w:tcPr>
            <w:tcW w:w="32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jc w:val="right"/>
              <w:rPr/>
            </w:pPr>
            <w:r>
              <w:rPr/>
              <w:t>(7,554,085</w:t>
            </w:r>
          </w:p>
        </w:tc>
        <w:tc>
          <w:tcPr>
            <w:tcW w:w="155"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jc w:val="right"/>
              <w:rPr/>
            </w:pPr>
            <w:r>
              <w:rPr/>
              <w:t>(7,821,820</w:t>
            </w:r>
          </w:p>
        </w:tc>
        <w:tc>
          <w:tcPr>
            <w:tcW w:w="161" w:type="dxa"/>
            <w:tcBorders/>
            <w:shd w:fill="auto" w:val="clear"/>
            <w:vAlign w:val="bottom"/>
          </w:tcPr>
          <w:p>
            <w:pPr>
              <w:pStyle w:val="TableContents"/>
              <w:spacing w:before="0" w:after="283"/>
              <w:rPr/>
            </w:pPr>
            <w:r>
              <w:rPr/>
              <w:t>) </w:t>
            </w:r>
          </w:p>
        </w:tc>
      </w:tr>
      <w:tr>
        <w:trPr/>
        <w:tc>
          <w:tcPr>
            <w:tcW w:w="3902"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902"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benefit</w:t>
            </w:r>
          </w:p>
        </w:tc>
        <w:tc>
          <w:tcPr>
            <w:tcW w:w="32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429" w:type="dxa"/>
            <w:tcBorders/>
            <w:shd w:fill="CCEEFF" w:val="clear"/>
            <w:vAlign w:val="bottom"/>
          </w:tcPr>
          <w:p>
            <w:pPr>
              <w:pStyle w:val="TableContents"/>
              <w:spacing w:before="0" w:after="283"/>
              <w:jc w:val="right"/>
              <w:rPr/>
            </w:pPr>
            <w:r>
              <w:rPr/>
              <w:t>(115,447</w:t>
            </w:r>
          </w:p>
        </w:tc>
        <w:tc>
          <w:tcPr>
            <w:tcW w:w="155"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408" w:type="dxa"/>
            <w:tcBorders/>
            <w:shd w:fill="CCEEFF" w:val="clear"/>
            <w:vAlign w:val="bottom"/>
          </w:tcPr>
          <w:p>
            <w:pPr>
              <w:pStyle w:val="TableContents"/>
              <w:spacing w:before="0" w:after="283"/>
              <w:jc w:val="right"/>
              <w:rPr/>
            </w:pPr>
            <w:r>
              <w:rPr/>
              <w:t>(26,755</w:t>
            </w:r>
          </w:p>
        </w:tc>
        <w:tc>
          <w:tcPr>
            <w:tcW w:w="161" w:type="dxa"/>
            <w:tcBorders/>
            <w:shd w:fill="CCEEFF" w:val="clear"/>
            <w:vAlign w:val="bottom"/>
          </w:tcPr>
          <w:p>
            <w:pPr>
              <w:pStyle w:val="TableContents"/>
              <w:spacing w:before="0" w:after="283"/>
              <w:rPr/>
            </w:pPr>
            <w:r>
              <w:rPr/>
              <w:t>) </w:t>
            </w:r>
          </w:p>
        </w:tc>
      </w:tr>
      <w:tr>
        <w:trPr/>
        <w:tc>
          <w:tcPr>
            <w:tcW w:w="3902"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42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408"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7"/>
        <w:gridCol w:w="9593"/>
      </w:tblGrid>
      <w:tr>
        <w:trPr/>
        <w:tc>
          <w:tcPr>
            <w:tcW w:w="419"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(a)</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statutory or expected tax rate is the UK rate of 19.0%. </w:t>
            </w:r>
          </w:p>
        </w:tc>
      </w:tr>
    </w:tbl>
    <w:tbl>
      <w:tblPr>
        <w:tblW w:w="5000" w:type="pct"/>
        <w:jc w:val="left"/>
        <w:tblInd w:w="0" w:type="dxa"/>
        <w:tblCellMar>
          <w:top w:w="0" w:type="dxa"/>
          <w:left w:w="0" w:type="dxa"/>
          <w:bottom w:w="0" w:type="dxa"/>
          <w:right w:w="0" w:type="dxa"/>
        </w:tblCellMar>
      </w:tblPr>
      <w:tblGrid>
        <w:gridCol w:w="419"/>
        <w:gridCol w:w="527"/>
        <w:gridCol w:w="9593"/>
      </w:tblGrid>
      <w:tr>
        <w:trPr/>
        <w:tc>
          <w:tcPr>
            <w:tcW w:w="419"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(b)</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reflect adjustments (either a benefit or expense) to the expected tax benefit (expense) for statutory rates in jurisdictions in which we operate outside of the UK. </w:t>
            </w:r>
          </w:p>
        </w:tc>
      </w:tr>
    </w:tbl>
    <w:tbl>
      <w:tblPr>
        <w:tblW w:w="5000" w:type="pct"/>
        <w:jc w:val="left"/>
        <w:tblInd w:w="0" w:type="dxa"/>
        <w:tblCellMar>
          <w:top w:w="0" w:type="dxa"/>
          <w:left w:w="0" w:type="dxa"/>
          <w:bottom w:w="0" w:type="dxa"/>
          <w:right w:w="0" w:type="dxa"/>
        </w:tblCellMar>
      </w:tblPr>
      <w:tblGrid>
        <w:gridCol w:w="419"/>
        <w:gridCol w:w="525"/>
        <w:gridCol w:w="9595"/>
      </w:tblGrid>
      <w:tr>
        <w:trPr/>
        <w:tc>
          <w:tcPr>
            <w:tcW w:w="419"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(c)</w:t>
            </w:r>
          </w:p>
        </w:tc>
        <w:tc>
          <w:tcPr>
            <w:tcW w:w="95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June 10, 2021, legislation was enacted in the UK to increase the UK corporate income rate to 25.0% from April 1, 2023. </w:t>
            </w:r>
          </w:p>
        </w:tc>
      </w:tr>
    </w:tbl>
    <w:p>
      <w:pPr>
        <w:pStyle w:val="TextBody"/>
        <w:spacing w:before="120" w:after="0"/>
        <w:jc w:val="left"/>
        <w:rPr>
          <w:rFonts w:ascii="Times New Roman" w:hAnsi="Times New Roman"/>
          <w:sz w:val="20"/>
        </w:rPr>
      </w:pPr>
      <w:r>
        <w:rPr>
          <w:rFonts w:ascii="Times New Roman" w:hAnsi="Times New Roman"/>
          <w:sz w:val="20"/>
        </w:rPr>
        <w:t xml:space="preserve">The Company and its subsidiaries are liable to income taxes in their respective jurisdiction. The Company has unused tax losses as follows as at December 31, 2022: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130"/>
        <w:gridCol w:w="371"/>
        <w:gridCol w:w="118"/>
        <w:gridCol w:w="2188"/>
        <w:gridCol w:w="60"/>
        <w:gridCol w:w="371"/>
        <w:gridCol w:w="98"/>
        <w:gridCol w:w="1515"/>
        <w:gridCol w:w="158"/>
      </w:tblGrid>
      <w:tr>
        <w:trPr/>
        <w:tc>
          <w:tcPr>
            <w:tcW w:w="313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13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Subsidiaries in Jurisdiction</w:t>
            </w:r>
          </w:p>
        </w:tc>
        <w:tc>
          <w:tcPr>
            <w:tcW w:w="371" w:type="dxa"/>
            <w:tcBorders/>
            <w:shd w:fill="auto" w:val="clear"/>
            <w:vAlign w:val="bottom"/>
          </w:tcPr>
          <w:p>
            <w:pPr>
              <w:pStyle w:val="TableContents"/>
              <w:spacing w:before="0" w:after="283"/>
              <w:rPr/>
            </w:pPr>
            <w:r>
              <w:rPr/>
              <w:t>  </w:t>
            </w:r>
          </w:p>
        </w:tc>
        <w:tc>
          <w:tcPr>
            <w:tcW w:w="23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Tax loss carryforward</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6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Expiration date</w:t>
            </w:r>
          </w:p>
        </w:tc>
        <w:tc>
          <w:tcPr>
            <w:tcW w:w="158" w:type="dxa"/>
            <w:tcBorders/>
            <w:shd w:fill="auto" w:val="clear"/>
            <w:vAlign w:val="bottom"/>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UK (1)</w:t>
            </w:r>
          </w:p>
        </w:tc>
        <w:tc>
          <w:tcPr>
            <w:tcW w:w="37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188" w:type="dxa"/>
            <w:tcBorders/>
            <w:shd w:fill="CCEEFF" w:val="clear"/>
            <w:vAlign w:val="bottom"/>
          </w:tcPr>
          <w:p>
            <w:pPr>
              <w:pStyle w:val="TableContents"/>
              <w:spacing w:before="0" w:after="283"/>
              <w:jc w:val="right"/>
              <w:rPr/>
            </w:pPr>
            <w:r>
              <w:rPr/>
              <w:t>70,117,780</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(1</w:t>
            </w:r>
          </w:p>
        </w:tc>
        <w:tc>
          <w:tcPr>
            <w:tcW w:w="158" w:type="dxa"/>
            <w:tcBorders/>
            <w:shd w:fill="CCEEFF" w:val="clear"/>
            <w:vAlign w:val="bottom"/>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US</w:t>
            </w:r>
          </w:p>
        </w:tc>
        <w:tc>
          <w:tcPr>
            <w:tcW w:w="37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88" w:type="dxa"/>
            <w:tcBorders/>
            <w:shd w:fill="auto" w:val="clear"/>
            <w:vAlign w:val="bottom"/>
          </w:tcPr>
          <w:p>
            <w:pPr>
              <w:pStyle w:val="TableContents"/>
              <w:spacing w:before="0" w:after="283"/>
              <w:jc w:val="right"/>
              <w:rPr/>
            </w:pPr>
            <w:r>
              <w:rPr/>
              <w:t>4,433,259</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Indefinite</w:t>
            </w:r>
          </w:p>
        </w:tc>
        <w:tc>
          <w:tcPr>
            <w:tcW w:w="158" w:type="dxa"/>
            <w:tcBorders/>
            <w:shd w:fill="auto" w:val="clear"/>
            <w:vAlign w:val="bottom"/>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Spain</w:t>
            </w:r>
          </w:p>
        </w:tc>
        <w:tc>
          <w:tcPr>
            <w:tcW w:w="37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188" w:type="dxa"/>
            <w:tcBorders/>
            <w:shd w:fill="CCEEFF" w:val="clear"/>
            <w:vAlign w:val="bottom"/>
          </w:tcPr>
          <w:p>
            <w:pPr>
              <w:pStyle w:val="TableContents"/>
              <w:spacing w:before="0" w:after="283"/>
              <w:jc w:val="right"/>
              <w:rPr/>
            </w:pPr>
            <w:r>
              <w:rPr/>
              <w:t>535,933</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Indefinite</w:t>
            </w:r>
          </w:p>
        </w:tc>
        <w:tc>
          <w:tcPr>
            <w:tcW w:w="158" w:type="dxa"/>
            <w:tcBorders/>
            <w:shd w:fill="CCEEFF" w:val="clear"/>
            <w:vAlign w:val="bottom"/>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India</w:t>
            </w:r>
          </w:p>
        </w:tc>
        <w:tc>
          <w:tcPr>
            <w:tcW w:w="37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88" w:type="dxa"/>
            <w:tcBorders/>
            <w:shd w:fill="auto" w:val="clear"/>
            <w:vAlign w:val="bottom"/>
          </w:tcPr>
          <w:p>
            <w:pPr>
              <w:pStyle w:val="TableContents"/>
              <w:spacing w:before="0" w:after="283"/>
              <w:jc w:val="right"/>
              <w:rPr/>
            </w:pPr>
            <w:r>
              <w:rPr/>
              <w:t>8,192</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8 years</w:t>
            </w:r>
          </w:p>
        </w:tc>
        <w:tc>
          <w:tcPr>
            <w:tcW w:w="158" w:type="dxa"/>
            <w:tcBorders/>
            <w:shd w:fill="auto" w:val="clear"/>
            <w:vAlign w:val="bottom"/>
          </w:tcPr>
          <w:p>
            <w:pPr>
              <w:pStyle w:val="TableContents"/>
              <w:spacing w:before="0" w:after="283"/>
              <w:rPr/>
            </w:pPr>
            <w:r>
              <w:rPr/>
              <w:t> </w:t>
            </w:r>
          </w:p>
        </w:tc>
      </w:tr>
      <w:tr>
        <w:trPr/>
        <w:tc>
          <w:tcPr>
            <w:tcW w:w="3130" w:type="dxa"/>
            <w:tcBorders/>
            <w:shd w:fill="CCEEFF" w:val="clear"/>
          </w:tcPr>
          <w:p>
            <w:pPr>
              <w:pStyle w:val="TableContents"/>
              <w:spacing w:before="0" w:after="0"/>
              <w:rPr>
                <w:rFonts w:ascii="Times New Roman" w:hAnsi="Times New Roman"/>
                <w:sz w:val="20"/>
              </w:rPr>
            </w:pPr>
            <w:r>
              <w:rPr>
                <w:rFonts w:ascii="Times New Roman" w:hAnsi="Times New Roman"/>
                <w:sz w:val="20"/>
              </w:rPr>
              <w:t>Germany</w:t>
            </w:r>
          </w:p>
        </w:tc>
        <w:tc>
          <w:tcPr>
            <w:tcW w:w="371"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188" w:type="dxa"/>
            <w:tcBorders/>
            <w:shd w:fill="CCEEFF" w:val="clear"/>
            <w:vAlign w:val="bottom"/>
          </w:tcPr>
          <w:p>
            <w:pPr>
              <w:pStyle w:val="TableContents"/>
              <w:spacing w:before="0" w:after="283"/>
              <w:jc w:val="right"/>
              <w:rPr/>
            </w:pPr>
            <w:r>
              <w:rPr/>
              <w:t>617,729</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Indefinite</w:t>
            </w:r>
          </w:p>
        </w:tc>
        <w:tc>
          <w:tcPr>
            <w:tcW w:w="158" w:type="dxa"/>
            <w:tcBorders/>
            <w:shd w:fill="CCEEFF" w:val="clear"/>
            <w:vAlign w:val="bottom"/>
          </w:tcPr>
          <w:p>
            <w:pPr>
              <w:pStyle w:val="TableContents"/>
              <w:spacing w:before="0" w:after="283"/>
              <w:rPr/>
            </w:pPr>
            <w:r>
              <w:rPr/>
              <w:t> </w:t>
            </w:r>
          </w:p>
        </w:tc>
      </w:tr>
      <w:tr>
        <w:trPr/>
        <w:tc>
          <w:tcPr>
            <w:tcW w:w="3130" w:type="dxa"/>
            <w:tcBorders/>
            <w:shd w:fill="auto" w:val="clear"/>
          </w:tcPr>
          <w:p>
            <w:pPr>
              <w:pStyle w:val="TableContents"/>
              <w:spacing w:before="0" w:after="0"/>
              <w:rPr>
                <w:rFonts w:ascii="Times New Roman" w:hAnsi="Times New Roman"/>
                <w:sz w:val="20"/>
              </w:rPr>
            </w:pPr>
            <w:r>
              <w:rPr>
                <w:rFonts w:ascii="Times New Roman" w:hAnsi="Times New Roman"/>
                <w:sz w:val="20"/>
              </w:rPr>
              <w:t>Taiwan</w:t>
            </w:r>
          </w:p>
        </w:tc>
        <w:tc>
          <w:tcPr>
            <w:tcW w:w="371"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188" w:type="dxa"/>
            <w:tcBorders/>
            <w:shd w:fill="auto" w:val="clear"/>
            <w:vAlign w:val="bottom"/>
          </w:tcPr>
          <w:p>
            <w:pPr>
              <w:pStyle w:val="TableContents"/>
              <w:spacing w:before="0" w:after="283"/>
              <w:jc w:val="right"/>
              <w:rPr/>
            </w:pPr>
            <w:r>
              <w:rPr/>
              <w:t>2,268,654</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right"/>
              <w:rPr/>
            </w:pPr>
            <w:r>
              <w:rPr/>
              <w:t>10 years</w:t>
            </w:r>
          </w:p>
        </w:tc>
        <w:tc>
          <w:tcPr>
            <w:tcW w:w="158"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5"/>
        <w:gridCol w:w="9593"/>
      </w:tblGrid>
      <w:tr>
        <w:trPr/>
        <w:tc>
          <w:tcPr>
            <w:tcW w:w="421"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(1)</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 losses carried forward in Rezolve Limited will not be transferred to Rezolve AI Limited in the Demerger. As a result, all tax losses previously created in the UK will be lost upon completion of the Demerger. </w:t>
            </w:r>
          </w:p>
        </w:tc>
      </w:tr>
    </w:tbl>
    <w:tbl>
      <w:tblPr>
        <w:tblW w:w="5000" w:type="pct"/>
        <w:jc w:val="left"/>
        <w:tblInd w:w="0" w:type="dxa"/>
        <w:tblCellMar>
          <w:top w:w="0" w:type="dxa"/>
          <w:left w:w="0" w:type="dxa"/>
          <w:bottom w:w="0" w:type="dxa"/>
          <w:right w:w="0" w:type="dxa"/>
        </w:tblCellMar>
      </w:tblPr>
      <w:tblGrid>
        <w:gridCol w:w="421"/>
        <w:gridCol w:w="524"/>
        <w:gridCol w:w="9594"/>
      </w:tblGrid>
      <w:tr>
        <w:trPr/>
        <w:tc>
          <w:tcPr>
            <w:tcW w:w="421" w:type="dxa"/>
            <w:tcBorders/>
            <w:shd w:fill="auto" w:val="clear"/>
            <w:vAlign w:val="center"/>
          </w:tcPr>
          <w:p>
            <w:pPr>
              <w:pStyle w:val="TableContents"/>
              <w:spacing w:before="0" w:after="283"/>
              <w:rPr/>
            </w:pPr>
            <w:r>
              <w:rPr/>
              <w:t> </w:t>
            </w:r>
          </w:p>
        </w:tc>
        <w:tc>
          <w:tcPr>
            <w:tcW w:w="524" w:type="dxa"/>
            <w:tcBorders/>
            <w:shd w:fill="auto" w:val="clear"/>
          </w:tcPr>
          <w:p>
            <w:pPr>
              <w:pStyle w:val="TableContents"/>
              <w:spacing w:before="0" w:after="283"/>
              <w:jc w:val="left"/>
              <w:rPr/>
            </w:pPr>
            <w:r>
              <w:rPr/>
              <w:t>(2)</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 </w:t>
            </w:r>
          </w:p>
        </w:tc>
      </w:tr>
    </w:tbl>
    <w:p>
      <w:pPr>
        <w:pStyle w:val="TextBody"/>
        <w:spacing w:before="120" w:after="0"/>
        <w:jc w:val="left"/>
        <w:rPr>
          <w:rFonts w:ascii="Times New Roman" w:hAnsi="Times New Roman"/>
          <w:sz w:val="20"/>
        </w:rPr>
      </w:pPr>
      <w:r>
        <w:rPr>
          <w:rFonts w:ascii="Times New Roman" w:hAnsi="Times New Roman"/>
          <w:sz w:val="20"/>
        </w:rPr>
        <w:t xml:space="preserve">The changes in our unrecognized tax benefits for the indicated periods are summarized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175"/>
        <w:gridCol w:w="403"/>
        <w:gridCol w:w="146"/>
        <w:gridCol w:w="1210"/>
        <w:gridCol w:w="156"/>
        <w:gridCol w:w="403"/>
        <w:gridCol w:w="146"/>
        <w:gridCol w:w="1210"/>
        <w:gridCol w:w="160"/>
      </w:tblGrid>
      <w:tr>
        <w:trPr/>
        <w:tc>
          <w:tcPr>
            <w:tcW w:w="4175"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175"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3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160" w:type="dxa"/>
            <w:tcBorders/>
            <w:shd w:fill="auto" w:val="clear"/>
            <w:vAlign w:val="bottom"/>
          </w:tcPr>
          <w:p>
            <w:pPr>
              <w:pStyle w:val="TableContents"/>
              <w:spacing w:before="0" w:after="283"/>
              <w:rPr/>
            </w:pPr>
            <w:r>
              <w:rPr/>
              <w:t> </w:t>
            </w:r>
          </w:p>
        </w:tc>
      </w:tr>
      <w:tr>
        <w:trPr/>
        <w:tc>
          <w:tcPr>
            <w:tcW w:w="4175"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January 1</w:t>
            </w:r>
          </w:p>
        </w:tc>
        <w:tc>
          <w:tcPr>
            <w:tcW w:w="40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210" w:type="dxa"/>
            <w:tcBorders/>
            <w:shd w:fill="CCEEFF" w:val="clear"/>
            <w:vAlign w:val="bottom"/>
          </w:tcPr>
          <w:p>
            <w:pPr>
              <w:pStyle w:val="TableContents"/>
              <w:spacing w:before="0" w:after="283"/>
              <w:jc w:val="right"/>
              <w:rPr/>
            </w:pPr>
            <w:r>
              <w:rPr/>
              <w:t>11,811,695</w:t>
            </w:r>
          </w:p>
        </w:tc>
        <w:tc>
          <w:tcPr>
            <w:tcW w:w="15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b/>
              </w:rPr>
            </w:pPr>
            <w:r>
              <w:rPr>
                <w:b/>
              </w:rPr>
              <w:t>$</w:t>
            </w:r>
          </w:p>
        </w:tc>
        <w:tc>
          <w:tcPr>
            <w:tcW w:w="1210" w:type="dxa"/>
            <w:tcBorders/>
            <w:shd w:fill="CCEEFF" w:val="clear"/>
            <w:vAlign w:val="bottom"/>
          </w:tcPr>
          <w:p>
            <w:pPr>
              <w:pStyle w:val="TableContents"/>
              <w:spacing w:before="0" w:after="283"/>
              <w:jc w:val="right"/>
              <w:rPr/>
            </w:pPr>
            <w:r>
              <w:rPr/>
              <w:t>5,056,334</w:t>
            </w:r>
          </w:p>
        </w:tc>
        <w:tc>
          <w:tcPr>
            <w:tcW w:w="160" w:type="dxa"/>
            <w:tcBorders/>
            <w:shd w:fill="CCEEFF" w:val="clear"/>
            <w:vAlign w:val="bottom"/>
          </w:tcPr>
          <w:p>
            <w:pPr>
              <w:pStyle w:val="TableContents"/>
              <w:spacing w:before="0" w:after="283"/>
              <w:rPr/>
            </w:pPr>
            <w:r>
              <w:rPr/>
              <w:t> </w:t>
            </w:r>
          </w:p>
        </w:tc>
      </w:tr>
      <w:tr>
        <w:trPr/>
        <w:tc>
          <w:tcPr>
            <w:tcW w:w="4175" w:type="dxa"/>
            <w:tcBorders/>
            <w:shd w:fill="auto" w:val="clear"/>
          </w:tcPr>
          <w:p>
            <w:pPr>
              <w:pStyle w:val="TableContents"/>
              <w:spacing w:before="0" w:after="0"/>
              <w:rPr>
                <w:rFonts w:ascii="Times New Roman" w:hAnsi="Times New Roman"/>
                <w:sz w:val="20"/>
              </w:rPr>
            </w:pPr>
            <w:r>
              <w:rPr>
                <w:rFonts w:ascii="Times New Roman" w:hAnsi="Times New Roman"/>
                <w:sz w:val="20"/>
              </w:rPr>
              <w:t>Effect of rate changes</w:t>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1,628,142</w:t>
            </w:r>
          </w:p>
        </w:tc>
        <w:tc>
          <w:tcPr>
            <w:tcW w:w="160" w:type="dxa"/>
            <w:tcBorders/>
            <w:shd w:fill="auto" w:val="clear"/>
            <w:vAlign w:val="bottom"/>
          </w:tcPr>
          <w:p>
            <w:pPr>
              <w:pStyle w:val="TableContents"/>
              <w:spacing w:before="0" w:after="283"/>
              <w:rPr/>
            </w:pPr>
            <w:r>
              <w:rPr/>
              <w:t> </w:t>
            </w:r>
          </w:p>
        </w:tc>
      </w:tr>
      <w:tr>
        <w:trPr/>
        <w:tc>
          <w:tcPr>
            <w:tcW w:w="4175" w:type="dxa"/>
            <w:tcBorders/>
            <w:shd w:fill="CCEEFF" w:val="clear"/>
          </w:tcPr>
          <w:p>
            <w:pPr>
              <w:pStyle w:val="TableContents"/>
              <w:spacing w:before="0" w:after="0"/>
              <w:rPr>
                <w:rFonts w:ascii="Times New Roman" w:hAnsi="Times New Roman"/>
                <w:sz w:val="20"/>
              </w:rPr>
            </w:pPr>
            <w:r>
              <w:rPr>
                <w:rFonts w:ascii="Times New Roman" w:hAnsi="Times New Roman"/>
                <w:sz w:val="20"/>
              </w:rPr>
              <w:t>Additions based on tax positions related to current year</w:t>
            </w:r>
          </w:p>
        </w:tc>
        <w:tc>
          <w:tcPr>
            <w:tcW w:w="40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7,868,552</w:t>
            </w:r>
          </w:p>
        </w:tc>
        <w:tc>
          <w:tcPr>
            <w:tcW w:w="15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5,192,678</w:t>
            </w:r>
          </w:p>
        </w:tc>
        <w:tc>
          <w:tcPr>
            <w:tcW w:w="160" w:type="dxa"/>
            <w:tcBorders/>
            <w:shd w:fill="CCEEFF" w:val="clear"/>
            <w:vAlign w:val="bottom"/>
          </w:tcPr>
          <w:p>
            <w:pPr>
              <w:pStyle w:val="TableContents"/>
              <w:spacing w:before="0" w:after="283"/>
              <w:rPr/>
            </w:pPr>
            <w:r>
              <w:rPr/>
              <w:t> </w:t>
            </w:r>
          </w:p>
        </w:tc>
      </w:tr>
      <w:tr>
        <w:trPr/>
        <w:tc>
          <w:tcPr>
            <w:tcW w:w="4175" w:type="dxa"/>
            <w:tcBorders/>
            <w:shd w:fill="auto" w:val="clear"/>
          </w:tcPr>
          <w:p>
            <w:pPr>
              <w:pStyle w:val="TableContents"/>
              <w:spacing w:before="0" w:after="0"/>
              <w:rPr>
                <w:rFonts w:ascii="Times New Roman" w:hAnsi="Times New Roman"/>
                <w:sz w:val="20"/>
              </w:rPr>
            </w:pPr>
            <w:r>
              <w:rPr>
                <w:rFonts w:ascii="Times New Roman" w:hAnsi="Times New Roman"/>
                <w:sz w:val="20"/>
              </w:rPr>
              <w:t>Foreign currency translation</w:t>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(1,281,022</w:t>
            </w:r>
          </w:p>
        </w:tc>
        <w:tc>
          <w:tcPr>
            <w:tcW w:w="156"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10" w:type="dxa"/>
            <w:tcBorders/>
            <w:shd w:fill="auto" w:val="clear"/>
            <w:vAlign w:val="bottom"/>
          </w:tcPr>
          <w:p>
            <w:pPr>
              <w:pStyle w:val="TableContents"/>
              <w:spacing w:before="0" w:after="283"/>
              <w:jc w:val="right"/>
              <w:rPr/>
            </w:pPr>
            <w:r>
              <w:rPr/>
              <w:t>(65,459</w:t>
            </w:r>
          </w:p>
        </w:tc>
        <w:tc>
          <w:tcPr>
            <w:tcW w:w="160" w:type="dxa"/>
            <w:tcBorders/>
            <w:shd w:fill="auto" w:val="clear"/>
            <w:vAlign w:val="bottom"/>
          </w:tcPr>
          <w:p>
            <w:pPr>
              <w:pStyle w:val="TableContents"/>
              <w:spacing w:before="0" w:after="283"/>
              <w:rPr/>
            </w:pPr>
            <w:r>
              <w:rPr/>
              <w:t>) </w:t>
            </w:r>
          </w:p>
        </w:tc>
      </w:tr>
      <w:tr>
        <w:trPr/>
        <w:tc>
          <w:tcPr>
            <w:tcW w:w="4175"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210"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21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175" w:type="dxa"/>
            <w:tcBorders/>
            <w:shd w:fill="CCEEFF" w:val="clear"/>
          </w:tcPr>
          <w:p>
            <w:pPr>
              <w:pStyle w:val="TableContents"/>
              <w:spacing w:before="0" w:after="0"/>
              <w:rPr>
                <w:rFonts w:ascii="Times New Roman" w:hAnsi="Times New Roman"/>
                <w:sz w:val="20"/>
              </w:rPr>
            </w:pPr>
            <w:r>
              <w:rPr>
                <w:rFonts w:ascii="Times New Roman" w:hAnsi="Times New Roman"/>
                <w:sz w:val="20"/>
              </w:rPr>
              <w:t>Balance at December 31</w:t>
            </w:r>
          </w:p>
        </w:tc>
        <w:tc>
          <w:tcPr>
            <w:tcW w:w="40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18,399,225</w:t>
            </w:r>
          </w:p>
        </w:tc>
        <w:tc>
          <w:tcPr>
            <w:tcW w:w="156"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210" w:type="dxa"/>
            <w:tcBorders/>
            <w:shd w:fill="CCEEFF" w:val="clear"/>
            <w:vAlign w:val="bottom"/>
          </w:tcPr>
          <w:p>
            <w:pPr>
              <w:pStyle w:val="TableContents"/>
              <w:spacing w:before="0" w:after="283"/>
              <w:jc w:val="right"/>
              <w:rPr/>
            </w:pPr>
            <w:r>
              <w:rPr/>
              <w:t>11,811,695</w:t>
            </w:r>
          </w:p>
        </w:tc>
        <w:tc>
          <w:tcPr>
            <w:tcW w:w="160" w:type="dxa"/>
            <w:tcBorders/>
            <w:shd w:fill="CCEEFF" w:val="clear"/>
            <w:vAlign w:val="bottom"/>
          </w:tcPr>
          <w:p>
            <w:pPr>
              <w:pStyle w:val="TableContents"/>
              <w:spacing w:before="0" w:after="283"/>
              <w:rPr/>
            </w:pPr>
            <w:r>
              <w:rPr/>
              <w:t> </w:t>
            </w:r>
          </w:p>
        </w:tc>
      </w:tr>
      <w:tr>
        <w:trPr/>
        <w:tc>
          <w:tcPr>
            <w:tcW w:w="4175"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210"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21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REZOLVE AI LIMITED AND SUBSIDIARIES </w:t>
      </w:r>
    </w:p>
    <w:p>
      <w:pPr>
        <w:pStyle w:val="TextBody"/>
        <w:spacing w:before="0" w:after="0"/>
        <w:jc w:val="left"/>
        <w:rPr>
          <w:rFonts w:ascii="Times New Roman" w:hAnsi="Times New Roman"/>
          <w:b/>
          <w:sz w:val="20"/>
        </w:rPr>
      </w:pPr>
      <w:r>
        <w:rPr>
          <w:rFonts w:ascii="Times New Roman" w:hAnsi="Times New Roman"/>
          <w:b/>
          <w:sz w:val="20"/>
        </w:rPr>
        <w:t xml:space="preserve">Notes to the Carve-out Consolidated Financial Statements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No assurance can be given that any of these tax benefits will be recognized or realized. </w:t>
      </w:r>
    </w:p>
    <w:p>
      <w:pPr>
        <w:pStyle w:val="TextBody"/>
        <w:spacing w:before="120" w:after="0"/>
        <w:jc w:val="left"/>
        <w:rPr>
          <w:rFonts w:ascii="Times New Roman" w:hAnsi="Times New Roman"/>
          <w:sz w:val="20"/>
        </w:rPr>
      </w:pPr>
      <w:r>
        <w:rPr>
          <w:rFonts w:ascii="Times New Roman" w:hAnsi="Times New Roman"/>
          <w:sz w:val="20"/>
        </w:rPr>
        <w:t xml:space="preserve">During 2023, we do not expect any material reductions to our unrecognized tax benefits related to tax positions taken as of December 31, 2022. No assurance can be given as to the nature or impact of any changes in our unrecognized tax positions during 2022. </w:t>
      </w:r>
    </w:p>
    <w:p>
      <w:pPr>
        <w:pStyle w:val="TextBody"/>
        <w:spacing w:before="120" w:after="0"/>
        <w:jc w:val="left"/>
        <w:rPr>
          <w:rFonts w:ascii="Times New Roman" w:hAnsi="Times New Roman"/>
          <w:sz w:val="20"/>
        </w:rPr>
      </w:pPr>
      <w:r>
        <w:rPr>
          <w:rFonts w:ascii="Times New Roman" w:hAnsi="Times New Roman"/>
          <w:sz w:val="20"/>
        </w:rPr>
        <w:t xml:space="preserve">The tax effects of temporary differences that give rise to the significant portions of our deferred tax assets and liabilities are presented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001"/>
        <w:gridCol w:w="344"/>
        <w:gridCol w:w="152"/>
        <w:gridCol w:w="1351"/>
        <w:gridCol w:w="155"/>
        <w:gridCol w:w="344"/>
        <w:gridCol w:w="152"/>
        <w:gridCol w:w="1351"/>
        <w:gridCol w:w="159"/>
      </w:tblGrid>
      <w:tr>
        <w:trPr/>
        <w:tc>
          <w:tcPr>
            <w:tcW w:w="400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001"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159" w:type="dxa"/>
            <w:tcBorders/>
            <w:shd w:fill="auto" w:val="clear"/>
            <w:vAlign w:val="bottom"/>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51"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Net operating loss and other carryforwards</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b/>
              </w:rPr>
            </w:pPr>
            <w:r>
              <w:rPr>
                <w:b/>
              </w:rPr>
              <w:t>$</w:t>
            </w:r>
          </w:p>
        </w:tc>
        <w:tc>
          <w:tcPr>
            <w:tcW w:w="1351" w:type="dxa"/>
            <w:tcBorders/>
            <w:shd w:fill="auto" w:val="clear"/>
            <w:vAlign w:val="bottom"/>
          </w:tcPr>
          <w:p>
            <w:pPr>
              <w:pStyle w:val="TableContents"/>
              <w:spacing w:before="0" w:after="283"/>
              <w:jc w:val="right"/>
              <w:rPr/>
            </w:pPr>
            <w:r>
              <w:rPr/>
              <w:t>18,399,225</w:t>
            </w:r>
          </w:p>
        </w:tc>
        <w:tc>
          <w:tcPr>
            <w:tcW w:w="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b/>
              </w:rPr>
            </w:pPr>
            <w:r>
              <w:rPr>
                <w:b/>
              </w:rPr>
              <w:t>$</w:t>
            </w:r>
          </w:p>
        </w:tc>
        <w:tc>
          <w:tcPr>
            <w:tcW w:w="1351" w:type="dxa"/>
            <w:tcBorders/>
            <w:shd w:fill="auto" w:val="clear"/>
            <w:vAlign w:val="bottom"/>
          </w:tcPr>
          <w:p>
            <w:pPr>
              <w:pStyle w:val="TableContents"/>
              <w:spacing w:before="0" w:after="283"/>
              <w:jc w:val="right"/>
              <w:rPr/>
            </w:pPr>
            <w:r>
              <w:rPr/>
              <w:t>11,811,695</w:t>
            </w:r>
          </w:p>
        </w:tc>
        <w:tc>
          <w:tcPr>
            <w:tcW w:w="159" w:type="dxa"/>
            <w:tcBorders/>
            <w:shd w:fill="auto" w:val="clear"/>
            <w:vAlign w:val="bottom"/>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Property &amp; Equipment</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2,661</w:t>
            </w:r>
          </w:p>
        </w:tc>
        <w:tc>
          <w:tcPr>
            <w:tcW w:w="15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Short-term debt</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174,267</w:t>
            </w:r>
          </w:p>
        </w:tc>
        <w:tc>
          <w:tcPr>
            <w:tcW w:w="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132,443</w:t>
            </w:r>
          </w:p>
        </w:tc>
        <w:tc>
          <w:tcPr>
            <w:tcW w:w="159" w:type="dxa"/>
            <w:tcBorders/>
            <w:shd w:fill="auto" w:val="clear"/>
            <w:vAlign w:val="bottom"/>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Share-based payment liability</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294,404</w:t>
            </w:r>
          </w:p>
        </w:tc>
        <w:tc>
          <w:tcPr>
            <w:tcW w:w="15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265,180</w:t>
            </w:r>
          </w:p>
        </w:tc>
        <w:tc>
          <w:tcPr>
            <w:tcW w:w="159" w:type="dxa"/>
            <w:tcBorders/>
            <w:shd w:fill="CCEEFF" w:val="clear"/>
            <w:vAlign w:val="bottom"/>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Convertible debt</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6,325,677</w:t>
            </w:r>
          </w:p>
        </w:tc>
        <w:tc>
          <w:tcPr>
            <w:tcW w:w="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627,397</w:t>
            </w:r>
          </w:p>
        </w:tc>
        <w:tc>
          <w:tcPr>
            <w:tcW w:w="159"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25,196,234</w:t>
            </w:r>
          </w:p>
        </w:tc>
        <w:tc>
          <w:tcPr>
            <w:tcW w:w="15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12,836,715</w:t>
            </w:r>
          </w:p>
        </w:tc>
        <w:tc>
          <w:tcPr>
            <w:tcW w:w="159" w:type="dxa"/>
            <w:tcBorders/>
            <w:shd w:fill="CCEEFF" w:val="clear"/>
            <w:vAlign w:val="bottom"/>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Valuation allowance</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(25,196,234</w:t>
            </w:r>
          </w:p>
        </w:tc>
        <w:tc>
          <w:tcPr>
            <w:tcW w:w="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pPr>
            <w:r>
              <w:rPr/>
              <w:t>(12,836,715</w:t>
            </w:r>
          </w:p>
        </w:tc>
        <w:tc>
          <w:tcPr>
            <w:tcW w:w="159"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assets, net of valuation allowance</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1"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Deferred tax liability:</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1"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Customer list</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b/>
              </w:rPr>
            </w:pPr>
            <w:r>
              <w:rPr>
                <w:b/>
              </w:rPr>
              <w:t>$</w:t>
            </w:r>
          </w:p>
        </w:tc>
        <w:tc>
          <w:tcPr>
            <w:tcW w:w="1351" w:type="dxa"/>
            <w:tcBorders/>
            <w:shd w:fill="CCEEFF" w:val="clear"/>
            <w:vAlign w:val="bottom"/>
          </w:tcPr>
          <w:p>
            <w:pPr>
              <w:pStyle w:val="TableContents"/>
              <w:spacing w:before="0" w:after="283"/>
              <w:jc w:val="right"/>
              <w:rPr/>
            </w:pPr>
            <w:r>
              <w:rPr/>
              <w:t>1,526,622</w:t>
            </w:r>
          </w:p>
        </w:tc>
        <w:tc>
          <w:tcPr>
            <w:tcW w:w="15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b/>
              </w:rPr>
            </w:pPr>
            <w:r>
              <w:rPr>
                <w:b/>
              </w:rPr>
              <w:t>$</w:t>
            </w:r>
          </w:p>
        </w:tc>
        <w:tc>
          <w:tcPr>
            <w:tcW w:w="1351" w:type="dxa"/>
            <w:tcBorders/>
            <w:shd w:fill="CCEEFF" w:val="clear"/>
            <w:vAlign w:val="bottom"/>
          </w:tcPr>
          <w:p>
            <w:pPr>
              <w:pStyle w:val="TableContents"/>
              <w:spacing w:before="0" w:after="283"/>
              <w:jc w:val="right"/>
              <w:rPr/>
            </w:pPr>
            <w:r>
              <w:rPr/>
              <w:t>1,770,457</w:t>
            </w:r>
          </w:p>
        </w:tc>
        <w:tc>
          <w:tcPr>
            <w:tcW w:w="159" w:type="dxa"/>
            <w:tcBorders/>
            <w:shd w:fill="CCEEFF"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001"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Deferred tax liability</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b/>
              </w:rPr>
            </w:pPr>
            <w:r>
              <w:rPr>
                <w:b/>
              </w:rPr>
              <w:t>1,526,622</w:t>
            </w:r>
          </w:p>
        </w:tc>
        <w:tc>
          <w:tcPr>
            <w:tcW w:w="15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1" w:type="dxa"/>
            <w:tcBorders/>
            <w:shd w:fill="auto" w:val="clear"/>
            <w:vAlign w:val="bottom"/>
          </w:tcPr>
          <w:p>
            <w:pPr>
              <w:pStyle w:val="TableContents"/>
              <w:spacing w:before="0" w:after="283"/>
              <w:jc w:val="right"/>
              <w:rPr>
                <w:b/>
              </w:rPr>
            </w:pPr>
            <w:r>
              <w:rPr>
                <w:b/>
              </w:rPr>
              <w:t>1,770,457</w:t>
            </w:r>
          </w:p>
        </w:tc>
        <w:tc>
          <w:tcPr>
            <w:tcW w:w="159"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51"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 </w:t>
      </w:r>
    </w:p>
    <w:p>
      <w:pPr>
        <w:pStyle w:val="TextBody"/>
        <w:spacing w:before="120" w:after="0"/>
        <w:jc w:val="left"/>
        <w:rPr>
          <w:rFonts w:ascii="Times New Roman" w:hAnsi="Times New Roman"/>
          <w:sz w:val="20"/>
        </w:rPr>
      </w:pPr>
      <w:r>
        <w:rPr>
          <w:rFonts w:ascii="Times New Roman" w:hAnsi="Times New Roman"/>
          <w:sz w:val="20"/>
        </w:rPr>
        <w:t xml:space="preserve">The Company has not recognized any uncertain tax position for the year ended December 31, 2022 and December 31, 2021, respectively.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b/>
              </w:rPr>
            </w:pPr>
            <w:r>
              <w:rPr>
                <w:b/>
              </w:rPr>
              <w:t>20.</w:t>
            </w:r>
          </w:p>
        </w:tc>
        <w:tc>
          <w:tcPr>
            <w:tcW w:w="1011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spacing w:before="120" w:after="0"/>
        <w:jc w:val="left"/>
        <w:rPr>
          <w:rFonts w:ascii="Times New Roman" w:hAnsi="Times New Roman"/>
          <w:sz w:val="20"/>
        </w:rPr>
      </w:pPr>
      <w:r>
        <w:rPr>
          <w:rFonts w:ascii="Times New Roman" w:hAnsi="Times New Roman"/>
          <w:sz w:val="20"/>
        </w:rPr>
        <w:t xml:space="preserve">For financial statements as of December 31, 2022, we have evaluated subsequent events through June 13, 2023, which is the date such financial statements are available to be issued. </w:t>
      </w:r>
    </w:p>
    <w:p>
      <w:pPr>
        <w:pStyle w:val="TextBody"/>
        <w:spacing w:before="360" w:after="0"/>
        <w:jc w:val="left"/>
        <w:rPr>
          <w:rFonts w:ascii="Times New Roman" w:hAnsi="Times New Roman"/>
          <w:i/>
          <w:sz w:val="20"/>
        </w:rPr>
      </w:pPr>
      <w:r>
        <w:rPr>
          <w:rFonts w:ascii="Times New Roman" w:hAnsi="Times New Roman"/>
          <w:i/>
          <w:sz w:val="20"/>
        </w:rPr>
        <w:t xml:space="preserve">Execution of ordinary share subscription arrangement </w:t>
      </w:r>
    </w:p>
    <w:p>
      <w:pPr>
        <w:pStyle w:val="TextBody"/>
        <w:spacing w:before="120" w:after="0"/>
        <w:jc w:val="left"/>
        <w:rPr>
          <w:rFonts w:ascii="Times New Roman" w:hAnsi="Times New Roman"/>
          <w:sz w:val="20"/>
        </w:rPr>
      </w:pPr>
      <w:r>
        <w:rPr>
          <w:rFonts w:ascii="Times New Roman" w:hAnsi="Times New Roman"/>
          <w:sz w:val="20"/>
        </w:rPr>
        <w:t xml:space="preserve">On February 23, 2023, Rezolve Limited executed a $250 million capital commitment from Yorkville Advisors, a New Jersey based private alternative investment group, in the form of a share subscription facility. Under the agreement, Yorkville will provide Rezolve with up to $250 million in equity capital for a 36-month term following a public listing of the Companys ordinary share. Rezolve will not be obligated to draw the full $250 million but can do so in part or in whole at its discretion. Rezolve will control both the timing and amount of all drawdowns and will issue share to Yorkville on each drawn down from the facility. Proceeds from the Yorkville facility will be used for working capital and general corporate purposes.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6" w:name="fin309194_8"/>
      <w:bookmarkEnd w:id="46"/>
      <w:r>
        <w:rPr>
          <w:rFonts w:ascii="Times New Roman" w:hAnsi="Times New Roman"/>
          <w:b/>
          <w:sz w:val="20"/>
        </w:rPr>
        <w:t xml:space="preserve">REPORT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To the Stockholders and Board of Directors of </w:t>
      </w:r>
    </w:p>
    <w:p>
      <w:pPr>
        <w:pStyle w:val="TextBody"/>
        <w:spacing w:before="0" w:after="0"/>
        <w:jc w:val="left"/>
        <w:rPr>
          <w:rFonts w:ascii="Times New Roman" w:hAnsi="Times New Roman"/>
          <w:sz w:val="20"/>
        </w:rPr>
      </w:pPr>
      <w:r>
        <w:rPr>
          <w:rFonts w:ascii="Times New Roman" w:hAnsi="Times New Roman"/>
          <w:sz w:val="20"/>
        </w:rPr>
        <w:t xml:space="preserve">Armada Acquisition Corp. I </w:t>
      </w:r>
    </w:p>
    <w:p>
      <w:pPr>
        <w:pStyle w:val="TextBody"/>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balance sheets of Armada Acquisition Corp. I (the Company) as of September 30, 2022 and 2021, the related statements of operations, stockholders (deficit) equity and cash flows for the year ended September 30, 2022 and for the period from November 5, 2020 (inception) through September 30, 2021, and the related notes (collectively referred to as the financial statements). In our opinion, the financial statements present fairly, in all material respects, the financial position of the Company as of September 30, 2022 and 2021, and the results of its operations and its cash flows for the period from November 5, 2020 (inception) through September 30, 2021, in conformity with accounting principles generally accepted in the United States of America. </w:t>
      </w:r>
    </w:p>
    <w:p>
      <w:pPr>
        <w:pStyle w:val="TextBody"/>
        <w:spacing w:before="360" w:after="0"/>
        <w:jc w:val="left"/>
        <w:rPr>
          <w:rFonts w:ascii="Times New Roman" w:hAnsi="Times New Roman"/>
          <w:sz w:val="20"/>
        </w:rPr>
      </w:pPr>
      <w:r>
        <w:rPr>
          <w:rFonts w:ascii="Times New Roman" w:hAnsi="Times New Roman"/>
          <w:b/>
          <w:sz w:val="20"/>
        </w:rPr>
        <w:t>Explanatory Paragraph  Going Concern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more fully described in Note 1, the Companys business plan is dependent on the completion of a business combination and the Companys cash and working capital as of September 30, 2022 are not sufficient to complete its planned activities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240" w:after="0"/>
        <w:jc w:val="left"/>
        <w:rPr>
          <w:rFonts w:ascii="Times New Roman" w:hAnsi="Times New Roman"/>
          <w:sz w:val="20"/>
        </w:rPr>
      </w:pPr>
      <w:r>
        <w:rPr>
          <w:rFonts w:ascii="Times New Roman" w:hAnsi="Times New Roman"/>
          <w:sz w:val="20"/>
        </w:rPr>
        <w:t xml:space="preserve">/s/ Marcum LLP </w:t>
      </w:r>
    </w:p>
    <w:p>
      <w:pPr>
        <w:pStyle w:val="TextBody"/>
        <w:spacing w:before="0" w:after="0"/>
        <w:jc w:val="left"/>
        <w:rPr>
          <w:rFonts w:ascii="Times New Roman" w:hAnsi="Times New Roman"/>
          <w:sz w:val="20"/>
        </w:rPr>
      </w:pPr>
      <w:r>
        <w:rPr>
          <w:rFonts w:ascii="Times New Roman" w:hAnsi="Times New Roman"/>
          <w:sz w:val="20"/>
        </w:rPr>
        <w:t xml:space="preserve">Marcum LLP </w:t>
      </w:r>
    </w:p>
    <w:p>
      <w:pPr>
        <w:pStyle w:val="TextBody"/>
        <w:spacing w:before="24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spacing w:before="240" w:after="0"/>
        <w:jc w:val="left"/>
        <w:rPr>
          <w:rFonts w:ascii="Times New Roman" w:hAnsi="Times New Roman"/>
          <w:sz w:val="20"/>
        </w:rPr>
      </w:pPr>
      <w:r>
        <w:rPr>
          <w:rFonts w:ascii="Times New Roman" w:hAnsi="Times New Roman"/>
          <w:sz w:val="20"/>
        </w:rPr>
        <w:t xml:space="preserve">New York, NY </w:t>
      </w:r>
    </w:p>
    <w:p>
      <w:pPr>
        <w:pStyle w:val="TextBody"/>
        <w:spacing w:before="0" w:after="0"/>
        <w:jc w:val="left"/>
        <w:rPr>
          <w:rFonts w:ascii="Times New Roman" w:hAnsi="Times New Roman"/>
          <w:sz w:val="20"/>
        </w:rPr>
      </w:pPr>
      <w:r>
        <w:rPr>
          <w:rFonts w:ascii="Times New Roman" w:hAnsi="Times New Roman"/>
          <w:sz w:val="20"/>
        </w:rPr>
        <w:t xml:space="preserve">December 21,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47" w:name="fin309194_9"/>
      <w:bookmarkEnd w:id="47"/>
      <w:r>
        <w:rPr>
          <w:rFonts w:ascii="Times New Roman" w:hAnsi="Times New Roman"/>
          <w:b/>
          <w:sz w:val="20"/>
        </w:rPr>
        <w:t xml:space="preserve">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943"/>
        <w:gridCol w:w="213"/>
        <w:gridCol w:w="152"/>
        <w:gridCol w:w="1352"/>
        <w:gridCol w:w="95"/>
        <w:gridCol w:w="183"/>
        <w:gridCol w:w="152"/>
        <w:gridCol w:w="1352"/>
        <w:gridCol w:w="97"/>
      </w:tblGrid>
      <w:tr>
        <w:trPr/>
        <w:tc>
          <w:tcPr>
            <w:tcW w:w="694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r>
      <w:tr>
        <w:trPr/>
        <w:tc>
          <w:tcPr>
            <w:tcW w:w="694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2022</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0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2021</w:t>
            </w:r>
          </w:p>
        </w:tc>
        <w:tc>
          <w:tcPr>
            <w:tcW w:w="97" w:type="dxa"/>
            <w:tcBorders/>
            <w:shd w:fill="auto" w:val="clear"/>
            <w:vAlign w:val="bottom"/>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52"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52"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sz w:val="4"/>
                <w:szCs w:val="4"/>
              </w:rPr>
            </w:pPr>
            <w:r>
              <w:rPr>
                <w:sz w:val="4"/>
                <w:szCs w:val="4"/>
              </w:rPr>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Cash</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52" w:type="dxa"/>
            <w:tcBorders/>
            <w:shd w:fill="auto" w:val="clear"/>
            <w:vAlign w:val="bottom"/>
          </w:tcPr>
          <w:p>
            <w:pPr>
              <w:pStyle w:val="TableContents"/>
              <w:spacing w:before="0" w:after="283"/>
              <w:jc w:val="right"/>
              <w:rPr/>
            </w:pPr>
            <w:r>
              <w:rPr/>
              <w:t>177,578</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52" w:type="dxa"/>
            <w:tcBorders/>
            <w:shd w:fill="auto" w:val="clear"/>
            <w:vAlign w:val="bottom"/>
          </w:tcPr>
          <w:p>
            <w:pPr>
              <w:pStyle w:val="TableContents"/>
              <w:spacing w:before="0" w:after="283"/>
              <w:jc w:val="right"/>
              <w:rPr/>
            </w:pPr>
            <w:r>
              <w:rPr/>
              <w:t>657,590</w:t>
            </w:r>
          </w:p>
        </w:tc>
        <w:tc>
          <w:tcPr>
            <w:tcW w:w="97" w:type="dxa"/>
            <w:tcBorders/>
            <w:shd w:fill="auto" w:val="clear"/>
            <w:vAlign w:val="bottom"/>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61,942</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259,580</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current assets</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239,520</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917,170</w:t>
            </w:r>
          </w:p>
        </w:tc>
        <w:tc>
          <w:tcPr>
            <w:tcW w:w="97" w:type="dxa"/>
            <w:tcBorders/>
            <w:shd w:fill="auto" w:val="clear"/>
            <w:vAlign w:val="bottom"/>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201,282</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Investment held in Trust Account</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150,844,925</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150,001,052</w:t>
            </w:r>
          </w:p>
        </w:tc>
        <w:tc>
          <w:tcPr>
            <w:tcW w:w="97" w:type="dxa"/>
            <w:tcBorders/>
            <w:shd w:fill="auto" w:val="clear"/>
            <w:vAlign w:val="bottom"/>
          </w:tcPr>
          <w:p>
            <w:pPr>
              <w:pStyle w:val="TableContents"/>
              <w:spacing w:before="0" w:after="283"/>
              <w:rPr/>
            </w:pPr>
            <w:r>
              <w:rPr/>
              <w:t> </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352" w:type="dxa"/>
            <w:tcBorders/>
            <w:shd w:fill="CCEEFF" w:val="clear"/>
            <w:vAlign w:val="bottom"/>
          </w:tcPr>
          <w:p>
            <w:pPr>
              <w:pStyle w:val="TableContents"/>
              <w:spacing w:before="0" w:after="283"/>
              <w:jc w:val="right"/>
              <w:rPr/>
            </w:pPr>
            <w:r>
              <w:rPr/>
              <w:t>151,084,445</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w:t>
            </w:r>
          </w:p>
        </w:tc>
        <w:tc>
          <w:tcPr>
            <w:tcW w:w="1352" w:type="dxa"/>
            <w:tcBorders/>
            <w:shd w:fill="CCEEFF" w:val="clear"/>
            <w:vAlign w:val="bottom"/>
          </w:tcPr>
          <w:p>
            <w:pPr>
              <w:pStyle w:val="TableContents"/>
              <w:spacing w:before="0" w:after="283"/>
              <w:jc w:val="right"/>
              <w:rPr/>
            </w:pPr>
            <w:r>
              <w:rPr/>
              <w:t>151,119,504</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52" w:type="dxa"/>
            <w:tcBorders/>
            <w:shd w:fill="auto" w:val="clear"/>
            <w:vAlign w:val="bottom"/>
          </w:tcPr>
          <w:p>
            <w:pPr>
              <w:pStyle w:val="TableContents"/>
              <w:pBdr>
                <w:top w:val="double" w:sz="6"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52" w:type="dxa"/>
            <w:tcBorders/>
            <w:shd w:fill="auto" w:val="clear"/>
            <w:vAlign w:val="bottom"/>
          </w:tcPr>
          <w:p>
            <w:pPr>
              <w:pStyle w:val="TableContents"/>
              <w:pBdr>
                <w:top w:val="double" w:sz="6"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b/>
                <w:sz w:val="20"/>
              </w:rPr>
            </w:pPr>
            <w:r>
              <w:rPr>
                <w:rFonts w:ascii="Times New Roman" w:hAnsi="Times New Roman"/>
                <w:b/>
                <w:sz w:val="20"/>
              </w:rPr>
              <w:t>Liabilities, Common Stock Subject to Possible Redemption and Stockholders (Deficit) Equity</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52"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1352" w:type="dxa"/>
            <w:tcBorders/>
            <w:shd w:fill="CCEEFF" w:val="clear"/>
            <w:vAlign w:val="bottom"/>
          </w:tcPr>
          <w:p>
            <w:pPr>
              <w:pStyle w:val="TableContents"/>
              <w:spacing w:before="0" w:after="283"/>
              <w:rPr>
                <w:sz w:val="4"/>
                <w:szCs w:val="4"/>
              </w:rPr>
            </w:pPr>
            <w:r>
              <w:rPr>
                <w:sz w:val="4"/>
                <w:szCs w:val="4"/>
              </w:rPr>
            </w:r>
          </w:p>
        </w:tc>
        <w:tc>
          <w:tcPr>
            <w:tcW w:w="97" w:type="dxa"/>
            <w:tcBorders/>
            <w:shd w:fill="CCEEFF" w:val="clear"/>
            <w:vAlign w:val="bottom"/>
          </w:tcPr>
          <w:p>
            <w:pPr>
              <w:pStyle w:val="TableContents"/>
              <w:spacing w:before="0" w:after="283"/>
              <w:rPr>
                <w:sz w:val="4"/>
                <w:szCs w:val="4"/>
              </w:rPr>
            </w:pPr>
            <w:r>
              <w:rPr>
                <w:sz w:val="4"/>
                <w:szCs w:val="4"/>
              </w:rPr>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52" w:type="dxa"/>
            <w:tcBorders/>
            <w:shd w:fill="auto" w:val="clear"/>
            <w:vAlign w:val="bottom"/>
          </w:tcPr>
          <w:p>
            <w:pPr>
              <w:pStyle w:val="TableContents"/>
              <w:spacing w:before="0" w:after="283"/>
              <w:jc w:val="right"/>
              <w:rPr/>
            </w:pPr>
            <w:r>
              <w:rPr/>
              <w:t>3,137,535</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52" w:type="dxa"/>
            <w:tcBorders/>
            <w:shd w:fill="auto" w:val="clear"/>
            <w:vAlign w:val="bottom"/>
          </w:tcPr>
          <w:p>
            <w:pPr>
              <w:pStyle w:val="TableContents"/>
              <w:spacing w:before="0" w:after="283"/>
              <w:jc w:val="right"/>
              <w:rPr/>
            </w:pPr>
            <w:r>
              <w:rPr/>
              <w:t>93,467</w:t>
            </w:r>
          </w:p>
        </w:tc>
        <w:tc>
          <w:tcPr>
            <w:tcW w:w="97" w:type="dxa"/>
            <w:tcBorders/>
            <w:shd w:fill="auto" w:val="clear"/>
            <w:vAlign w:val="bottom"/>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Franchise tax payable</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150,000</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25,671</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Income tax payable</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145,621</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Promissory Notes-Related Party</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251,754</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Accrued offering costs</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89,889</w:t>
            </w:r>
          </w:p>
        </w:tc>
        <w:tc>
          <w:tcPr>
            <w:tcW w:w="97" w:type="dxa"/>
            <w:tcBorders/>
            <w:shd w:fill="auto" w:val="clear"/>
            <w:vAlign w:val="bottom"/>
          </w:tcPr>
          <w:p>
            <w:pPr>
              <w:pStyle w:val="TableContents"/>
              <w:spacing w:before="0" w:after="283"/>
              <w:rPr/>
            </w:pPr>
            <w:r>
              <w:rPr/>
              <w:t> </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3,684,910</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209,027</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b/>
                <w:sz w:val="20"/>
              </w:rPr>
            </w:pPr>
            <w:r>
              <w:rPr>
                <w:rFonts w:ascii="Times New Roman" w:hAnsi="Times New Roman"/>
                <w:b/>
                <w:sz w:val="20"/>
              </w:rPr>
              <w:t>Commitments and Contingencies (Note 6)</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subject to possible redemption, 15,000,000 shares at redemption value of approximately $10.04 and $10.00 per share at September 30, 2022 and 2021, respectively</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150,548,862</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150,000,000</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b/>
                <w:sz w:val="20"/>
              </w:rPr>
            </w:pPr>
            <w:r>
              <w:rPr>
                <w:rFonts w:ascii="Times New Roman" w:hAnsi="Times New Roman"/>
                <w:b/>
                <w:sz w:val="20"/>
              </w:rPr>
              <w:t>Stockholders (Deficit) Equity:</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1352"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stock, $0.0001 par value; 1,000,000 shares authorized; none issued or outstanding</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$0.0001 par value; 100,000,000 shares authorized, 5,709,500 and 6,834,500 shares issued and outstanding (excluding 15,000,000 shares subject to possible redemption) at September 30, 2022 and 2021, respectively</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570</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683</w:t>
            </w:r>
          </w:p>
        </w:tc>
        <w:tc>
          <w:tcPr>
            <w:tcW w:w="97" w:type="dxa"/>
            <w:tcBorders/>
            <w:shd w:fill="auto" w:val="clear"/>
            <w:vAlign w:val="bottom"/>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941,796</w:t>
            </w:r>
          </w:p>
        </w:tc>
        <w:tc>
          <w:tcPr>
            <w:tcW w:w="95"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1,378,693</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(4,091,693</w:t>
            </w:r>
          </w:p>
        </w:tc>
        <w:tc>
          <w:tcPr>
            <w:tcW w:w="95" w:type="dxa"/>
            <w:tcBorders/>
            <w:shd w:fill="auto" w:val="clear"/>
            <w:vAlign w:val="bottom"/>
          </w:tcPr>
          <w:p>
            <w:pPr>
              <w:pStyle w:val="TableContents"/>
              <w:spacing w:before="0" w:after="283"/>
              <w:rPr/>
            </w:pPr>
            <w:r>
              <w:rPr/>
              <w:t>)</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352" w:type="dxa"/>
            <w:tcBorders/>
            <w:shd w:fill="auto" w:val="clear"/>
            <w:vAlign w:val="bottom"/>
          </w:tcPr>
          <w:p>
            <w:pPr>
              <w:pStyle w:val="TableContents"/>
              <w:spacing w:before="0" w:after="283"/>
              <w:jc w:val="right"/>
              <w:rPr/>
            </w:pPr>
            <w:r>
              <w:rPr/>
              <w:t>(468,899</w:t>
            </w:r>
          </w:p>
        </w:tc>
        <w:tc>
          <w:tcPr>
            <w:tcW w:w="97" w:type="dxa"/>
            <w:tcBorders/>
            <w:shd w:fill="auto" w:val="clear"/>
            <w:vAlign w:val="bottom"/>
          </w:tcPr>
          <w:p>
            <w:pPr>
              <w:pStyle w:val="TableContents"/>
              <w:spacing w:before="0" w:after="283"/>
              <w:rPr/>
            </w:pPr>
            <w:r>
              <w:rPr/>
              <w:t>)</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r>
        <w:trPr/>
        <w:tc>
          <w:tcPr>
            <w:tcW w:w="694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Stockholders (Deficit) Equity</w:t>
            </w:r>
          </w:p>
        </w:tc>
        <w:tc>
          <w:tcPr>
            <w:tcW w:w="21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(3,149,327</w:t>
            </w:r>
          </w:p>
        </w:tc>
        <w:tc>
          <w:tcPr>
            <w:tcW w:w="95" w:type="dxa"/>
            <w:tcBorders/>
            <w:shd w:fill="CCEEFF" w:val="clear"/>
            <w:vAlign w:val="bottom"/>
          </w:tcPr>
          <w:p>
            <w:pPr>
              <w:pStyle w:val="TableContents"/>
              <w:spacing w:before="0" w:after="283"/>
              <w:rPr/>
            </w:pPr>
            <w:r>
              <w:rPr/>
              <w:t>)</w:t>
            </w:r>
          </w:p>
        </w:tc>
        <w:tc>
          <w:tcPr>
            <w:tcW w:w="183"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1352" w:type="dxa"/>
            <w:tcBorders/>
            <w:shd w:fill="CCEEFF" w:val="clear"/>
            <w:vAlign w:val="bottom"/>
          </w:tcPr>
          <w:p>
            <w:pPr>
              <w:pStyle w:val="TableContents"/>
              <w:spacing w:before="0" w:after="283"/>
              <w:jc w:val="right"/>
              <w:rPr/>
            </w:pPr>
            <w:r>
              <w:rPr/>
              <w:t>910,477</w:t>
            </w:r>
          </w:p>
        </w:tc>
        <w:tc>
          <w:tcPr>
            <w:tcW w:w="97" w:type="dxa"/>
            <w:tcBorders/>
            <w:shd w:fill="CCEEFF" w:val="clear"/>
            <w:vAlign w:val="bottom"/>
          </w:tcPr>
          <w:p>
            <w:pPr>
              <w:pStyle w:val="TableContents"/>
              <w:spacing w:before="0" w:after="283"/>
              <w:rPr/>
            </w:pPr>
            <w:r>
              <w:rPr/>
              <w:t> </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0"/>
              <w:rPr/>
            </w:pPr>
            <w:r>
              <w:rPr/>
              <w:t> </w:t>
            </w:r>
          </w:p>
        </w:tc>
        <w:tc>
          <w:tcPr>
            <w:tcW w:w="1352" w:type="dxa"/>
            <w:tcBorders/>
            <w:shd w:fill="auto" w:val="clear"/>
            <w:vAlign w:val="bottom"/>
          </w:tcPr>
          <w:p>
            <w:pPr>
              <w:pStyle w:val="TableContents"/>
              <w:pBdr>
                <w:top w:val="single" w:sz="2"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r>
        <w:trPr/>
        <w:tc>
          <w:tcPr>
            <w:tcW w:w="694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 Common Stock Subject to Possible Redemption and Stockholders (Deficit) Equity</w:t>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52" w:type="dxa"/>
            <w:tcBorders/>
            <w:shd w:fill="auto" w:val="clear"/>
            <w:vAlign w:val="bottom"/>
          </w:tcPr>
          <w:p>
            <w:pPr>
              <w:pStyle w:val="TableContents"/>
              <w:spacing w:before="0" w:after="283"/>
              <w:jc w:val="right"/>
              <w:rPr/>
            </w:pPr>
            <w:r>
              <w:rPr/>
              <w:t>151,084,445</w:t>
            </w:r>
          </w:p>
        </w:tc>
        <w:tc>
          <w:tcPr>
            <w:tcW w:w="9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w:t>
            </w:r>
          </w:p>
        </w:tc>
        <w:tc>
          <w:tcPr>
            <w:tcW w:w="1352" w:type="dxa"/>
            <w:tcBorders/>
            <w:shd w:fill="auto" w:val="clear"/>
            <w:vAlign w:val="bottom"/>
          </w:tcPr>
          <w:p>
            <w:pPr>
              <w:pStyle w:val="TableContents"/>
              <w:spacing w:before="0" w:after="283"/>
              <w:jc w:val="right"/>
              <w:rPr/>
            </w:pPr>
            <w:r>
              <w:rPr/>
              <w:t>151,119,504</w:t>
            </w:r>
          </w:p>
        </w:tc>
        <w:tc>
          <w:tcPr>
            <w:tcW w:w="97" w:type="dxa"/>
            <w:tcBorders/>
            <w:shd w:fill="auto" w:val="clear"/>
            <w:vAlign w:val="bottom"/>
          </w:tcPr>
          <w:p>
            <w:pPr>
              <w:pStyle w:val="TableContents"/>
              <w:spacing w:before="0" w:after="283"/>
              <w:rPr/>
            </w:pPr>
            <w:r>
              <w:rPr/>
              <w:t> </w:t>
            </w:r>
          </w:p>
        </w:tc>
      </w:tr>
      <w:tr>
        <w:trPr/>
        <w:tc>
          <w:tcPr>
            <w:tcW w:w="694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52" w:type="dxa"/>
            <w:tcBorders/>
            <w:shd w:fill="auto" w:val="clear"/>
            <w:vAlign w:val="bottom"/>
          </w:tcPr>
          <w:p>
            <w:pPr>
              <w:pStyle w:val="TableContents"/>
              <w:pBdr>
                <w:top w:val="double" w:sz="6"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0"/>
              <w:rPr/>
            </w:pPr>
            <w:r>
              <w:rPr/>
              <w:t> </w:t>
            </w:r>
          </w:p>
        </w:tc>
        <w:tc>
          <w:tcPr>
            <w:tcW w:w="1352" w:type="dxa"/>
            <w:tcBorders/>
            <w:shd w:fill="auto" w:val="clear"/>
            <w:vAlign w:val="bottom"/>
          </w:tcPr>
          <w:p>
            <w:pPr>
              <w:pStyle w:val="TableContents"/>
              <w:pBdr>
                <w:top w:val="double" w:sz="6" w:space="1" w:color="000000"/>
              </w:pBdr>
              <w:spacing w:before="0" w:after="0"/>
              <w:rPr/>
            </w:pPr>
            <w:r>
              <w:rPr/>
              <w:t> </w:t>
            </w:r>
          </w:p>
        </w:tc>
        <w:tc>
          <w:tcPr>
            <w:tcW w:w="97"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48" w:name="fin309194_10"/>
      <w:bookmarkEnd w:id="48"/>
      <w:r>
        <w:rPr>
          <w:rFonts w:ascii="Times New Roman" w:hAnsi="Times New Roman"/>
          <w:b/>
          <w:sz w:val="20"/>
        </w:rPr>
        <w:t xml:space="preserve">STATEMENTS OF OPERATIONS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40"/>
        <w:gridCol w:w="529"/>
        <w:gridCol w:w="227"/>
        <w:gridCol w:w="1794"/>
        <w:gridCol w:w="155"/>
        <w:gridCol w:w="484"/>
        <w:gridCol w:w="255"/>
        <w:gridCol w:w="1796"/>
        <w:gridCol w:w="159"/>
      </w:tblGrid>
      <w:tr>
        <w:trPr/>
        <w:tc>
          <w:tcPr>
            <w:tcW w:w="5140"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40"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20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September 30, 2022</w:t>
            </w:r>
          </w:p>
        </w:tc>
        <w:tc>
          <w:tcPr>
            <w:tcW w:w="15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0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 from</w:t>
              <w:br/>
              <w:t>November 5, 2020</w:t>
              <w:br/>
              <w:t>(inception) through</w:t>
              <w:br/>
              <w:t>September 30, 2021</w:t>
            </w:r>
          </w:p>
        </w:tc>
        <w:tc>
          <w:tcPr>
            <w:tcW w:w="159" w:type="dxa"/>
            <w:tcBorders/>
            <w:shd w:fill="auto" w:val="clear"/>
            <w:vAlign w:val="bottom"/>
          </w:tcPr>
          <w:p>
            <w:pPr>
              <w:pStyle w:val="TableContents"/>
              <w:spacing w:before="0" w:after="283"/>
              <w:rPr/>
            </w:pPr>
            <w:r>
              <w:rPr/>
              <w:t> </w:t>
            </w:r>
          </w:p>
        </w:tc>
      </w:tr>
      <w:tr>
        <w:trPr/>
        <w:tc>
          <w:tcPr>
            <w:tcW w:w="5140"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w:t>
            </w:r>
          </w:p>
        </w:tc>
        <w:tc>
          <w:tcPr>
            <w:tcW w:w="1794" w:type="dxa"/>
            <w:tcBorders/>
            <w:shd w:fill="CCEEFF" w:val="clear"/>
            <w:vAlign w:val="bottom"/>
          </w:tcPr>
          <w:p>
            <w:pPr>
              <w:pStyle w:val="TableContents"/>
              <w:spacing w:before="0" w:after="283"/>
              <w:jc w:val="right"/>
              <w:rPr/>
            </w:pPr>
            <w:r>
              <w:rPr/>
              <w:t>4,391,263</w:t>
            </w:r>
          </w:p>
        </w:tc>
        <w:tc>
          <w:tcPr>
            <w:tcW w:w="155"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796" w:type="dxa"/>
            <w:tcBorders/>
            <w:shd w:fill="CCEEFF" w:val="clear"/>
            <w:vAlign w:val="bottom"/>
          </w:tcPr>
          <w:p>
            <w:pPr>
              <w:pStyle w:val="TableContents"/>
              <w:spacing w:before="0" w:after="283"/>
              <w:jc w:val="right"/>
              <w:rPr/>
            </w:pPr>
            <w:r>
              <w:rPr/>
              <w:t>184,105</w:t>
            </w:r>
          </w:p>
        </w:tc>
        <w:tc>
          <w:tcPr>
            <w:tcW w:w="159" w:type="dxa"/>
            <w:tcBorders/>
            <w:shd w:fill="CCEEFF" w:val="clear"/>
            <w:vAlign w:val="bottom"/>
          </w:tcPr>
          <w:p>
            <w:pPr>
              <w:pStyle w:val="TableContents"/>
              <w:spacing w:before="0" w:after="283"/>
              <w:rPr/>
            </w:pPr>
            <w:r>
              <w:rPr/>
              <w:t> </w:t>
            </w:r>
          </w:p>
        </w:tc>
      </w:tr>
      <w:tr>
        <w:trPr/>
        <w:tc>
          <w:tcPr>
            <w:tcW w:w="5140"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jc w:val="right"/>
              <w:rPr/>
            </w:pPr>
            <w:r>
              <w:rPr/>
              <w:t>111,852</w:t>
            </w:r>
          </w:p>
        </w:tc>
        <w:tc>
          <w:tcPr>
            <w:tcW w:w="15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285,846</w:t>
            </w:r>
          </w:p>
        </w:tc>
        <w:tc>
          <w:tcPr>
            <w:tcW w:w="159" w:type="dxa"/>
            <w:tcBorders/>
            <w:shd w:fill="auto"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single" w:sz="2" w:space="1" w:color="000000"/>
              </w:pBdr>
              <w:spacing w:before="0" w:after="0"/>
              <w:rPr/>
            </w:pPr>
            <w:r>
              <w:rPr/>
              <w:t> </w:t>
            </w:r>
          </w:p>
        </w:tc>
        <w:tc>
          <w:tcPr>
            <w:tcW w:w="17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79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from operations</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94" w:type="dxa"/>
            <w:tcBorders/>
            <w:shd w:fill="CCEEFF" w:val="clear"/>
            <w:vAlign w:val="bottom"/>
          </w:tcPr>
          <w:p>
            <w:pPr>
              <w:pStyle w:val="TableContents"/>
              <w:spacing w:before="0" w:after="283"/>
              <w:jc w:val="right"/>
              <w:rPr/>
            </w:pPr>
            <w:r>
              <w:rPr/>
              <w:t>(4,503,115</w:t>
            </w:r>
          </w:p>
        </w:tc>
        <w:tc>
          <w:tcPr>
            <w:tcW w:w="155" w:type="dxa"/>
            <w:tcBorders/>
            <w:shd w:fill="CCEEFF" w:val="clear"/>
            <w:vAlign w:val="bottom"/>
          </w:tcPr>
          <w:p>
            <w:pPr>
              <w:pStyle w:val="TableContents"/>
              <w:spacing w:before="0" w:after="283"/>
              <w:rPr/>
            </w:pPr>
            <w:r>
              <w:rPr/>
              <w:t>)</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(469,951</w:t>
            </w:r>
          </w:p>
        </w:tc>
        <w:tc>
          <w:tcPr>
            <w:tcW w:w="159" w:type="dxa"/>
            <w:tcBorders/>
            <w:shd w:fill="CCEEFF" w:val="clear"/>
            <w:vAlign w:val="bottom"/>
          </w:tcPr>
          <w:p>
            <w:pPr>
              <w:pStyle w:val="TableContents"/>
              <w:spacing w:before="0" w:after="283"/>
              <w:rPr/>
            </w:pPr>
            <w:r>
              <w:rPr/>
              <w:t>)</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single" w:sz="2" w:space="1" w:color="000000"/>
              </w:pBdr>
              <w:spacing w:before="0" w:after="0"/>
              <w:rPr/>
            </w:pPr>
            <w:r>
              <w:rPr/>
              <w:t> </w:t>
            </w:r>
          </w:p>
        </w:tc>
        <w:tc>
          <w:tcPr>
            <w:tcW w:w="17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79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income</w:t>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sz w:val="4"/>
                <w:szCs w:val="4"/>
              </w:rPr>
            </w:pPr>
            <w:r>
              <w:rPr>
                <w:sz w:val="4"/>
                <w:szCs w:val="4"/>
              </w:rPr>
            </w:r>
          </w:p>
        </w:tc>
        <w:tc>
          <w:tcPr>
            <w:tcW w:w="179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179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5140" w:type="dxa"/>
            <w:tcBorders/>
            <w:shd w:fill="CCEEFF" w:val="clear"/>
          </w:tcPr>
          <w:p>
            <w:pPr>
              <w:pStyle w:val="TableContents"/>
              <w:spacing w:before="0" w:after="0"/>
              <w:rPr>
                <w:rFonts w:ascii="Times New Roman" w:hAnsi="Times New Roman"/>
                <w:sz w:val="20"/>
              </w:rPr>
            </w:pPr>
            <w:r>
              <w:rPr>
                <w:rFonts w:ascii="Times New Roman" w:hAnsi="Times New Roman"/>
                <w:sz w:val="20"/>
              </w:rPr>
              <w:t>Trust interest income</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94" w:type="dxa"/>
            <w:tcBorders/>
            <w:shd w:fill="CCEEFF" w:val="clear"/>
            <w:vAlign w:val="bottom"/>
          </w:tcPr>
          <w:p>
            <w:pPr>
              <w:pStyle w:val="TableContents"/>
              <w:spacing w:before="0" w:after="283"/>
              <w:jc w:val="right"/>
              <w:rPr/>
            </w:pPr>
            <w:r>
              <w:rPr/>
              <w:t>1,025,942</w:t>
            </w:r>
          </w:p>
        </w:tc>
        <w:tc>
          <w:tcPr>
            <w:tcW w:w="155"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1,052</w:t>
            </w:r>
          </w:p>
        </w:tc>
        <w:tc>
          <w:tcPr>
            <w:tcW w:w="159" w:type="dxa"/>
            <w:tcBorders/>
            <w:shd w:fill="CCEEFF"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single" w:sz="2" w:space="1" w:color="000000"/>
              </w:pBdr>
              <w:spacing w:before="0" w:after="0"/>
              <w:rPr/>
            </w:pPr>
            <w:r>
              <w:rPr/>
              <w:t> </w:t>
            </w:r>
          </w:p>
        </w:tc>
        <w:tc>
          <w:tcPr>
            <w:tcW w:w="17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79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other income</w:t>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jc w:val="right"/>
              <w:rPr/>
            </w:pPr>
            <w:r>
              <w:rPr/>
              <w:t>1,025,942</w:t>
            </w:r>
          </w:p>
        </w:tc>
        <w:tc>
          <w:tcPr>
            <w:tcW w:w="15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1,052</w:t>
            </w:r>
          </w:p>
        </w:tc>
        <w:tc>
          <w:tcPr>
            <w:tcW w:w="159" w:type="dxa"/>
            <w:tcBorders/>
            <w:shd w:fill="auto"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single" w:sz="2" w:space="1" w:color="000000"/>
              </w:pBdr>
              <w:spacing w:before="0" w:after="0"/>
              <w:rPr/>
            </w:pPr>
            <w:r>
              <w:rPr/>
              <w:t> </w:t>
            </w:r>
          </w:p>
        </w:tc>
        <w:tc>
          <w:tcPr>
            <w:tcW w:w="17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79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before income tax provision</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794" w:type="dxa"/>
            <w:tcBorders/>
            <w:shd w:fill="CCEEFF" w:val="clear"/>
            <w:vAlign w:val="bottom"/>
          </w:tcPr>
          <w:p>
            <w:pPr>
              <w:pStyle w:val="TableContents"/>
              <w:spacing w:before="0" w:after="283"/>
              <w:jc w:val="right"/>
              <w:rPr/>
            </w:pPr>
            <w:r>
              <w:rPr/>
              <w:t>(3,477,173</w:t>
            </w:r>
          </w:p>
        </w:tc>
        <w:tc>
          <w:tcPr>
            <w:tcW w:w="155"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796" w:type="dxa"/>
            <w:tcBorders/>
            <w:shd w:fill="CCEEFF" w:val="clear"/>
            <w:vAlign w:val="bottom"/>
          </w:tcPr>
          <w:p>
            <w:pPr>
              <w:pStyle w:val="TableContents"/>
              <w:spacing w:before="0" w:after="283"/>
              <w:jc w:val="right"/>
              <w:rPr/>
            </w:pPr>
            <w:r>
              <w:rPr/>
              <w:t>(468,899</w:t>
            </w:r>
          </w:p>
        </w:tc>
        <w:tc>
          <w:tcPr>
            <w:tcW w:w="159" w:type="dxa"/>
            <w:tcBorders/>
            <w:shd w:fill="CCEEFF" w:val="clear"/>
            <w:vAlign w:val="bottom"/>
          </w:tcPr>
          <w:p>
            <w:pPr>
              <w:pStyle w:val="TableContents"/>
              <w:spacing w:before="0" w:after="283"/>
              <w:rPr/>
            </w:pPr>
            <w:r>
              <w:rPr/>
              <w:t>) </w:t>
            </w:r>
          </w:p>
        </w:tc>
      </w:tr>
      <w:tr>
        <w:trPr/>
        <w:tc>
          <w:tcPr>
            <w:tcW w:w="5140" w:type="dxa"/>
            <w:tcBorders/>
            <w:shd w:fill="auto" w:val="clear"/>
          </w:tcPr>
          <w:p>
            <w:pPr>
              <w:pStyle w:val="TableContents"/>
              <w:spacing w:before="0" w:after="0"/>
              <w:rPr>
                <w:rFonts w:ascii="Times New Roman" w:hAnsi="Times New Roman"/>
                <w:sz w:val="20"/>
              </w:rPr>
            </w:pPr>
            <w:r>
              <w:rPr>
                <w:rFonts w:ascii="Times New Roman" w:hAnsi="Times New Roman"/>
                <w:sz w:val="20"/>
              </w:rPr>
              <w:t>Income tax provision</w:t>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jc w:val="right"/>
              <w:rPr/>
            </w:pPr>
            <w:r>
              <w:rPr/>
              <w:t>(145,621</w:t>
            </w:r>
          </w:p>
        </w:tc>
        <w:tc>
          <w:tcPr>
            <w:tcW w:w="15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single" w:sz="2" w:space="1" w:color="000000"/>
              </w:pBdr>
              <w:spacing w:before="0" w:after="0"/>
              <w:rPr/>
            </w:pPr>
            <w:r>
              <w:rPr/>
              <w:t> </w:t>
            </w:r>
          </w:p>
        </w:tc>
        <w:tc>
          <w:tcPr>
            <w:tcW w:w="17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796"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w:t>
            </w:r>
          </w:p>
        </w:tc>
        <w:tc>
          <w:tcPr>
            <w:tcW w:w="1794" w:type="dxa"/>
            <w:tcBorders/>
            <w:shd w:fill="CCEEFF" w:val="clear"/>
            <w:vAlign w:val="bottom"/>
          </w:tcPr>
          <w:p>
            <w:pPr>
              <w:pStyle w:val="TableContents"/>
              <w:spacing w:before="0" w:after="283"/>
              <w:jc w:val="right"/>
              <w:rPr/>
            </w:pPr>
            <w:r>
              <w:rPr/>
              <w:t>(3,622,794</w:t>
            </w:r>
          </w:p>
        </w:tc>
        <w:tc>
          <w:tcPr>
            <w:tcW w:w="155" w:type="dxa"/>
            <w:tcBorders/>
            <w:shd w:fill="CCEEFF" w:val="clear"/>
            <w:vAlign w:val="bottom"/>
          </w:tcPr>
          <w:p>
            <w:pPr>
              <w:pStyle w:val="TableContents"/>
              <w:spacing w:before="0" w:after="283"/>
              <w:rPr/>
            </w:pPr>
            <w:r>
              <w:rPr/>
              <w:t>)</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796" w:type="dxa"/>
            <w:tcBorders/>
            <w:shd w:fill="CCEEFF" w:val="clear"/>
            <w:vAlign w:val="bottom"/>
          </w:tcPr>
          <w:p>
            <w:pPr>
              <w:pStyle w:val="TableContents"/>
              <w:spacing w:before="0" w:after="283"/>
              <w:jc w:val="right"/>
              <w:rPr/>
            </w:pPr>
            <w:r>
              <w:rPr/>
              <w:t>(468,899</w:t>
            </w:r>
          </w:p>
        </w:tc>
        <w:tc>
          <w:tcPr>
            <w:tcW w:w="159" w:type="dxa"/>
            <w:tcBorders/>
            <w:shd w:fill="CCEEFF" w:val="clear"/>
            <w:vAlign w:val="bottom"/>
          </w:tcPr>
          <w:p>
            <w:pPr>
              <w:pStyle w:val="TableContents"/>
              <w:spacing w:before="0" w:after="283"/>
              <w:rPr/>
            </w:pPr>
            <w:r>
              <w:rPr/>
              <w:t>)</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double" w:sz="6" w:space="1" w:color="000000"/>
              </w:pBdr>
              <w:spacing w:before="0" w:after="0"/>
              <w:rPr/>
            </w:pPr>
            <w:r>
              <w:rPr/>
              <w:t> </w:t>
            </w:r>
          </w:p>
        </w:tc>
        <w:tc>
          <w:tcPr>
            <w:tcW w:w="179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double" w:sz="6" w:space="1" w:color="000000"/>
              </w:pBdr>
              <w:spacing w:before="0" w:after="0"/>
              <w:rPr/>
            </w:pPr>
            <w:r>
              <w:rPr/>
              <w:t> </w:t>
            </w:r>
          </w:p>
        </w:tc>
        <w:tc>
          <w:tcPr>
            <w:tcW w:w="179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jc w:val="right"/>
              <w:rPr/>
            </w:pPr>
            <w:r>
              <w:rPr/>
              <w:t>15,000,000</w:t>
            </w:r>
          </w:p>
        </w:tc>
        <w:tc>
          <w:tcPr>
            <w:tcW w:w="15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2,045,455</w:t>
            </w:r>
          </w:p>
        </w:tc>
        <w:tc>
          <w:tcPr>
            <w:tcW w:w="159" w:type="dxa"/>
            <w:tcBorders/>
            <w:shd w:fill="auto"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double" w:sz="6" w:space="1" w:color="000000"/>
              </w:pBdr>
              <w:spacing w:before="0" w:after="0"/>
              <w:rPr/>
            </w:pPr>
            <w:r>
              <w:rPr/>
              <w:t> </w:t>
            </w:r>
          </w:p>
        </w:tc>
        <w:tc>
          <w:tcPr>
            <w:tcW w:w="179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double" w:sz="6" w:space="1" w:color="000000"/>
              </w:pBdr>
              <w:spacing w:before="0" w:after="0"/>
              <w:rPr/>
            </w:pPr>
            <w:r>
              <w:rPr/>
              <w:t> </w:t>
            </w:r>
          </w:p>
        </w:tc>
        <w:tc>
          <w:tcPr>
            <w:tcW w:w="179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loss per share</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w:t>
            </w:r>
          </w:p>
        </w:tc>
        <w:tc>
          <w:tcPr>
            <w:tcW w:w="1794" w:type="dxa"/>
            <w:tcBorders/>
            <w:shd w:fill="CCEEFF" w:val="clear"/>
            <w:vAlign w:val="bottom"/>
          </w:tcPr>
          <w:p>
            <w:pPr>
              <w:pStyle w:val="TableContents"/>
              <w:spacing w:before="0" w:after="283"/>
              <w:jc w:val="right"/>
              <w:rPr/>
            </w:pPr>
            <w:r>
              <w:rPr/>
              <w:t>(0.17</w:t>
            </w:r>
          </w:p>
        </w:tc>
        <w:tc>
          <w:tcPr>
            <w:tcW w:w="155" w:type="dxa"/>
            <w:tcBorders/>
            <w:shd w:fill="CCEEFF" w:val="clear"/>
            <w:vAlign w:val="bottom"/>
          </w:tcPr>
          <w:p>
            <w:pPr>
              <w:pStyle w:val="TableContents"/>
              <w:spacing w:before="0" w:after="283"/>
              <w:rPr/>
            </w:pPr>
            <w:r>
              <w:rPr/>
              <w:t>)</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796" w:type="dxa"/>
            <w:tcBorders/>
            <w:shd w:fill="CCEEFF" w:val="clear"/>
            <w:vAlign w:val="bottom"/>
          </w:tcPr>
          <w:p>
            <w:pPr>
              <w:pStyle w:val="TableContents"/>
              <w:spacing w:before="0" w:after="283"/>
              <w:jc w:val="right"/>
              <w:rPr/>
            </w:pPr>
            <w:r>
              <w:rPr/>
              <w:t>(0.08</w:t>
            </w:r>
          </w:p>
        </w:tc>
        <w:tc>
          <w:tcPr>
            <w:tcW w:w="159" w:type="dxa"/>
            <w:tcBorders/>
            <w:shd w:fill="CCEEFF" w:val="clear"/>
            <w:vAlign w:val="bottom"/>
          </w:tcPr>
          <w:p>
            <w:pPr>
              <w:pStyle w:val="TableContents"/>
              <w:spacing w:before="0" w:after="283"/>
              <w:rPr/>
            </w:pPr>
            <w:r>
              <w:rPr/>
              <w:t>)</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double" w:sz="6" w:space="1" w:color="000000"/>
              </w:pBdr>
              <w:spacing w:before="0" w:after="0"/>
              <w:rPr/>
            </w:pPr>
            <w:r>
              <w:rPr/>
              <w:t> </w:t>
            </w:r>
          </w:p>
        </w:tc>
        <w:tc>
          <w:tcPr>
            <w:tcW w:w="179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double" w:sz="6" w:space="1" w:color="000000"/>
              </w:pBdr>
              <w:spacing w:before="0" w:after="0"/>
              <w:rPr/>
            </w:pPr>
            <w:r>
              <w:rPr/>
              <w:t> </w:t>
            </w:r>
          </w:p>
        </w:tc>
        <w:tc>
          <w:tcPr>
            <w:tcW w:w="179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non-redeemable common stock</w:t>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1794"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96" w:type="dxa"/>
            <w:tcBorders/>
            <w:shd w:fill="auto" w:val="clear"/>
            <w:vAlign w:val="bottom"/>
          </w:tcPr>
          <w:p>
            <w:pPr>
              <w:pStyle w:val="TableContents"/>
              <w:spacing w:before="0" w:after="283"/>
              <w:jc w:val="right"/>
              <w:rPr/>
            </w:pPr>
            <w:r>
              <w:rPr/>
              <w:t>3,948,530</w:t>
            </w:r>
          </w:p>
        </w:tc>
        <w:tc>
          <w:tcPr>
            <w:tcW w:w="159" w:type="dxa"/>
            <w:tcBorders/>
            <w:shd w:fill="auto"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double" w:sz="6" w:space="1" w:color="000000"/>
              </w:pBdr>
              <w:spacing w:before="0" w:after="0"/>
              <w:rPr/>
            </w:pPr>
            <w:r>
              <w:rPr/>
              <w:t> </w:t>
            </w:r>
          </w:p>
        </w:tc>
        <w:tc>
          <w:tcPr>
            <w:tcW w:w="179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double" w:sz="6" w:space="1" w:color="000000"/>
              </w:pBdr>
              <w:spacing w:before="0" w:after="0"/>
              <w:rPr/>
            </w:pPr>
            <w:r>
              <w:rPr/>
              <w:t> </w:t>
            </w:r>
          </w:p>
        </w:tc>
        <w:tc>
          <w:tcPr>
            <w:tcW w:w="179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5140"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loss per share</w:t>
            </w:r>
          </w:p>
        </w:tc>
        <w:tc>
          <w:tcPr>
            <w:tcW w:w="529"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w:t>
            </w:r>
          </w:p>
        </w:tc>
        <w:tc>
          <w:tcPr>
            <w:tcW w:w="1794" w:type="dxa"/>
            <w:tcBorders/>
            <w:shd w:fill="CCEEFF" w:val="clear"/>
            <w:vAlign w:val="bottom"/>
          </w:tcPr>
          <w:p>
            <w:pPr>
              <w:pStyle w:val="TableContents"/>
              <w:spacing w:before="0" w:after="283"/>
              <w:jc w:val="right"/>
              <w:rPr/>
            </w:pPr>
            <w:r>
              <w:rPr/>
              <w:t>(0.17</w:t>
            </w:r>
          </w:p>
        </w:tc>
        <w:tc>
          <w:tcPr>
            <w:tcW w:w="155" w:type="dxa"/>
            <w:tcBorders/>
            <w:shd w:fill="CCEEFF" w:val="clear"/>
            <w:vAlign w:val="bottom"/>
          </w:tcPr>
          <w:p>
            <w:pPr>
              <w:pStyle w:val="TableContents"/>
              <w:spacing w:before="0" w:after="283"/>
              <w:rPr/>
            </w:pPr>
            <w:r>
              <w:rPr/>
              <w:t>)</w:t>
            </w:r>
          </w:p>
        </w:tc>
        <w:tc>
          <w:tcPr>
            <w:tcW w:w="484"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796" w:type="dxa"/>
            <w:tcBorders/>
            <w:shd w:fill="CCEEFF" w:val="clear"/>
            <w:vAlign w:val="bottom"/>
          </w:tcPr>
          <w:p>
            <w:pPr>
              <w:pStyle w:val="TableContents"/>
              <w:spacing w:before="0" w:after="283"/>
              <w:jc w:val="right"/>
              <w:rPr/>
            </w:pPr>
            <w:r>
              <w:rPr/>
              <w:t>(0.08</w:t>
            </w:r>
          </w:p>
        </w:tc>
        <w:tc>
          <w:tcPr>
            <w:tcW w:w="159" w:type="dxa"/>
            <w:tcBorders/>
            <w:shd w:fill="CCEEFF" w:val="clear"/>
            <w:vAlign w:val="bottom"/>
          </w:tcPr>
          <w:p>
            <w:pPr>
              <w:pStyle w:val="TableContents"/>
              <w:spacing w:before="0" w:after="283"/>
              <w:rPr/>
            </w:pPr>
            <w:r>
              <w:rPr/>
              <w:t>)</w:t>
            </w:r>
          </w:p>
        </w:tc>
      </w:tr>
      <w:tr>
        <w:trPr/>
        <w:tc>
          <w:tcPr>
            <w:tcW w:w="5140"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pBdr>
                <w:top w:val="double" w:sz="6" w:space="1" w:color="000000"/>
              </w:pBdr>
              <w:spacing w:before="0" w:after="0"/>
              <w:rPr/>
            </w:pPr>
            <w:r>
              <w:rPr/>
              <w:t> </w:t>
            </w:r>
          </w:p>
        </w:tc>
        <w:tc>
          <w:tcPr>
            <w:tcW w:w="179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double" w:sz="6" w:space="1" w:color="000000"/>
              </w:pBdr>
              <w:spacing w:before="0" w:after="0"/>
              <w:rPr/>
            </w:pPr>
            <w:r>
              <w:rPr/>
              <w:t> </w:t>
            </w:r>
          </w:p>
        </w:tc>
        <w:tc>
          <w:tcPr>
            <w:tcW w:w="1796"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49" w:name="fin309194_11"/>
      <w:bookmarkEnd w:id="49"/>
      <w:r>
        <w:rPr>
          <w:rFonts w:ascii="Times New Roman" w:hAnsi="Times New Roman"/>
          <w:b/>
          <w:sz w:val="20"/>
        </w:rPr>
        <w:t xml:space="preserve">STATEMENTS OF CHANGES IN STOCKHOLDERS (DEFICIT) EQUITY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25"/>
        <w:gridCol w:w="174"/>
        <w:gridCol w:w="60"/>
        <w:gridCol w:w="1100"/>
        <w:gridCol w:w="155"/>
        <w:gridCol w:w="124"/>
        <w:gridCol w:w="205"/>
        <w:gridCol w:w="658"/>
        <w:gridCol w:w="155"/>
        <w:gridCol w:w="124"/>
        <w:gridCol w:w="140"/>
        <w:gridCol w:w="1275"/>
        <w:gridCol w:w="154"/>
        <w:gridCol w:w="124"/>
        <w:gridCol w:w="160"/>
        <w:gridCol w:w="1228"/>
        <w:gridCol w:w="155"/>
        <w:gridCol w:w="124"/>
        <w:gridCol w:w="142"/>
        <w:gridCol w:w="1294"/>
        <w:gridCol w:w="163"/>
      </w:tblGrid>
      <w:tr>
        <w:trPr/>
        <w:tc>
          <w:tcPr>
            <w:tcW w:w="282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230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Accumulated</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Stockholders</w:t>
            </w:r>
          </w:p>
        </w:tc>
        <w:tc>
          <w:tcPr>
            <w:tcW w:w="163" w:type="dxa"/>
            <w:tcBorders/>
            <w:shd w:fill="auto" w:val="clear"/>
            <w:vAlign w:val="bottom"/>
          </w:tcPr>
          <w:p>
            <w:pPr>
              <w:pStyle w:val="TableContents"/>
              <w:spacing w:before="0" w:after="283"/>
              <w:rPr/>
            </w:pPr>
            <w:r>
              <w:rPr/>
              <w:t> </w:t>
            </w:r>
          </w:p>
        </w:tc>
      </w:tr>
      <w:tr>
        <w:trPr/>
        <w:tc>
          <w:tcPr>
            <w:tcW w:w="28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6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Paid-in Capital</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Deficit</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(Deficit) Equity</w:t>
            </w:r>
          </w:p>
        </w:tc>
        <w:tc>
          <w:tcPr>
            <w:tcW w:w="1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November 5, 2020 (inception)</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75"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w:t>
            </w:r>
          </w:p>
        </w:tc>
        <w:tc>
          <w:tcPr>
            <w:tcW w:w="12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129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issued to Sponsor</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6,212,500</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621</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35,424</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36,045</w:t>
            </w:r>
          </w:p>
        </w:tc>
        <w:tc>
          <w:tcPr>
            <w:tcW w:w="1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Issuance of Representative shares</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250,000</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(25</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sz w:val="20"/>
              </w:rPr>
            </w:pPr>
            <w:r>
              <w:rPr>
                <w:rFonts w:ascii="Times New Roman" w:hAnsi="Times New Roman"/>
                <w:sz w:val="20"/>
              </w:rPr>
              <w:t>Representative shares returned to the Company</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(87,500</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9</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Sale of 459,500 Private Placement Shares</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459,500</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46</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4,594,954</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4,595,000</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sz w:val="20"/>
              </w:rPr>
            </w:pPr>
            <w:r>
              <w:rPr>
                <w:rFonts w:ascii="Times New Roman" w:hAnsi="Times New Roman"/>
                <w:sz w:val="20"/>
              </w:rPr>
              <w:t>Fair value of warrants included in the 15,000,000 Units sold through public offering, net of offering costs</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11,424,074</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11,424,074</w:t>
            </w:r>
          </w:p>
        </w:tc>
        <w:tc>
          <w:tcPr>
            <w:tcW w:w="1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285,846</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285,846</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(14,961,589</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(14,961,589</w:t>
            </w:r>
          </w:p>
        </w:tc>
        <w:tc>
          <w:tcPr>
            <w:tcW w:w="1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(468,899</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(468,899</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75"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29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September 30, 2021</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6,834,500</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w:t>
            </w:r>
          </w:p>
        </w:tc>
        <w:tc>
          <w:tcPr>
            <w:tcW w:w="658" w:type="dxa"/>
            <w:tcBorders/>
            <w:shd w:fill="auto" w:val="clear"/>
            <w:vAlign w:val="bottom"/>
          </w:tcPr>
          <w:p>
            <w:pPr>
              <w:pStyle w:val="TableContents"/>
              <w:spacing w:before="0" w:after="283"/>
              <w:jc w:val="right"/>
              <w:rPr/>
            </w:pPr>
            <w:r>
              <w:rPr/>
              <w:t>683</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75" w:type="dxa"/>
            <w:tcBorders/>
            <w:shd w:fill="auto" w:val="clear"/>
            <w:vAlign w:val="bottom"/>
          </w:tcPr>
          <w:p>
            <w:pPr>
              <w:pStyle w:val="TableContents"/>
              <w:spacing w:before="0" w:after="283"/>
              <w:jc w:val="right"/>
              <w:rPr/>
            </w:pPr>
            <w:r>
              <w:rPr/>
              <w:t>1,378,693</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w:t>
            </w:r>
          </w:p>
        </w:tc>
        <w:tc>
          <w:tcPr>
            <w:tcW w:w="1228" w:type="dxa"/>
            <w:tcBorders/>
            <w:shd w:fill="auto" w:val="clear"/>
            <w:vAlign w:val="bottom"/>
          </w:tcPr>
          <w:p>
            <w:pPr>
              <w:pStyle w:val="TableContents"/>
              <w:spacing w:before="0" w:after="283"/>
              <w:jc w:val="right"/>
              <w:rPr/>
            </w:pPr>
            <w:r>
              <w:rPr/>
              <w:t>(468,899</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1294" w:type="dxa"/>
            <w:tcBorders/>
            <w:shd w:fill="auto" w:val="clear"/>
            <w:vAlign w:val="bottom"/>
          </w:tcPr>
          <w:p>
            <w:pPr>
              <w:pStyle w:val="TableContents"/>
              <w:spacing w:before="0" w:after="283"/>
              <w:jc w:val="right"/>
              <w:rPr/>
            </w:pPr>
            <w:r>
              <w:rPr/>
              <w:t>910,477</w:t>
            </w:r>
          </w:p>
        </w:tc>
        <w:tc>
          <w:tcPr>
            <w:tcW w:w="163" w:type="dxa"/>
            <w:tcBorders/>
            <w:shd w:fill="auto" w:val="clear"/>
            <w:vAlign w:val="bottom"/>
          </w:tcPr>
          <w:p>
            <w:pPr>
              <w:pStyle w:val="TableContents"/>
              <w:spacing w:before="0" w:after="283"/>
              <w:rPr/>
            </w:pPr>
            <w:r>
              <w:rPr/>
              <w:t> </w:t>
            </w:r>
          </w:p>
        </w:tc>
      </w:tr>
      <w:tr>
        <w:trPr/>
        <w:tc>
          <w:tcPr>
            <w:tcW w:w="28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75"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29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Forfeiture of founder shares</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(1,125,000</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(113</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113</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111,852</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111,852</w:t>
            </w:r>
          </w:p>
        </w:tc>
        <w:tc>
          <w:tcPr>
            <w:tcW w:w="163" w:type="dxa"/>
            <w:tcBorders/>
            <w:shd w:fill="auto" w:val="clear"/>
            <w:vAlign w:val="bottom"/>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5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(548,862</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(548,862</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(3,622,794</w:t>
            </w:r>
          </w:p>
        </w:tc>
        <w:tc>
          <w:tcPr>
            <w:tcW w:w="15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(3,622,794</w:t>
            </w:r>
          </w:p>
        </w:tc>
        <w:tc>
          <w:tcPr>
            <w:tcW w:w="163" w:type="dxa"/>
            <w:tcBorders/>
            <w:shd w:fill="auto" w:val="clear"/>
            <w:vAlign w:val="bottom"/>
          </w:tcPr>
          <w:p>
            <w:pPr>
              <w:pStyle w:val="TableContents"/>
              <w:spacing w:before="0" w:after="283"/>
              <w:rPr/>
            </w:pPr>
            <w:r>
              <w:rPr/>
              <w:t>) </w:t>
            </w:r>
          </w:p>
        </w:tc>
      </w:tr>
      <w:tr>
        <w:trPr/>
        <w:tc>
          <w:tcPr>
            <w:tcW w:w="28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1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single" w:sz="2" w:space="1" w:color="000000"/>
              </w:pBdr>
              <w:spacing w:before="0" w:after="0"/>
              <w:rPr/>
            </w:pPr>
            <w:r>
              <w:rPr/>
              <w:t> </w:t>
            </w:r>
          </w:p>
        </w:tc>
        <w:tc>
          <w:tcPr>
            <w:tcW w:w="65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75"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2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0"/>
              <w:rPr/>
            </w:pPr>
            <w:r>
              <w:rPr/>
              <w:t> </w:t>
            </w:r>
          </w:p>
        </w:tc>
        <w:tc>
          <w:tcPr>
            <w:tcW w:w="129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2825"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September 30, 2022</w:t>
            </w:r>
          </w:p>
        </w:tc>
        <w:tc>
          <w:tcPr>
            <w:tcW w:w="17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5,709,500</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w:t>
            </w:r>
          </w:p>
        </w:tc>
        <w:tc>
          <w:tcPr>
            <w:tcW w:w="658" w:type="dxa"/>
            <w:tcBorders/>
            <w:shd w:fill="CCEEFF" w:val="clear"/>
            <w:vAlign w:val="bottom"/>
          </w:tcPr>
          <w:p>
            <w:pPr>
              <w:pStyle w:val="TableContents"/>
              <w:spacing w:before="0" w:after="283"/>
              <w:jc w:val="right"/>
              <w:rPr/>
            </w:pPr>
            <w:r>
              <w:rPr/>
              <w:t>570</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75" w:type="dxa"/>
            <w:tcBorders/>
            <w:shd w:fill="CCEEFF" w:val="clear"/>
            <w:vAlign w:val="bottom"/>
          </w:tcPr>
          <w:p>
            <w:pPr>
              <w:pStyle w:val="TableContents"/>
              <w:spacing w:before="0" w:after="283"/>
              <w:jc w:val="right"/>
              <w:rPr/>
            </w:pPr>
            <w:r>
              <w:rPr/>
              <w:t>941,796</w:t>
            </w:r>
          </w:p>
        </w:tc>
        <w:tc>
          <w:tcPr>
            <w:tcW w:w="15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w:t>
            </w:r>
          </w:p>
        </w:tc>
        <w:tc>
          <w:tcPr>
            <w:tcW w:w="1228" w:type="dxa"/>
            <w:tcBorders/>
            <w:shd w:fill="CCEEFF" w:val="clear"/>
            <w:vAlign w:val="bottom"/>
          </w:tcPr>
          <w:p>
            <w:pPr>
              <w:pStyle w:val="TableContents"/>
              <w:spacing w:before="0" w:after="283"/>
              <w:jc w:val="right"/>
              <w:rPr/>
            </w:pPr>
            <w:r>
              <w:rPr/>
              <w:t>(4,091,693</w:t>
            </w:r>
          </w:p>
        </w:tc>
        <w:tc>
          <w:tcPr>
            <w:tcW w:w="15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1294" w:type="dxa"/>
            <w:tcBorders/>
            <w:shd w:fill="CCEEFF" w:val="clear"/>
            <w:vAlign w:val="bottom"/>
          </w:tcPr>
          <w:p>
            <w:pPr>
              <w:pStyle w:val="TableContents"/>
              <w:spacing w:before="0" w:after="283"/>
              <w:jc w:val="right"/>
              <w:rPr/>
            </w:pPr>
            <w:r>
              <w:rPr/>
              <w:t>(3,149,327</w:t>
            </w:r>
          </w:p>
        </w:tc>
        <w:tc>
          <w:tcPr>
            <w:tcW w:w="163" w:type="dxa"/>
            <w:tcBorders/>
            <w:shd w:fill="CCEEFF" w:val="clear"/>
            <w:vAlign w:val="bottom"/>
          </w:tcPr>
          <w:p>
            <w:pPr>
              <w:pStyle w:val="TableContents"/>
              <w:spacing w:before="0" w:after="283"/>
              <w:rPr/>
            </w:pPr>
            <w:r>
              <w:rPr/>
              <w:t>) </w:t>
            </w:r>
          </w:p>
        </w:tc>
      </w:tr>
      <w:tr>
        <w:trPr/>
        <w:tc>
          <w:tcPr>
            <w:tcW w:w="28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10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pBdr>
                <w:top w:val="double" w:sz="6" w:space="1" w:color="000000"/>
              </w:pBdr>
              <w:spacing w:before="0" w:after="0"/>
              <w:rPr/>
            </w:pPr>
            <w:r>
              <w:rPr/>
              <w:t> </w:t>
            </w:r>
          </w:p>
        </w:tc>
        <w:tc>
          <w:tcPr>
            <w:tcW w:w="65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75" w:type="dxa"/>
            <w:tcBorders/>
            <w:shd w:fill="auto" w:val="clear"/>
            <w:vAlign w:val="bottom"/>
          </w:tcPr>
          <w:p>
            <w:pPr>
              <w:pStyle w:val="TableContents"/>
              <w:pBdr>
                <w:top w:val="double" w:sz="6"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0"/>
              <w:rPr/>
            </w:pPr>
            <w:r>
              <w:rPr/>
              <w:t> </w:t>
            </w:r>
          </w:p>
        </w:tc>
        <w:tc>
          <w:tcPr>
            <w:tcW w:w="122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0"/>
              <w:rPr/>
            </w:pPr>
            <w:r>
              <w:rPr/>
              <w:t> </w:t>
            </w:r>
          </w:p>
        </w:tc>
        <w:tc>
          <w:tcPr>
            <w:tcW w:w="1294"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0" w:name="fin309194_12"/>
      <w:bookmarkEnd w:id="50"/>
      <w:r>
        <w:rPr>
          <w:rFonts w:ascii="Times New Roman" w:hAnsi="Times New Roman"/>
          <w:b/>
          <w:sz w:val="20"/>
        </w:rPr>
        <w:t xml:space="preserve">STATEMENTS OF CASH FLOWS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094"/>
        <w:gridCol w:w="294"/>
        <w:gridCol w:w="172"/>
        <w:gridCol w:w="1338"/>
        <w:gridCol w:w="155"/>
        <w:gridCol w:w="256"/>
        <w:gridCol w:w="196"/>
        <w:gridCol w:w="1875"/>
        <w:gridCol w:w="159"/>
      </w:tblGrid>
      <w:tr>
        <w:trPr/>
        <w:tc>
          <w:tcPr>
            <w:tcW w:w="60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9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September 30,</w:t>
              <w:br/>
              <w:t>2022</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207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br/>
              <w:t>from November 5,</w:t>
              <w:br/>
              <w:t>2020 (inception)</w:t>
              <w:br/>
              <w:t>through September</w:t>
            </w:r>
            <w:r>
              <w:rPr/>
              <w:br/>
            </w:r>
            <w:r>
              <w:rPr>
                <w:b/>
              </w:rPr>
              <w:t>30, 2021</w:t>
            </w:r>
          </w:p>
        </w:tc>
        <w:tc>
          <w:tcPr>
            <w:tcW w:w="159" w:type="dxa"/>
            <w:tcBorders/>
            <w:shd w:fill="auto" w:val="clear"/>
            <w:vAlign w:val="bottom"/>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3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sz w:val="4"/>
                <w:szCs w:val="4"/>
              </w:rPr>
            </w:pPr>
            <w:r>
              <w:rPr>
                <w:sz w:val="4"/>
                <w:szCs w:val="4"/>
              </w:rPr>
            </w:r>
          </w:p>
        </w:tc>
        <w:tc>
          <w:tcPr>
            <w:tcW w:w="187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338" w:type="dxa"/>
            <w:tcBorders/>
            <w:shd w:fill="auto" w:val="clear"/>
            <w:vAlign w:val="bottom"/>
          </w:tcPr>
          <w:p>
            <w:pPr>
              <w:pStyle w:val="TableContents"/>
              <w:spacing w:before="0" w:after="283"/>
              <w:jc w:val="right"/>
              <w:rPr/>
            </w:pPr>
            <w:r>
              <w:rPr/>
              <w:t>(3,622,794</w:t>
            </w:r>
          </w:p>
        </w:tc>
        <w:tc>
          <w:tcPr>
            <w:tcW w:w="155" w:type="dxa"/>
            <w:tcBorders/>
            <w:shd w:fill="auto" w:val="clear"/>
            <w:vAlign w:val="bottom"/>
          </w:tcPr>
          <w:p>
            <w:pPr>
              <w:pStyle w:val="TableContents"/>
              <w:spacing w:before="0" w:after="283"/>
              <w:rPr/>
            </w:pPr>
            <w:r>
              <w:rPr/>
              <w:t>)</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875" w:type="dxa"/>
            <w:tcBorders/>
            <w:shd w:fill="auto" w:val="clear"/>
            <w:vAlign w:val="bottom"/>
          </w:tcPr>
          <w:p>
            <w:pPr>
              <w:pStyle w:val="TableContents"/>
              <w:spacing w:before="0" w:after="283"/>
              <w:jc w:val="right"/>
              <w:rPr/>
            </w:pPr>
            <w:r>
              <w:rPr/>
              <w:t>(468,899</w:t>
            </w:r>
          </w:p>
        </w:tc>
        <w:tc>
          <w:tcPr>
            <w:tcW w:w="159" w:type="dxa"/>
            <w:tcBorders/>
            <w:shd w:fill="auto" w:val="clear"/>
            <w:vAlign w:val="bottom"/>
          </w:tcPr>
          <w:p>
            <w:pPr>
              <w:pStyle w:val="TableContents"/>
              <w:spacing w:before="0" w:after="283"/>
              <w:rPr/>
            </w:pPr>
            <w:r>
              <w:rPr/>
              <w:t>)</w:t>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3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sz w:val="4"/>
                <w:szCs w:val="4"/>
              </w:rPr>
            </w:pPr>
            <w:r>
              <w:rPr>
                <w:sz w:val="4"/>
                <w:szCs w:val="4"/>
              </w:rPr>
            </w:r>
          </w:p>
        </w:tc>
        <w:tc>
          <w:tcPr>
            <w:tcW w:w="187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Interest earned on cash and marketable securities held in Trust Account</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(1,025,942</w:t>
            </w:r>
          </w:p>
        </w:tc>
        <w:tc>
          <w:tcPr>
            <w:tcW w:w="155" w:type="dxa"/>
            <w:tcBorders/>
            <w:shd w:fill="auto" w:val="clear"/>
            <w:vAlign w:val="bottom"/>
          </w:tcPr>
          <w:p>
            <w:pPr>
              <w:pStyle w:val="TableContents"/>
              <w:spacing w:before="0" w:after="283"/>
              <w:rPr/>
            </w:pPr>
            <w:r>
              <w:rPr/>
              <w:t>)</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(1,052</w:t>
            </w:r>
          </w:p>
        </w:tc>
        <w:tc>
          <w:tcPr>
            <w:tcW w:w="159" w:type="dxa"/>
            <w:tcBorders/>
            <w:shd w:fill="auto" w:val="clear"/>
            <w:vAlign w:val="bottom"/>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111,852</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285,846</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Changes in current assets and liabilities:</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3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87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398,920</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(460,862</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2,954,179</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93,467</w:t>
            </w:r>
          </w:p>
        </w:tc>
        <w:tc>
          <w:tcPr>
            <w:tcW w:w="159" w:type="dxa"/>
            <w:tcBorders/>
            <w:shd w:fill="auto" w:val="clear"/>
            <w:vAlign w:val="bottom"/>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Franchise tax payable</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124,329</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25,671</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Income tax payable</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145,621</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used in operating activities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(913,835</w:t>
            </w:r>
          </w:p>
        </w:tc>
        <w:tc>
          <w:tcPr>
            <w:tcW w:w="155" w:type="dxa"/>
            <w:tcBorders/>
            <w:shd w:fill="CCEEFF" w:val="clear"/>
            <w:vAlign w:val="bottom"/>
          </w:tcPr>
          <w:p>
            <w:pPr>
              <w:pStyle w:val="TableContents"/>
              <w:spacing w:before="0" w:after="283"/>
              <w:rPr/>
            </w:pPr>
            <w:r>
              <w:rPr/>
              <w:t>)</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(525,829</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3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87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Interest withdrawn from Trust Account</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182,069</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Principal deposited in Trust Account</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(150,000,000</w:t>
            </w:r>
          </w:p>
        </w:tc>
        <w:tc>
          <w:tcPr>
            <w:tcW w:w="159" w:type="dxa"/>
            <w:tcBorders/>
            <w:shd w:fill="auto"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provided by (used in) investing activities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182,069</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(150,000,000</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3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sz w:val="4"/>
                <w:szCs w:val="4"/>
              </w:rPr>
            </w:pPr>
            <w:r>
              <w:rPr>
                <w:sz w:val="4"/>
                <w:szCs w:val="4"/>
              </w:rPr>
            </w:r>
          </w:p>
        </w:tc>
        <w:tc>
          <w:tcPr>
            <w:tcW w:w="187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initial public offering, net of costs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148,500,000</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private placement</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4,595,000</w:t>
            </w:r>
          </w:p>
        </w:tc>
        <w:tc>
          <w:tcPr>
            <w:tcW w:w="159" w:type="dxa"/>
            <w:tcBorders/>
            <w:shd w:fill="auto" w:val="clear"/>
            <w:vAlign w:val="bottom"/>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Proceeds from sale of common stock to initial shareholders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36,045</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issuance of promissory notes to related party</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483,034</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230,352</w:t>
            </w:r>
          </w:p>
        </w:tc>
        <w:tc>
          <w:tcPr>
            <w:tcW w:w="159" w:type="dxa"/>
            <w:tcBorders/>
            <w:shd w:fill="auto" w:val="clear"/>
            <w:vAlign w:val="bottom"/>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Repayment of promissory notes to related party</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(231,280</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(230,352</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Payment of deferred offering costs</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(1,947,626</w:t>
            </w:r>
          </w:p>
        </w:tc>
        <w:tc>
          <w:tcPr>
            <w:tcW w:w="159" w:type="dxa"/>
            <w:tcBorders/>
            <w:shd w:fill="auto" w:val="clear"/>
            <w:vAlign w:val="bottom"/>
          </w:tcPr>
          <w:p>
            <w:pPr>
              <w:pStyle w:val="TableContents"/>
              <w:spacing w:before="0" w:after="283"/>
              <w:rPr/>
            </w:pPr>
            <w:r>
              <w:rPr/>
              <w:t>)</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provided by financing activities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251,754</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151,183,419</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b/>
                <w:sz w:val="20"/>
              </w:rPr>
            </w:pPr>
            <w:r>
              <w:rPr>
                <w:rFonts w:ascii="Times New Roman" w:hAnsi="Times New Roman"/>
                <w:b/>
                <w:sz w:val="20"/>
              </w:rPr>
              <w:t>Net change in cash</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338" w:type="dxa"/>
            <w:tcBorders/>
            <w:shd w:fill="auto" w:val="clear"/>
            <w:vAlign w:val="bottom"/>
          </w:tcPr>
          <w:p>
            <w:pPr>
              <w:pStyle w:val="TableContents"/>
              <w:spacing w:before="0" w:after="283"/>
              <w:jc w:val="right"/>
              <w:rPr/>
            </w:pPr>
            <w:r>
              <w:rPr/>
              <w:t>(480,012</w:t>
            </w:r>
          </w:p>
        </w:tc>
        <w:tc>
          <w:tcPr>
            <w:tcW w:w="155" w:type="dxa"/>
            <w:tcBorders/>
            <w:shd w:fill="auto" w:val="clear"/>
            <w:vAlign w:val="bottom"/>
          </w:tcPr>
          <w:p>
            <w:pPr>
              <w:pStyle w:val="TableContents"/>
              <w:spacing w:before="0" w:after="283"/>
              <w:rPr/>
            </w:pPr>
            <w:r>
              <w:rPr/>
              <w:t>)</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 </w:t>
            </w:r>
          </w:p>
        </w:tc>
        <w:tc>
          <w:tcPr>
            <w:tcW w:w="1875" w:type="dxa"/>
            <w:tcBorders/>
            <w:shd w:fill="auto" w:val="clear"/>
            <w:vAlign w:val="bottom"/>
          </w:tcPr>
          <w:p>
            <w:pPr>
              <w:pStyle w:val="TableContents"/>
              <w:spacing w:before="0" w:after="283"/>
              <w:jc w:val="right"/>
              <w:rPr/>
            </w:pPr>
            <w:r>
              <w:rPr/>
              <w:t>657,590</w:t>
            </w:r>
          </w:p>
        </w:tc>
        <w:tc>
          <w:tcPr>
            <w:tcW w:w="159" w:type="dxa"/>
            <w:tcBorders/>
            <w:shd w:fill="auto" w:val="clear"/>
            <w:vAlign w:val="bottom"/>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beginning of the period</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338" w:type="dxa"/>
            <w:tcBorders/>
            <w:shd w:fill="CCEEFF" w:val="clear"/>
            <w:vAlign w:val="bottom"/>
          </w:tcPr>
          <w:p>
            <w:pPr>
              <w:pStyle w:val="TableContents"/>
              <w:spacing w:before="0" w:after="283"/>
              <w:jc w:val="right"/>
              <w:rPr/>
            </w:pPr>
            <w:r>
              <w:rPr/>
              <w:t>657,590</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 </w:t>
            </w:r>
          </w:p>
        </w:tc>
        <w:tc>
          <w:tcPr>
            <w:tcW w:w="187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13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single" w:sz="2" w:space="1" w:color="000000"/>
              </w:pBdr>
              <w:spacing w:before="0" w:after="0"/>
              <w:rPr/>
            </w:pPr>
            <w:r>
              <w:rPr/>
              <w:t> </w:t>
            </w:r>
          </w:p>
        </w:tc>
        <w:tc>
          <w:tcPr>
            <w:tcW w:w="18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b/>
                <w:sz w:val="20"/>
              </w:rPr>
            </w:pPr>
            <w:r>
              <w:rPr>
                <w:rFonts w:ascii="Times New Roman" w:hAnsi="Times New Roman"/>
                <w:b/>
                <w:sz w:val="20"/>
              </w:rPr>
              <w:t>Cash, end of the period</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338" w:type="dxa"/>
            <w:tcBorders/>
            <w:shd w:fill="auto" w:val="clear"/>
            <w:vAlign w:val="bottom"/>
          </w:tcPr>
          <w:p>
            <w:pPr>
              <w:pStyle w:val="TableContents"/>
              <w:spacing w:before="0" w:after="283"/>
              <w:jc w:val="right"/>
              <w:rPr/>
            </w:pPr>
            <w:r>
              <w:rPr/>
              <w:t>177,578</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875" w:type="dxa"/>
            <w:tcBorders/>
            <w:shd w:fill="auto" w:val="clear"/>
            <w:vAlign w:val="bottom"/>
          </w:tcPr>
          <w:p>
            <w:pPr>
              <w:pStyle w:val="TableContents"/>
              <w:spacing w:before="0" w:after="283"/>
              <w:jc w:val="right"/>
              <w:rPr/>
            </w:pPr>
            <w:r>
              <w:rPr/>
              <w:t>657,590</w:t>
            </w:r>
          </w:p>
        </w:tc>
        <w:tc>
          <w:tcPr>
            <w:tcW w:w="159" w:type="dxa"/>
            <w:tcBorders/>
            <w:shd w:fill="auto"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3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double" w:sz="6" w:space="1" w:color="000000"/>
              </w:pBdr>
              <w:spacing w:before="0" w:after="0"/>
              <w:rPr/>
            </w:pPr>
            <w:r>
              <w:rPr/>
              <w:t> </w:t>
            </w:r>
          </w:p>
        </w:tc>
        <w:tc>
          <w:tcPr>
            <w:tcW w:w="187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disclosure of noncash investing and financing activities</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3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sz w:val="4"/>
                <w:szCs w:val="4"/>
              </w:rPr>
            </w:pPr>
            <w:r>
              <w:rPr>
                <w:sz w:val="4"/>
                <w:szCs w:val="4"/>
              </w:rPr>
            </w:r>
          </w:p>
        </w:tc>
        <w:tc>
          <w:tcPr>
            <w:tcW w:w="187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338" w:type="dxa"/>
            <w:tcBorders/>
            <w:shd w:fill="auto" w:val="clear"/>
            <w:vAlign w:val="bottom"/>
          </w:tcPr>
          <w:p>
            <w:pPr>
              <w:pStyle w:val="TableContents"/>
              <w:spacing w:before="0" w:after="283"/>
              <w:jc w:val="right"/>
              <w:rPr/>
            </w:pPr>
            <w:r>
              <w:rPr/>
              <w:t>548,862</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875"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3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double" w:sz="6" w:space="1" w:color="000000"/>
              </w:pBdr>
              <w:spacing w:before="0" w:after="0"/>
              <w:rPr/>
            </w:pPr>
            <w:r>
              <w:rPr/>
              <w:t> </w:t>
            </w:r>
          </w:p>
        </w:tc>
        <w:tc>
          <w:tcPr>
            <w:tcW w:w="187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CCEEFF" w:val="clear"/>
          </w:tcPr>
          <w:p>
            <w:pPr>
              <w:pStyle w:val="TableContents"/>
              <w:spacing w:before="0" w:after="0"/>
              <w:rPr>
                <w:rFonts w:ascii="Times New Roman" w:hAnsi="Times New Roman"/>
                <w:sz w:val="20"/>
              </w:rPr>
            </w:pPr>
            <w:r>
              <w:rPr>
                <w:rFonts w:ascii="Times New Roman" w:hAnsi="Times New Roman"/>
                <w:sz w:val="20"/>
              </w:rPr>
              <w:t>Initial value of common stock subject to possible redemption</w:t>
            </w:r>
          </w:p>
        </w:tc>
        <w:tc>
          <w:tcPr>
            <w:tcW w:w="29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133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96" w:type="dxa"/>
            <w:tcBorders/>
            <w:shd w:fill="CCEEFF" w:val="clear"/>
            <w:vAlign w:val="bottom"/>
          </w:tcPr>
          <w:p>
            <w:pPr>
              <w:pStyle w:val="TableContents"/>
              <w:spacing w:before="0" w:after="283"/>
              <w:rPr/>
            </w:pPr>
            <w:r>
              <w:rPr/>
              <w:t>$</w:t>
            </w:r>
          </w:p>
        </w:tc>
        <w:tc>
          <w:tcPr>
            <w:tcW w:w="1875" w:type="dxa"/>
            <w:tcBorders/>
            <w:shd w:fill="CCEEFF" w:val="clear"/>
            <w:vAlign w:val="bottom"/>
          </w:tcPr>
          <w:p>
            <w:pPr>
              <w:pStyle w:val="TableContents"/>
              <w:spacing w:before="0" w:after="283"/>
              <w:jc w:val="right"/>
              <w:rPr/>
            </w:pPr>
            <w:r>
              <w:rPr/>
              <w:t>150,000,000</w:t>
            </w:r>
          </w:p>
        </w:tc>
        <w:tc>
          <w:tcPr>
            <w:tcW w:w="159" w:type="dxa"/>
            <w:tcBorders/>
            <w:shd w:fill="CCEEFF"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3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double" w:sz="6" w:space="1" w:color="000000"/>
              </w:pBdr>
              <w:spacing w:before="0" w:after="0"/>
              <w:rPr/>
            </w:pPr>
            <w:r>
              <w:rPr/>
              <w:t> </w:t>
            </w:r>
          </w:p>
        </w:tc>
        <w:tc>
          <w:tcPr>
            <w:tcW w:w="187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094" w:type="dxa"/>
            <w:tcBorders/>
            <w:shd w:fill="auto" w:val="clear"/>
          </w:tcPr>
          <w:p>
            <w:pPr>
              <w:pStyle w:val="TableContents"/>
              <w:spacing w:before="0" w:after="0"/>
              <w:rPr>
                <w:rFonts w:ascii="Times New Roman" w:hAnsi="Times New Roman"/>
                <w:sz w:val="20"/>
              </w:rPr>
            </w:pPr>
            <w:r>
              <w:rPr>
                <w:rFonts w:ascii="Times New Roman" w:hAnsi="Times New Roman"/>
                <w:sz w:val="20"/>
              </w:rPr>
              <w:t>Accrued deferred offering costs</w:t>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3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spacing w:before="0" w:after="283"/>
              <w:rPr/>
            </w:pPr>
            <w:r>
              <w:rPr/>
              <w:t>$</w:t>
            </w:r>
          </w:p>
        </w:tc>
        <w:tc>
          <w:tcPr>
            <w:tcW w:w="1875" w:type="dxa"/>
            <w:tcBorders/>
            <w:shd w:fill="auto" w:val="clear"/>
            <w:vAlign w:val="bottom"/>
          </w:tcPr>
          <w:p>
            <w:pPr>
              <w:pStyle w:val="TableContents"/>
              <w:spacing w:before="0" w:after="283"/>
              <w:jc w:val="right"/>
              <w:rPr/>
            </w:pPr>
            <w:r>
              <w:rPr/>
              <w:t>89,889</w:t>
            </w:r>
          </w:p>
        </w:tc>
        <w:tc>
          <w:tcPr>
            <w:tcW w:w="159" w:type="dxa"/>
            <w:tcBorders/>
            <w:shd w:fill="auto" w:val="clear"/>
            <w:vAlign w:val="bottom"/>
          </w:tcPr>
          <w:p>
            <w:pPr>
              <w:pStyle w:val="TableContents"/>
              <w:spacing w:before="0" w:after="283"/>
              <w:rPr/>
            </w:pPr>
            <w:r>
              <w:rPr/>
              <w:t> </w:t>
            </w:r>
          </w:p>
        </w:tc>
      </w:tr>
      <w:tr>
        <w:trPr/>
        <w:tc>
          <w:tcPr>
            <w:tcW w:w="6094"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13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96" w:type="dxa"/>
            <w:tcBorders/>
            <w:shd w:fill="auto" w:val="clear"/>
            <w:vAlign w:val="bottom"/>
          </w:tcPr>
          <w:p>
            <w:pPr>
              <w:pStyle w:val="TableContents"/>
              <w:pBdr>
                <w:top w:val="double" w:sz="6" w:space="1" w:color="000000"/>
              </w:pBdr>
              <w:spacing w:before="0" w:after="0"/>
              <w:rPr/>
            </w:pPr>
            <w:r>
              <w:rPr/>
              <w:t> </w:t>
            </w:r>
          </w:p>
        </w:tc>
        <w:tc>
          <w:tcPr>
            <w:tcW w:w="187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1" w:name="fin309194_13"/>
      <w:bookmarkEnd w:id="51"/>
      <w:r>
        <w:rPr>
          <w:rFonts w:ascii="Times New Roman" w:hAnsi="Times New Roman"/>
          <w:b/>
          <w:sz w:val="20"/>
        </w:rPr>
        <w:t xml:space="preserve">NOTES TO FINANCIAL STATEMENTS </w:t>
      </w:r>
    </w:p>
    <w:p>
      <w:pPr>
        <w:pStyle w:val="TextBody"/>
        <w:spacing w:before="240" w:after="0"/>
        <w:jc w:val="left"/>
        <w:rPr>
          <w:rFonts w:ascii="Times New Roman" w:hAnsi="Times New Roman"/>
          <w:b/>
          <w:sz w:val="20"/>
        </w:rPr>
      </w:pPr>
      <w:r>
        <w:rPr>
          <w:rFonts w:ascii="Times New Roman" w:hAnsi="Times New Roman"/>
          <w:b/>
          <w:sz w:val="20"/>
        </w:rPr>
        <w:t xml:space="preserve">Note 1 - Organization, Business Operations and Going Concern </w:t>
      </w:r>
    </w:p>
    <w:p>
      <w:pPr>
        <w:pStyle w:val="TextBody"/>
        <w:spacing w:before="120" w:after="0"/>
        <w:jc w:val="left"/>
        <w:rPr>
          <w:rFonts w:ascii="Times New Roman" w:hAnsi="Times New Roman"/>
          <w:sz w:val="20"/>
        </w:rPr>
      </w:pPr>
      <w:r>
        <w:rPr>
          <w:rFonts w:ascii="Times New Roman" w:hAnsi="Times New Roman"/>
          <w:sz w:val="20"/>
        </w:rPr>
        <w:t xml:space="preserve">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 </w:t>
      </w:r>
    </w:p>
    <w:p>
      <w:pPr>
        <w:pStyle w:val="TextBody"/>
        <w:spacing w:before="240" w:after="0"/>
        <w:jc w:val="left"/>
        <w:rPr>
          <w:rFonts w:ascii="Times New Roman" w:hAnsi="Times New Roman"/>
          <w:sz w:val="20"/>
        </w:rPr>
      </w:pPr>
      <w:r>
        <w:rPr>
          <w:rFonts w:ascii="Times New Roman" w:hAnsi="Times New Roman"/>
          <w:sz w:val="20"/>
        </w:rPr>
        <w:t xml:space="preserve">As of September 30, 2022, the Company had not commenced any operations. All activity for the period from November 5, 2020 (inception) through September 30, 2022,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w:t>
      </w:r>
    </w:p>
    <w:p>
      <w:pPr>
        <w:pStyle w:val="TextBody"/>
        <w:spacing w:before="240" w:after="0"/>
        <w:jc w:val="left"/>
        <w:rPr>
          <w:rFonts w:ascii="Times New Roman" w:hAnsi="Times New Roman"/>
          <w:sz w:val="20"/>
        </w:rPr>
      </w:pPr>
      <w:r>
        <w:rPr>
          <w:rFonts w:ascii="Times New Roman" w:hAnsi="Times New Roman"/>
          <w:sz w:val="20"/>
        </w:rPr>
        <w:t xml:space="preserve">The Companys sponsor is Armada Sponsor LLC (the Sponsor). The registration statement for the Companys IPO was declared effective on August 12, 2021 (the Effective Date). On August 17, 2021, the Company commenced the IPO of 15,000,000 units at $10.00 per unit (the Units). </w:t>
      </w:r>
    </w:p>
    <w:p>
      <w:pPr>
        <w:pStyle w:val="TextBody"/>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spacing w:before="240" w:after="0"/>
        <w:jc w:val="left"/>
        <w:rPr>
          <w:rFonts w:ascii="Times New Roman" w:hAnsi="Times New Roman"/>
          <w:sz w:val="20"/>
        </w:rPr>
      </w:pPr>
      <w:r>
        <w:rPr>
          <w:rFonts w:ascii="Times New Roman" w:hAnsi="Times New Roman"/>
          <w:sz w:val="20"/>
        </w:rPr>
        <w:t xml:space="preserve">Transaction costs amounted to $3,537,515 consisting of $1,500,000 of underwriting commissions, and $2,037,515 of other offering costs.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As of September 30, 2022, the Trust Account has released $182,069 to the Company to pay tax obligations. </w:t>
      </w:r>
    </w:p>
    <w:p>
      <w:pPr>
        <w:pStyle w:val="TextBody"/>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sale of Private Shares, although substantially all of the net proceeds are intended to be applied generally toward consummating a Business Combination. </w:t>
      </w:r>
    </w:p>
    <w:p>
      <w:pPr>
        <w:pStyle w:val="TextBody"/>
        <w:spacing w:before="240" w:after="0"/>
        <w:jc w:val="left"/>
        <w:rPr>
          <w:rFonts w:ascii="Times New Roman" w:hAnsi="Times New Roman"/>
          <w:sz w:val="20"/>
        </w:rPr>
      </w:pPr>
      <w:r>
        <w:rPr>
          <w:rFonts w:ascii="Times New Roman" w:hAnsi="Times New Roman"/>
          <w:sz w:val="20"/>
        </w:rPr>
        <w:t xml:space="preserve">The Company must complete one or more initial Business Combinations having an aggregate fair market value of at least 80% of the value of the assets held in the trust account (as defined below) (excluding deferred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spacing w:before="240" w:after="0"/>
        <w:jc w:val="left"/>
        <w:rPr>
          <w:rFonts w:ascii="Times New Roman" w:hAnsi="Times New Roman"/>
          <w:sz w:val="20"/>
        </w:rPr>
      </w:pPr>
      <w:r>
        <w:rPr>
          <w:rFonts w:ascii="Times New Roman" w:hAnsi="Times New Roman"/>
          <w:sz w:val="20"/>
        </w:rPr>
        <w:t xml:space="preserve">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dont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 </w:t>
      </w:r>
    </w:p>
    <w:p>
      <w:pPr>
        <w:pStyle w:val="TextBody"/>
        <w:spacing w:before="240" w:after="0"/>
        <w:jc w:val="left"/>
        <w:rPr>
          <w:rFonts w:ascii="Times New Roman" w:hAnsi="Times New Roman"/>
          <w:sz w:val="20"/>
        </w:rPr>
      </w:pPr>
      <w:r>
        <w:rPr>
          <w:rFonts w:ascii="Times New Roman" w:hAnsi="Times New Roman"/>
          <w:sz w:val="20"/>
        </w:rPr>
        <w:t xml:space="preserve">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Following the exercise of the automatic extension of the deadline for the Company to complete an initial business combination under our second amended and restated certificate of incorporation, the Company has until February 17, 2023 (or 18 months following our initial public offering)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 </w:t>
      </w:r>
    </w:p>
    <w:p>
      <w:pPr>
        <w:pStyle w:val="TextBody"/>
        <w:spacing w:before="240" w:after="0"/>
        <w:jc w:val="left"/>
        <w:rPr>
          <w:rFonts w:ascii="Times New Roman" w:hAnsi="Times New Roman"/>
          <w:sz w:val="20"/>
        </w:rPr>
      </w:pPr>
      <w:r>
        <w:rPr>
          <w:rFonts w:ascii="Times New Roman" w:hAnsi="Times New Roman"/>
          <w:sz w:val="20"/>
        </w:rPr>
        <w:t xml:space="preserve">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 </w:t>
      </w:r>
    </w:p>
    <w:p>
      <w:pPr>
        <w:pStyle w:val="TextBody"/>
        <w:spacing w:before="240" w:after="0"/>
        <w:jc w:val="left"/>
        <w:rPr>
          <w:rFonts w:ascii="Times New Roman" w:hAnsi="Times New Roman"/>
          <w:sz w:val="20"/>
        </w:rPr>
      </w:pPr>
      <w:r>
        <w:rPr>
          <w:rFonts w:ascii="Times New Roman" w:hAnsi="Times New Roman"/>
          <w:sz w:val="20"/>
        </w:rPr>
        <w:t xml:space="preserve">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 </w:t>
      </w:r>
    </w:p>
    <w:p>
      <w:pPr>
        <w:pStyle w:val="TextBody"/>
        <w:spacing w:before="240" w:after="0"/>
        <w:jc w:val="left"/>
        <w:rPr>
          <w:rFonts w:ascii="Times New Roman" w:hAnsi="Times New Roman"/>
          <w:sz w:val="20"/>
        </w:rPr>
      </w:pPr>
      <w:r>
        <w:rPr>
          <w:rFonts w:ascii="Times New Roman" w:hAnsi="Times New Roman"/>
          <w:sz w:val="20"/>
        </w:rPr>
        <w:t>On December 17, 2021, the Company entered into a business combination agreement with Rezolve Limited, a private limited company incorporated under the laws of England and Wales (</w:t>
      </w:r>
      <w:r>
        <w:rPr>
          <w:rFonts w:ascii="Times New Roman" w:hAnsi="Times New Roman"/>
          <w:sz w:val="20"/>
          <w:u w:val="single"/>
        </w:rPr>
        <w:t>Rezolve</w:t>
      </w:r>
      <w:r>
        <w:rPr>
          <w:rFonts w:ascii="Times New Roman" w:hAnsi="Times New Roman"/>
          <w:sz w:val="20"/>
        </w:rPr>
        <w:t>), Rezolve Group Limited, a Cayman Islands exempted company (</w:t>
      </w:r>
      <w:r>
        <w:rPr>
          <w:rFonts w:ascii="Times New Roman" w:hAnsi="Times New Roman"/>
          <w:sz w:val="20"/>
          <w:u w:val="single"/>
        </w:rPr>
        <w:t>Cayman NewCo</w:t>
      </w:r>
      <w:r>
        <w:rPr>
          <w:rFonts w:ascii="Times New Roman" w:hAnsi="Times New Roman"/>
          <w:sz w:val="20"/>
        </w:rPr>
        <w:t>), and Rezolve Merger Sub, Inc., (</w:t>
      </w:r>
      <w:r>
        <w:rPr>
          <w:rFonts w:ascii="Times New Roman" w:hAnsi="Times New Roman"/>
          <w:sz w:val="20"/>
          <w:u w:val="single"/>
        </w:rPr>
        <w:t>Rezolve Merger Sub</w:t>
      </w:r>
      <w:r>
        <w:rPr>
          <w:rFonts w:ascii="Times New Roman" w:hAnsi="Times New Roman"/>
          <w:sz w:val="20"/>
        </w:rPr>
        <w:t>) (such business combination agreement, the </w:t>
      </w:r>
      <w:r>
        <w:rPr>
          <w:rFonts w:ascii="Times New Roman" w:hAnsi="Times New Roman"/>
          <w:sz w:val="20"/>
          <w:u w:val="single"/>
        </w:rPr>
        <w:t>Business Combination Agreement</w:t>
      </w:r>
      <w:r>
        <w:rPr>
          <w:rFonts w:ascii="Times New Roman" w:hAnsi="Times New Roman"/>
          <w:sz w:val="20"/>
        </w:rPr>
        <w:t>, and such business combination, the </w:t>
      </w:r>
      <w:r>
        <w:rPr>
          <w:rFonts w:ascii="Times New Roman" w:hAnsi="Times New Roman"/>
          <w:sz w:val="20"/>
          <w:u w:val="single"/>
        </w:rPr>
        <w:t>Business Combination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Times New Roman" w:hAnsi="Times New Roman"/>
          <w:sz w:val="20"/>
          <w:u w:val="single"/>
        </w:rPr>
        <w:t>Subscription Agreements</w:t>
      </w:r>
      <w:r>
        <w:rPr>
          <w:rFonts w:ascii="Times New Roman" w:hAnsi="Times New Roman"/>
          <w:sz w:val="20"/>
        </w:rPr>
        <w:t xml:space="preserve">). The obligations of each party under the subscription agreements are conditioned upon customary closing conditions and the consummation of the Business Combination. </w:t>
      </w:r>
    </w:p>
    <w:p>
      <w:pPr>
        <w:pStyle w:val="TextBody"/>
        <w:spacing w:before="240" w:after="0"/>
        <w:jc w:val="left"/>
        <w:rPr>
          <w:rFonts w:ascii="Times New Roman" w:hAnsi="Times New Roman"/>
          <w:sz w:val="20"/>
        </w:rPr>
      </w:pPr>
      <w:r>
        <w:rPr>
          <w:rFonts w:ascii="Times New Roman" w:hAnsi="Times New Roman"/>
          <w:sz w:val="20"/>
        </w:rPr>
        <w:t>Concurrently with the execution and delivery of the Business Combination Agreement, Armada and the Key Company Shareholders (as defined in the Business Combination Agreement) have entered into the Transaction Support Agreement (the </w:t>
      </w:r>
      <w:r>
        <w:rPr>
          <w:rFonts w:ascii="Times New Roman" w:hAnsi="Times New Roman"/>
          <w:sz w:val="20"/>
          <w:u w:val="single"/>
        </w:rPr>
        <w:t>Transaction Support Agreement</w:t>
      </w:r>
      <w:r>
        <w:rPr>
          <w:rFonts w:ascii="Times New Roman" w:hAnsi="Times New Roman"/>
          <w:sz w:val="20"/>
        </w:rPr>
        <w:t xml:space="preserve">),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 </w:t>
      </w:r>
    </w:p>
    <w:p>
      <w:pPr>
        <w:pStyle w:val="TextBody"/>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Liquidity and Going Concern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among other things, the realization of assets and satisfaction of liabilities in the normal course of business. </w:t>
      </w:r>
    </w:p>
    <w:p>
      <w:pPr>
        <w:pStyle w:val="TextBody"/>
        <w:spacing w:before="240" w:after="0"/>
        <w:jc w:val="left"/>
        <w:rPr>
          <w:rFonts w:ascii="Times New Roman" w:hAnsi="Times New Roman"/>
          <w:sz w:val="20"/>
        </w:rPr>
      </w:pPr>
      <w:r>
        <w:rPr>
          <w:rFonts w:ascii="Times New Roman" w:hAnsi="Times New Roman"/>
          <w:sz w:val="20"/>
        </w:rPr>
        <w:t xml:space="preserve">As of September 30, 2022, the Company had approximately $0.2 million in its operating account and working capital deficiency of approximately $3.1 million (excluding income tax payable and franchise tax payable). </w:t>
      </w:r>
    </w:p>
    <w:p>
      <w:pPr>
        <w:pStyle w:val="TextBody"/>
        <w:spacing w:before="240" w:after="0"/>
        <w:jc w:val="left"/>
        <w:rPr>
          <w:rFonts w:ascii="Times New Roman" w:hAnsi="Times New Roman"/>
          <w:sz w:val="20"/>
        </w:rPr>
      </w:pPr>
      <w:r>
        <w:rPr>
          <w:rFonts w:ascii="Times New Roman" w:hAnsi="Times New Roman"/>
          <w:sz w:val="20"/>
        </w:rPr>
        <w:t xml:space="preserve">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(see Note 5). The loan is evidenced by two promissory notes in the aggregate principal amount of $483,034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resulting in $251,754 balance outstanding under the second promissory note as of September 30, 2022. </w:t>
      </w:r>
    </w:p>
    <w:p>
      <w:pPr>
        <w:pStyle w:val="TextBody"/>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5). As of September 30, 2022, there were no amounts outstanding under any Working Capital Loans. The Company has incurred and expects to continue to incur significant costs in pursuit of its acquisition plans. </w:t>
      </w:r>
    </w:p>
    <w:p>
      <w:pPr>
        <w:pStyle w:val="TextBody"/>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 </w:t>
      </w:r>
    </w:p>
    <w:p>
      <w:pPr>
        <w:pStyle w:val="TextBody"/>
        <w:spacing w:before="360" w:after="0"/>
        <w:jc w:val="left"/>
        <w:rPr>
          <w:rFonts w:ascii="Times New Roman" w:hAnsi="Times New Roman"/>
          <w:b/>
          <w:sz w:val="20"/>
        </w:rPr>
      </w:pPr>
      <w:r>
        <w:rPr>
          <w:rFonts w:ascii="Times New Roman" w:hAnsi="Times New Roman"/>
          <w:b/>
          <w:sz w:val="20"/>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 </w:t>
      </w:r>
    </w:p>
    <w:p>
      <w:pPr>
        <w:pStyle w:val="TextBody"/>
        <w:spacing w:before="240" w:after="0"/>
        <w:jc w:val="left"/>
        <w:rPr>
          <w:rFonts w:ascii="Times New Roman" w:hAnsi="Times New Roman"/>
          <w:sz w:val="20"/>
        </w:rPr>
      </w:pPr>
      <w:r>
        <w:rPr>
          <w:rFonts w:ascii="Times New Roman" w:hAnsi="Times New Roman"/>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pStyle w:val="TextBody"/>
        <w:spacing w:before="24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Note 2 - Significant Accounting Policies </w:t>
      </w:r>
    </w:p>
    <w:p>
      <w:pPr>
        <w:pStyle w:val="TextBody"/>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of the Company are presented in U.S. dollars in conformity with accounting principles generally accepted in the United States of America (GAAP) and pursuant to the rules and regulations of the U.S. Securities and Exchange Commission (SEC). In the opinion of management, all adjustments (consisting of normal recurring adjustments) have been made that are necessary to present fairly the financial position, and the results of its operations and its cash flows. </w:t>
      </w:r>
    </w:p>
    <w:p>
      <w:pPr>
        <w:pStyle w:val="TextBody"/>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spacing w:before="360" w:after="0"/>
        <w:jc w:val="left"/>
        <w:rPr>
          <w:rFonts w:ascii="Times New Roman" w:hAnsi="Times New Roman"/>
          <w:b/>
          <w:sz w:val="20"/>
        </w:rPr>
      </w:pPr>
      <w:r>
        <w:rPr>
          <w:rFonts w:ascii="Times New Roman" w:hAnsi="Times New Roman"/>
          <w:b/>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$177,578 and $657,590 in cash as of September 30, 2022 and 2021, respectively. </w:t>
      </w:r>
    </w:p>
    <w:p>
      <w:pPr>
        <w:pStyle w:val="TextBody"/>
        <w:spacing w:before="360" w:after="0"/>
        <w:jc w:val="left"/>
        <w:rPr>
          <w:rFonts w:ascii="Times New Roman" w:hAnsi="Times New Roman"/>
          <w:b/>
          <w:sz w:val="20"/>
        </w:rPr>
      </w:pPr>
      <w:r>
        <w:rPr>
          <w:rFonts w:ascii="Times New Roman" w:hAnsi="Times New Roman"/>
          <w:b/>
          <w:sz w:val="20"/>
        </w:rPr>
        <w:t xml:space="preserve">Investment Held in Trust Account </w:t>
      </w:r>
    </w:p>
    <w:p>
      <w:pPr>
        <w:pStyle w:val="TextBody"/>
        <w:spacing w:before="120" w:after="0"/>
        <w:jc w:val="left"/>
        <w:rPr>
          <w:rFonts w:ascii="Times New Roman" w:hAnsi="Times New Roman"/>
          <w:sz w:val="20"/>
        </w:rPr>
      </w:pPr>
      <w:r>
        <w:rPr>
          <w:rFonts w:ascii="Times New Roman" w:hAnsi="Times New Roman"/>
          <w:sz w:val="20"/>
        </w:rPr>
        <w:t xml:space="preserve">As of September 30, 2022, the assets held in the Trust Account were held in U.S. Treasury Bills with a maturity of 185 days or less and in money market funds which invest in U.S. Treasury securities. </w:t>
      </w:r>
    </w:p>
    <w:p>
      <w:pPr>
        <w:pStyle w:val="TextBody"/>
        <w:spacing w:before="240" w:after="0"/>
        <w:jc w:val="left"/>
        <w:rPr>
          <w:rFonts w:ascii="Times New Roman" w:hAnsi="Times New Roman"/>
          <w:sz w:val="20"/>
        </w:rPr>
      </w:pPr>
      <w:r>
        <w:rPr>
          <w:rFonts w:ascii="Times New Roman" w:hAnsi="Times New Roman"/>
          <w:sz w:val="20"/>
        </w:rPr>
        <w:t xml:space="preserve">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spacing w:before="240" w:after="0"/>
        <w:jc w:val="left"/>
        <w:rPr>
          <w:rFonts w:ascii="Times New Roman" w:hAnsi="Times New Roman"/>
          <w:sz w:val="20"/>
        </w:rPr>
      </w:pPr>
      <w:r>
        <w:rPr>
          <w:rFonts w:ascii="Times New Roman" w:hAnsi="Times New Roman"/>
          <w:sz w:val="20"/>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w:t>
      </w:r>
    </w:p>
    <w:p>
      <w:pPr>
        <w:pStyle w:val="TextBody"/>
        <w:spacing w:before="240" w:after="0"/>
        <w:jc w:val="left"/>
        <w:rPr>
          <w:rFonts w:ascii="Times New Roman" w:hAnsi="Times New Roman"/>
          <w:sz w:val="20"/>
        </w:rPr>
      </w:pPr>
      <w:r>
        <w:rPr>
          <w:rFonts w:ascii="Times New Roman" w:hAnsi="Times New Roman"/>
          <w:sz w:val="20"/>
        </w:rPr>
        <w:t xml:space="preserve">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 </w:t>
      </w:r>
    </w:p>
    <w:p>
      <w:pPr>
        <w:pStyle w:val="TextBody"/>
        <w:spacing w:before="240" w:after="0"/>
        <w:jc w:val="left"/>
        <w:rPr>
          <w:rFonts w:ascii="Times New Roman" w:hAnsi="Times New Roman"/>
          <w:sz w:val="20"/>
        </w:rPr>
      </w:pPr>
      <w:r>
        <w:rPr>
          <w:rFonts w:ascii="Times New Roman" w:hAnsi="Times New Roman"/>
          <w:sz w:val="20"/>
        </w:rPr>
        <w:t xml:space="preserve">The carrying value, excluding gross unrealized holding loss, and fair value of held to maturity securities on September 30, 2022 are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652"/>
        <w:gridCol w:w="319"/>
        <w:gridCol w:w="140"/>
        <w:gridCol w:w="1393"/>
        <w:gridCol w:w="60"/>
        <w:gridCol w:w="319"/>
        <w:gridCol w:w="207"/>
        <w:gridCol w:w="1021"/>
        <w:gridCol w:w="60"/>
        <w:gridCol w:w="319"/>
        <w:gridCol w:w="304"/>
        <w:gridCol w:w="925"/>
        <w:gridCol w:w="60"/>
        <w:gridCol w:w="319"/>
        <w:gridCol w:w="140"/>
        <w:gridCol w:w="1392"/>
        <w:gridCol w:w="65"/>
      </w:tblGrid>
      <w:tr>
        <w:trPr/>
        <w:tc>
          <w:tcPr>
            <w:tcW w:w="265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652"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Carrying</w:t>
              <w:br/>
              <w:t>Value as of</w:t>
              <w:br/>
              <w:t>September 30,</w:t>
              <w:br/>
              <w:t>2022</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Unrealized</w:t>
              <w:br/>
              <w:t>Gains</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2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Unrealized</w:t>
              <w:br/>
              <w:t>Losses</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5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w:t>
              <w:br/>
              <w:t>as of</w:t>
              <w:br/>
              <w:t>September 30,</w:t>
              <w:br/>
              <w:t>2022</w:t>
            </w:r>
          </w:p>
        </w:tc>
        <w:tc>
          <w:tcPr>
            <w:tcW w:w="65" w:type="dxa"/>
            <w:tcBorders/>
            <w:shd w:fill="auto" w:val="clear"/>
            <w:vAlign w:val="bottom"/>
          </w:tcPr>
          <w:p>
            <w:pPr>
              <w:pStyle w:val="TableContents"/>
              <w:spacing w:before="0" w:after="283"/>
              <w:rPr/>
            </w:pPr>
            <w:r>
              <w:rPr/>
              <w:t> </w:t>
            </w:r>
          </w:p>
        </w:tc>
      </w:tr>
      <w:tr>
        <w:trPr/>
        <w:tc>
          <w:tcPr>
            <w:tcW w:w="2652"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3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3" w:type="dxa"/>
            <w:tcBorders/>
            <w:shd w:fill="CCEEFF" w:val="clear"/>
            <w:vAlign w:val="bottom"/>
          </w:tcPr>
          <w:p>
            <w:pPr>
              <w:pStyle w:val="TableContents"/>
              <w:spacing w:before="0" w:after="283"/>
              <w:jc w:val="right"/>
              <w:rPr/>
            </w:pPr>
            <w:r>
              <w:rPr/>
              <w:t>320</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2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2" w:type="dxa"/>
            <w:tcBorders/>
            <w:shd w:fill="CCEEFF" w:val="clear"/>
            <w:vAlign w:val="bottom"/>
          </w:tcPr>
          <w:p>
            <w:pPr>
              <w:pStyle w:val="TableContents"/>
              <w:spacing w:before="0" w:after="283"/>
              <w:jc w:val="right"/>
              <w:rPr/>
            </w:pPr>
            <w:r>
              <w:rPr/>
              <w:t>320</w:t>
            </w:r>
          </w:p>
        </w:tc>
        <w:tc>
          <w:tcPr>
            <w:tcW w:w="65" w:type="dxa"/>
            <w:tcBorders/>
            <w:shd w:fill="CCEEFF" w:val="clear"/>
            <w:vAlign w:val="bottom"/>
          </w:tcPr>
          <w:p>
            <w:pPr>
              <w:pStyle w:val="TableContents"/>
              <w:spacing w:before="0" w:after="283"/>
              <w:rPr/>
            </w:pPr>
            <w:r>
              <w:rPr/>
              <w:t> </w:t>
            </w:r>
          </w:p>
        </w:tc>
      </w:tr>
      <w:tr>
        <w:trPr/>
        <w:tc>
          <w:tcPr>
            <w:tcW w:w="2652" w:type="dxa"/>
            <w:tcBorders/>
            <w:shd w:fill="auto" w:val="clear"/>
          </w:tcPr>
          <w:p>
            <w:pPr>
              <w:pStyle w:val="TableContents"/>
              <w:spacing w:before="0" w:after="0"/>
              <w:rPr>
                <w:rFonts w:ascii="Times New Roman" w:hAnsi="Times New Roman"/>
                <w:sz w:val="20"/>
              </w:rPr>
            </w:pPr>
            <w:r>
              <w:rPr>
                <w:rFonts w:ascii="Times New Roman" w:hAnsi="Times New Roman"/>
                <w:sz w:val="20"/>
              </w:rPr>
              <w:t>U.S. Treasury Bills</w:t>
            </w:r>
          </w:p>
        </w:tc>
        <w:tc>
          <w:tcPr>
            <w:tcW w:w="3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150,844,605</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19,242</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150,863,847</w:t>
            </w:r>
          </w:p>
        </w:tc>
        <w:tc>
          <w:tcPr>
            <w:tcW w:w="65" w:type="dxa"/>
            <w:tcBorders/>
            <w:shd w:fill="auto" w:val="clear"/>
            <w:vAlign w:val="bottom"/>
          </w:tcPr>
          <w:p>
            <w:pPr>
              <w:pStyle w:val="TableContents"/>
              <w:spacing w:before="0" w:after="283"/>
              <w:rPr/>
            </w:pPr>
            <w:r>
              <w:rPr/>
              <w:t> </w:t>
            </w:r>
          </w:p>
        </w:tc>
      </w:tr>
      <w:tr>
        <w:trPr/>
        <w:tc>
          <w:tcPr>
            <w:tcW w:w="2652"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9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02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92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652" w:type="dxa"/>
            <w:tcBorders/>
            <w:shd w:fill="CCEEFF" w:val="clear"/>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3" w:type="dxa"/>
            <w:tcBorders/>
            <w:shd w:fill="CCEEFF" w:val="clear"/>
            <w:vAlign w:val="bottom"/>
          </w:tcPr>
          <w:p>
            <w:pPr>
              <w:pStyle w:val="TableContents"/>
              <w:spacing w:before="0" w:after="283"/>
              <w:jc w:val="right"/>
              <w:rPr/>
            </w:pPr>
            <w:r>
              <w:rPr/>
              <w:t>150,844,925</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21" w:type="dxa"/>
            <w:tcBorders/>
            <w:shd w:fill="CCEEFF" w:val="clear"/>
            <w:vAlign w:val="bottom"/>
          </w:tcPr>
          <w:p>
            <w:pPr>
              <w:pStyle w:val="TableContents"/>
              <w:spacing w:before="0" w:after="283"/>
              <w:jc w:val="right"/>
              <w:rPr/>
            </w:pPr>
            <w:r>
              <w:rPr/>
              <w:t>19,242</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92" w:type="dxa"/>
            <w:tcBorders/>
            <w:shd w:fill="CCEEFF" w:val="clear"/>
            <w:vAlign w:val="bottom"/>
          </w:tcPr>
          <w:p>
            <w:pPr>
              <w:pStyle w:val="TableContents"/>
              <w:spacing w:before="0" w:after="283"/>
              <w:jc w:val="right"/>
              <w:rPr/>
            </w:pPr>
            <w:r>
              <w:rPr/>
              <w:t>150,864,167</w:t>
            </w:r>
          </w:p>
        </w:tc>
        <w:tc>
          <w:tcPr>
            <w:tcW w:w="65" w:type="dxa"/>
            <w:tcBorders/>
            <w:shd w:fill="CCEEFF" w:val="clear"/>
            <w:vAlign w:val="bottom"/>
          </w:tcPr>
          <w:p>
            <w:pPr>
              <w:pStyle w:val="TableContents"/>
              <w:spacing w:before="0" w:after="283"/>
              <w:rPr/>
            </w:pPr>
            <w:r>
              <w:rPr/>
              <w:t> </w:t>
            </w:r>
          </w:p>
        </w:tc>
      </w:tr>
      <w:tr>
        <w:trPr/>
        <w:tc>
          <w:tcPr>
            <w:tcW w:w="2652"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9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02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double" w:sz="6" w:space="1" w:color="000000"/>
              </w:pBdr>
              <w:spacing w:before="0" w:after="0"/>
              <w:rPr/>
            </w:pPr>
            <w:r>
              <w:rPr/>
              <w:t> </w:t>
            </w:r>
          </w:p>
        </w:tc>
        <w:tc>
          <w:tcPr>
            <w:tcW w:w="92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92"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As of September 30, 2021, the assets held in the Trust Account were held in a money market fund, which were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w:t>
      </w:r>
    </w:p>
    <w:p>
      <w:pPr>
        <w:pStyle w:val="TextBody"/>
        <w:spacing w:before="240" w:after="0"/>
        <w:jc w:val="left"/>
        <w:rPr>
          <w:rFonts w:ascii="Times New Roman" w:hAnsi="Times New Roman"/>
          <w:sz w:val="20"/>
        </w:rPr>
      </w:pPr>
      <w:r>
        <w:rPr>
          <w:rFonts w:ascii="Times New Roman" w:hAnsi="Times New Roman"/>
          <w:sz w:val="20"/>
        </w:rPr>
        <w:t xml:space="preserve">The estimated fair values of investments held in the Trust Account are determined using available market information and are characterized as Level 1 investments within the fair value hierarchy under ASC 820 (as described below). </w:t>
      </w:r>
    </w:p>
    <w:p>
      <w:pPr>
        <w:pStyle w:val="TextBody"/>
        <w:spacing w:before="360" w:after="0"/>
        <w:jc w:val="left"/>
        <w:rPr>
          <w:rFonts w:ascii="Times New Roman" w:hAnsi="Times New Roman"/>
          <w:b/>
          <w:sz w:val="20"/>
        </w:rPr>
      </w:pPr>
      <w:r>
        <w:rPr>
          <w:rFonts w:ascii="Times New Roman" w:hAnsi="Times New Roman"/>
          <w:b/>
          <w:sz w:val="20"/>
        </w:rPr>
        <w:t xml:space="preserve">Fair Value Measurements </w:t>
      </w:r>
    </w:p>
    <w:p>
      <w:pPr>
        <w:pStyle w:val="TextBody"/>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spacing w:before="24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spacing w:before="240" w:after="0"/>
        <w:jc w:val="left"/>
        <w:rPr>
          <w:rFonts w:ascii="Times New Roman" w:hAnsi="Times New Roman"/>
          <w:sz w:val="20"/>
        </w:rPr>
      </w:pPr>
      <w:r>
        <w:rPr>
          <w:rFonts w:ascii="Times New Roman" w:hAnsi="Times New Roman"/>
          <w:sz w:val="20"/>
        </w:rPr>
        <w:t xml:space="preserve">The fair value of certain of the Companys assets and liabilities, which qualify as financial instruments under ASC 820, Fair Value Measurements and Disclosures, approximates the carrying amounts represented in the balance sheet. The fair values of cash, prepaid expenses, accrued offering costs and expenses, and promissory notes to related party are estimated to approximate the carrying values as of September 30, 2022 and 2021, due to the short maturities of such instruments. </w:t>
      </w:r>
    </w:p>
    <w:p>
      <w:pPr>
        <w:pStyle w:val="TextBody"/>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limit of $250,000. At September 30, 2022 and 2021, the Company has not experienced losses on this account and management believes the Company is not exposed to significant risks on such account. </w:t>
      </w:r>
    </w:p>
    <w:p>
      <w:pPr>
        <w:pStyle w:val="TextBody"/>
        <w:spacing w:before="360" w:after="0"/>
        <w:jc w:val="left"/>
        <w:rPr>
          <w:rFonts w:ascii="Times New Roman" w:hAnsi="Times New Roman"/>
          <w:b/>
          <w:sz w:val="20"/>
        </w:rPr>
      </w:pPr>
      <w:r>
        <w:rPr>
          <w:rFonts w:ascii="Times New Roman" w:hAnsi="Times New Roman"/>
          <w:b/>
          <w:sz w:val="20"/>
        </w:rPr>
        <w:t xml:space="preserve">Offering Costs Associated with IPO </w:t>
      </w:r>
    </w:p>
    <w:p>
      <w:pPr>
        <w:pStyle w:val="TextBody"/>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 </w:t>
      </w:r>
    </w:p>
    <w:p>
      <w:pPr>
        <w:pStyle w:val="TextBody"/>
        <w:spacing w:before="360" w:after="0"/>
        <w:jc w:val="left"/>
        <w:rPr>
          <w:rFonts w:ascii="Times New Roman" w:hAnsi="Times New Roman"/>
          <w:b/>
          <w:sz w:val="20"/>
        </w:rPr>
      </w:pPr>
      <w:r>
        <w:rPr>
          <w:rFonts w:ascii="Times New Roman" w:hAnsi="Times New Roman"/>
          <w:b/>
          <w:sz w:val="20"/>
        </w:rPr>
        <w:t xml:space="preserve">Common Stock Subject to Possible Redemption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 </w:t>
      </w:r>
    </w:p>
    <w:p>
      <w:pPr>
        <w:pStyle w:val="TextBody"/>
        <w:spacing w:before="240" w:after="0"/>
        <w:jc w:val="left"/>
        <w:rPr>
          <w:rFonts w:ascii="Times New Roman" w:hAnsi="Times New Roman"/>
          <w:sz w:val="20"/>
        </w:rPr>
      </w:pPr>
      <w:r>
        <w:rPr>
          <w:rFonts w:ascii="Times New Roman" w:hAnsi="Times New Roman"/>
          <w:sz w:val="20"/>
        </w:rPr>
        <w:t xml:space="preserve">At September 30, 2022, the common stock reflected in the balance sheets are reconciled in the following table: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7680"/>
        <w:gridCol w:w="391"/>
        <w:gridCol w:w="148"/>
        <w:gridCol w:w="1318"/>
        <w:gridCol w:w="158"/>
      </w:tblGrid>
      <w:tr>
        <w:trPr/>
        <w:tc>
          <w:tcPr>
            <w:tcW w:w="768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680" w:type="dxa"/>
            <w:tcBorders/>
            <w:shd w:fill="CCEEFF" w:val="clear"/>
          </w:tcPr>
          <w:p>
            <w:pPr>
              <w:pStyle w:val="TableContents"/>
              <w:spacing w:before="0" w:after="0"/>
              <w:rPr>
                <w:rFonts w:ascii="Times New Roman" w:hAnsi="Times New Roman"/>
                <w:sz w:val="20"/>
              </w:rPr>
            </w:pPr>
            <w:r>
              <w:rPr>
                <w:rFonts w:ascii="Times New Roman" w:hAnsi="Times New Roman"/>
                <w:sz w:val="20"/>
              </w:rPr>
              <w:t>Gross Proceeds</w:t>
            </w:r>
          </w:p>
        </w:tc>
        <w:tc>
          <w:tcPr>
            <w:tcW w:w="3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318" w:type="dxa"/>
            <w:tcBorders/>
            <w:shd w:fill="CCEEFF" w:val="clear"/>
            <w:vAlign w:val="bottom"/>
          </w:tcPr>
          <w:p>
            <w:pPr>
              <w:pStyle w:val="TableContents"/>
              <w:spacing w:before="0" w:after="283"/>
              <w:jc w:val="right"/>
              <w:rPr/>
            </w:pPr>
            <w:r>
              <w:rPr/>
              <w:t>150,000,000</w:t>
            </w:r>
          </w:p>
        </w:tc>
        <w:tc>
          <w:tcPr>
            <w:tcW w:w="158" w:type="dxa"/>
            <w:tcBorders/>
            <w:shd w:fill="CCEEFF" w:val="clear"/>
            <w:vAlign w:val="bottom"/>
          </w:tcPr>
          <w:p>
            <w:pPr>
              <w:pStyle w:val="TableContents"/>
              <w:spacing w:before="0" w:after="283"/>
              <w:rPr/>
            </w:pPr>
            <w:r>
              <w:rPr/>
              <w:t> </w:t>
            </w:r>
          </w:p>
        </w:tc>
      </w:tr>
      <w:tr>
        <w:trPr/>
        <w:tc>
          <w:tcPr>
            <w:tcW w:w="7680" w:type="dxa"/>
            <w:tcBorders/>
            <w:shd w:fill="auto" w:val="clear"/>
          </w:tcPr>
          <w:p>
            <w:pPr>
              <w:pStyle w:val="TableContents"/>
              <w:spacing w:before="0" w:after="0"/>
              <w:rPr>
                <w:rFonts w:ascii="Times New Roman" w:hAnsi="Times New Roman"/>
                <w:sz w:val="20"/>
              </w:rPr>
            </w:pPr>
            <w:r>
              <w:rPr>
                <w:rFonts w:ascii="Times New Roman" w:hAnsi="Times New Roman"/>
                <w:sz w:val="20"/>
              </w:rPr>
              <w:t>Less: Proceeds allocated to Public Warrants</w:t>
            </w:r>
          </w:p>
        </w:tc>
        <w:tc>
          <w:tcPr>
            <w:tcW w:w="39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(11,700,000</w:t>
            </w:r>
          </w:p>
        </w:tc>
        <w:tc>
          <w:tcPr>
            <w:tcW w:w="158" w:type="dxa"/>
            <w:tcBorders/>
            <w:shd w:fill="auto" w:val="clear"/>
            <w:vAlign w:val="bottom"/>
          </w:tcPr>
          <w:p>
            <w:pPr>
              <w:pStyle w:val="TableContents"/>
              <w:spacing w:before="0" w:after="283"/>
              <w:rPr/>
            </w:pPr>
            <w:r>
              <w:rPr/>
              <w:t>) </w:t>
            </w:r>
          </w:p>
        </w:tc>
      </w:tr>
      <w:tr>
        <w:trPr/>
        <w:tc>
          <w:tcPr>
            <w:tcW w:w="7680" w:type="dxa"/>
            <w:tcBorders/>
            <w:shd w:fill="CCEEFF" w:val="clear"/>
          </w:tcPr>
          <w:p>
            <w:pPr>
              <w:pStyle w:val="TableContents"/>
              <w:spacing w:before="0" w:after="0"/>
              <w:rPr>
                <w:rFonts w:ascii="Times New Roman" w:hAnsi="Times New Roman"/>
                <w:sz w:val="20"/>
              </w:rPr>
            </w:pPr>
            <w:r>
              <w:rPr>
                <w:rFonts w:ascii="Times New Roman" w:hAnsi="Times New Roman"/>
                <w:sz w:val="20"/>
              </w:rPr>
              <w:t>Less: Issuance costs related to common stock</w:t>
            </w:r>
          </w:p>
        </w:tc>
        <w:tc>
          <w:tcPr>
            <w:tcW w:w="3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318" w:type="dxa"/>
            <w:tcBorders/>
            <w:shd w:fill="CCEEFF" w:val="clear"/>
            <w:vAlign w:val="bottom"/>
          </w:tcPr>
          <w:p>
            <w:pPr>
              <w:pStyle w:val="TableContents"/>
              <w:spacing w:before="0" w:after="283"/>
              <w:jc w:val="right"/>
              <w:rPr/>
            </w:pPr>
            <w:r>
              <w:rPr/>
              <w:t>(3,261,589</w:t>
            </w:r>
          </w:p>
        </w:tc>
        <w:tc>
          <w:tcPr>
            <w:tcW w:w="158" w:type="dxa"/>
            <w:tcBorders/>
            <w:shd w:fill="CCEEFF" w:val="clear"/>
            <w:vAlign w:val="bottom"/>
          </w:tcPr>
          <w:p>
            <w:pPr>
              <w:pStyle w:val="TableContents"/>
              <w:spacing w:before="0" w:after="283"/>
              <w:rPr/>
            </w:pPr>
            <w:r>
              <w:rPr/>
              <w:t>) </w:t>
            </w:r>
          </w:p>
        </w:tc>
      </w:tr>
      <w:tr>
        <w:trPr/>
        <w:tc>
          <w:tcPr>
            <w:tcW w:w="7680" w:type="dxa"/>
            <w:tcBorders/>
            <w:shd w:fill="auto" w:val="clear"/>
          </w:tcPr>
          <w:p>
            <w:pPr>
              <w:pStyle w:val="TableContents"/>
              <w:spacing w:before="0" w:after="0"/>
              <w:rPr>
                <w:rFonts w:ascii="Times New Roman" w:hAnsi="Times New Roman"/>
                <w:sz w:val="20"/>
              </w:rPr>
            </w:pPr>
            <w:r>
              <w:rPr>
                <w:rFonts w:ascii="Times New Roman" w:hAnsi="Times New Roman"/>
                <w:sz w:val="20"/>
              </w:rPr>
              <w:t>Plus: Remeasurement of carrying value to redemption value</w:t>
            </w:r>
          </w:p>
        </w:tc>
        <w:tc>
          <w:tcPr>
            <w:tcW w:w="39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14,961,589</w:t>
            </w:r>
          </w:p>
        </w:tc>
        <w:tc>
          <w:tcPr>
            <w:tcW w:w="158" w:type="dxa"/>
            <w:tcBorders/>
            <w:shd w:fill="auto" w:val="clear"/>
            <w:vAlign w:val="bottom"/>
          </w:tcPr>
          <w:p>
            <w:pPr>
              <w:pStyle w:val="TableContents"/>
              <w:spacing w:before="0" w:after="283"/>
              <w:rPr/>
            </w:pPr>
            <w:r>
              <w:rPr/>
              <w:t> </w:t>
            </w:r>
          </w:p>
        </w:tc>
      </w:tr>
      <w:tr>
        <w:trPr/>
        <w:tc>
          <w:tcPr>
            <w:tcW w:w="768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1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680"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subject to possible redemption  September 30, 2021</w:t>
            </w:r>
          </w:p>
        </w:tc>
        <w:tc>
          <w:tcPr>
            <w:tcW w:w="3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318" w:type="dxa"/>
            <w:tcBorders/>
            <w:shd w:fill="CCEEFF" w:val="clear"/>
            <w:vAlign w:val="bottom"/>
          </w:tcPr>
          <w:p>
            <w:pPr>
              <w:pStyle w:val="TableContents"/>
              <w:spacing w:before="0" w:after="283"/>
              <w:jc w:val="right"/>
              <w:rPr/>
            </w:pPr>
            <w:r>
              <w:rPr/>
              <w:t>150,000,000</w:t>
            </w:r>
          </w:p>
        </w:tc>
        <w:tc>
          <w:tcPr>
            <w:tcW w:w="158" w:type="dxa"/>
            <w:tcBorders/>
            <w:shd w:fill="CCEEFF" w:val="clear"/>
            <w:vAlign w:val="bottom"/>
          </w:tcPr>
          <w:p>
            <w:pPr>
              <w:pStyle w:val="TableContents"/>
              <w:spacing w:before="0" w:after="283"/>
              <w:rPr/>
            </w:pPr>
            <w:r>
              <w:rPr/>
              <w:t> </w:t>
            </w:r>
          </w:p>
        </w:tc>
      </w:tr>
      <w:tr>
        <w:trPr/>
        <w:tc>
          <w:tcPr>
            <w:tcW w:w="7680" w:type="dxa"/>
            <w:tcBorders/>
            <w:shd w:fill="auto" w:val="clear"/>
          </w:tcPr>
          <w:p>
            <w:pPr>
              <w:pStyle w:val="TableContents"/>
              <w:spacing w:before="0" w:after="0"/>
              <w:rPr>
                <w:rFonts w:ascii="Times New Roman" w:hAnsi="Times New Roman"/>
                <w:sz w:val="20"/>
              </w:rPr>
            </w:pPr>
            <w:r>
              <w:rPr>
                <w:rFonts w:ascii="Times New Roman" w:hAnsi="Times New Roman"/>
                <w:sz w:val="20"/>
              </w:rPr>
              <w:t>Plus: Subsequent remeasurement of carrying value to redemption value  Trust interest income (excluding the amount that can be withdrawn from Trust Account)</w:t>
            </w:r>
          </w:p>
        </w:tc>
        <w:tc>
          <w:tcPr>
            <w:tcW w:w="39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318" w:type="dxa"/>
            <w:tcBorders/>
            <w:shd w:fill="auto" w:val="clear"/>
            <w:vAlign w:val="bottom"/>
          </w:tcPr>
          <w:p>
            <w:pPr>
              <w:pStyle w:val="TableContents"/>
              <w:spacing w:before="0" w:after="283"/>
              <w:jc w:val="right"/>
              <w:rPr/>
            </w:pPr>
            <w:r>
              <w:rPr/>
              <w:t>548,862</w:t>
            </w:r>
          </w:p>
        </w:tc>
        <w:tc>
          <w:tcPr>
            <w:tcW w:w="158" w:type="dxa"/>
            <w:tcBorders/>
            <w:shd w:fill="auto" w:val="clear"/>
            <w:vAlign w:val="bottom"/>
          </w:tcPr>
          <w:p>
            <w:pPr>
              <w:pStyle w:val="TableContents"/>
              <w:spacing w:before="0" w:after="283"/>
              <w:rPr/>
            </w:pPr>
            <w:r>
              <w:rPr/>
              <w:t> </w:t>
            </w:r>
          </w:p>
        </w:tc>
      </w:tr>
      <w:tr>
        <w:trPr/>
        <w:tc>
          <w:tcPr>
            <w:tcW w:w="768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1318"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680"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subject to possible redemption  September 30, 2022</w:t>
            </w:r>
          </w:p>
        </w:tc>
        <w:tc>
          <w:tcPr>
            <w:tcW w:w="3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1318" w:type="dxa"/>
            <w:tcBorders/>
            <w:shd w:fill="CCEEFF" w:val="clear"/>
            <w:vAlign w:val="bottom"/>
          </w:tcPr>
          <w:p>
            <w:pPr>
              <w:pStyle w:val="TableContents"/>
              <w:spacing w:before="0" w:after="283"/>
              <w:jc w:val="right"/>
              <w:rPr/>
            </w:pPr>
            <w:r>
              <w:rPr/>
              <w:t>150,548,862</w:t>
            </w:r>
          </w:p>
        </w:tc>
        <w:tc>
          <w:tcPr>
            <w:tcW w:w="158" w:type="dxa"/>
            <w:tcBorders/>
            <w:shd w:fill="CCEEFF" w:val="clear"/>
            <w:vAlign w:val="bottom"/>
          </w:tcPr>
          <w:p>
            <w:pPr>
              <w:pStyle w:val="TableContents"/>
              <w:spacing w:before="0" w:after="283"/>
              <w:rPr/>
            </w:pPr>
            <w:r>
              <w:rPr/>
              <w:t> </w:t>
            </w:r>
          </w:p>
        </w:tc>
      </w:tr>
      <w:tr>
        <w:trPr/>
        <w:tc>
          <w:tcPr>
            <w:tcW w:w="7680"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double" w:sz="6" w:space="1" w:color="000000"/>
              </w:pBdr>
              <w:spacing w:before="0" w:after="0"/>
              <w:rPr/>
            </w:pPr>
            <w:r>
              <w:rPr/>
              <w:t> </w:t>
            </w:r>
          </w:p>
        </w:tc>
        <w:tc>
          <w:tcPr>
            <w:tcW w:w="1318"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Net Loss Per Common Stock </w:t>
      </w:r>
    </w:p>
    <w:p>
      <w:pPr>
        <w:pStyle w:val="TextBody"/>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spacing w:before="240" w:after="0"/>
        <w:jc w:val="left"/>
        <w:rPr>
          <w:rFonts w:ascii="Times New Roman" w:hAnsi="Times New Roman"/>
          <w:sz w:val="20"/>
        </w:rPr>
      </w:pPr>
      <w:r>
        <w:rPr>
          <w:rFonts w:ascii="Times New Roman" w:hAnsi="Times New Roman"/>
          <w:sz w:val="20"/>
        </w:rPr>
        <w:t xml:space="preserve">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2022 and 2021,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 </w:t>
      </w:r>
    </w:p>
    <w:p>
      <w:pPr>
        <w:pStyle w:val="TextBody"/>
        <w:spacing w:before="24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loss per common stock because the redemption value approximates fair value.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185"/>
        <w:gridCol w:w="148"/>
        <w:gridCol w:w="175"/>
        <w:gridCol w:w="1395"/>
        <w:gridCol w:w="95"/>
        <w:gridCol w:w="148"/>
        <w:gridCol w:w="140"/>
        <w:gridCol w:w="994"/>
        <w:gridCol w:w="95"/>
        <w:gridCol w:w="148"/>
        <w:gridCol w:w="230"/>
        <w:gridCol w:w="1635"/>
        <w:gridCol w:w="156"/>
        <w:gridCol w:w="182"/>
        <w:gridCol w:w="230"/>
        <w:gridCol w:w="1639"/>
        <w:gridCol w:w="100"/>
      </w:tblGrid>
      <w:tr>
        <w:trPr/>
        <w:tc>
          <w:tcPr>
            <w:tcW w:w="218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r>
      <w:tr>
        <w:trPr/>
        <w:tc>
          <w:tcPr>
            <w:tcW w:w="218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94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September 30, 2022</w:t>
            </w:r>
          </w:p>
        </w:tc>
        <w:tc>
          <w:tcPr>
            <w:tcW w:w="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4072"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 from November 5, 2020</w:t>
              <w:br/>
              <w:t>(inception)</w:t>
            </w:r>
            <w:r>
              <w:rPr/>
              <w:br/>
            </w:r>
            <w:r>
              <w:rPr>
                <w:b/>
              </w:rPr>
              <w:t>through September 30, 2021</w:t>
            </w:r>
          </w:p>
        </w:tc>
        <w:tc>
          <w:tcPr>
            <w:tcW w:w="100" w:type="dxa"/>
            <w:tcBorders/>
            <w:shd w:fill="auto" w:val="clear"/>
            <w:vAlign w:val="bottom"/>
          </w:tcPr>
          <w:p>
            <w:pPr>
              <w:pStyle w:val="TableContents"/>
              <w:spacing w:before="0" w:after="283"/>
              <w:rPr/>
            </w:pPr>
            <w:r>
              <w:rPr/>
              <w:t> </w:t>
            </w:r>
          </w:p>
        </w:tc>
      </w:tr>
      <w:tr>
        <w:trPr/>
        <w:tc>
          <w:tcPr>
            <w:tcW w:w="218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57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Common stock</w:t>
            </w:r>
            <w:r>
              <w:rPr/>
              <w:br/>
            </w:r>
            <w:r>
              <w:rPr>
                <w:b/>
              </w:rPr>
              <w:t>subject to</w:t>
            </w:r>
            <w:r>
              <w:rPr/>
              <w:br/>
            </w:r>
            <w:r>
              <w:rPr>
                <w:b/>
              </w:rPr>
              <w:t>redemption</w:t>
            </w:r>
          </w:p>
        </w:tc>
        <w:tc>
          <w:tcPr>
            <w:tcW w:w="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13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Common</w:t>
            </w:r>
            <w:r>
              <w:rPr/>
              <w:br/>
            </w:r>
            <w:r>
              <w:rPr>
                <w:b/>
              </w:rPr>
              <w:t>stock</w:t>
            </w:r>
          </w:p>
        </w:tc>
        <w:tc>
          <w:tcPr>
            <w:tcW w:w="9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86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Common stock</w:t>
              <w:br/>
              <w:t>subject to</w:t>
            </w:r>
            <w:r>
              <w:rPr/>
              <w:br/>
            </w:r>
            <w:r>
              <w:rPr>
                <w:b/>
              </w:rPr>
              <w:t>redemption</w:t>
            </w:r>
          </w:p>
        </w:tc>
        <w:tc>
          <w:tcPr>
            <w:tcW w:w="15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8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100" w:type="dxa"/>
            <w:tcBorders/>
            <w:shd w:fill="auto" w:val="clear"/>
            <w:vAlign w:val="bottom"/>
          </w:tcPr>
          <w:p>
            <w:pPr>
              <w:pStyle w:val="TableContents"/>
              <w:spacing w:before="0" w:after="283"/>
              <w:rPr/>
            </w:pPr>
            <w:r>
              <w:rPr/>
              <w:t> </w:t>
            </w:r>
          </w:p>
        </w:tc>
      </w:tr>
      <w:tr>
        <w:trPr/>
        <w:tc>
          <w:tcPr>
            <w:tcW w:w="2185"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loss per share</w:t>
            </w:r>
          </w:p>
        </w:tc>
        <w:tc>
          <w:tcPr>
            <w:tcW w:w="148"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sz w:val="4"/>
                <w:szCs w:val="4"/>
              </w:rPr>
            </w:pPr>
            <w:r>
              <w:rPr>
                <w:sz w:val="4"/>
                <w:szCs w:val="4"/>
              </w:rPr>
            </w:r>
          </w:p>
        </w:tc>
        <w:tc>
          <w:tcPr>
            <w:tcW w:w="1395"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94"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635"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8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639"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sz w:val="4"/>
                <w:szCs w:val="4"/>
              </w:rPr>
            </w:pPr>
            <w:r>
              <w:rPr>
                <w:sz w:val="4"/>
                <w:szCs w:val="4"/>
              </w:rPr>
            </w:r>
          </w:p>
        </w:tc>
      </w:tr>
      <w:tr>
        <w:trPr/>
        <w:tc>
          <w:tcPr>
            <w:tcW w:w="2185" w:type="dxa"/>
            <w:tcBorders/>
            <w:shd w:fill="auto" w:val="clear"/>
          </w:tcPr>
          <w:p>
            <w:pPr>
              <w:pStyle w:val="TableContents"/>
              <w:spacing w:before="0" w:after="0"/>
              <w:rPr>
                <w:rFonts w:ascii="Times New Roman" w:hAnsi="Times New Roman"/>
                <w:sz w:val="20"/>
              </w:rPr>
            </w:pPr>
            <w:r>
              <w:rPr>
                <w:rFonts w:ascii="Times New Roman" w:hAnsi="Times New Roman"/>
                <w:sz w:val="20"/>
              </w:rPr>
              <w:t>Numerator:</w:t>
            </w:r>
          </w:p>
        </w:tc>
        <w:tc>
          <w:tcPr>
            <w:tcW w:w="14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139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635"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639"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r>
      <w:tr>
        <w:trPr/>
        <w:tc>
          <w:tcPr>
            <w:tcW w:w="2185" w:type="dxa"/>
            <w:tcBorders/>
            <w:shd w:fill="CCEEFF" w:val="clear"/>
          </w:tcPr>
          <w:p>
            <w:pPr>
              <w:pStyle w:val="TableContents"/>
              <w:spacing w:before="0" w:after="0"/>
              <w:rPr>
                <w:rFonts w:ascii="Times New Roman" w:hAnsi="Times New Roman"/>
                <w:sz w:val="20"/>
              </w:rPr>
            </w:pPr>
            <w:r>
              <w:rPr>
                <w:rFonts w:ascii="Times New Roman" w:hAnsi="Times New Roman"/>
                <w:sz w:val="20"/>
              </w:rPr>
              <w:t>Allocation of net loss</w:t>
            </w:r>
          </w:p>
        </w:tc>
        <w:tc>
          <w:tcPr>
            <w:tcW w:w="148"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w:t>
            </w:r>
          </w:p>
        </w:tc>
        <w:tc>
          <w:tcPr>
            <w:tcW w:w="1395" w:type="dxa"/>
            <w:tcBorders/>
            <w:shd w:fill="CCEEFF" w:val="clear"/>
            <w:vAlign w:val="bottom"/>
          </w:tcPr>
          <w:p>
            <w:pPr>
              <w:pStyle w:val="TableContents"/>
              <w:spacing w:before="0" w:after="283"/>
              <w:jc w:val="right"/>
              <w:rPr/>
            </w:pPr>
            <w:r>
              <w:rPr/>
              <w:t>(2,624,009</w:t>
            </w:r>
          </w:p>
        </w:tc>
        <w:tc>
          <w:tcPr>
            <w:tcW w:w="95" w:type="dxa"/>
            <w:tcBorders/>
            <w:shd w:fill="CCEEFF" w:val="clear"/>
            <w:vAlign w:val="bottom"/>
          </w:tcPr>
          <w:p>
            <w:pPr>
              <w:pStyle w:val="TableContents"/>
              <w:spacing w:before="0" w:after="283"/>
              <w:rPr/>
            </w:pPr>
            <w:r>
              <w:rPr/>
              <w:t>)</w:t>
            </w:r>
          </w:p>
        </w:tc>
        <w:tc>
          <w:tcPr>
            <w:tcW w:w="1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4" w:type="dxa"/>
            <w:tcBorders/>
            <w:shd w:fill="CCEEFF" w:val="clear"/>
            <w:vAlign w:val="bottom"/>
          </w:tcPr>
          <w:p>
            <w:pPr>
              <w:pStyle w:val="TableContents"/>
              <w:spacing w:before="0" w:after="283"/>
              <w:jc w:val="right"/>
              <w:rPr/>
            </w:pPr>
            <w:r>
              <w:rPr/>
              <w:t>(998,785</w:t>
            </w:r>
          </w:p>
        </w:tc>
        <w:tc>
          <w:tcPr>
            <w:tcW w:w="95" w:type="dxa"/>
            <w:tcBorders/>
            <w:shd w:fill="CCEEFF" w:val="clear"/>
            <w:vAlign w:val="bottom"/>
          </w:tcPr>
          <w:p>
            <w:pPr>
              <w:pStyle w:val="TableContents"/>
              <w:spacing w:before="0" w:after="283"/>
              <w:rPr/>
            </w:pPr>
            <w:r>
              <w:rPr/>
              <w:t>)</w:t>
            </w:r>
          </w:p>
        </w:tc>
        <w:tc>
          <w:tcPr>
            <w:tcW w:w="14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635" w:type="dxa"/>
            <w:tcBorders/>
            <w:shd w:fill="CCEEFF" w:val="clear"/>
            <w:vAlign w:val="bottom"/>
          </w:tcPr>
          <w:p>
            <w:pPr>
              <w:pStyle w:val="TableContents"/>
              <w:spacing w:before="0" w:after="283"/>
              <w:jc w:val="right"/>
              <w:rPr/>
            </w:pPr>
            <w:r>
              <w:rPr/>
              <w:t>(160,012</w:t>
            </w:r>
          </w:p>
        </w:tc>
        <w:tc>
          <w:tcPr>
            <w:tcW w:w="156" w:type="dxa"/>
            <w:tcBorders/>
            <w:shd w:fill="CCEEFF" w:val="clear"/>
            <w:vAlign w:val="bottom"/>
          </w:tcPr>
          <w:p>
            <w:pPr>
              <w:pStyle w:val="TableContents"/>
              <w:spacing w:before="0" w:after="283"/>
              <w:rPr/>
            </w:pPr>
            <w:r>
              <w:rPr/>
              <w:t>)</w:t>
            </w:r>
          </w:p>
        </w:tc>
        <w:tc>
          <w:tcPr>
            <w:tcW w:w="18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639" w:type="dxa"/>
            <w:tcBorders/>
            <w:shd w:fill="CCEEFF" w:val="clear"/>
            <w:vAlign w:val="bottom"/>
          </w:tcPr>
          <w:p>
            <w:pPr>
              <w:pStyle w:val="TableContents"/>
              <w:spacing w:before="0" w:after="283"/>
              <w:jc w:val="right"/>
              <w:rPr/>
            </w:pPr>
            <w:r>
              <w:rPr/>
              <w:t>(308,887</w:t>
            </w:r>
          </w:p>
        </w:tc>
        <w:tc>
          <w:tcPr>
            <w:tcW w:w="100" w:type="dxa"/>
            <w:tcBorders/>
            <w:shd w:fill="CCEEFF" w:val="clear"/>
            <w:vAlign w:val="bottom"/>
          </w:tcPr>
          <w:p>
            <w:pPr>
              <w:pStyle w:val="TableContents"/>
              <w:spacing w:before="0" w:after="283"/>
              <w:rPr/>
            </w:pPr>
            <w:r>
              <w:rPr/>
              <w:t>)</w:t>
            </w:r>
          </w:p>
        </w:tc>
      </w:tr>
      <w:tr>
        <w:trPr/>
        <w:tc>
          <w:tcPr>
            <w:tcW w:w="2185" w:type="dxa"/>
            <w:tcBorders/>
            <w:shd w:fill="auto" w:val="clear"/>
          </w:tcPr>
          <w:p>
            <w:pPr>
              <w:pStyle w:val="TableContents"/>
              <w:spacing w:before="0" w:after="0"/>
              <w:rPr>
                <w:rFonts w:ascii="Times New Roman" w:hAnsi="Times New Roman"/>
                <w:sz w:val="20"/>
              </w:rPr>
            </w:pPr>
            <w:r>
              <w:rPr>
                <w:rFonts w:ascii="Times New Roman" w:hAnsi="Times New Roman"/>
                <w:sz w:val="20"/>
              </w:rPr>
              <w:t>Denominator</w:t>
            </w:r>
          </w:p>
        </w:tc>
        <w:tc>
          <w:tcPr>
            <w:tcW w:w="14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1395"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94"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635"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639"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r>
      <w:tr>
        <w:trPr/>
        <w:tc>
          <w:tcPr>
            <w:tcW w:w="2185"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shares outstanding</w:t>
            </w:r>
          </w:p>
        </w:tc>
        <w:tc>
          <w:tcPr>
            <w:tcW w:w="148"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15,000,000</w:t>
            </w:r>
          </w:p>
        </w:tc>
        <w:tc>
          <w:tcPr>
            <w:tcW w:w="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5,709,500</w:t>
            </w:r>
          </w:p>
        </w:tc>
        <w:tc>
          <w:tcPr>
            <w:tcW w:w="9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35" w:type="dxa"/>
            <w:tcBorders/>
            <w:shd w:fill="CCEEFF" w:val="clear"/>
            <w:vAlign w:val="bottom"/>
          </w:tcPr>
          <w:p>
            <w:pPr>
              <w:pStyle w:val="TableContents"/>
              <w:spacing w:before="0" w:after="283"/>
              <w:jc w:val="right"/>
              <w:rPr/>
            </w:pPr>
            <w:r>
              <w:rPr/>
              <w:t>2,045,455</w:t>
            </w:r>
          </w:p>
        </w:tc>
        <w:tc>
          <w:tcPr>
            <w:tcW w:w="15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639" w:type="dxa"/>
            <w:tcBorders/>
            <w:shd w:fill="CCEEFF" w:val="clear"/>
            <w:vAlign w:val="bottom"/>
          </w:tcPr>
          <w:p>
            <w:pPr>
              <w:pStyle w:val="TableContents"/>
              <w:spacing w:before="0" w:after="283"/>
              <w:jc w:val="right"/>
              <w:rPr/>
            </w:pPr>
            <w:r>
              <w:rPr/>
              <w:t>3,948,530</w:t>
            </w:r>
          </w:p>
        </w:tc>
        <w:tc>
          <w:tcPr>
            <w:tcW w:w="100" w:type="dxa"/>
            <w:tcBorders/>
            <w:shd w:fill="CCEEFF" w:val="clear"/>
            <w:vAlign w:val="bottom"/>
          </w:tcPr>
          <w:p>
            <w:pPr>
              <w:pStyle w:val="TableContents"/>
              <w:spacing w:before="0" w:after="283"/>
              <w:rPr/>
            </w:pPr>
            <w:r>
              <w:rPr/>
              <w:t> </w:t>
            </w:r>
          </w:p>
        </w:tc>
      </w:tr>
      <w:tr>
        <w:trPr/>
        <w:tc>
          <w:tcPr>
            <w:tcW w:w="218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95"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4" w:type="dxa"/>
            <w:tcBorders/>
            <w:shd w:fill="auto" w:val="clear"/>
            <w:vAlign w:val="bottom"/>
          </w:tcPr>
          <w:p>
            <w:pPr>
              <w:pStyle w:val="TableContents"/>
              <w:pBdr>
                <w:top w:val="single" w:sz="2"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63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639" w:type="dxa"/>
            <w:tcBorders/>
            <w:shd w:fill="auto" w:val="clear"/>
            <w:vAlign w:val="bottom"/>
          </w:tcPr>
          <w:p>
            <w:pPr>
              <w:pStyle w:val="TableContents"/>
              <w:pBdr>
                <w:top w:val="single" w:sz="2" w:space="1" w:color="000000"/>
              </w:pBdr>
              <w:spacing w:before="0" w:after="0"/>
              <w:rPr/>
            </w:pPr>
            <w:r>
              <w:rPr/>
              <w:t> </w:t>
            </w:r>
          </w:p>
        </w:tc>
        <w:tc>
          <w:tcPr>
            <w:tcW w:w="100" w:type="dxa"/>
            <w:tcBorders/>
            <w:shd w:fill="auto" w:val="clear"/>
            <w:vAlign w:val="center"/>
          </w:tcPr>
          <w:p>
            <w:pPr>
              <w:pStyle w:val="TableContents"/>
              <w:spacing w:before="0" w:after="283"/>
              <w:rPr/>
            </w:pPr>
            <w:r>
              <w:rPr/>
              <w:t> </w:t>
            </w:r>
          </w:p>
        </w:tc>
      </w:tr>
      <w:tr>
        <w:trPr/>
        <w:tc>
          <w:tcPr>
            <w:tcW w:w="2185"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net loss per share</w:t>
            </w:r>
          </w:p>
        </w:tc>
        <w:tc>
          <w:tcPr>
            <w:tcW w:w="14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w:t>
            </w:r>
          </w:p>
        </w:tc>
        <w:tc>
          <w:tcPr>
            <w:tcW w:w="1395" w:type="dxa"/>
            <w:tcBorders/>
            <w:shd w:fill="auto" w:val="clear"/>
            <w:vAlign w:val="bottom"/>
          </w:tcPr>
          <w:p>
            <w:pPr>
              <w:pStyle w:val="TableContents"/>
              <w:spacing w:before="0" w:after="283"/>
              <w:jc w:val="right"/>
              <w:rPr/>
            </w:pPr>
            <w:r>
              <w:rPr/>
              <w:t>(0.17</w:t>
            </w:r>
          </w:p>
        </w:tc>
        <w:tc>
          <w:tcPr>
            <w:tcW w:w="95" w:type="dxa"/>
            <w:tcBorders/>
            <w:shd w:fill="auto" w:val="clear"/>
            <w:vAlign w:val="bottom"/>
          </w:tcPr>
          <w:p>
            <w:pPr>
              <w:pStyle w:val="TableContents"/>
              <w:spacing w:before="0" w:after="283"/>
              <w:rPr/>
            </w:pPr>
            <w:r>
              <w:rPr/>
              <w:t>)</w:t>
            </w:r>
          </w:p>
        </w:tc>
        <w:tc>
          <w:tcPr>
            <w:tcW w:w="1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4" w:type="dxa"/>
            <w:tcBorders/>
            <w:shd w:fill="auto" w:val="clear"/>
            <w:vAlign w:val="bottom"/>
          </w:tcPr>
          <w:p>
            <w:pPr>
              <w:pStyle w:val="TableContents"/>
              <w:spacing w:before="0" w:after="283"/>
              <w:jc w:val="right"/>
              <w:rPr/>
            </w:pPr>
            <w:r>
              <w:rPr/>
              <w:t>(0.17</w:t>
            </w:r>
          </w:p>
        </w:tc>
        <w:tc>
          <w:tcPr>
            <w:tcW w:w="95" w:type="dxa"/>
            <w:tcBorders/>
            <w:shd w:fill="auto" w:val="clear"/>
            <w:vAlign w:val="bottom"/>
          </w:tcPr>
          <w:p>
            <w:pPr>
              <w:pStyle w:val="TableContents"/>
              <w:spacing w:before="0" w:after="283"/>
              <w:rPr/>
            </w:pPr>
            <w:r>
              <w:rPr/>
              <w:t>)</w:t>
            </w:r>
          </w:p>
        </w:tc>
        <w:tc>
          <w:tcPr>
            <w:tcW w:w="14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635" w:type="dxa"/>
            <w:tcBorders/>
            <w:shd w:fill="auto" w:val="clear"/>
            <w:vAlign w:val="bottom"/>
          </w:tcPr>
          <w:p>
            <w:pPr>
              <w:pStyle w:val="TableContents"/>
              <w:spacing w:before="0" w:after="283"/>
              <w:jc w:val="right"/>
              <w:rPr/>
            </w:pPr>
            <w:r>
              <w:rPr/>
              <w:t>(0.08</w:t>
            </w:r>
          </w:p>
        </w:tc>
        <w:tc>
          <w:tcPr>
            <w:tcW w:w="156" w:type="dxa"/>
            <w:tcBorders/>
            <w:shd w:fill="auto" w:val="clear"/>
            <w:vAlign w:val="bottom"/>
          </w:tcPr>
          <w:p>
            <w:pPr>
              <w:pStyle w:val="TableContents"/>
              <w:spacing w:before="0" w:after="283"/>
              <w:rPr/>
            </w:pPr>
            <w:r>
              <w:rPr/>
              <w:t>)</w:t>
            </w:r>
          </w:p>
        </w:tc>
        <w:tc>
          <w:tcPr>
            <w:tcW w:w="18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639" w:type="dxa"/>
            <w:tcBorders/>
            <w:shd w:fill="auto" w:val="clear"/>
            <w:vAlign w:val="bottom"/>
          </w:tcPr>
          <w:p>
            <w:pPr>
              <w:pStyle w:val="TableContents"/>
              <w:spacing w:before="0" w:after="283"/>
              <w:jc w:val="right"/>
              <w:rPr/>
            </w:pPr>
            <w:r>
              <w:rPr/>
              <w:t>(0.08</w:t>
            </w:r>
          </w:p>
        </w:tc>
        <w:tc>
          <w:tcPr>
            <w:tcW w:w="100" w:type="dxa"/>
            <w:tcBorders/>
            <w:shd w:fill="auto" w:val="clear"/>
            <w:vAlign w:val="bottom"/>
          </w:tcPr>
          <w:p>
            <w:pPr>
              <w:pStyle w:val="TableContents"/>
              <w:spacing w:before="0" w:after="283"/>
              <w:rPr/>
            </w:pPr>
            <w:r>
              <w:rPr/>
              <w:t>)</w:t>
            </w:r>
          </w:p>
        </w:tc>
      </w:tr>
      <w:tr>
        <w:trPr/>
        <w:tc>
          <w:tcPr>
            <w:tcW w:w="218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double" w:sz="6" w:space="1" w:color="000000"/>
              </w:pBdr>
              <w:spacing w:before="0" w:after="0"/>
              <w:rPr/>
            </w:pPr>
            <w:r>
              <w:rPr/>
              <w:t> </w:t>
            </w:r>
          </w:p>
        </w:tc>
        <w:tc>
          <w:tcPr>
            <w:tcW w:w="1395" w:type="dxa"/>
            <w:tcBorders/>
            <w:shd w:fill="auto" w:val="clear"/>
            <w:vAlign w:val="bottom"/>
          </w:tcPr>
          <w:p>
            <w:pPr>
              <w:pStyle w:val="TableContents"/>
              <w:pBdr>
                <w:top w:val="double" w:sz="6"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4" w:type="dxa"/>
            <w:tcBorders/>
            <w:shd w:fill="auto" w:val="clear"/>
            <w:vAlign w:val="bottom"/>
          </w:tcPr>
          <w:p>
            <w:pPr>
              <w:pStyle w:val="TableContents"/>
              <w:pBdr>
                <w:top w:val="double" w:sz="6" w:space="1" w:color="000000"/>
              </w:pBdr>
              <w:spacing w:before="0" w:after="0"/>
              <w:rPr/>
            </w:pPr>
            <w:r>
              <w:rPr/>
              <w:t> </w:t>
            </w:r>
          </w:p>
        </w:tc>
        <w:tc>
          <w:tcPr>
            <w:tcW w:w="9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63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639" w:type="dxa"/>
            <w:tcBorders/>
            <w:shd w:fill="auto" w:val="clear"/>
            <w:vAlign w:val="bottom"/>
          </w:tcPr>
          <w:p>
            <w:pPr>
              <w:pStyle w:val="TableContents"/>
              <w:pBdr>
                <w:top w:val="double" w:sz="6" w:space="1" w:color="000000"/>
              </w:pBdr>
              <w:spacing w:before="0" w:after="0"/>
              <w:rPr/>
            </w:pPr>
            <w:r>
              <w:rPr/>
              <w:t> </w:t>
            </w:r>
          </w:p>
        </w:tc>
        <w:tc>
          <w:tcPr>
            <w:tcW w:w="10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Stock Based Compensation </w:t>
      </w:r>
    </w:p>
    <w:p>
      <w:pPr>
        <w:pStyle w:val="TextBody"/>
        <w:spacing w:before="120" w:after="0"/>
        <w:jc w:val="left"/>
        <w:rPr>
          <w:rFonts w:ascii="Times New Roman" w:hAnsi="Times New Roman"/>
          <w:sz w:val="20"/>
        </w:rPr>
      </w:pPr>
      <w:r>
        <w:rPr>
          <w:rFonts w:ascii="Times New Roman" w:hAnsi="Times New Roman"/>
          <w:sz w:val="20"/>
        </w:rPr>
        <w:t xml:space="preserve">On June 16, 2021, the Sponsor transferred 50,000 shares to each of its Chief Executive Officer and to its President and 35,000 shares to each of its three independent directors. The aggregate fair value of these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was $509,552 at issuance. During the year ended September 30, 2022 and for the period from November 5, 2020 (inception) through September 30, 2021, the Company recognized $111,852 and $285,846 of stock-based compensation expense, respectively. </w:t>
      </w:r>
    </w:p>
    <w:p>
      <w:pPr>
        <w:pStyle w:val="TextBody"/>
        <w:spacing w:before="360" w:after="0"/>
        <w:jc w:val="left"/>
        <w:rPr>
          <w:rFonts w:ascii="Times New Roman" w:hAnsi="Times New Roman"/>
          <w:b/>
          <w:sz w:val="20"/>
        </w:rPr>
      </w:pPr>
      <w:r>
        <w:rPr>
          <w:rFonts w:ascii="Times New Roman" w:hAnsi="Times New Roman"/>
          <w:b/>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September 30, 2022 and 2021. The Company is currently not aware of any issues under review that could result in significant payments, accruals or material deviation from its position. </w:t>
      </w:r>
    </w:p>
    <w:p>
      <w:pPr>
        <w:pStyle w:val="TextBody"/>
        <w:spacing w:before="240" w:after="0"/>
        <w:jc w:val="left"/>
        <w:rPr>
          <w:rFonts w:ascii="Times New Roman" w:hAnsi="Times New Roman"/>
          <w:sz w:val="20"/>
        </w:rPr>
      </w:pPr>
      <w:r>
        <w:rPr>
          <w:rFonts w:ascii="Times New Roman" w:hAnsi="Times New Roman"/>
          <w:sz w:val="20"/>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pStyle w:val="TextBody"/>
        <w:spacing w:before="360" w:after="0"/>
        <w:jc w:val="left"/>
        <w:rPr>
          <w:rFonts w:ascii="Times New Roman" w:hAnsi="Times New Roman"/>
          <w:b/>
          <w:sz w:val="20"/>
        </w:rPr>
      </w:pPr>
      <w:r>
        <w:rPr>
          <w:rFonts w:ascii="Times New Roman" w:hAnsi="Times New Roman"/>
          <w:b/>
          <w:sz w:val="20"/>
        </w:rPr>
        <w:t xml:space="preserve">Recent Accounting Standards </w:t>
      </w:r>
    </w:p>
    <w:p>
      <w:pPr>
        <w:pStyle w:val="TextBody"/>
        <w:spacing w:before="120" w:after="0"/>
        <w:jc w:val="left"/>
        <w:rPr>
          <w:rFonts w:ascii="Times New Roman" w:hAnsi="Times New Roman"/>
          <w:sz w:val="20"/>
        </w:rPr>
      </w:pPr>
      <w:r>
        <w:rPr>
          <w:rFonts w:ascii="Times New Roman" w:hAnsi="Times New Roman"/>
          <w:sz w:val="20"/>
        </w:rPr>
        <w:t xml:space="preserve">In August 2020, the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smaller reporting companies for fiscal years beginning after December 15, 2023, including interim periods within those fiscal years. The Company continues to evaluate the impact of ASU 2020-06 to its financial statements. </w:t>
      </w:r>
    </w:p>
    <w:p>
      <w:pPr>
        <w:pStyle w:val="TextBody"/>
        <w:spacing w:before="24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Companys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Note 3  Initial Public Offering </w:t>
      </w:r>
    </w:p>
    <w:p>
      <w:pPr>
        <w:pStyle w:val="TextBody"/>
        <w:spacing w:before="120" w:after="0"/>
        <w:jc w:val="left"/>
        <w:rPr>
          <w:rFonts w:ascii="Times New Roman" w:hAnsi="Times New Roman"/>
          <w:sz w:val="20"/>
        </w:rPr>
      </w:pPr>
      <w:r>
        <w:rPr>
          <w:rFonts w:ascii="Times New Roman" w:hAnsi="Times New Roman"/>
          <w:sz w:val="20"/>
        </w:rPr>
        <w:t xml:space="preserve">On August 17, 2021, the Company consummated its IPO of 15,000,000 Units, at a price of $10.00 per Unit. Each Unit consists of one share of common stock and one-half of one redeemable warrant. Each whole warrant entitles the holder to purchase one share of common stock at a price of $11.50 per share, subject to adjustment. Only whole warrants are exercisable. No fractional warrants will be issued upon separation of the units and only whole warrants will trade.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warrants will become exercisable 30 days after the completion of the initial Business Combination, and will expire five years after the completion of the initial Business Combination or earlier upon redemption or liquidation (see Note 8).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IPO and settlement of funds on August 17, 2021, $150,000,000 ($10.00 per Unit) from the net proceeds of the sale of the Units in the IPO and the sales of Private Shares was placed in the Trust Account and will be invested only in U.S. government treasury obligations with a maturity of 185 days or less or in money market funds meeting certain conditions under Rule 2a-7 under the Investment Company Act which invest only in direct U.S. government treasury obligations. </w:t>
      </w:r>
    </w:p>
    <w:p>
      <w:pPr>
        <w:pStyle w:val="TextBody"/>
        <w:spacing w:before="360" w:after="0"/>
        <w:jc w:val="left"/>
        <w:rPr>
          <w:rFonts w:ascii="Times New Roman" w:hAnsi="Times New Roman"/>
          <w:b/>
          <w:sz w:val="20"/>
        </w:rPr>
      </w:pPr>
      <w:r>
        <w:rPr>
          <w:rFonts w:ascii="Times New Roman" w:hAnsi="Times New Roman"/>
          <w:b/>
          <w:sz w:val="20"/>
        </w:rPr>
        <w:t xml:space="preserve">Note 4  Private Placement </w:t>
      </w:r>
    </w:p>
    <w:p>
      <w:pPr>
        <w:pStyle w:val="TextBody"/>
        <w:spacing w:before="120" w:after="0"/>
        <w:jc w:val="left"/>
        <w:rPr>
          <w:rFonts w:ascii="Times New Roman" w:hAnsi="Times New Roman"/>
          <w:sz w:val="20"/>
        </w:rPr>
      </w:pPr>
      <w:r>
        <w:rPr>
          <w:rFonts w:ascii="Times New Roman" w:hAnsi="Times New Roman"/>
          <w:sz w:val="20"/>
        </w:rPr>
        <w:t xml:space="preserve">Simultaneously with the closing of the IPO, the Companys Sponsor purchased an aggregate of 459,500 Private Shares, at a price of $10.00 per Private Share, for an aggregate purchase price of $4,595,500 in a private placement. The proceeds from the sale of the Private Shares was added to the proceeds of the IPO and placed in a U.S.-based trust account. If the Company does not complete an initial Business Combination within 15 months (or 18 months if extended) from the closing of the IPO, the proceeds from the sale of the Private Shares will be included in the liquidating distribution to the public stockholders and the Private Shares will be worthless. </w:t>
      </w:r>
    </w:p>
    <w:p>
      <w:pPr>
        <w:pStyle w:val="TextBody"/>
        <w:spacing w:before="360" w:after="0"/>
        <w:jc w:val="left"/>
        <w:rPr>
          <w:rFonts w:ascii="Times New Roman" w:hAnsi="Times New Roman"/>
          <w:b/>
          <w:sz w:val="20"/>
        </w:rPr>
      </w:pPr>
      <w:r>
        <w:rPr>
          <w:rFonts w:ascii="Times New Roman" w:hAnsi="Times New Roman"/>
          <w:b/>
          <w:sz w:val="20"/>
        </w:rPr>
        <w:t xml:space="preserve">Note 5 - Related Party Transactions </w:t>
      </w:r>
    </w:p>
    <w:p>
      <w:pPr>
        <w:pStyle w:val="TextBody"/>
        <w:spacing w:before="120" w:after="0"/>
        <w:jc w:val="left"/>
        <w:rPr>
          <w:rFonts w:ascii="Times New Roman" w:hAnsi="Times New Roman"/>
          <w:b/>
          <w:sz w:val="20"/>
        </w:rPr>
      </w:pPr>
      <w:r>
        <w:rPr>
          <w:rFonts w:ascii="Times New Roman" w:hAnsi="Times New Roman"/>
          <w:b/>
          <w:sz w:val="20"/>
        </w:rPr>
        <w:t xml:space="preserve">Founder Shares </w:t>
      </w:r>
    </w:p>
    <w:p>
      <w:pPr>
        <w:pStyle w:val="TextBody"/>
        <w:spacing w:before="120" w:after="0"/>
        <w:jc w:val="left"/>
        <w:rPr>
          <w:rFonts w:ascii="Times New Roman" w:hAnsi="Times New Roman"/>
          <w:sz w:val="20"/>
        </w:rPr>
      </w:pPr>
      <w:r>
        <w:rPr>
          <w:rFonts w:ascii="Times New Roman" w:hAnsi="Times New Roman"/>
          <w:sz w:val="20"/>
        </w:rPr>
        <w:t xml:space="preserve">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 </w:t>
      </w:r>
    </w:p>
    <w:p>
      <w:pPr>
        <w:pStyle w:val="TextBody"/>
        <w:spacing w:before="240" w:after="0"/>
        <w:jc w:val="left"/>
        <w:rPr>
          <w:rFonts w:ascii="Times New Roman" w:hAnsi="Times New Roman"/>
          <w:sz w:val="20"/>
        </w:rPr>
      </w:pPr>
      <w:r>
        <w:rPr>
          <w:rFonts w:ascii="Times New Roman" w:hAnsi="Times New Roman"/>
          <w:sz w:val="20"/>
        </w:rPr>
        <w:t xml:space="preserve">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w:t>
      </w:r>
    </w:p>
    <w:p>
      <w:pPr>
        <w:pStyle w:val="TextBody"/>
        <w:spacing w:before="240" w:after="0"/>
        <w:jc w:val="left"/>
        <w:rPr>
          <w:rFonts w:ascii="Times New Roman" w:hAnsi="Times New Roman"/>
          <w:sz w:val="20"/>
        </w:rPr>
      </w:pPr>
      <w:r>
        <w:rPr>
          <w:rFonts w:ascii="Times New Roman" w:hAnsi="Times New Roman"/>
          <w:sz w:val="20"/>
        </w:rPr>
        <w:t xml:space="preserve">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 </w:t>
      </w:r>
    </w:p>
    <w:p>
      <w:pPr>
        <w:pStyle w:val="TextBody"/>
        <w:spacing w:before="360" w:after="0"/>
        <w:jc w:val="left"/>
        <w:rPr>
          <w:rFonts w:ascii="Times New Roman" w:hAnsi="Times New Roman"/>
          <w:b/>
          <w:sz w:val="20"/>
        </w:rPr>
      </w:pPr>
      <w:r>
        <w:rPr>
          <w:rFonts w:ascii="Times New Roman" w:hAnsi="Times New Roman"/>
          <w:b/>
          <w:sz w:val="20"/>
        </w:rPr>
        <w:t xml:space="preserve">Representative Common Stock </w:t>
      </w:r>
    </w:p>
    <w:p>
      <w:pPr>
        <w:pStyle w:val="TextBody"/>
        <w:spacing w:before="120" w:after="0"/>
        <w:jc w:val="left"/>
        <w:rPr>
          <w:rFonts w:ascii="Times New Roman" w:hAnsi="Times New Roman"/>
          <w:sz w:val="20"/>
        </w:rPr>
      </w:pPr>
      <w:r>
        <w:rPr>
          <w:rFonts w:ascii="Times New Roman" w:hAnsi="Times New Roman"/>
          <w:sz w:val="20"/>
        </w:rPr>
        <w:t xml:space="preserve">On February 8, 2021, EarlyBirdCapital, Inc. and Northland Securities, Inc. (Northland) purchased 162,500 and 87,500 shares of common stock (representative shares), respectively, at an average purchase price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approximately $0.0001 per share, or an aggregate purchase price of $25.00. On May 29, 2021, Northland returned 87,500 shares of common stock to the Company, for no consideration, which were subsequently cancelled. </w:t>
      </w:r>
    </w:p>
    <w:p>
      <w:pPr>
        <w:pStyle w:val="TextBody"/>
        <w:spacing w:before="240" w:after="0"/>
        <w:jc w:val="left"/>
        <w:rPr>
          <w:rFonts w:ascii="Times New Roman" w:hAnsi="Times New Roman"/>
          <w:sz w:val="20"/>
        </w:rPr>
      </w:pPr>
      <w:r>
        <w:rPr>
          <w:rFonts w:ascii="Times New Roman" w:hAnsi="Times New Roman"/>
          <w:sz w:val="20"/>
        </w:rPr>
        <w:t xml:space="preserve">The representative shares are identical to the public shares included in the Units being sold in the IPO, except that the representative shares are subject to certain transfer restrictions, as described in more detail below. </w:t>
      </w:r>
    </w:p>
    <w:p>
      <w:pPr>
        <w:pStyle w:val="TextBody"/>
        <w:spacing w:before="240" w:after="0"/>
        <w:jc w:val="left"/>
        <w:rPr>
          <w:rFonts w:ascii="Times New Roman" w:hAnsi="Times New Roman"/>
          <w:sz w:val="20"/>
        </w:rPr>
      </w:pPr>
      <w:r>
        <w:rPr>
          <w:rFonts w:ascii="Times New Roman" w:hAnsi="Times New Roman"/>
          <w:sz w:val="20"/>
        </w:rPr>
        <w:t xml:space="preserve">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 </w:t>
      </w:r>
    </w:p>
    <w:p>
      <w:pPr>
        <w:pStyle w:val="TextBody"/>
        <w:spacing w:before="360" w:after="0"/>
        <w:jc w:val="left"/>
        <w:rPr>
          <w:rFonts w:ascii="Times New Roman" w:hAnsi="Times New Roman"/>
          <w:b/>
          <w:sz w:val="20"/>
        </w:rPr>
      </w:pPr>
      <w:r>
        <w:rPr>
          <w:rFonts w:ascii="Times New Roman" w:hAnsi="Times New Roman"/>
          <w:b/>
          <w:sz w:val="20"/>
        </w:rPr>
        <w:t xml:space="preserve">Promissory Notes-Related Party </w:t>
      </w:r>
    </w:p>
    <w:p>
      <w:pPr>
        <w:pStyle w:val="TextBody"/>
        <w:spacing w:before="120" w:after="0"/>
        <w:jc w:val="left"/>
        <w:rPr>
          <w:rFonts w:ascii="Times New Roman" w:hAnsi="Times New Roman"/>
          <w:sz w:val="20"/>
        </w:rPr>
      </w:pPr>
      <w:r>
        <w:rPr>
          <w:rFonts w:ascii="Times New Roman" w:hAnsi="Times New Roman"/>
          <w:sz w:val="20"/>
        </w:rPr>
        <w:t xml:space="preserve">On February 3, 2021, the Sponsor agreed to loan the Company up to $300,000 to be used for a portion of the expenses of the IPO. These loans were non-interest bearing, unsecured and were due at the earlier of October 31, 2021 or the closing of the IPO. The Company borrowed $230,352 under the promissory note and the Company repaid in full upon settlement of funds from the IPO on August 17, 2021. </w:t>
      </w:r>
    </w:p>
    <w:p>
      <w:pPr>
        <w:pStyle w:val="TextBody"/>
        <w:spacing w:before="24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w:t>
      </w:r>
    </w:p>
    <w:p>
      <w:pPr>
        <w:pStyle w:val="TextBody"/>
        <w:spacing w:before="240" w:after="0"/>
        <w:jc w:val="left"/>
        <w:rPr>
          <w:rFonts w:ascii="Times New Roman" w:hAnsi="Times New Roman"/>
          <w:sz w:val="20"/>
        </w:rPr>
      </w:pPr>
      <w:r>
        <w:rPr>
          <w:rFonts w:ascii="Times New Roman" w:hAnsi="Times New Roman"/>
          <w:sz w:val="20"/>
        </w:rPr>
        <w:t xml:space="preserve">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resulting in $251,754 balance outstanding under the second promissory note as of September 30, 2022. </w:t>
      </w:r>
    </w:p>
    <w:p>
      <w:pPr>
        <w:pStyle w:val="TextBody"/>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spacing w:before="120" w:after="0"/>
        <w:jc w:val="left"/>
        <w:rPr>
          <w:rFonts w:ascii="Times New Roman" w:hAnsi="Times New Roman"/>
          <w:sz w:val="20"/>
        </w:rPr>
      </w:pPr>
      <w:r>
        <w:rPr>
          <w:rFonts w:ascii="Times New Roman" w:hAnsi="Times New Roman"/>
          <w:sz w:val="20"/>
        </w:rPr>
        <w:t xml:space="preserve">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September 30, 2022 and 2021, no such Working Capital Loans were outstanding. </w:t>
      </w:r>
    </w:p>
    <w:p>
      <w:pPr>
        <w:pStyle w:val="TextBody"/>
        <w:spacing w:before="360" w:after="0"/>
        <w:jc w:val="left"/>
        <w:rPr>
          <w:rFonts w:ascii="Times New Roman" w:hAnsi="Times New Roman"/>
          <w:b/>
          <w:sz w:val="20"/>
        </w:rPr>
      </w:pPr>
      <w:r>
        <w:rPr>
          <w:rFonts w:ascii="Times New Roman" w:hAnsi="Times New Roman"/>
          <w:b/>
          <w:sz w:val="20"/>
        </w:rPr>
        <w:t xml:space="preserve">Administrative Service Fee </w:t>
      </w:r>
    </w:p>
    <w:p>
      <w:pPr>
        <w:pStyle w:val="TextBody"/>
        <w:spacing w:before="120" w:after="0"/>
        <w:jc w:val="left"/>
        <w:rPr>
          <w:rFonts w:ascii="Times New Roman" w:hAnsi="Times New Roman"/>
          <w:sz w:val="20"/>
        </w:rPr>
      </w:pPr>
      <w:r>
        <w:rPr>
          <w:rFonts w:ascii="Times New Roman" w:hAnsi="Times New Roman"/>
          <w:sz w:val="20"/>
        </w:rPr>
        <w:t xml:space="preserve">Commencing on the date of the IPO, the Company will pay the Sponsor $10,000 per month for office space, utilities and secretarial support. Upon completion of the initial Business Combination or the Companys liquidation, the Company will cease paying these monthly fees. During the year ended September 30, 2022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period from November 5, 2020 (inception) through September 30, 2021, the Company paid $120,000 and $20,000 administrative service fee, respectively. </w:t>
      </w:r>
    </w:p>
    <w:p>
      <w:pPr>
        <w:pStyle w:val="TextBody"/>
        <w:spacing w:before="360" w:after="0"/>
        <w:jc w:val="left"/>
        <w:rPr>
          <w:rFonts w:ascii="Times New Roman" w:hAnsi="Times New Roman"/>
          <w:b/>
          <w:sz w:val="20"/>
        </w:rPr>
      </w:pPr>
      <w:r>
        <w:rPr>
          <w:rFonts w:ascii="Times New Roman" w:hAnsi="Times New Roman"/>
          <w:b/>
          <w:sz w:val="20"/>
        </w:rPr>
        <w:t xml:space="preserve">Note 6 - Commitments &amp; Contingencies </w:t>
      </w:r>
    </w:p>
    <w:p>
      <w:pPr>
        <w:pStyle w:val="TextBody"/>
        <w:spacing w:before="12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 </w:t>
      </w:r>
    </w:p>
    <w:p>
      <w:pPr>
        <w:pStyle w:val="TextBody"/>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 </w:t>
      </w:r>
    </w:p>
    <w:p>
      <w:pPr>
        <w:pStyle w:val="TextBody"/>
        <w:spacing w:before="360" w:after="0"/>
        <w:jc w:val="left"/>
        <w:rPr>
          <w:rFonts w:ascii="Times New Roman" w:hAnsi="Times New Roman"/>
          <w:b/>
          <w:sz w:val="20"/>
        </w:rPr>
      </w:pPr>
      <w:r>
        <w:rPr>
          <w:rFonts w:ascii="Times New Roman" w:hAnsi="Times New Roman"/>
          <w:b/>
          <w:sz w:val="20"/>
        </w:rPr>
        <w:t xml:space="preserve">Financial Advisory Fee </w:t>
      </w:r>
    </w:p>
    <w:p>
      <w:pPr>
        <w:pStyle w:val="TextBody"/>
        <w:spacing w:before="120" w:after="0"/>
        <w:jc w:val="left"/>
        <w:rPr>
          <w:rFonts w:ascii="Times New Roman" w:hAnsi="Times New Roman"/>
          <w:sz w:val="20"/>
        </w:rPr>
      </w:pPr>
      <w:r>
        <w:rPr>
          <w:rFonts w:ascii="Times New Roman" w:hAnsi="Times New Roman"/>
          <w:sz w:val="20"/>
        </w:rPr>
        <w:t xml:space="preserve">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 </w:t>
      </w:r>
    </w:p>
    <w:p>
      <w:pPr>
        <w:pStyle w:val="TextBody"/>
        <w:spacing w:before="360" w:after="0"/>
        <w:jc w:val="left"/>
        <w:rPr>
          <w:rFonts w:ascii="Times New Roman" w:hAnsi="Times New Roman"/>
          <w:b/>
          <w:sz w:val="20"/>
        </w:rPr>
      </w:pPr>
      <w:r>
        <w:rPr>
          <w:rFonts w:ascii="Times New Roman" w:hAnsi="Times New Roman"/>
          <w:b/>
          <w:sz w:val="20"/>
        </w:rPr>
        <w:t xml:space="preserve">Business Combination Marketing Agreement </w:t>
      </w:r>
    </w:p>
    <w:p>
      <w:pPr>
        <w:pStyle w:val="TextBody"/>
        <w:spacing w:before="120" w:after="0"/>
        <w:jc w:val="left"/>
        <w:rPr>
          <w:rFonts w:ascii="Times New Roman" w:hAnsi="Times New Roman"/>
          <w:sz w:val="20"/>
        </w:rPr>
      </w:pPr>
      <w:r>
        <w:rPr>
          <w:rFonts w:ascii="Times New Roman" w:hAnsi="Times New Roman"/>
          <w:sz w:val="20"/>
        </w:rPr>
        <w:t xml:space="preserve">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1,2021, the underwriters over-allotment option expired unused resulting in no additional marketing fees related to the over-allotment option to be not payable to the representative on the underwriter by the Company. </w:t>
      </w:r>
    </w:p>
    <w:p>
      <w:pPr>
        <w:pStyle w:val="TextBody"/>
        <w:spacing w:before="360" w:after="0"/>
        <w:jc w:val="left"/>
        <w:rPr>
          <w:rFonts w:ascii="Times New Roman" w:hAnsi="Times New Roman"/>
          <w:b/>
          <w:sz w:val="20"/>
        </w:rPr>
      </w:pPr>
      <w:r>
        <w:rPr>
          <w:rFonts w:ascii="Times New Roman" w:hAnsi="Times New Roman"/>
          <w:b/>
          <w:sz w:val="20"/>
        </w:rPr>
        <w:t xml:space="preserve">Right of First Refusal </w:t>
      </w:r>
    </w:p>
    <w:p>
      <w:pPr>
        <w:pStyle w:val="TextBody"/>
        <w:spacing w:before="120" w:after="0"/>
        <w:jc w:val="left"/>
        <w:rPr>
          <w:rFonts w:ascii="Times New Roman" w:hAnsi="Times New Roman"/>
          <w:sz w:val="20"/>
        </w:rPr>
      </w:pPr>
      <w:r>
        <w:rPr>
          <w:rFonts w:ascii="Times New Roman" w:hAnsi="Times New Roman"/>
          <w:sz w:val="20"/>
        </w:rPr>
        <w:t xml:space="preserve">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spacing w:before="360" w:after="0"/>
        <w:jc w:val="left"/>
        <w:rPr>
          <w:rFonts w:ascii="Times New Roman" w:hAnsi="Times New Roman"/>
          <w:b/>
          <w:sz w:val="20"/>
        </w:rPr>
      </w:pPr>
      <w:r>
        <w:rPr>
          <w:rFonts w:ascii="Times New Roman" w:hAnsi="Times New Roman"/>
          <w:b/>
          <w:sz w:val="20"/>
        </w:rPr>
        <w:t xml:space="preserve">Note 7 - Recurring Fair Value Measurements </w:t>
      </w:r>
    </w:p>
    <w:p>
      <w:pPr>
        <w:pStyle w:val="TextBody"/>
        <w:spacing w:before="120" w:after="0"/>
        <w:jc w:val="left"/>
        <w:rPr>
          <w:rFonts w:ascii="Times New Roman" w:hAnsi="Times New Roman"/>
          <w:sz w:val="20"/>
        </w:rPr>
      </w:pPr>
      <w:r>
        <w:rPr>
          <w:rFonts w:ascii="Times New Roman" w:hAnsi="Times New Roman"/>
          <w:sz w:val="20"/>
        </w:rPr>
        <w:t xml:space="preserve">As of September 30, 2022, the assets held in the Trust Account were held in U.S. Treasury Bills with a maturity of 185 days or less and in money market funds which invest in U.S. Treasury securities. As of September 30, 2021, the assets held in the Trust Account were held in a money market fund. The estimated fair values of investments held in the Trust Account are determined using available market information and are characterized as Level 1 investments. </w:t>
      </w:r>
    </w:p>
    <w:p>
      <w:pPr>
        <w:pStyle w:val="TextBody"/>
        <w:spacing w:before="240" w:after="0"/>
        <w:jc w:val="left"/>
        <w:rPr>
          <w:rFonts w:ascii="Times New Roman" w:hAnsi="Times New Roman"/>
          <w:sz w:val="20"/>
        </w:rPr>
      </w:pPr>
      <w:r>
        <w:rPr>
          <w:rFonts w:ascii="Times New Roman" w:hAnsi="Times New Roman"/>
          <w:sz w:val="20"/>
        </w:rPr>
        <w:t xml:space="preserve">There were no transfers between Levels 1, 2 or 3 during the nine months ended September 30, 2022 and 2021. </w:t>
      </w:r>
    </w:p>
    <w:p>
      <w:pPr>
        <w:pStyle w:val="TextBody"/>
        <w:spacing w:before="360" w:after="0"/>
        <w:jc w:val="left"/>
        <w:rPr>
          <w:rFonts w:ascii="Times New Roman" w:hAnsi="Times New Roman"/>
          <w:b/>
          <w:sz w:val="20"/>
        </w:rPr>
      </w:pPr>
      <w:r>
        <w:rPr>
          <w:rFonts w:ascii="Times New Roman" w:hAnsi="Times New Roman"/>
          <w:b/>
          <w:sz w:val="20"/>
        </w:rPr>
        <w:t xml:space="preserve">Note 8  Stockholders Equity </w:t>
      </w:r>
    </w:p>
    <w:p>
      <w:pPr>
        <w:pStyle w:val="TextBody"/>
        <w:spacing w:before="120" w:after="0"/>
        <w:jc w:val="left"/>
        <w:rPr>
          <w:rFonts w:ascii="Times New Roman" w:hAnsi="Times New Roman"/>
          <w:sz w:val="20"/>
        </w:rPr>
      </w:pPr>
      <w:r>
        <w:rPr>
          <w:rFonts w:ascii="Times New Roman" w:hAnsi="Times New Roman"/>
          <w:b/>
          <w:i/>
          <w:sz w:val="20"/>
        </w:rPr>
        <w:t>Preferred stock</w:t>
      </w:r>
      <w:r>
        <w:rPr>
          <w:rFonts w:ascii="Times New Roman" w:hAnsi="Times New Roman"/>
          <w:sz w:val="20"/>
        </w:rPr>
        <w:t xml:space="preserve">The Company is authorized to issue 1,000,000 shares of preferred stock with a par value of $0.0001 and with such designations, voting and other rights and preferences as may be determined from time to time by the Companys board of directors. As of September 30, 2022 and 2021, there were no shares of preferred stock issued or outstanding. </w:t>
      </w:r>
    </w:p>
    <w:p>
      <w:pPr>
        <w:pStyle w:val="TextBody"/>
        <w:spacing w:before="240" w:after="0"/>
        <w:jc w:val="left"/>
        <w:rPr>
          <w:rFonts w:ascii="Times New Roman" w:hAnsi="Times New Roman"/>
          <w:sz w:val="20"/>
        </w:rPr>
      </w:pPr>
      <w:r>
        <w:rPr>
          <w:rFonts w:ascii="Times New Roman" w:hAnsi="Times New Roman"/>
          <w:b/>
          <w:i/>
          <w:sz w:val="20"/>
        </w:rPr>
        <w:t>Common stock</w:t>
      </w:r>
      <w:r>
        <w:rPr>
          <w:rFonts w:ascii="Times New Roman" w:hAnsi="Times New Roman"/>
          <w:sz w:val="20"/>
        </w:rPr>
        <w:t xml:space="preserve">The Company is authorized to issue 100,000,000 shares of common stock with a par value of $0.0001 per share. At September 30, 2022 and 2021, there were 5,709,500 and 6,834,500 shares of common stock issued and outstanding excluding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 </w:t>
      </w:r>
    </w:p>
    <w:p>
      <w:pPr>
        <w:pStyle w:val="TextBody"/>
        <w:spacing w:before="240" w:after="0"/>
        <w:jc w:val="left"/>
        <w:rPr>
          <w:rFonts w:ascii="Times New Roman" w:hAnsi="Times New Roman"/>
          <w:sz w:val="20"/>
        </w:rPr>
      </w:pPr>
      <w:r>
        <w:rPr>
          <w:rFonts w:ascii="Times New Roman" w:hAnsi="Times New Roman"/>
          <w:sz w:val="20"/>
        </w:rPr>
        <w:t xml:space="preserve">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 </w:t>
      </w:r>
    </w:p>
    <w:p>
      <w:pPr>
        <w:pStyle w:val="TextBody"/>
        <w:spacing w:before="240" w:after="0"/>
        <w:jc w:val="left"/>
        <w:rPr>
          <w:rFonts w:ascii="Times New Roman" w:hAnsi="Times New Roman"/>
          <w:sz w:val="20"/>
        </w:rPr>
      </w:pPr>
      <w:r>
        <w:rPr>
          <w:rFonts w:ascii="Times New Roman" w:hAnsi="Times New Roman"/>
          <w:b/>
          <w:i/>
          <w:sz w:val="20"/>
        </w:rPr>
        <w:t>Warrants</w:t>
      </w:r>
      <w:r>
        <w:rPr>
          <w:rFonts w:ascii="Times New Roman" w:hAnsi="Times New Roman"/>
          <w:sz w:val="20"/>
        </w:rPr>
        <w:t xml:space="preserve">Each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 </w:t>
      </w:r>
    </w:p>
    <w:p>
      <w:pPr>
        <w:pStyle w:val="TextBody"/>
        <w:spacing w:before="240" w:after="0"/>
        <w:jc w:val="left"/>
        <w:rPr>
          <w:rFonts w:ascii="Times New Roman" w:hAnsi="Times New Roman"/>
          <w:sz w:val="20"/>
        </w:rPr>
      </w:pPr>
      <w:r>
        <w:rPr>
          <w:rFonts w:ascii="Times New Roman" w:hAnsi="Times New Roman"/>
          <w:sz w:val="20"/>
        </w:rPr>
        <w:t xml:space="preserve">The Company may call the warrants for redemption, in whole and not in part, at a price of $0.01 per warrant, in whole and not in part: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any time after the warrants become exercisable,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5"/>
        <w:gridCol w:w="105"/>
        <w:gridCol w:w="9593"/>
      </w:tblGrid>
      <w:tr>
        <w:trPr/>
        <w:tc>
          <w:tcPr>
            <w:tcW w:w="526" w:type="dxa"/>
            <w:tcBorders/>
            <w:shd w:fill="auto" w:val="clear"/>
            <w:vAlign w:val="center"/>
          </w:tcPr>
          <w:p>
            <w:pPr>
              <w:pStyle w:val="TableContents"/>
              <w:spacing w:before="0" w:after="283"/>
              <w:rPr/>
            </w:pPr>
            <w:r>
              <w:rPr/>
              <w:t> </w:t>
            </w:r>
          </w:p>
        </w:tc>
        <w:tc>
          <w:tcPr>
            <w:tcW w:w="3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common stock underlying such warrants. </w:t>
            </w:r>
          </w:p>
        </w:tc>
      </w:tr>
    </w:tbl>
    <w:p>
      <w:pPr>
        <w:pStyle w:val="TextBody"/>
        <w:spacing w:before="240" w:after="0"/>
        <w:jc w:val="left"/>
        <w:rPr>
          <w:rFonts w:ascii="Times New Roman" w:hAnsi="Times New Roman"/>
          <w:sz w:val="20"/>
        </w:rPr>
      </w:pPr>
      <w:r>
        <w:rPr>
          <w:rFonts w:ascii="Times New Roman" w:hAnsi="Times New Roman"/>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 </w:t>
      </w:r>
    </w:p>
    <w:p>
      <w:pPr>
        <w:pStyle w:val="TextBody"/>
        <w:spacing w:before="240" w:after="0"/>
        <w:jc w:val="left"/>
        <w:rPr>
          <w:rFonts w:ascii="Times New Roman" w:hAnsi="Times New Roman"/>
          <w:sz w:val="20"/>
        </w:rPr>
      </w:pPr>
      <w:r>
        <w:rPr>
          <w:rFonts w:ascii="Times New Roman" w:hAnsi="Times New Roman"/>
          <w:sz w:val="20"/>
        </w:rPr>
        <w:t xml:space="preserve">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w:t>
      </w:r>
    </w:p>
    <w:p>
      <w:pPr>
        <w:pStyle w:val="TextBody"/>
        <w:spacing w:before="360" w:after="0"/>
        <w:jc w:val="left"/>
        <w:rPr>
          <w:rFonts w:ascii="Times New Roman" w:hAnsi="Times New Roman"/>
          <w:b/>
          <w:sz w:val="20"/>
        </w:rPr>
      </w:pPr>
      <w:r>
        <w:rPr>
          <w:rFonts w:ascii="Times New Roman" w:hAnsi="Times New Roman"/>
          <w:b/>
          <w:sz w:val="20"/>
        </w:rPr>
        <w:t xml:space="preserve">Note 9 - Income Tax </w:t>
      </w:r>
    </w:p>
    <w:p>
      <w:pPr>
        <w:pStyle w:val="TextBody"/>
        <w:spacing w:before="120" w:after="0"/>
        <w:jc w:val="left"/>
        <w:rPr>
          <w:rFonts w:ascii="Times New Roman" w:hAnsi="Times New Roman"/>
          <w:sz w:val="20"/>
        </w:rPr>
      </w:pPr>
      <w:r>
        <w:rPr>
          <w:rFonts w:ascii="Times New Roman" w:hAnsi="Times New Roman"/>
          <w:sz w:val="20"/>
        </w:rPr>
        <w:t xml:space="preserve">The Companys net deferred tax assets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33"/>
        <w:gridCol w:w="475"/>
        <w:gridCol w:w="208"/>
        <w:gridCol w:w="1298"/>
        <w:gridCol w:w="155"/>
        <w:gridCol w:w="475"/>
        <w:gridCol w:w="231"/>
        <w:gridCol w:w="1275"/>
        <w:gridCol w:w="159"/>
      </w:tblGrid>
      <w:tr>
        <w:trPr/>
        <w:tc>
          <w:tcPr>
            <w:tcW w:w="373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33"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2022</w:t>
            </w:r>
          </w:p>
        </w:tc>
        <w:tc>
          <w:tcPr>
            <w:tcW w:w="155"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2021</w:t>
            </w:r>
          </w:p>
        </w:tc>
        <w:tc>
          <w:tcPr>
            <w:tcW w:w="159" w:type="dxa"/>
            <w:tcBorders/>
            <w:shd w:fill="auto" w:val="clear"/>
            <w:vAlign w:val="bottom"/>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asset</w:t>
            </w:r>
          </w:p>
        </w:tc>
        <w:tc>
          <w:tcPr>
            <w:tcW w:w="47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3434" w:type="dxa"/>
            <w:gridSpan w:val="5"/>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3733" w:type="dxa"/>
            <w:tcBorders/>
            <w:shd w:fill="auto" w:val="clear"/>
          </w:tcPr>
          <w:p>
            <w:pPr>
              <w:pStyle w:val="TableContents"/>
              <w:spacing w:before="0" w:after="0"/>
              <w:rPr>
                <w:rFonts w:ascii="Times New Roman" w:hAnsi="Times New Roman"/>
                <w:sz w:val="20"/>
              </w:rPr>
            </w:pPr>
            <w:r>
              <w:rPr>
                <w:rFonts w:ascii="Times New Roman" w:hAnsi="Times New Roman"/>
                <w:sz w:val="20"/>
              </w:rPr>
              <w:t>Organizational costs/Startup expenses</w:t>
            </w:r>
          </w:p>
        </w:tc>
        <w:tc>
          <w:tcPr>
            <w:tcW w:w="4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298" w:type="dxa"/>
            <w:tcBorders/>
            <w:shd w:fill="auto" w:val="clear"/>
            <w:vAlign w:val="bottom"/>
          </w:tcPr>
          <w:p>
            <w:pPr>
              <w:pStyle w:val="TableContents"/>
              <w:spacing w:before="0" w:after="283"/>
              <w:jc w:val="right"/>
              <w:rPr/>
            </w:pPr>
            <w:r>
              <w:rPr/>
              <w:t>351,592</w:t>
            </w:r>
          </w:p>
        </w:tc>
        <w:tc>
          <w:tcPr>
            <w:tcW w:w="155"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w:t>
            </w:r>
          </w:p>
        </w:tc>
        <w:tc>
          <w:tcPr>
            <w:tcW w:w="1275" w:type="dxa"/>
            <w:tcBorders/>
            <w:shd w:fill="auto" w:val="clear"/>
            <w:vAlign w:val="bottom"/>
          </w:tcPr>
          <w:p>
            <w:pPr>
              <w:pStyle w:val="TableContents"/>
              <w:spacing w:before="0" w:after="283"/>
              <w:jc w:val="right"/>
              <w:rPr/>
            </w:pPr>
            <w:r>
              <w:rPr/>
              <w:t>32,957</w:t>
            </w:r>
          </w:p>
        </w:tc>
        <w:tc>
          <w:tcPr>
            <w:tcW w:w="159" w:type="dxa"/>
            <w:tcBorders/>
            <w:shd w:fill="auto" w:val="clear"/>
            <w:vAlign w:val="bottom"/>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47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83,517</w:t>
            </w:r>
          </w:p>
        </w:tc>
        <w:tc>
          <w:tcPr>
            <w:tcW w:w="155"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60,028</w:t>
            </w:r>
          </w:p>
        </w:tc>
        <w:tc>
          <w:tcPr>
            <w:tcW w:w="159" w:type="dxa"/>
            <w:tcBorders/>
            <w:shd w:fill="CCEEFF" w:val="clear"/>
            <w:vAlign w:val="bottom"/>
          </w:tcPr>
          <w:p>
            <w:pPr>
              <w:pStyle w:val="TableContents"/>
              <w:spacing w:before="0" w:after="283"/>
              <w:rPr/>
            </w:pPr>
            <w:r>
              <w:rPr/>
              <w:t> </w:t>
            </w:r>
          </w:p>
        </w:tc>
      </w:tr>
      <w:tr>
        <w:trPr/>
        <w:tc>
          <w:tcPr>
            <w:tcW w:w="3733" w:type="dxa"/>
            <w:tcBorders/>
            <w:shd w:fill="auto" w:val="clear"/>
          </w:tcPr>
          <w:p>
            <w:pPr>
              <w:pStyle w:val="TableContents"/>
              <w:spacing w:before="0" w:after="0"/>
              <w:rPr>
                <w:rFonts w:ascii="Times New Roman" w:hAnsi="Times New Roman"/>
                <w:sz w:val="20"/>
              </w:rPr>
            </w:pPr>
            <w:r>
              <w:rPr>
                <w:rFonts w:ascii="Times New Roman" w:hAnsi="Times New Roman"/>
                <w:sz w:val="20"/>
              </w:rPr>
              <w:t>Federal net operating loss</w:t>
            </w:r>
          </w:p>
        </w:tc>
        <w:tc>
          <w:tcPr>
            <w:tcW w:w="4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5,484</w:t>
            </w:r>
          </w:p>
        </w:tc>
        <w:tc>
          <w:tcPr>
            <w:tcW w:w="159" w:type="dxa"/>
            <w:tcBorders/>
            <w:shd w:fill="auto" w:val="clear"/>
            <w:vAlign w:val="bottom"/>
          </w:tcPr>
          <w:p>
            <w:pPr>
              <w:pStyle w:val="TableContents"/>
              <w:spacing w:before="0" w:after="283"/>
              <w:rPr/>
            </w:pPr>
            <w:r>
              <w:rPr/>
              <w:t> </w:t>
            </w:r>
          </w:p>
        </w:tc>
      </w:tr>
      <w:tr>
        <w:trPr/>
        <w:tc>
          <w:tcPr>
            <w:tcW w:w="3733"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12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sz w:val="20"/>
              </w:rPr>
            </w:pPr>
            <w:r>
              <w:rPr>
                <w:rFonts w:ascii="Times New Roman" w:hAnsi="Times New Roman"/>
                <w:sz w:val="20"/>
              </w:rPr>
              <w:t>Total deferred tax asset</w:t>
            </w:r>
          </w:p>
        </w:tc>
        <w:tc>
          <w:tcPr>
            <w:tcW w:w="47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298" w:type="dxa"/>
            <w:tcBorders/>
            <w:shd w:fill="CCEEFF" w:val="clear"/>
            <w:vAlign w:val="bottom"/>
          </w:tcPr>
          <w:p>
            <w:pPr>
              <w:pStyle w:val="TableContents"/>
              <w:spacing w:before="0" w:after="283"/>
              <w:jc w:val="right"/>
              <w:rPr/>
            </w:pPr>
            <w:r>
              <w:rPr/>
              <w:t>435,209</w:t>
            </w:r>
          </w:p>
        </w:tc>
        <w:tc>
          <w:tcPr>
            <w:tcW w:w="155"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98,469</w:t>
            </w:r>
          </w:p>
        </w:tc>
        <w:tc>
          <w:tcPr>
            <w:tcW w:w="159" w:type="dxa"/>
            <w:tcBorders/>
            <w:shd w:fill="CCEEFF" w:val="clear"/>
            <w:vAlign w:val="bottom"/>
          </w:tcPr>
          <w:p>
            <w:pPr>
              <w:pStyle w:val="TableContents"/>
              <w:spacing w:before="0" w:after="283"/>
              <w:rPr/>
            </w:pPr>
            <w:r>
              <w:rPr/>
              <w:t> </w:t>
            </w:r>
          </w:p>
        </w:tc>
      </w:tr>
      <w:tr>
        <w:trPr/>
        <w:tc>
          <w:tcPr>
            <w:tcW w:w="3733" w:type="dxa"/>
            <w:tcBorders/>
            <w:shd w:fill="auto" w:val="clear"/>
          </w:tcPr>
          <w:p>
            <w:pPr>
              <w:pStyle w:val="TableContents"/>
              <w:spacing w:before="0" w:after="0"/>
              <w:rPr>
                <w:rFonts w:ascii="Times New Roman" w:hAnsi="Times New Roman"/>
                <w:sz w:val="20"/>
              </w:rPr>
            </w:pPr>
            <w:r>
              <w:rPr>
                <w:rFonts w:ascii="Times New Roman" w:hAnsi="Times New Roman"/>
                <w:sz w:val="20"/>
              </w:rPr>
              <w:t>Valuation allowance</w:t>
            </w:r>
          </w:p>
        </w:tc>
        <w:tc>
          <w:tcPr>
            <w:tcW w:w="4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298" w:type="dxa"/>
            <w:tcBorders/>
            <w:shd w:fill="auto" w:val="clear"/>
            <w:vAlign w:val="bottom"/>
          </w:tcPr>
          <w:p>
            <w:pPr>
              <w:pStyle w:val="TableContents"/>
              <w:spacing w:before="0" w:after="283"/>
              <w:jc w:val="right"/>
              <w:rPr/>
            </w:pPr>
            <w:r>
              <w:rPr/>
              <w:t>(435,209</w:t>
            </w:r>
          </w:p>
        </w:tc>
        <w:tc>
          <w:tcPr>
            <w:tcW w:w="155"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(98,469</w:t>
            </w:r>
          </w:p>
        </w:tc>
        <w:tc>
          <w:tcPr>
            <w:tcW w:w="159" w:type="dxa"/>
            <w:tcBorders/>
            <w:shd w:fill="auto" w:val="clear"/>
            <w:vAlign w:val="bottom"/>
          </w:tcPr>
          <w:p>
            <w:pPr>
              <w:pStyle w:val="TableContents"/>
              <w:spacing w:before="0" w:after="283"/>
              <w:rPr/>
            </w:pPr>
            <w:r>
              <w:rPr/>
              <w:t>) </w:t>
            </w:r>
          </w:p>
        </w:tc>
      </w:tr>
      <w:tr>
        <w:trPr/>
        <w:tc>
          <w:tcPr>
            <w:tcW w:w="3733"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single" w:sz="2" w:space="1" w:color="000000"/>
              </w:pBdr>
              <w:spacing w:before="0" w:after="0"/>
              <w:rPr/>
            </w:pPr>
            <w:r>
              <w:rPr/>
              <w:t> </w:t>
            </w:r>
          </w:p>
        </w:tc>
        <w:tc>
          <w:tcPr>
            <w:tcW w:w="12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127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b/>
                <w:sz w:val="20"/>
              </w:rPr>
            </w:pPr>
            <w:r>
              <w:rPr>
                <w:rFonts w:ascii="Times New Roman" w:hAnsi="Times New Roman"/>
                <w:b/>
                <w:sz w:val="20"/>
              </w:rPr>
              <w:t>Deferred tax asset, net of allowance</w:t>
            </w:r>
          </w:p>
        </w:tc>
        <w:tc>
          <w:tcPr>
            <w:tcW w:w="47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29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w:t>
            </w:r>
          </w:p>
        </w:tc>
        <w:tc>
          <w:tcPr>
            <w:tcW w:w="1275"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733"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pBdr>
                <w:top w:val="double" w:sz="6" w:space="1" w:color="000000"/>
              </w:pBdr>
              <w:spacing w:before="0" w:after="0"/>
              <w:rPr/>
            </w:pPr>
            <w:r>
              <w:rPr/>
              <w:t> </w:t>
            </w:r>
          </w:p>
        </w:tc>
        <w:tc>
          <w:tcPr>
            <w:tcW w:w="129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127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income tax provision consists of the following: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30"/>
        <w:gridCol w:w="577"/>
        <w:gridCol w:w="203"/>
        <w:gridCol w:w="1323"/>
        <w:gridCol w:w="155"/>
        <w:gridCol w:w="577"/>
        <w:gridCol w:w="230"/>
        <w:gridCol w:w="1256"/>
        <w:gridCol w:w="158"/>
      </w:tblGrid>
      <w:tr>
        <w:trPr/>
        <w:tc>
          <w:tcPr>
            <w:tcW w:w="3530"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52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2022</w:t>
            </w:r>
          </w:p>
        </w:tc>
        <w:tc>
          <w:tcPr>
            <w:tcW w:w="15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148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2021</w:t>
            </w:r>
          </w:p>
        </w:tc>
        <w:tc>
          <w:tcPr>
            <w:tcW w:w="158"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0"/>
              <w:rPr>
                <w:rFonts w:ascii="Times New Roman" w:hAnsi="Times New Roman"/>
                <w:sz w:val="20"/>
              </w:rPr>
            </w:pPr>
            <w:r>
              <w:rPr>
                <w:rFonts w:ascii="Times New Roman" w:hAnsi="Times New Roman"/>
                <w:sz w:val="20"/>
              </w:rPr>
              <w:t>Federal</w:t>
            </w:r>
          </w:p>
        </w:tc>
        <w:tc>
          <w:tcPr>
            <w:tcW w:w="5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4"/>
                <w:szCs w:val="4"/>
              </w:rPr>
            </w:pPr>
            <w:r>
              <w:rPr>
                <w:sz w:val="4"/>
                <w:szCs w:val="4"/>
              </w:rPr>
            </w:r>
          </w:p>
        </w:tc>
        <w:tc>
          <w:tcPr>
            <w:tcW w:w="132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256"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3530" w:type="dxa"/>
            <w:tcBorders/>
            <w:shd w:fill="auto" w:val="clear"/>
          </w:tcPr>
          <w:p>
            <w:pPr>
              <w:pStyle w:val="TableContents"/>
              <w:spacing w:before="0" w:after="0"/>
              <w:rPr>
                <w:rFonts w:ascii="Times New Roman" w:hAnsi="Times New Roman"/>
                <w:sz w:val="20"/>
              </w:rPr>
            </w:pPr>
            <w:r>
              <w:rPr>
                <w:rFonts w:ascii="Times New Roman" w:hAnsi="Times New Roman"/>
                <w:sz w:val="20"/>
              </w:rPr>
              <w:t>Current</w:t>
            </w:r>
          </w:p>
        </w:tc>
        <w:tc>
          <w:tcPr>
            <w:tcW w:w="5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1323" w:type="dxa"/>
            <w:tcBorders/>
            <w:shd w:fill="auto" w:val="clear"/>
            <w:vAlign w:val="bottom"/>
          </w:tcPr>
          <w:p>
            <w:pPr>
              <w:pStyle w:val="TableContents"/>
              <w:spacing w:before="0" w:after="283"/>
              <w:jc w:val="right"/>
              <w:rPr/>
            </w:pPr>
            <w:r>
              <w:rPr/>
              <w:t>145,621</w:t>
            </w:r>
          </w:p>
        </w:tc>
        <w:tc>
          <w:tcPr>
            <w:tcW w:w="15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0"/>
              <w:rPr>
                <w:rFonts w:ascii="Times New Roman" w:hAnsi="Times New Roman"/>
                <w:sz w:val="20"/>
              </w:rPr>
            </w:pPr>
            <w:r>
              <w:rPr>
                <w:rFonts w:ascii="Times New Roman" w:hAnsi="Times New Roman"/>
                <w:sz w:val="20"/>
              </w:rPr>
              <w:t>Deferred</w:t>
            </w:r>
          </w:p>
        </w:tc>
        <w:tc>
          <w:tcPr>
            <w:tcW w:w="5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(336,741</w:t>
            </w:r>
          </w:p>
        </w:tc>
        <w:tc>
          <w:tcPr>
            <w:tcW w:w="155"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(98,469</w:t>
            </w:r>
          </w:p>
        </w:tc>
        <w:tc>
          <w:tcPr>
            <w:tcW w:w="158"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0"/>
              <w:rPr>
                <w:rFonts w:ascii="Times New Roman" w:hAnsi="Times New Roman"/>
                <w:sz w:val="20"/>
              </w:rPr>
            </w:pPr>
            <w:r>
              <w:rPr>
                <w:rFonts w:ascii="Times New Roman" w:hAnsi="Times New Roman"/>
                <w:sz w:val="20"/>
              </w:rPr>
              <w:t>State</w:t>
            </w:r>
          </w:p>
        </w:tc>
        <w:tc>
          <w:tcPr>
            <w:tcW w:w="5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sz w:val="4"/>
                <w:szCs w:val="4"/>
              </w:rPr>
            </w:pPr>
            <w:r>
              <w:rPr>
                <w:sz w:val="4"/>
                <w:szCs w:val="4"/>
              </w:rPr>
            </w:r>
          </w:p>
        </w:tc>
        <w:tc>
          <w:tcPr>
            <w:tcW w:w="132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256"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3530" w:type="dxa"/>
            <w:tcBorders/>
            <w:shd w:fill="CCEEFF" w:val="clear"/>
          </w:tcPr>
          <w:p>
            <w:pPr>
              <w:pStyle w:val="TableContents"/>
              <w:spacing w:before="0" w:after="0"/>
              <w:rPr>
                <w:rFonts w:ascii="Times New Roman" w:hAnsi="Times New Roman"/>
                <w:sz w:val="20"/>
              </w:rPr>
            </w:pPr>
            <w:r>
              <w:rPr>
                <w:rFonts w:ascii="Times New Roman" w:hAnsi="Times New Roman"/>
                <w:sz w:val="20"/>
              </w:rPr>
              <w:t>Current</w:t>
            </w:r>
          </w:p>
        </w:tc>
        <w:tc>
          <w:tcPr>
            <w:tcW w:w="5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pPr>
            <w:r>
              <w:rPr/>
              <w:t> </w:t>
            </w:r>
          </w:p>
        </w:tc>
      </w:tr>
      <w:tr>
        <w:trPr/>
        <w:tc>
          <w:tcPr>
            <w:tcW w:w="3530" w:type="dxa"/>
            <w:tcBorders/>
            <w:shd w:fill="auto" w:val="clear"/>
          </w:tcPr>
          <w:p>
            <w:pPr>
              <w:pStyle w:val="TableContents"/>
              <w:spacing w:before="0" w:after="0"/>
              <w:rPr>
                <w:rFonts w:ascii="Times New Roman" w:hAnsi="Times New Roman"/>
                <w:sz w:val="20"/>
              </w:rPr>
            </w:pPr>
            <w:r>
              <w:rPr>
                <w:rFonts w:ascii="Times New Roman" w:hAnsi="Times New Roman"/>
                <w:sz w:val="20"/>
              </w:rPr>
              <w:t>Deferred</w:t>
            </w:r>
          </w:p>
        </w:tc>
        <w:tc>
          <w:tcPr>
            <w:tcW w:w="5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32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3530" w:type="dxa"/>
            <w:tcBorders/>
            <w:shd w:fill="CCEEFF" w:val="clear"/>
          </w:tcPr>
          <w:p>
            <w:pPr>
              <w:pStyle w:val="TableContents"/>
              <w:spacing w:before="0" w:after="0"/>
              <w:rPr>
                <w:rFonts w:ascii="Times New Roman" w:hAnsi="Times New Roman"/>
                <w:sz w:val="20"/>
              </w:rPr>
            </w:pPr>
            <w:r>
              <w:rPr>
                <w:rFonts w:ascii="Times New Roman" w:hAnsi="Times New Roman"/>
                <w:sz w:val="20"/>
              </w:rPr>
              <w:t>Change in valuation allowance</w:t>
            </w:r>
          </w:p>
        </w:tc>
        <w:tc>
          <w:tcPr>
            <w:tcW w:w="577"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323" w:type="dxa"/>
            <w:tcBorders/>
            <w:shd w:fill="CCEEFF" w:val="clear"/>
            <w:vAlign w:val="bottom"/>
          </w:tcPr>
          <w:p>
            <w:pPr>
              <w:pStyle w:val="TableContents"/>
              <w:spacing w:before="0" w:after="283"/>
              <w:jc w:val="right"/>
              <w:rPr/>
            </w:pPr>
            <w:r>
              <w:rPr/>
              <w:t>336,741</w:t>
            </w:r>
          </w:p>
        </w:tc>
        <w:tc>
          <w:tcPr>
            <w:tcW w:w="155"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98,469</w:t>
            </w:r>
          </w:p>
        </w:tc>
        <w:tc>
          <w:tcPr>
            <w:tcW w:w="158" w:type="dxa"/>
            <w:tcBorders/>
            <w:shd w:fill="CCEEFF" w:val="clear"/>
            <w:vAlign w:val="bottom"/>
          </w:tcPr>
          <w:p>
            <w:pPr>
              <w:pStyle w:val="TableContents"/>
              <w:spacing w:before="0" w:after="283"/>
              <w:rPr/>
            </w:pPr>
            <w:r>
              <w:rPr/>
              <w:t> </w:t>
            </w:r>
          </w:p>
        </w:tc>
      </w:tr>
      <w:tr>
        <w:trPr/>
        <w:tc>
          <w:tcPr>
            <w:tcW w:w="3530" w:type="dxa"/>
            <w:tcBorders/>
            <w:shd w:fill="auto" w:val="clear"/>
            <w:vAlign w:val="bottom"/>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32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256"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3530" w:type="dxa"/>
            <w:tcBorders/>
            <w:shd w:fill="auto" w:val="clear"/>
          </w:tcPr>
          <w:p>
            <w:pPr>
              <w:pStyle w:val="TableContents"/>
              <w:spacing w:before="0" w:after="0"/>
              <w:rPr>
                <w:rFonts w:ascii="Times New Roman" w:hAnsi="Times New Roman"/>
                <w:b/>
                <w:sz w:val="20"/>
              </w:rPr>
            </w:pPr>
            <w:r>
              <w:rPr>
                <w:rFonts w:ascii="Times New Roman" w:hAnsi="Times New Roman"/>
                <w:b/>
                <w:sz w:val="20"/>
              </w:rPr>
              <w:t>Income tax provision</w:t>
            </w:r>
          </w:p>
        </w:tc>
        <w:tc>
          <w:tcPr>
            <w:tcW w:w="5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w:t>
            </w:r>
          </w:p>
        </w:tc>
        <w:tc>
          <w:tcPr>
            <w:tcW w:w="1323" w:type="dxa"/>
            <w:tcBorders/>
            <w:shd w:fill="auto" w:val="clear"/>
            <w:vAlign w:val="bottom"/>
          </w:tcPr>
          <w:p>
            <w:pPr>
              <w:pStyle w:val="TableContents"/>
              <w:spacing w:before="0" w:after="283"/>
              <w:jc w:val="right"/>
              <w:rPr/>
            </w:pPr>
            <w:r>
              <w:rPr/>
              <w:t>145,621</w:t>
            </w:r>
          </w:p>
        </w:tc>
        <w:tc>
          <w:tcPr>
            <w:tcW w:w="155"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6"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3530" w:type="dxa"/>
            <w:tcBorders/>
            <w:shd w:fill="auto" w:val="clear"/>
            <w:vAlign w:val="bottom"/>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double" w:sz="6" w:space="1" w:color="000000"/>
              </w:pBdr>
              <w:spacing w:before="0" w:after="0"/>
              <w:rPr/>
            </w:pPr>
            <w:r>
              <w:rPr/>
              <w:t> </w:t>
            </w:r>
          </w:p>
        </w:tc>
        <w:tc>
          <w:tcPr>
            <w:tcW w:w="132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77"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6"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As of September 30, 2022 and 2021, the Company has $0 and $26,113 of U.S. federal net operating loss carryovers, which do not expire, and no state net operating loss carryovers available to offset future taxable income.</w:t>
      </w:r>
    </w:p>
    <w:p>
      <w:pPr>
        <w:pStyle w:val="TextBody"/>
        <w:spacing w:before="240" w:after="0"/>
        <w:jc w:val="left"/>
        <w:rPr>
          <w:rFonts w:ascii="Times New Roman" w:hAnsi="Times New Roman"/>
          <w:sz w:val="20"/>
        </w:rPr>
      </w:pPr>
      <w:r>
        <w:rPr>
          <w:rFonts w:ascii="Times New Roman" w:hAnsi="Times New Roman"/>
          <w:sz w:val="20"/>
        </w:rPr>
        <w:t xml:space="preserve">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September 30, 2022 and the period from November 5, 2020 (inception) through September 30, 2021, the change in the valuation allowance was $336,741 and $98,469,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reconciliation of the federal income tax rate to the Companys effective tax rate at September 30, 2022 and 2021 are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286"/>
        <w:gridCol w:w="573"/>
        <w:gridCol w:w="127"/>
        <w:gridCol w:w="1356"/>
        <w:gridCol w:w="350"/>
        <w:gridCol w:w="481"/>
        <w:gridCol w:w="127"/>
        <w:gridCol w:w="1356"/>
        <w:gridCol w:w="353"/>
      </w:tblGrid>
      <w:tr>
        <w:trPr/>
        <w:tc>
          <w:tcPr>
            <w:tcW w:w="328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rPr/>
            </w:pPr>
            <w:r>
              <w:rPr/>
              <w:t>  </w:t>
            </w:r>
          </w:p>
        </w:tc>
        <w:tc>
          <w:tcPr>
            <w:tcW w:w="148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2022</w:t>
            </w:r>
          </w:p>
        </w:tc>
        <w:tc>
          <w:tcPr>
            <w:tcW w:w="35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48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2021</w:t>
            </w:r>
          </w:p>
        </w:tc>
        <w:tc>
          <w:tcPr>
            <w:tcW w:w="353" w:type="dxa"/>
            <w:tcBorders/>
            <w:shd w:fill="auto" w:val="clear"/>
            <w:vAlign w:val="bottom"/>
          </w:tcPr>
          <w:p>
            <w:pPr>
              <w:pStyle w:val="TableContents"/>
              <w:spacing w:before="0" w:after="283"/>
              <w:rPr/>
            </w:pPr>
            <w:r>
              <w:rPr/>
              <w:t> </w:t>
            </w:r>
          </w:p>
        </w:tc>
      </w:tr>
      <w:tr>
        <w:trPr/>
        <w:tc>
          <w:tcPr>
            <w:tcW w:w="3286" w:type="dxa"/>
            <w:tcBorders/>
            <w:shd w:fill="CCEEFF" w:val="clear"/>
          </w:tcPr>
          <w:p>
            <w:pPr>
              <w:pStyle w:val="TableContents"/>
              <w:spacing w:before="0" w:after="0"/>
              <w:rPr>
                <w:rFonts w:ascii="Times New Roman" w:hAnsi="Times New Roman"/>
                <w:sz w:val="20"/>
              </w:rPr>
            </w:pPr>
            <w:r>
              <w:rPr>
                <w:rFonts w:ascii="Times New Roman" w:hAnsi="Times New Roman"/>
                <w:sz w:val="20"/>
              </w:rPr>
              <w:t>Statutory federal income tax rate</w:t>
            </w:r>
          </w:p>
        </w:tc>
        <w:tc>
          <w:tcPr>
            <w:tcW w:w="57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56" w:type="dxa"/>
            <w:tcBorders/>
            <w:shd w:fill="CCEEFF" w:val="clear"/>
            <w:vAlign w:val="bottom"/>
          </w:tcPr>
          <w:p>
            <w:pPr>
              <w:pStyle w:val="TableContents"/>
              <w:spacing w:before="0" w:after="283"/>
              <w:jc w:val="right"/>
              <w:rPr/>
            </w:pPr>
            <w:r>
              <w:rPr/>
              <w:t>21.00</w:t>
            </w:r>
          </w:p>
        </w:tc>
        <w:tc>
          <w:tcPr>
            <w:tcW w:w="350"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56" w:type="dxa"/>
            <w:tcBorders/>
            <w:shd w:fill="CCEEFF" w:val="clear"/>
            <w:vAlign w:val="bottom"/>
          </w:tcPr>
          <w:p>
            <w:pPr>
              <w:pStyle w:val="TableContents"/>
              <w:spacing w:before="0" w:after="283"/>
              <w:jc w:val="right"/>
              <w:rPr/>
            </w:pPr>
            <w:r>
              <w:rPr/>
              <w:t>21.00</w:t>
            </w:r>
          </w:p>
        </w:tc>
        <w:tc>
          <w:tcPr>
            <w:tcW w:w="353" w:type="dxa"/>
            <w:tcBorders/>
            <w:shd w:fill="CCEEFF" w:val="clear"/>
            <w:vAlign w:val="bottom"/>
          </w:tcPr>
          <w:p>
            <w:pPr>
              <w:pStyle w:val="TableContents"/>
              <w:spacing w:before="0" w:after="283"/>
              <w:rPr/>
            </w:pPr>
            <w:r>
              <w:rPr/>
              <w:t>% </w:t>
            </w:r>
          </w:p>
        </w:tc>
      </w:tr>
      <w:tr>
        <w:trPr/>
        <w:tc>
          <w:tcPr>
            <w:tcW w:w="3286" w:type="dxa"/>
            <w:tcBorders/>
            <w:shd w:fill="auto" w:val="clear"/>
          </w:tcPr>
          <w:p>
            <w:pPr>
              <w:pStyle w:val="TableContents"/>
              <w:spacing w:before="0" w:after="0"/>
              <w:rPr>
                <w:rFonts w:ascii="Times New Roman" w:hAnsi="Times New Roman"/>
                <w:sz w:val="20"/>
              </w:rPr>
            </w:pPr>
            <w:r>
              <w:rPr>
                <w:rFonts w:ascii="Times New Roman" w:hAnsi="Times New Roman"/>
                <w:sz w:val="20"/>
              </w:rPr>
              <w:t>State taxes, net of federal tax benefit</w:t>
            </w:r>
          </w:p>
        </w:tc>
        <w:tc>
          <w:tcPr>
            <w:tcW w:w="57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jc w:val="right"/>
              <w:rPr/>
            </w:pPr>
            <w:r>
              <w:rPr/>
              <w:t>0.00</w:t>
            </w:r>
          </w:p>
        </w:tc>
        <w:tc>
          <w:tcPr>
            <w:tcW w:w="353" w:type="dxa"/>
            <w:tcBorders/>
            <w:shd w:fill="auto" w:val="clear"/>
            <w:vAlign w:val="bottom"/>
          </w:tcPr>
          <w:p>
            <w:pPr>
              <w:pStyle w:val="TableContents"/>
              <w:spacing w:before="0" w:after="283"/>
              <w:rPr/>
            </w:pPr>
            <w:r>
              <w:rPr/>
              <w:t>% </w:t>
            </w:r>
          </w:p>
        </w:tc>
      </w:tr>
      <w:tr>
        <w:trPr/>
        <w:tc>
          <w:tcPr>
            <w:tcW w:w="3286" w:type="dxa"/>
            <w:tcBorders/>
            <w:shd w:fill="CCEEFF" w:val="clear"/>
          </w:tcPr>
          <w:p>
            <w:pPr>
              <w:pStyle w:val="TableContents"/>
              <w:spacing w:before="0" w:after="0"/>
              <w:rPr>
                <w:rFonts w:ascii="Times New Roman" w:hAnsi="Times New Roman"/>
                <w:sz w:val="20"/>
              </w:rPr>
            </w:pPr>
            <w:r>
              <w:rPr>
                <w:rFonts w:ascii="Times New Roman" w:hAnsi="Times New Roman"/>
                <w:sz w:val="20"/>
              </w:rPr>
              <w:t>Business combination expenses</w:t>
            </w:r>
          </w:p>
        </w:tc>
        <w:tc>
          <w:tcPr>
            <w:tcW w:w="57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56" w:type="dxa"/>
            <w:tcBorders/>
            <w:shd w:fill="CCEEFF" w:val="clear"/>
            <w:vAlign w:val="bottom"/>
          </w:tcPr>
          <w:p>
            <w:pPr>
              <w:pStyle w:val="TableContents"/>
              <w:spacing w:before="0" w:after="283"/>
              <w:jc w:val="right"/>
              <w:rPr/>
            </w:pPr>
            <w:r>
              <w:rPr/>
              <w:t>(15.50</w:t>
            </w:r>
          </w:p>
        </w:tc>
        <w:tc>
          <w:tcPr>
            <w:tcW w:w="350"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56" w:type="dxa"/>
            <w:tcBorders/>
            <w:shd w:fill="CCEEFF" w:val="clear"/>
            <w:vAlign w:val="bottom"/>
          </w:tcPr>
          <w:p>
            <w:pPr>
              <w:pStyle w:val="TableContents"/>
              <w:spacing w:before="0" w:after="283"/>
              <w:jc w:val="right"/>
              <w:rPr/>
            </w:pPr>
            <w:r>
              <w:rPr/>
              <w:t>0.00</w:t>
            </w:r>
          </w:p>
        </w:tc>
        <w:tc>
          <w:tcPr>
            <w:tcW w:w="353" w:type="dxa"/>
            <w:tcBorders/>
            <w:shd w:fill="CCEEFF" w:val="clear"/>
            <w:vAlign w:val="bottom"/>
          </w:tcPr>
          <w:p>
            <w:pPr>
              <w:pStyle w:val="TableContents"/>
              <w:spacing w:before="0" w:after="283"/>
              <w:rPr/>
            </w:pPr>
            <w:r>
              <w:rPr/>
              <w:t>% </w:t>
            </w:r>
          </w:p>
        </w:tc>
      </w:tr>
      <w:tr>
        <w:trPr/>
        <w:tc>
          <w:tcPr>
            <w:tcW w:w="3286" w:type="dxa"/>
            <w:tcBorders/>
            <w:shd w:fill="auto" w:val="clear"/>
          </w:tcPr>
          <w:p>
            <w:pPr>
              <w:pStyle w:val="TableContents"/>
              <w:spacing w:before="0" w:after="0"/>
              <w:rPr>
                <w:rFonts w:ascii="Times New Roman" w:hAnsi="Times New Roman"/>
                <w:sz w:val="20"/>
              </w:rPr>
            </w:pPr>
            <w:r>
              <w:rPr>
                <w:rFonts w:ascii="Times New Roman" w:hAnsi="Times New Roman"/>
                <w:sz w:val="20"/>
              </w:rPr>
              <w:t>Change in valuation allowance</w:t>
            </w:r>
          </w:p>
        </w:tc>
        <w:tc>
          <w:tcPr>
            <w:tcW w:w="57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jc w:val="right"/>
              <w:rPr/>
            </w:pPr>
            <w:r>
              <w:rPr/>
              <w:t>(9.70</w:t>
            </w:r>
          </w:p>
        </w:tc>
        <w:tc>
          <w:tcPr>
            <w:tcW w:w="35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56" w:type="dxa"/>
            <w:tcBorders/>
            <w:shd w:fill="auto" w:val="clear"/>
            <w:vAlign w:val="bottom"/>
          </w:tcPr>
          <w:p>
            <w:pPr>
              <w:pStyle w:val="TableContents"/>
              <w:spacing w:before="0" w:after="283"/>
              <w:jc w:val="right"/>
              <w:rPr/>
            </w:pPr>
            <w:r>
              <w:rPr/>
              <w:t>(21.00</w:t>
            </w:r>
          </w:p>
        </w:tc>
        <w:tc>
          <w:tcPr>
            <w:tcW w:w="353" w:type="dxa"/>
            <w:tcBorders/>
            <w:shd w:fill="auto" w:val="clear"/>
            <w:vAlign w:val="bottom"/>
          </w:tcPr>
          <w:p>
            <w:pPr>
              <w:pStyle w:val="TableContents"/>
              <w:spacing w:before="0" w:after="283"/>
              <w:rPr/>
            </w:pPr>
            <w:r>
              <w:rPr/>
              <w:t>)% </w:t>
            </w:r>
          </w:p>
        </w:tc>
      </w:tr>
      <w:tr>
        <w:trPr/>
        <w:tc>
          <w:tcPr>
            <w:tcW w:w="3286"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0"/>
              <w:rPr/>
            </w:pPr>
            <w:r>
              <w:rPr/>
              <w:t> </w:t>
            </w:r>
          </w:p>
        </w:tc>
        <w:tc>
          <w:tcPr>
            <w:tcW w:w="1356" w:type="dxa"/>
            <w:tcBorders/>
            <w:shd w:fill="auto" w:val="clear"/>
            <w:vAlign w:val="bottom"/>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0"/>
              <w:rPr/>
            </w:pPr>
            <w:r>
              <w:rPr/>
              <w:t> </w:t>
            </w:r>
          </w:p>
        </w:tc>
        <w:tc>
          <w:tcPr>
            <w:tcW w:w="1356" w:type="dxa"/>
            <w:tcBorders/>
            <w:shd w:fill="auto" w:val="clear"/>
            <w:vAlign w:val="bottom"/>
          </w:tcPr>
          <w:p>
            <w:pPr>
              <w:pStyle w:val="TableContents"/>
              <w:pBdr>
                <w:top w:val="single" w:sz="2" w:space="1" w:color="000000"/>
              </w:pBdr>
              <w:spacing w:before="0" w:after="0"/>
              <w:rPr/>
            </w:pPr>
            <w:r>
              <w:rPr/>
              <w:t> </w:t>
            </w:r>
          </w:p>
        </w:tc>
        <w:tc>
          <w:tcPr>
            <w:tcW w:w="353" w:type="dxa"/>
            <w:tcBorders/>
            <w:shd w:fill="auto" w:val="clear"/>
            <w:vAlign w:val="center"/>
          </w:tcPr>
          <w:p>
            <w:pPr>
              <w:pStyle w:val="TableContents"/>
              <w:spacing w:before="0" w:after="283"/>
              <w:rPr/>
            </w:pPr>
            <w:r>
              <w:rPr/>
              <w:t> </w:t>
            </w:r>
          </w:p>
        </w:tc>
      </w:tr>
      <w:tr>
        <w:trPr/>
        <w:tc>
          <w:tcPr>
            <w:tcW w:w="3286" w:type="dxa"/>
            <w:tcBorders/>
            <w:shd w:fill="CCEEFF" w:val="clear"/>
          </w:tcPr>
          <w:p>
            <w:pPr>
              <w:pStyle w:val="TableContents"/>
              <w:spacing w:before="0" w:after="0"/>
              <w:rPr>
                <w:rFonts w:ascii="Times New Roman" w:hAnsi="Times New Roman"/>
                <w:b/>
                <w:sz w:val="20"/>
              </w:rPr>
            </w:pPr>
            <w:r>
              <w:rPr>
                <w:rFonts w:ascii="Times New Roman" w:hAnsi="Times New Roman"/>
                <w:b/>
                <w:sz w:val="20"/>
              </w:rPr>
              <w:t>Income tax provision</w:t>
            </w:r>
          </w:p>
        </w:tc>
        <w:tc>
          <w:tcPr>
            <w:tcW w:w="57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56" w:type="dxa"/>
            <w:tcBorders/>
            <w:shd w:fill="CCEEFF" w:val="clear"/>
            <w:vAlign w:val="bottom"/>
          </w:tcPr>
          <w:p>
            <w:pPr>
              <w:pStyle w:val="TableContents"/>
              <w:spacing w:before="0" w:after="283"/>
              <w:jc w:val="right"/>
              <w:rPr/>
            </w:pPr>
            <w:r>
              <w:rPr/>
              <w:t>(4.25</w:t>
            </w:r>
          </w:p>
        </w:tc>
        <w:tc>
          <w:tcPr>
            <w:tcW w:w="350"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56" w:type="dxa"/>
            <w:tcBorders/>
            <w:shd w:fill="CCEEFF" w:val="clear"/>
            <w:vAlign w:val="bottom"/>
          </w:tcPr>
          <w:p>
            <w:pPr>
              <w:pStyle w:val="TableContents"/>
              <w:spacing w:before="0" w:after="283"/>
              <w:jc w:val="right"/>
              <w:rPr/>
            </w:pPr>
            <w:r>
              <w:rPr/>
              <w:t></w:t>
            </w:r>
          </w:p>
        </w:tc>
        <w:tc>
          <w:tcPr>
            <w:tcW w:w="353" w:type="dxa"/>
            <w:tcBorders/>
            <w:shd w:fill="CCEEFF" w:val="clear"/>
            <w:vAlign w:val="bottom"/>
          </w:tcPr>
          <w:p>
            <w:pPr>
              <w:pStyle w:val="TableContents"/>
              <w:spacing w:before="0" w:after="283"/>
              <w:rPr/>
            </w:pPr>
            <w:r>
              <w:rPr/>
              <w:t>% </w:t>
            </w:r>
          </w:p>
        </w:tc>
      </w:tr>
      <w:tr>
        <w:trPr/>
        <w:tc>
          <w:tcPr>
            <w:tcW w:w="3286"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0"/>
              <w:rPr/>
            </w:pPr>
            <w:r>
              <w:rPr/>
              <w:t> </w:t>
            </w:r>
          </w:p>
        </w:tc>
        <w:tc>
          <w:tcPr>
            <w:tcW w:w="1356" w:type="dxa"/>
            <w:tcBorders/>
            <w:shd w:fill="auto" w:val="clear"/>
            <w:vAlign w:val="bottom"/>
          </w:tcPr>
          <w:p>
            <w:pPr>
              <w:pStyle w:val="TableContents"/>
              <w:pBdr>
                <w:top w:val="double" w:sz="6"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0"/>
              <w:rPr/>
            </w:pPr>
            <w:r>
              <w:rPr/>
              <w:t> </w:t>
            </w:r>
          </w:p>
        </w:tc>
        <w:tc>
          <w:tcPr>
            <w:tcW w:w="1356" w:type="dxa"/>
            <w:tcBorders/>
            <w:shd w:fill="auto" w:val="clear"/>
            <w:vAlign w:val="bottom"/>
          </w:tcPr>
          <w:p>
            <w:pPr>
              <w:pStyle w:val="TableContents"/>
              <w:pBdr>
                <w:top w:val="double" w:sz="6" w:space="1" w:color="000000"/>
              </w:pBdr>
              <w:spacing w:before="0" w:after="0"/>
              <w:rPr/>
            </w:pPr>
            <w:r>
              <w:rPr/>
              <w:t> </w:t>
            </w:r>
          </w:p>
        </w:tc>
        <w:tc>
          <w:tcPr>
            <w:tcW w:w="35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Company files income tax returns in the U.S. federal jurisdiction in various state and local jurisdictions and is subject to examination by the various taxing authorities. </w:t>
      </w:r>
    </w:p>
    <w:p>
      <w:pPr>
        <w:pStyle w:val="TextBody"/>
        <w:spacing w:before="360" w:after="0"/>
        <w:jc w:val="left"/>
        <w:rPr>
          <w:rFonts w:ascii="Times New Roman" w:hAnsi="Times New Roman"/>
          <w:b/>
          <w:sz w:val="20"/>
        </w:rPr>
      </w:pPr>
      <w:r>
        <w:rPr>
          <w:rFonts w:ascii="Times New Roman" w:hAnsi="Times New Roman"/>
          <w:b/>
          <w:sz w:val="20"/>
        </w:rPr>
        <w:t xml:space="preserve">Note 10 - Subsequent Events </w:t>
      </w:r>
    </w:p>
    <w:p>
      <w:pPr>
        <w:pStyle w:val="TextBody"/>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Based upon this review, other than described below, the Company did not identify any subsequent events that would have required adjustment or disclosure in these financial statements. </w:t>
      </w:r>
    </w:p>
    <w:p>
      <w:pPr>
        <w:pStyle w:val="TextBody"/>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 - FINANCIAL INFORMATION </w:t>
      </w:r>
    </w:p>
    <w:p>
      <w:pPr>
        <w:pStyle w:val="TextBody"/>
        <w:spacing w:before="240" w:after="0"/>
        <w:jc w:val="left"/>
        <w:rPr>
          <w:rFonts w:ascii="Times New Roman" w:hAnsi="Times New Roman"/>
          <w:b/>
          <w:sz w:val="20"/>
        </w:rPr>
      </w:pPr>
      <w:r>
        <w:rPr>
          <w:rFonts w:ascii="Times New Roman" w:hAnsi="Times New Roman"/>
          <w:b/>
          <w:sz w:val="20"/>
        </w:rPr>
        <w:t xml:space="preserve">Item 1. Financial Statements. </w:t>
      </w:r>
    </w:p>
    <w:p>
      <w:pPr>
        <w:pStyle w:val="TextBody"/>
        <w:spacing w:before="24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2" w:name="fin309194_51"/>
      <w:bookmarkEnd w:id="52"/>
      <w:r>
        <w:rPr>
          <w:rFonts w:ascii="Times New Roman" w:hAnsi="Times New Roman"/>
          <w:b/>
          <w:sz w:val="20"/>
        </w:rPr>
        <w:t xml:space="preserve">CONDENSED 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82"/>
        <w:gridCol w:w="213"/>
        <w:gridCol w:w="145"/>
        <w:gridCol w:w="1271"/>
        <w:gridCol w:w="156"/>
        <w:gridCol w:w="181"/>
        <w:gridCol w:w="154"/>
        <w:gridCol w:w="1374"/>
        <w:gridCol w:w="163"/>
      </w:tblGrid>
      <w:tr>
        <w:trPr/>
        <w:tc>
          <w:tcPr>
            <w:tcW w:w="688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688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2022</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September 30,</w:t>
              <w:br/>
              <w:t>2022</w:t>
            </w:r>
          </w:p>
        </w:tc>
        <w:tc>
          <w:tcPr>
            <w:tcW w:w="163" w:type="dxa"/>
            <w:tcBorders/>
            <w:shd w:fill="auto"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283"/>
              <w:jc w:val="center"/>
              <w:rPr>
                <w:b/>
              </w:rPr>
            </w:pPr>
            <w:r>
              <w:rPr>
                <w:b/>
              </w:rPr>
              <w:t>(Unaudited)</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28" w:type="dxa"/>
            <w:gridSpan w:val="2"/>
            <w:tcBorders/>
            <w:shd w:fill="auto" w:val="clear"/>
            <w:vAlign w:val="bottom"/>
          </w:tcPr>
          <w:p>
            <w:pPr>
              <w:pStyle w:val="TableContents"/>
              <w:spacing w:before="0" w:after="283"/>
              <w:jc w:val="center"/>
              <w:rPr>
                <w:b/>
              </w:rPr>
            </w:pPr>
            <w:r>
              <w:rPr>
                <w:b/>
              </w:rPr>
              <w:t>(Audited)</w:t>
            </w:r>
          </w:p>
        </w:tc>
        <w:tc>
          <w:tcPr>
            <w:tcW w:w="163" w:type="dxa"/>
            <w:tcBorders/>
            <w:shd w:fill="auto" w:val="clear"/>
            <w:vAlign w:val="bottom"/>
          </w:tcPr>
          <w:p>
            <w:pPr>
              <w:pStyle w:val="TableContents"/>
              <w:spacing w:before="0" w:after="283"/>
              <w:rPr/>
            </w:pPr>
            <w:r>
              <w:rPr/>
              <w:t> </w:t>
            </w:r>
          </w:p>
        </w:tc>
      </w:tr>
      <w:tr>
        <w:trPr/>
        <w:tc>
          <w:tcPr>
            <w:tcW w:w="6882"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27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1374"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882" w:type="dxa"/>
            <w:tcBorders/>
            <w:shd w:fill="auto" w:val="clear"/>
          </w:tcPr>
          <w:p>
            <w:pPr>
              <w:pStyle w:val="TableContents"/>
              <w:spacing w:before="0" w:after="0"/>
              <w:rPr>
                <w:rFonts w:ascii="Times New Roman" w:hAnsi="Times New Roman"/>
                <w:sz w:val="20"/>
              </w:rPr>
            </w:pPr>
            <w:r>
              <w:rPr>
                <w:rFonts w:ascii="Times New Roman" w:hAnsi="Times New Roman"/>
                <w:sz w:val="20"/>
              </w:rPr>
              <w:t>Cash</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1271" w:type="dxa"/>
            <w:tcBorders/>
            <w:shd w:fill="auto" w:val="clear"/>
            <w:vAlign w:val="bottom"/>
          </w:tcPr>
          <w:p>
            <w:pPr>
              <w:pStyle w:val="TableContents"/>
              <w:spacing w:before="0" w:after="283"/>
              <w:jc w:val="right"/>
              <w:rPr/>
            </w:pPr>
            <w:r>
              <w:rPr/>
              <w:t>363,247</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w:t>
            </w:r>
          </w:p>
        </w:tc>
        <w:tc>
          <w:tcPr>
            <w:tcW w:w="1374" w:type="dxa"/>
            <w:tcBorders/>
            <w:shd w:fill="auto" w:val="clear"/>
            <w:vAlign w:val="bottom"/>
          </w:tcPr>
          <w:p>
            <w:pPr>
              <w:pStyle w:val="TableContents"/>
              <w:spacing w:before="0" w:after="283"/>
              <w:jc w:val="right"/>
              <w:rPr/>
            </w:pPr>
            <w:r>
              <w:rPr/>
              <w:t>177,578</w:t>
            </w:r>
          </w:p>
        </w:tc>
        <w:tc>
          <w:tcPr>
            <w:tcW w:w="163" w:type="dxa"/>
            <w:tcBorders/>
            <w:shd w:fill="auto" w:val="clear"/>
            <w:vAlign w:val="bottom"/>
          </w:tcPr>
          <w:p>
            <w:pPr>
              <w:pStyle w:val="TableContents"/>
              <w:spacing w:before="0" w:after="283"/>
              <w:rPr/>
            </w:pPr>
            <w:r>
              <w:rPr/>
              <w:t> </w:t>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6,264</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61,942</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current assets</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369,511</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239,520</w:t>
            </w:r>
          </w:p>
        </w:tc>
        <w:tc>
          <w:tcPr>
            <w:tcW w:w="163" w:type="dxa"/>
            <w:tcBorders/>
            <w:shd w:fill="auto"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Investment held in Trust Account</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153,634,598</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150,844,925</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Assets</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b/>
              </w:rPr>
            </w:pPr>
            <w:r>
              <w:rPr>
                <w:b/>
              </w:rPr>
              <w:t>$</w:t>
            </w:r>
          </w:p>
        </w:tc>
        <w:tc>
          <w:tcPr>
            <w:tcW w:w="1271" w:type="dxa"/>
            <w:tcBorders/>
            <w:shd w:fill="auto" w:val="clear"/>
            <w:vAlign w:val="bottom"/>
          </w:tcPr>
          <w:p>
            <w:pPr>
              <w:pStyle w:val="TableContents"/>
              <w:spacing w:before="0" w:after="283"/>
              <w:jc w:val="right"/>
              <w:rPr>
                <w:b/>
              </w:rPr>
            </w:pPr>
            <w:r>
              <w:rPr>
                <w:b/>
              </w:rPr>
              <w:t>154,004,109</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b/>
              </w:rPr>
            </w:pPr>
            <w:r>
              <w:rPr>
                <w:b/>
              </w:rPr>
              <w:t>$</w:t>
            </w:r>
          </w:p>
        </w:tc>
        <w:tc>
          <w:tcPr>
            <w:tcW w:w="1374" w:type="dxa"/>
            <w:tcBorders/>
            <w:shd w:fill="auto" w:val="clear"/>
            <w:vAlign w:val="bottom"/>
          </w:tcPr>
          <w:p>
            <w:pPr>
              <w:pStyle w:val="TableContents"/>
              <w:spacing w:before="0" w:after="283"/>
              <w:jc w:val="right"/>
              <w:rPr>
                <w:b/>
              </w:rPr>
            </w:pPr>
            <w:r>
              <w:rPr>
                <w:b/>
              </w:rPr>
              <w:t>151,084,445</w:t>
            </w:r>
          </w:p>
        </w:tc>
        <w:tc>
          <w:tcPr>
            <w:tcW w:w="163" w:type="dxa"/>
            <w:tcBorders/>
            <w:shd w:fill="auto"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71"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double" w:sz="6" w:space="1" w:color="000000"/>
              </w:pBdr>
              <w:spacing w:before="0" w:after="0"/>
              <w:rPr/>
            </w:pPr>
            <w:r>
              <w:rPr/>
              <w:t> </w:t>
            </w:r>
          </w:p>
        </w:tc>
        <w:tc>
          <w:tcPr>
            <w:tcW w:w="1374"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Common Stock Subject to Possible Redemption and Stockholders Deficit</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1271"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sz w:val="4"/>
                <w:szCs w:val="4"/>
              </w:rPr>
            </w:pPr>
            <w:r>
              <w:rPr>
                <w:sz w:val="4"/>
                <w:szCs w:val="4"/>
              </w:rPr>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1374"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6882" w:type="dxa"/>
            <w:tcBorders/>
            <w:shd w:fill="auto"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27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1374"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1271" w:type="dxa"/>
            <w:tcBorders/>
            <w:shd w:fill="CCEEFF" w:val="clear"/>
            <w:vAlign w:val="bottom"/>
          </w:tcPr>
          <w:p>
            <w:pPr>
              <w:pStyle w:val="TableContents"/>
              <w:spacing w:before="0" w:after="283"/>
              <w:jc w:val="right"/>
              <w:rPr/>
            </w:pPr>
            <w:r>
              <w:rPr/>
              <w:t>3,161,878</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w:t>
            </w:r>
          </w:p>
        </w:tc>
        <w:tc>
          <w:tcPr>
            <w:tcW w:w="1374" w:type="dxa"/>
            <w:tcBorders/>
            <w:shd w:fill="CCEEFF" w:val="clear"/>
            <w:vAlign w:val="bottom"/>
          </w:tcPr>
          <w:p>
            <w:pPr>
              <w:pStyle w:val="TableContents"/>
              <w:spacing w:before="0" w:after="283"/>
              <w:jc w:val="right"/>
              <w:rPr/>
            </w:pPr>
            <w:r>
              <w:rPr/>
              <w:t>3,137,535</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sz w:val="20"/>
              </w:rPr>
            </w:pPr>
            <w:r>
              <w:rPr>
                <w:rFonts w:ascii="Times New Roman" w:hAnsi="Times New Roman"/>
                <w:sz w:val="20"/>
              </w:rPr>
              <w:t>Franchise tax payable</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200,000</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150,000</w:t>
            </w:r>
          </w:p>
        </w:tc>
        <w:tc>
          <w:tcPr>
            <w:tcW w:w="163" w:type="dxa"/>
            <w:tcBorders/>
            <w:shd w:fill="auto" w:val="clear"/>
            <w:vAlign w:val="bottom"/>
          </w:tcPr>
          <w:p>
            <w:pPr>
              <w:pStyle w:val="TableContents"/>
              <w:spacing w:before="0" w:after="283"/>
              <w:rPr/>
            </w:pPr>
            <w:r>
              <w:rPr/>
              <w:t> </w:t>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payable</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405,952</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145,621</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sz w:val="20"/>
              </w:rPr>
            </w:pPr>
            <w:r>
              <w:rPr>
                <w:rFonts w:ascii="Times New Roman" w:hAnsi="Times New Roman"/>
                <w:sz w:val="20"/>
              </w:rPr>
              <w:t>Promissory Notes-Related Party</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2,201,754</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251,754</w:t>
            </w:r>
          </w:p>
        </w:tc>
        <w:tc>
          <w:tcPr>
            <w:tcW w:w="163" w:type="dxa"/>
            <w:tcBorders/>
            <w:shd w:fill="auto"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5,969,584</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b/>
              </w:rPr>
            </w:pPr>
            <w:r>
              <w:rPr>
                <w:b/>
              </w:rPr>
              <w:t>3,684,910</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b/>
                <w:sz w:val="20"/>
              </w:rPr>
            </w:pPr>
            <w:r>
              <w:rPr>
                <w:rFonts w:ascii="Times New Roman" w:hAnsi="Times New Roman"/>
                <w:b/>
                <w:sz w:val="20"/>
              </w:rPr>
              <w:t>Commitments and Contingencies (Note 4)</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27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1374"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subject to possible redemption, 15,000,000 shares at redemption value of $10.20 and $10.04 per share at December 31, 2022 and September 30, 2022, respectively</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153,028,205</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150,548,862</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b/>
                <w:sz w:val="20"/>
              </w:rPr>
            </w:pPr>
            <w:r>
              <w:rPr>
                <w:rFonts w:ascii="Times New Roman" w:hAnsi="Times New Roman"/>
                <w:b/>
                <w:sz w:val="20"/>
              </w:rPr>
              <w:t>Stockholders Deficit:</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127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1374"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stock, $0.0001 par value; 1,000,000 shares authorized; none issued or outstanding</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$0.0001 par value; 100,000,000 shares authorized, 5,709,500 shares issued and outstanding (excluding 15,000,000 shares subject to possible redemption) at December 31, 2022 and September 30, 2022</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570</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570</w:t>
            </w:r>
          </w:p>
        </w:tc>
        <w:tc>
          <w:tcPr>
            <w:tcW w:w="163" w:type="dxa"/>
            <w:tcBorders/>
            <w:shd w:fill="auto" w:val="clear"/>
            <w:vAlign w:val="bottom"/>
          </w:tcPr>
          <w:p>
            <w:pPr>
              <w:pStyle w:val="TableContents"/>
              <w:spacing w:before="0" w:after="283"/>
              <w:rPr/>
            </w:pPr>
            <w:r>
              <w:rPr/>
              <w:t> </w:t>
            </w:r>
          </w:p>
        </w:tc>
      </w:tr>
      <w:tr>
        <w:trPr/>
        <w:tc>
          <w:tcPr>
            <w:tcW w:w="6882"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pPr>
            <w:r>
              <w:rPr/>
              <w:t>969,759</w:t>
            </w:r>
          </w:p>
        </w:tc>
        <w:tc>
          <w:tcPr>
            <w:tcW w:w="15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pPr>
            <w:r>
              <w:rPr/>
              <w:t>941,796</w:t>
            </w:r>
          </w:p>
        </w:tc>
        <w:tc>
          <w:tcPr>
            <w:tcW w:w="163" w:type="dxa"/>
            <w:tcBorders/>
            <w:shd w:fill="CCEEFF" w:val="clear"/>
            <w:vAlign w:val="bottom"/>
          </w:tcPr>
          <w:p>
            <w:pPr>
              <w:pStyle w:val="TableContents"/>
              <w:spacing w:before="0" w:after="283"/>
              <w:rPr/>
            </w:pPr>
            <w:r>
              <w:rPr/>
              <w:t> </w:t>
            </w:r>
          </w:p>
        </w:tc>
      </w:tr>
      <w:tr>
        <w:trPr/>
        <w:tc>
          <w:tcPr>
            <w:tcW w:w="6882"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1271" w:type="dxa"/>
            <w:tcBorders/>
            <w:shd w:fill="auto" w:val="clear"/>
            <w:vAlign w:val="bottom"/>
          </w:tcPr>
          <w:p>
            <w:pPr>
              <w:pStyle w:val="TableContents"/>
              <w:spacing w:before="0" w:after="283"/>
              <w:jc w:val="right"/>
              <w:rPr/>
            </w:pPr>
            <w:r>
              <w:rPr/>
              <w:t>(5,964,009</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374" w:type="dxa"/>
            <w:tcBorders/>
            <w:shd w:fill="auto" w:val="clear"/>
            <w:vAlign w:val="bottom"/>
          </w:tcPr>
          <w:p>
            <w:pPr>
              <w:pStyle w:val="TableContents"/>
              <w:spacing w:before="0" w:after="283"/>
              <w:jc w:val="right"/>
              <w:rPr/>
            </w:pPr>
            <w:r>
              <w:rPr/>
              <w:t>(4,091,693</w:t>
            </w:r>
          </w:p>
        </w:tc>
        <w:tc>
          <w:tcPr>
            <w:tcW w:w="163" w:type="dxa"/>
            <w:tcBorders/>
            <w:shd w:fill="auto"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Total Stockholders Deficit</w:t>
            </w:r>
          </w:p>
        </w:tc>
        <w:tc>
          <w:tcPr>
            <w:tcW w:w="213"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1271" w:type="dxa"/>
            <w:tcBorders/>
            <w:shd w:fill="CCEEFF" w:val="clear"/>
            <w:vAlign w:val="bottom"/>
          </w:tcPr>
          <w:p>
            <w:pPr>
              <w:pStyle w:val="TableContents"/>
              <w:spacing w:before="0" w:after="283"/>
              <w:jc w:val="right"/>
              <w:rPr>
                <w:b/>
              </w:rPr>
            </w:pPr>
            <w:r>
              <w:rPr>
                <w:b/>
              </w:rPr>
              <w:t>(4,993,680</w:t>
            </w:r>
          </w:p>
        </w:tc>
        <w:tc>
          <w:tcPr>
            <w:tcW w:w="156" w:type="dxa"/>
            <w:tcBorders/>
            <w:shd w:fill="CCEEFF" w:val="clear"/>
            <w:vAlign w:val="bottom"/>
          </w:tcPr>
          <w:p>
            <w:pPr>
              <w:pStyle w:val="TableContents"/>
              <w:spacing w:before="0" w:after="283"/>
              <w:rPr>
                <w:b/>
              </w:rPr>
            </w:pPr>
            <w:r>
              <w:rPr>
                <w:b/>
              </w:rPr>
              <w:t>) </w:t>
            </w:r>
          </w:p>
        </w:tc>
        <w:tc>
          <w:tcPr>
            <w:tcW w:w="1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374" w:type="dxa"/>
            <w:tcBorders/>
            <w:shd w:fill="CCEEFF" w:val="clear"/>
            <w:vAlign w:val="bottom"/>
          </w:tcPr>
          <w:p>
            <w:pPr>
              <w:pStyle w:val="TableContents"/>
              <w:spacing w:before="0" w:after="283"/>
              <w:jc w:val="right"/>
              <w:rPr>
                <w:b/>
              </w:rPr>
            </w:pPr>
            <w:r>
              <w:rPr>
                <w:b/>
              </w:rPr>
              <w:t>(3,149,327</w:t>
            </w:r>
          </w:p>
        </w:tc>
        <w:tc>
          <w:tcPr>
            <w:tcW w:w="163" w:type="dxa"/>
            <w:tcBorders/>
            <w:shd w:fill="CCEEFF" w:val="clear"/>
            <w:vAlign w:val="bottom"/>
          </w:tcPr>
          <w:p>
            <w:pPr>
              <w:pStyle w:val="TableContents"/>
              <w:spacing w:before="0" w:after="283"/>
              <w:rPr>
                <w:b/>
              </w:rPr>
            </w:pPr>
            <w:r>
              <w:rPr>
                <w:b/>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1271"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37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6882"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Total Liabilities, Common Stock Subject to Possible Redemption and Stockholders Deficit</w:t>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b/>
              </w:rPr>
            </w:pPr>
            <w:r>
              <w:rPr>
                <w:b/>
              </w:rPr>
              <w:t>$</w:t>
            </w:r>
          </w:p>
        </w:tc>
        <w:tc>
          <w:tcPr>
            <w:tcW w:w="1271" w:type="dxa"/>
            <w:tcBorders/>
            <w:shd w:fill="auto" w:val="clear"/>
            <w:vAlign w:val="bottom"/>
          </w:tcPr>
          <w:p>
            <w:pPr>
              <w:pStyle w:val="TableContents"/>
              <w:spacing w:before="0" w:after="283"/>
              <w:jc w:val="right"/>
              <w:rPr>
                <w:b/>
              </w:rPr>
            </w:pPr>
            <w:r>
              <w:rPr>
                <w:b/>
              </w:rPr>
              <w:t>154,004,109</w:t>
            </w:r>
          </w:p>
        </w:tc>
        <w:tc>
          <w:tcPr>
            <w:tcW w:w="15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b/>
              </w:rPr>
            </w:pPr>
            <w:r>
              <w:rPr>
                <w:b/>
              </w:rPr>
              <w:t>$</w:t>
            </w:r>
          </w:p>
        </w:tc>
        <w:tc>
          <w:tcPr>
            <w:tcW w:w="1374" w:type="dxa"/>
            <w:tcBorders/>
            <w:shd w:fill="auto" w:val="clear"/>
            <w:vAlign w:val="bottom"/>
          </w:tcPr>
          <w:p>
            <w:pPr>
              <w:pStyle w:val="TableContents"/>
              <w:spacing w:before="0" w:after="283"/>
              <w:jc w:val="right"/>
              <w:rPr>
                <w:b/>
              </w:rPr>
            </w:pPr>
            <w:r>
              <w:rPr>
                <w:b/>
              </w:rPr>
              <w:t>151,084,445</w:t>
            </w:r>
          </w:p>
        </w:tc>
        <w:tc>
          <w:tcPr>
            <w:tcW w:w="163" w:type="dxa"/>
            <w:tcBorders/>
            <w:shd w:fill="auto" w:val="clear"/>
            <w:vAlign w:val="bottom"/>
          </w:tcPr>
          <w:p>
            <w:pPr>
              <w:pStyle w:val="TableContents"/>
              <w:spacing w:before="0" w:after="283"/>
              <w:rPr/>
            </w:pPr>
            <w:r>
              <w:rPr/>
              <w:t> </w:t>
            </w:r>
          </w:p>
        </w:tc>
      </w:tr>
      <w:tr>
        <w:trPr/>
        <w:tc>
          <w:tcPr>
            <w:tcW w:w="6882"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0"/>
              <w:rPr/>
            </w:pPr>
            <w:r>
              <w:rPr/>
              <w:t> </w:t>
            </w:r>
          </w:p>
        </w:tc>
        <w:tc>
          <w:tcPr>
            <w:tcW w:w="1271"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double" w:sz="6" w:space="1" w:color="000000"/>
              </w:pBdr>
              <w:spacing w:before="0" w:after="0"/>
              <w:rPr/>
            </w:pPr>
            <w:r>
              <w:rPr/>
              <w:t> </w:t>
            </w:r>
          </w:p>
        </w:tc>
        <w:tc>
          <w:tcPr>
            <w:tcW w:w="1374"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3" w:name="fin309194_52"/>
      <w:bookmarkEnd w:id="53"/>
      <w:r>
        <w:rPr>
          <w:rFonts w:ascii="Times New Roman" w:hAnsi="Times New Roman"/>
          <w:b/>
          <w:sz w:val="20"/>
        </w:rPr>
        <w:t xml:space="preserve">CONDENSED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81"/>
        <w:gridCol w:w="537"/>
        <w:gridCol w:w="220"/>
        <w:gridCol w:w="1739"/>
        <w:gridCol w:w="155"/>
        <w:gridCol w:w="490"/>
        <w:gridCol w:w="220"/>
        <w:gridCol w:w="1739"/>
        <w:gridCol w:w="158"/>
      </w:tblGrid>
      <w:tr>
        <w:trPr/>
        <w:tc>
          <w:tcPr>
            <w:tcW w:w="5281"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281"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rPr/>
            </w:pPr>
            <w:r>
              <w:rPr/>
              <w:t>  </w:t>
            </w:r>
          </w:p>
        </w:tc>
        <w:tc>
          <w:tcPr>
            <w:tcW w:w="456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r>
          </w:p>
        </w:tc>
        <w:tc>
          <w:tcPr>
            <w:tcW w:w="158" w:type="dxa"/>
            <w:tcBorders/>
            <w:shd w:fill="auto" w:val="clear"/>
            <w:vAlign w:val="bottom"/>
          </w:tcPr>
          <w:p>
            <w:pPr>
              <w:pStyle w:val="TableContents"/>
              <w:spacing w:before="0" w:after="283"/>
              <w:rPr/>
            </w:pPr>
            <w:r>
              <w:rPr/>
              <w:t> </w:t>
            </w:r>
          </w:p>
        </w:tc>
      </w:tr>
      <w:tr>
        <w:trPr/>
        <w:tc>
          <w:tcPr>
            <w:tcW w:w="5281"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rPr/>
            </w:pPr>
            <w:r>
              <w:rPr/>
              <w:t>  </w:t>
            </w:r>
          </w:p>
        </w:tc>
        <w:tc>
          <w:tcPr>
            <w:tcW w:w="19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2022</w:t>
            </w:r>
          </w:p>
        </w:tc>
        <w:tc>
          <w:tcPr>
            <w:tcW w:w="15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19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 2021</w:t>
            </w:r>
          </w:p>
        </w:tc>
        <w:tc>
          <w:tcPr>
            <w:tcW w:w="158" w:type="dxa"/>
            <w:tcBorders/>
            <w:shd w:fill="auto" w:val="clear"/>
            <w:vAlign w:val="bottom"/>
          </w:tcPr>
          <w:p>
            <w:pPr>
              <w:pStyle w:val="TableContents"/>
              <w:spacing w:before="0" w:after="283"/>
              <w:rPr/>
            </w:pPr>
            <w:r>
              <w:rPr/>
              <w:t> </w:t>
            </w:r>
          </w:p>
        </w:tc>
      </w:tr>
      <w:tr>
        <w:trPr/>
        <w:tc>
          <w:tcPr>
            <w:tcW w:w="5281"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1739" w:type="dxa"/>
            <w:tcBorders/>
            <w:shd w:fill="CCEEFF" w:val="clear"/>
            <w:vAlign w:val="bottom"/>
          </w:tcPr>
          <w:p>
            <w:pPr>
              <w:pStyle w:val="TableContents"/>
              <w:spacing w:before="0" w:after="283"/>
              <w:jc w:val="right"/>
              <w:rPr/>
            </w:pPr>
            <w:r>
              <w:rPr/>
              <w:t>394,352</w:t>
            </w:r>
          </w:p>
        </w:tc>
        <w:tc>
          <w:tcPr>
            <w:tcW w:w="15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1739" w:type="dxa"/>
            <w:tcBorders/>
            <w:shd w:fill="CCEEFF" w:val="clear"/>
            <w:vAlign w:val="bottom"/>
          </w:tcPr>
          <w:p>
            <w:pPr>
              <w:pStyle w:val="TableContents"/>
              <w:spacing w:before="0" w:after="283"/>
              <w:jc w:val="right"/>
              <w:rPr/>
            </w:pPr>
            <w:r>
              <w:rPr/>
              <w:t>2,010,995</w:t>
            </w:r>
          </w:p>
        </w:tc>
        <w:tc>
          <w:tcPr>
            <w:tcW w:w="158" w:type="dxa"/>
            <w:tcBorders/>
            <w:shd w:fill="CCEEFF" w:val="clear"/>
            <w:vAlign w:val="bottom"/>
          </w:tcPr>
          <w:p>
            <w:pPr>
              <w:pStyle w:val="TableContents"/>
              <w:spacing w:before="0" w:after="283"/>
              <w:rPr/>
            </w:pPr>
            <w:r>
              <w:rPr/>
              <w:t> </w:t>
            </w:r>
          </w:p>
        </w:tc>
      </w:tr>
      <w:tr>
        <w:trPr/>
        <w:tc>
          <w:tcPr>
            <w:tcW w:w="5281"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27,963</w:t>
            </w:r>
          </w:p>
        </w:tc>
        <w:tc>
          <w:tcPr>
            <w:tcW w:w="15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27,963</w:t>
            </w:r>
          </w:p>
        </w:tc>
        <w:tc>
          <w:tcPr>
            <w:tcW w:w="158" w:type="dxa"/>
            <w:tcBorders/>
            <w:shd w:fill="auto" w:val="clear"/>
            <w:vAlign w:val="bottom"/>
          </w:tcPr>
          <w:p>
            <w:pPr>
              <w:pStyle w:val="TableContents"/>
              <w:spacing w:before="0" w:after="283"/>
              <w:rPr/>
            </w:pPr>
            <w:r>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Loss from operations</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b/>
              </w:rPr>
            </w:pPr>
            <w:r>
              <w:rPr>
                <w:b/>
              </w:rPr>
              <w:t>(422,315</w:t>
            </w:r>
          </w:p>
        </w:tc>
        <w:tc>
          <w:tcPr>
            <w:tcW w:w="155" w:type="dxa"/>
            <w:tcBorders/>
            <w:shd w:fill="CCEEFF" w:val="clear"/>
            <w:vAlign w:val="bottom"/>
          </w:tcPr>
          <w:p>
            <w:pPr>
              <w:pStyle w:val="TableContents"/>
              <w:spacing w:before="0" w:after="283"/>
              <w:rPr>
                <w:b/>
              </w:rPr>
            </w:pPr>
            <w:r>
              <w:rPr>
                <w:b/>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b/>
              </w:rPr>
            </w:pPr>
            <w:r>
              <w:rPr>
                <w:b/>
              </w:rPr>
              <w:t>(2,038,958</w:t>
            </w:r>
          </w:p>
        </w:tc>
        <w:tc>
          <w:tcPr>
            <w:tcW w:w="158" w:type="dxa"/>
            <w:tcBorders/>
            <w:shd w:fill="CCEEFF" w:val="clear"/>
            <w:vAlign w:val="bottom"/>
          </w:tcPr>
          <w:p>
            <w:pPr>
              <w:pStyle w:val="TableContents"/>
              <w:spacing w:before="0" w:after="283"/>
              <w:rPr>
                <w:b/>
              </w:rPr>
            </w:pPr>
            <w:r>
              <w:rPr>
                <w:b/>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income</w:t>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173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173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281" w:type="dxa"/>
            <w:tcBorders/>
            <w:shd w:fill="CCEEFF" w:val="clear"/>
          </w:tcPr>
          <w:p>
            <w:pPr>
              <w:pStyle w:val="TableContents"/>
              <w:spacing w:before="0" w:after="0"/>
              <w:rPr>
                <w:rFonts w:ascii="Times New Roman" w:hAnsi="Times New Roman"/>
                <w:sz w:val="20"/>
              </w:rPr>
            </w:pPr>
            <w:r>
              <w:rPr>
                <w:rFonts w:ascii="Times New Roman" w:hAnsi="Times New Roman"/>
                <w:sz w:val="20"/>
              </w:rPr>
              <w:t>Trust interest income</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1,289,673</w:t>
            </w:r>
          </w:p>
        </w:tc>
        <w:tc>
          <w:tcPr>
            <w:tcW w:w="15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2,844</w:t>
            </w:r>
          </w:p>
        </w:tc>
        <w:tc>
          <w:tcPr>
            <w:tcW w:w="158" w:type="dxa"/>
            <w:tcBorders/>
            <w:shd w:fill="CCEEFF" w:val="clear"/>
            <w:vAlign w:val="bottom"/>
          </w:tcPr>
          <w:p>
            <w:pPr>
              <w:pStyle w:val="TableContents"/>
              <w:spacing w:before="0" w:after="283"/>
              <w:rPr/>
            </w:pPr>
            <w:r>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auto" w:val="clear"/>
          </w:tcPr>
          <w:p>
            <w:pPr>
              <w:pStyle w:val="TableContents"/>
              <w:spacing w:before="0" w:after="0"/>
              <w:rPr>
                <w:rFonts w:ascii="Times New Roman" w:hAnsi="Times New Roman"/>
                <w:sz w:val="20"/>
              </w:rPr>
            </w:pPr>
            <w:r>
              <w:rPr>
                <w:rFonts w:ascii="Times New Roman" w:hAnsi="Times New Roman"/>
                <w:sz w:val="20"/>
              </w:rPr>
              <w:t>Total other income</w:t>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1,289,673</w:t>
            </w:r>
          </w:p>
        </w:tc>
        <w:tc>
          <w:tcPr>
            <w:tcW w:w="15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2,844</w:t>
            </w:r>
          </w:p>
        </w:tc>
        <w:tc>
          <w:tcPr>
            <w:tcW w:w="158" w:type="dxa"/>
            <w:tcBorders/>
            <w:shd w:fill="auto" w:val="clear"/>
            <w:vAlign w:val="bottom"/>
          </w:tcPr>
          <w:p>
            <w:pPr>
              <w:pStyle w:val="TableContents"/>
              <w:spacing w:before="0" w:after="283"/>
              <w:rPr/>
            </w:pPr>
            <w:r>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CCEEFF" w:val="clear"/>
          </w:tcPr>
          <w:p>
            <w:pPr>
              <w:pStyle w:val="TableContents"/>
              <w:spacing w:before="0" w:after="0"/>
              <w:rPr>
                <w:rFonts w:ascii="Times New Roman" w:hAnsi="Times New Roman"/>
                <w:sz w:val="20"/>
              </w:rPr>
            </w:pPr>
            <w:r>
              <w:rPr>
                <w:rFonts w:ascii="Times New Roman" w:hAnsi="Times New Roman"/>
                <w:sz w:val="20"/>
              </w:rPr>
              <w:t>Income (loss) before provision for income taxes</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867,358</w:t>
            </w:r>
          </w:p>
        </w:tc>
        <w:tc>
          <w:tcPr>
            <w:tcW w:w="15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739" w:type="dxa"/>
            <w:tcBorders/>
            <w:shd w:fill="CCEEFF" w:val="clear"/>
            <w:vAlign w:val="bottom"/>
          </w:tcPr>
          <w:p>
            <w:pPr>
              <w:pStyle w:val="TableContents"/>
              <w:spacing w:before="0" w:after="283"/>
              <w:jc w:val="right"/>
              <w:rPr/>
            </w:pPr>
            <w:r>
              <w:rPr/>
              <w:t>(2,036,114</w:t>
            </w:r>
          </w:p>
        </w:tc>
        <w:tc>
          <w:tcPr>
            <w:tcW w:w="158" w:type="dxa"/>
            <w:tcBorders/>
            <w:shd w:fill="CCEEFF" w:val="clear"/>
            <w:vAlign w:val="bottom"/>
          </w:tcPr>
          <w:p>
            <w:pPr>
              <w:pStyle w:val="TableContents"/>
              <w:spacing w:before="0" w:after="283"/>
              <w:rPr/>
            </w:pPr>
            <w:r>
              <w:rPr/>
              <w:t>) </w:t>
            </w:r>
          </w:p>
        </w:tc>
      </w:tr>
      <w:tr>
        <w:trPr/>
        <w:tc>
          <w:tcPr>
            <w:tcW w:w="5281"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(260,331</w:t>
            </w:r>
          </w:p>
        </w:tc>
        <w:tc>
          <w:tcPr>
            <w:tcW w:w="15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173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income (loss)</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739" w:type="dxa"/>
            <w:tcBorders/>
            <w:shd w:fill="CCEEFF" w:val="clear"/>
            <w:vAlign w:val="bottom"/>
          </w:tcPr>
          <w:p>
            <w:pPr>
              <w:pStyle w:val="TableContents"/>
              <w:spacing w:before="0" w:after="283"/>
              <w:jc w:val="right"/>
              <w:rPr>
                <w:b/>
              </w:rPr>
            </w:pPr>
            <w:r>
              <w:rPr>
                <w:b/>
              </w:rPr>
              <w:t>607,027</w:t>
            </w:r>
          </w:p>
        </w:tc>
        <w:tc>
          <w:tcPr>
            <w:tcW w:w="15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739" w:type="dxa"/>
            <w:tcBorders/>
            <w:shd w:fill="CCEEFF" w:val="clear"/>
            <w:vAlign w:val="bottom"/>
          </w:tcPr>
          <w:p>
            <w:pPr>
              <w:pStyle w:val="TableContents"/>
              <w:spacing w:before="0" w:after="283"/>
              <w:jc w:val="right"/>
              <w:rPr>
                <w:b/>
              </w:rPr>
            </w:pPr>
            <w:r>
              <w:rPr>
                <w:b/>
              </w:rPr>
              <w:t>(2,036,114</w:t>
            </w:r>
          </w:p>
        </w:tc>
        <w:tc>
          <w:tcPr>
            <w:tcW w:w="158" w:type="dxa"/>
            <w:tcBorders/>
            <w:shd w:fill="CCEEFF" w:val="clear"/>
            <w:vAlign w:val="bottom"/>
          </w:tcPr>
          <w:p>
            <w:pPr>
              <w:pStyle w:val="TableContents"/>
              <w:spacing w:before="0" w:after="283"/>
              <w:rPr>
                <w:b/>
              </w:rPr>
            </w:pPr>
            <w:r>
              <w:rPr>
                <w:b/>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15,000,000</w:t>
            </w:r>
          </w:p>
        </w:tc>
        <w:tc>
          <w:tcPr>
            <w:tcW w:w="15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15,000,000</w:t>
            </w:r>
          </w:p>
        </w:tc>
        <w:tc>
          <w:tcPr>
            <w:tcW w:w="158" w:type="dxa"/>
            <w:tcBorders/>
            <w:shd w:fill="auto" w:val="clear"/>
            <w:vAlign w:val="bottom"/>
          </w:tcPr>
          <w:p>
            <w:pPr>
              <w:pStyle w:val="TableContents"/>
              <w:spacing w:before="0" w:after="283"/>
              <w:rPr/>
            </w:pPr>
            <w:r>
              <w:rPr/>
              <w:t> </w:t>
            </w:r>
          </w:p>
        </w:tc>
      </w:tr>
      <w:tr>
        <w:trPr/>
        <w:tc>
          <w:tcPr>
            <w:tcW w:w="528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Basic and diluted net income (loss) per share</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739" w:type="dxa"/>
            <w:tcBorders/>
            <w:shd w:fill="CCEEFF" w:val="clear"/>
            <w:vAlign w:val="bottom"/>
          </w:tcPr>
          <w:p>
            <w:pPr>
              <w:pStyle w:val="TableContents"/>
              <w:spacing w:before="0" w:after="283"/>
              <w:jc w:val="right"/>
              <w:rPr>
                <w:b/>
              </w:rPr>
            </w:pPr>
            <w:r>
              <w:rPr>
                <w:b/>
              </w:rPr>
              <w:t>0.03</w:t>
            </w:r>
          </w:p>
        </w:tc>
        <w:tc>
          <w:tcPr>
            <w:tcW w:w="15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739" w:type="dxa"/>
            <w:tcBorders/>
            <w:shd w:fill="CCEEFF" w:val="clear"/>
            <w:vAlign w:val="bottom"/>
          </w:tcPr>
          <w:p>
            <w:pPr>
              <w:pStyle w:val="TableContents"/>
              <w:spacing w:before="0" w:after="283"/>
              <w:jc w:val="right"/>
              <w:rPr>
                <w:b/>
              </w:rPr>
            </w:pPr>
            <w:r>
              <w:rPr>
                <w:b/>
              </w:rPr>
              <w:t>(0.10</w:t>
            </w:r>
          </w:p>
        </w:tc>
        <w:tc>
          <w:tcPr>
            <w:tcW w:w="158" w:type="dxa"/>
            <w:tcBorders/>
            <w:shd w:fill="CCEEFF" w:val="clear"/>
            <w:vAlign w:val="bottom"/>
          </w:tcPr>
          <w:p>
            <w:pPr>
              <w:pStyle w:val="TableContents"/>
              <w:spacing w:before="0" w:after="283"/>
              <w:rPr>
                <w:b/>
              </w:rPr>
            </w:pPr>
            <w:r>
              <w:rPr>
                <w:b/>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281"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non-redeemable common stock</w:t>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739" w:type="dxa"/>
            <w:tcBorders/>
            <w:shd w:fill="auto" w:val="clear"/>
            <w:vAlign w:val="bottom"/>
          </w:tcPr>
          <w:p>
            <w:pPr>
              <w:pStyle w:val="TableContents"/>
              <w:spacing w:before="0" w:after="283"/>
              <w:jc w:val="right"/>
              <w:rPr/>
            </w:pPr>
            <w:r>
              <w:rPr/>
              <w:t>5,709,500</w:t>
            </w:r>
          </w:p>
        </w:tc>
        <w:tc>
          <w:tcPr>
            <w:tcW w:w="158" w:type="dxa"/>
            <w:tcBorders/>
            <w:shd w:fill="auto" w:val="clear"/>
            <w:vAlign w:val="bottom"/>
          </w:tcPr>
          <w:p>
            <w:pPr>
              <w:pStyle w:val="TableContents"/>
              <w:spacing w:before="0" w:after="283"/>
              <w:rPr/>
            </w:pPr>
            <w:r>
              <w:rPr/>
              <w:t> </w:t>
            </w:r>
          </w:p>
        </w:tc>
      </w:tr>
      <w:tr>
        <w:trPr/>
        <w:tc>
          <w:tcPr>
            <w:tcW w:w="5281"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Basic and diluted net income (loss) per share</w:t>
            </w:r>
          </w:p>
        </w:tc>
        <w:tc>
          <w:tcPr>
            <w:tcW w:w="53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739" w:type="dxa"/>
            <w:tcBorders/>
            <w:shd w:fill="CCEEFF" w:val="clear"/>
            <w:vAlign w:val="bottom"/>
          </w:tcPr>
          <w:p>
            <w:pPr>
              <w:pStyle w:val="TableContents"/>
              <w:spacing w:before="0" w:after="283"/>
              <w:jc w:val="right"/>
              <w:rPr>
                <w:b/>
              </w:rPr>
            </w:pPr>
            <w:r>
              <w:rPr>
                <w:b/>
              </w:rPr>
              <w:t>0.03</w:t>
            </w:r>
          </w:p>
        </w:tc>
        <w:tc>
          <w:tcPr>
            <w:tcW w:w="155" w:type="dxa"/>
            <w:tcBorders/>
            <w:shd w:fill="CCEEFF" w:val="clear"/>
            <w:vAlign w:val="bottom"/>
          </w:tcPr>
          <w:p>
            <w:pPr>
              <w:pStyle w:val="TableContents"/>
              <w:spacing w:before="0" w:after="283"/>
              <w:rPr/>
            </w:pPr>
            <w:r>
              <w:rPr/>
              <w:t> </w:t>
            </w:r>
          </w:p>
        </w:tc>
        <w:tc>
          <w:tcPr>
            <w:tcW w:w="49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b/>
              </w:rPr>
            </w:pPr>
            <w:r>
              <w:rPr>
                <w:b/>
              </w:rPr>
              <w:t>$</w:t>
            </w:r>
          </w:p>
        </w:tc>
        <w:tc>
          <w:tcPr>
            <w:tcW w:w="1739" w:type="dxa"/>
            <w:tcBorders/>
            <w:shd w:fill="CCEEFF" w:val="clear"/>
            <w:vAlign w:val="bottom"/>
          </w:tcPr>
          <w:p>
            <w:pPr>
              <w:pStyle w:val="TableContents"/>
              <w:spacing w:before="0" w:after="283"/>
              <w:jc w:val="right"/>
              <w:rPr>
                <w:b/>
              </w:rPr>
            </w:pPr>
            <w:r>
              <w:rPr>
                <w:b/>
              </w:rPr>
              <w:t>(0.10</w:t>
            </w:r>
          </w:p>
        </w:tc>
        <w:tc>
          <w:tcPr>
            <w:tcW w:w="158" w:type="dxa"/>
            <w:tcBorders/>
            <w:shd w:fill="CCEEFF" w:val="clear"/>
            <w:vAlign w:val="bottom"/>
          </w:tcPr>
          <w:p>
            <w:pPr>
              <w:pStyle w:val="TableContents"/>
              <w:spacing w:before="0" w:after="283"/>
              <w:rPr>
                <w:b/>
              </w:rPr>
            </w:pPr>
            <w:r>
              <w:rPr>
                <w:b/>
              </w:rPr>
              <w:t>) </w:t>
            </w:r>
          </w:p>
        </w:tc>
      </w:tr>
      <w:tr>
        <w:trPr/>
        <w:tc>
          <w:tcPr>
            <w:tcW w:w="5281"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double" w:sz="6" w:space="1" w:color="000000"/>
              </w:pBdr>
              <w:spacing w:before="0" w:after="0"/>
              <w:rPr/>
            </w:pPr>
            <w:r>
              <w:rPr/>
              <w:t> </w:t>
            </w:r>
          </w:p>
        </w:tc>
        <w:tc>
          <w:tcPr>
            <w:tcW w:w="173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4" w:name="fin309194_53"/>
      <w:bookmarkEnd w:id="54"/>
      <w:r>
        <w:rPr>
          <w:rFonts w:ascii="Times New Roman" w:hAnsi="Times New Roman"/>
          <w:b/>
          <w:sz w:val="20"/>
        </w:rPr>
        <w:t xml:space="preserve">CONDENSED STATEMENTS OF CHANGES IN STOCKHOLDERS DEFICIT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240" w:after="0"/>
        <w:jc w:val="center"/>
        <w:rPr>
          <w:rFonts w:ascii="Times New Roman" w:hAnsi="Times New Roman"/>
          <w:b/>
          <w:sz w:val="20"/>
        </w:rPr>
      </w:pPr>
      <w:r>
        <w:rPr>
          <w:rFonts w:ascii="Times New Roman" w:hAnsi="Times New Roman"/>
          <w:b/>
          <w:sz w:val="20"/>
        </w:rPr>
        <w:t xml:space="preserve">THREE MONTHS ENDED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559"/>
        <w:gridCol w:w="200"/>
        <w:gridCol w:w="60"/>
        <w:gridCol w:w="1006"/>
        <w:gridCol w:w="60"/>
        <w:gridCol w:w="200"/>
        <w:gridCol w:w="231"/>
        <w:gridCol w:w="639"/>
        <w:gridCol w:w="60"/>
        <w:gridCol w:w="200"/>
        <w:gridCol w:w="233"/>
        <w:gridCol w:w="1373"/>
        <w:gridCol w:w="60"/>
        <w:gridCol w:w="200"/>
        <w:gridCol w:w="160"/>
        <w:gridCol w:w="1236"/>
        <w:gridCol w:w="155"/>
        <w:gridCol w:w="149"/>
        <w:gridCol w:w="188"/>
        <w:gridCol w:w="1406"/>
        <w:gridCol w:w="164"/>
      </w:tblGrid>
      <w:tr>
        <w:trPr/>
        <w:tc>
          <w:tcPr>
            <w:tcW w:w="255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55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19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60" w:type="dxa"/>
            <w:tcBorders/>
            <w:shd w:fill="auto" w:val="clear"/>
            <w:vAlign w:val="bottom"/>
          </w:tcPr>
          <w:p>
            <w:pPr>
              <w:pStyle w:val="TableContents"/>
              <w:spacing w:before="0" w:after="283"/>
              <w:rPr/>
            </w:pPr>
            <w:r>
              <w:rPr/>
              <w:t> </w:t>
            </w:r>
          </w:p>
        </w:tc>
        <w:tc>
          <w:tcPr>
            <w:tcW w:w="200" w:type="dxa"/>
            <w:vMerge w:val="restart"/>
            <w:tcBorders/>
            <w:shd w:fill="auto" w:val="clear"/>
            <w:vAlign w:val="bottom"/>
          </w:tcPr>
          <w:p>
            <w:pPr>
              <w:pStyle w:val="TableContents"/>
              <w:spacing w:before="0" w:after="283"/>
              <w:rPr/>
            </w:pPr>
            <w:r>
              <w:rPr/>
              <w:t>  </w:t>
            </w:r>
          </w:p>
        </w:tc>
        <w:tc>
          <w:tcPr>
            <w:tcW w:w="160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Additional</w:t>
            </w:r>
            <w:r>
              <w:rPr/>
              <w:br/>
            </w:r>
            <w:r>
              <w:rPr>
                <w:b/>
              </w:rPr>
              <w:t>Paid-in Capital</w:t>
            </w:r>
          </w:p>
        </w:tc>
        <w:tc>
          <w:tcPr>
            <w:tcW w:w="60" w:type="dxa"/>
            <w:vMerge w:val="restart"/>
            <w:tcBorders/>
            <w:shd w:fill="auto" w:val="clear"/>
            <w:vAlign w:val="bottom"/>
          </w:tcPr>
          <w:p>
            <w:pPr>
              <w:pStyle w:val="TableContents"/>
              <w:spacing w:before="0" w:after="283"/>
              <w:rPr/>
            </w:pPr>
            <w:r>
              <w:rPr/>
              <w:t> </w:t>
            </w:r>
          </w:p>
        </w:tc>
        <w:tc>
          <w:tcPr>
            <w:tcW w:w="200" w:type="dxa"/>
            <w:vMerge w:val="restart"/>
            <w:tcBorders/>
            <w:shd w:fill="auto" w:val="clear"/>
            <w:vAlign w:val="bottom"/>
          </w:tcPr>
          <w:p>
            <w:pPr>
              <w:pStyle w:val="TableContents"/>
              <w:spacing w:before="0" w:after="283"/>
              <w:rPr/>
            </w:pPr>
            <w:r>
              <w:rPr/>
              <w:t>  </w:t>
            </w:r>
          </w:p>
        </w:tc>
        <w:tc>
          <w:tcPr>
            <w:tcW w:w="139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Accumulated</w:t>
            </w:r>
            <w:r>
              <w:rPr/>
              <w:br/>
            </w:r>
            <w:r>
              <w:rPr>
                <w:b/>
              </w:rPr>
              <w:t>Deficit</w:t>
            </w:r>
          </w:p>
        </w:tc>
        <w:tc>
          <w:tcPr>
            <w:tcW w:w="155" w:type="dxa"/>
            <w:vMerge w:val="restart"/>
            <w:tcBorders/>
            <w:shd w:fill="auto" w:val="clear"/>
            <w:vAlign w:val="bottom"/>
          </w:tcPr>
          <w:p>
            <w:pPr>
              <w:pStyle w:val="TableContents"/>
              <w:spacing w:before="0" w:after="283"/>
              <w:rPr/>
            </w:pPr>
            <w:r>
              <w:rPr/>
              <w:t> </w:t>
            </w:r>
          </w:p>
        </w:tc>
        <w:tc>
          <w:tcPr>
            <w:tcW w:w="149" w:type="dxa"/>
            <w:vMerge w:val="restart"/>
            <w:tcBorders/>
            <w:shd w:fill="auto" w:val="clear"/>
            <w:vAlign w:val="bottom"/>
          </w:tcPr>
          <w:p>
            <w:pPr>
              <w:pStyle w:val="TableContents"/>
              <w:spacing w:before="0" w:after="283"/>
              <w:rPr/>
            </w:pPr>
            <w:r>
              <w:rPr/>
              <w:t> </w:t>
            </w:r>
          </w:p>
        </w:tc>
        <w:tc>
          <w:tcPr>
            <w:tcW w:w="1594"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Total</w:t>
              <w:br/>
              <w:t>Stockholders</w:t>
            </w:r>
            <w:r>
              <w:rPr/>
              <w:br/>
            </w:r>
            <w:r>
              <w:rPr>
                <w:b/>
              </w:rPr>
              <w:t>Deficit</w:t>
            </w:r>
          </w:p>
        </w:tc>
        <w:tc>
          <w:tcPr>
            <w:tcW w:w="164" w:type="dxa"/>
            <w:vMerge w:val="restart"/>
            <w:tcBorders/>
            <w:shd w:fill="auto"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200" w:type="dxa"/>
            <w:vMerge w:val="continue"/>
            <w:tcBorders/>
            <w:shd w:fill="auto" w:val="clear"/>
            <w:vAlign w:val="bottom"/>
          </w:tcPr>
          <w:p>
            <w:pPr>
              <w:pStyle w:val="Normal"/>
              <w:rPr/>
            </w:pPr>
            <w:r>
              <w:rPr/>
            </w:r>
          </w:p>
        </w:tc>
        <w:tc>
          <w:tcPr>
            <w:tcW w:w="1606"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200" w:type="dxa"/>
            <w:vMerge w:val="continue"/>
            <w:tcBorders/>
            <w:shd w:fill="auto" w:val="clear"/>
            <w:vAlign w:val="bottom"/>
          </w:tcPr>
          <w:p>
            <w:pPr>
              <w:pStyle w:val="Normal"/>
              <w:rPr/>
            </w:pPr>
            <w:r>
              <w:rPr/>
            </w:r>
          </w:p>
        </w:tc>
        <w:tc>
          <w:tcPr>
            <w:tcW w:w="1396"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149" w:type="dxa"/>
            <w:vMerge w:val="continue"/>
            <w:tcBorders/>
            <w:shd w:fill="auto" w:val="clear"/>
            <w:vAlign w:val="bottom"/>
          </w:tcPr>
          <w:p>
            <w:pPr>
              <w:pStyle w:val="Normal"/>
              <w:rPr/>
            </w:pPr>
            <w:r>
              <w:rPr/>
            </w:r>
          </w:p>
        </w:tc>
        <w:tc>
          <w:tcPr>
            <w:tcW w:w="1594" w:type="dxa"/>
            <w:gridSpan w:val="2"/>
            <w:vMerge w:val="continue"/>
            <w:tcBorders>
              <w:bottom w:val="single" w:sz="8" w:space="0" w:color="000000"/>
            </w:tcBorders>
            <w:shd w:fill="auto" w:val="clear"/>
            <w:tcMar>
              <w:bottom w:w="28" w:type="dxa"/>
            </w:tcMar>
            <w:vAlign w:val="bottom"/>
          </w:tcPr>
          <w:p>
            <w:pPr>
              <w:pStyle w:val="Normal"/>
              <w:rPr/>
            </w:pPr>
            <w:r>
              <w:rPr/>
            </w:r>
          </w:p>
        </w:tc>
        <w:tc>
          <w:tcPr>
            <w:tcW w:w="164" w:type="dxa"/>
            <w:vMerge w:val="continue"/>
            <w:tcBorders/>
            <w:shd w:fill="auto" w:val="clear"/>
            <w:vAlign w:val="bottom"/>
          </w:tcPr>
          <w:p>
            <w:pPr>
              <w:pStyle w:val="Normal"/>
              <w:rPr/>
            </w:pPr>
            <w:r>
              <w:rPr/>
            </w:r>
          </w:p>
        </w:tc>
      </w:tr>
      <w:tr>
        <w:trPr/>
        <w:tc>
          <w:tcPr>
            <w:tcW w:w="255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September 30, 2022 (audited)</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b/>
              </w:rPr>
            </w:pPr>
            <w:r>
              <w:rPr>
                <w:b/>
              </w:rPr>
              <w:t>5,709,500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b/>
              </w:rPr>
            </w:pPr>
            <w:r>
              <w:rPr>
                <w:b/>
              </w:rPr>
              <w:t>$</w:t>
            </w:r>
          </w:p>
        </w:tc>
        <w:tc>
          <w:tcPr>
            <w:tcW w:w="639" w:type="dxa"/>
            <w:tcBorders/>
            <w:shd w:fill="CCEEFF" w:val="clear"/>
            <w:vAlign w:val="bottom"/>
          </w:tcPr>
          <w:p>
            <w:pPr>
              <w:pStyle w:val="TableContents"/>
              <w:spacing w:before="0" w:after="283"/>
              <w:jc w:val="right"/>
              <w:rPr>
                <w:b/>
              </w:rPr>
            </w:pPr>
            <w:r>
              <w:rPr>
                <w:b/>
              </w:rPr>
              <w:t>570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b/>
              </w:rPr>
            </w:pPr>
            <w:r>
              <w:rPr>
                <w:b/>
              </w:rPr>
              <w:t>$</w:t>
            </w:r>
          </w:p>
        </w:tc>
        <w:tc>
          <w:tcPr>
            <w:tcW w:w="1373" w:type="dxa"/>
            <w:tcBorders/>
            <w:shd w:fill="CCEEFF" w:val="clear"/>
            <w:vAlign w:val="bottom"/>
          </w:tcPr>
          <w:p>
            <w:pPr>
              <w:pStyle w:val="TableContents"/>
              <w:spacing w:before="0" w:after="283"/>
              <w:jc w:val="right"/>
              <w:rPr>
                <w:b/>
              </w:rPr>
            </w:pPr>
            <w:r>
              <w:rPr>
                <w:b/>
              </w:rPr>
              <w:t>941,796</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1236" w:type="dxa"/>
            <w:tcBorders/>
            <w:shd w:fill="CCEEFF" w:val="clear"/>
            <w:vAlign w:val="bottom"/>
          </w:tcPr>
          <w:p>
            <w:pPr>
              <w:pStyle w:val="TableContents"/>
              <w:spacing w:before="0" w:after="283"/>
              <w:jc w:val="right"/>
              <w:rPr>
                <w:b/>
              </w:rPr>
            </w:pPr>
            <w:r>
              <w:rPr>
                <w:b/>
              </w:rPr>
              <w:t>(4,091,693</w:t>
            </w:r>
          </w:p>
        </w:tc>
        <w:tc>
          <w:tcPr>
            <w:tcW w:w="155" w:type="dxa"/>
            <w:tcBorders/>
            <w:shd w:fill="CCEEFF" w:val="clear"/>
            <w:vAlign w:val="bottom"/>
          </w:tcPr>
          <w:p>
            <w:pPr>
              <w:pStyle w:val="TableContents"/>
              <w:spacing w:before="0" w:after="283"/>
              <w:rPr>
                <w:b/>
              </w:rPr>
            </w:pPr>
            <w:r>
              <w:rPr>
                <w:b/>
              </w:rPr>
              <w:t>) </w:t>
            </w:r>
          </w:p>
        </w:tc>
        <w:tc>
          <w:tcPr>
            <w:tcW w:w="14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b/>
              </w:rPr>
            </w:pPr>
            <w:r>
              <w:rPr>
                <w:b/>
              </w:rPr>
              <w:t>$</w:t>
            </w:r>
          </w:p>
        </w:tc>
        <w:tc>
          <w:tcPr>
            <w:tcW w:w="1406" w:type="dxa"/>
            <w:tcBorders/>
            <w:shd w:fill="CCEEFF" w:val="clear"/>
            <w:vAlign w:val="bottom"/>
          </w:tcPr>
          <w:p>
            <w:pPr>
              <w:pStyle w:val="TableContents"/>
              <w:spacing w:before="0" w:after="283"/>
              <w:jc w:val="right"/>
              <w:rPr>
                <w:b/>
              </w:rPr>
            </w:pPr>
            <w:r>
              <w:rPr>
                <w:b/>
              </w:rPr>
              <w:t>(3,149,327</w:t>
            </w:r>
          </w:p>
        </w:tc>
        <w:tc>
          <w:tcPr>
            <w:tcW w:w="164" w:type="dxa"/>
            <w:tcBorders/>
            <w:shd w:fill="CCEEFF" w:val="clear"/>
            <w:vAlign w:val="bottom"/>
          </w:tcPr>
          <w:p>
            <w:pPr>
              <w:pStyle w:val="TableContents"/>
              <w:spacing w:before="0" w:after="283"/>
              <w:rPr>
                <w:b/>
              </w:rPr>
            </w:pPr>
            <w:r>
              <w:rPr>
                <w:b/>
              </w:rPr>
              <w:t>) </w:t>
            </w:r>
          </w:p>
        </w:tc>
      </w:tr>
      <w:tr>
        <w:trPr/>
        <w:tc>
          <w:tcPr>
            <w:tcW w:w="2559"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27,963</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06" w:type="dxa"/>
            <w:tcBorders/>
            <w:shd w:fill="auto" w:val="clear"/>
            <w:vAlign w:val="bottom"/>
          </w:tcPr>
          <w:p>
            <w:pPr>
              <w:pStyle w:val="TableContents"/>
              <w:spacing w:before="0" w:after="283"/>
              <w:jc w:val="right"/>
              <w:rPr/>
            </w:pPr>
            <w:r>
              <w:rPr/>
              <w:t>27,963</w:t>
            </w:r>
          </w:p>
        </w:tc>
        <w:tc>
          <w:tcPr>
            <w:tcW w:w="164" w:type="dxa"/>
            <w:tcBorders/>
            <w:shd w:fill="auto" w:val="clear"/>
            <w:vAlign w:val="bottom"/>
          </w:tcPr>
          <w:p>
            <w:pPr>
              <w:pStyle w:val="TableContents"/>
              <w:spacing w:before="0" w:after="283"/>
              <w:rPr/>
            </w:pPr>
            <w:r>
              <w:rPr/>
              <w:t> </w:t>
            </w:r>
          </w:p>
        </w:tc>
      </w:tr>
      <w:tr>
        <w:trPr/>
        <w:tc>
          <w:tcPr>
            <w:tcW w:w="2559" w:type="dxa"/>
            <w:tcBorders/>
            <w:shd w:fill="CCEEFF"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37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pPr>
            <w:r>
              <w:rPr/>
              <w:t>(2,479,343</w:t>
            </w:r>
          </w:p>
        </w:tc>
        <w:tc>
          <w:tcPr>
            <w:tcW w:w="155"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406" w:type="dxa"/>
            <w:tcBorders/>
            <w:shd w:fill="CCEEFF" w:val="clear"/>
            <w:vAlign w:val="bottom"/>
          </w:tcPr>
          <w:p>
            <w:pPr>
              <w:pStyle w:val="TableContents"/>
              <w:spacing w:before="0" w:after="283"/>
              <w:jc w:val="right"/>
              <w:rPr/>
            </w:pPr>
            <w:r>
              <w:rPr/>
              <w:t>(2,479,343</w:t>
            </w:r>
          </w:p>
        </w:tc>
        <w:tc>
          <w:tcPr>
            <w:tcW w:w="164" w:type="dxa"/>
            <w:tcBorders/>
            <w:shd w:fill="CCEEFF" w:val="clear"/>
            <w:vAlign w:val="bottom"/>
          </w:tcPr>
          <w:p>
            <w:pPr>
              <w:pStyle w:val="TableContents"/>
              <w:spacing w:before="0" w:after="283"/>
              <w:rPr/>
            </w:pPr>
            <w:r>
              <w:rPr/>
              <w:t>) </w:t>
            </w:r>
          </w:p>
        </w:tc>
      </w:tr>
      <w:tr>
        <w:trPr/>
        <w:tc>
          <w:tcPr>
            <w:tcW w:w="2559" w:type="dxa"/>
            <w:tcBorders/>
            <w:shd w:fill="auto" w:val="clear"/>
          </w:tcPr>
          <w:p>
            <w:pPr>
              <w:pStyle w:val="TableContents"/>
              <w:spacing w:before="0" w:after="0"/>
              <w:rPr>
                <w:rFonts w:ascii="Times New Roman" w:hAnsi="Times New Roman"/>
                <w:sz w:val="20"/>
              </w:rPr>
            </w:pPr>
            <w:r>
              <w:rPr>
                <w:rFonts w:ascii="Times New Roman" w:hAnsi="Times New Roman"/>
                <w:sz w:val="20"/>
              </w:rPr>
              <w:t>Net income</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37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36" w:type="dxa"/>
            <w:tcBorders/>
            <w:shd w:fill="auto" w:val="clear"/>
            <w:vAlign w:val="bottom"/>
          </w:tcPr>
          <w:p>
            <w:pPr>
              <w:pStyle w:val="TableContents"/>
              <w:spacing w:before="0" w:after="283"/>
              <w:jc w:val="right"/>
              <w:rPr/>
            </w:pPr>
            <w:r>
              <w:rPr/>
              <w:t>607,027</w:t>
            </w:r>
          </w:p>
        </w:tc>
        <w:tc>
          <w:tcPr>
            <w:tcW w:w="155"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406" w:type="dxa"/>
            <w:tcBorders/>
            <w:shd w:fill="auto" w:val="clear"/>
            <w:vAlign w:val="bottom"/>
          </w:tcPr>
          <w:p>
            <w:pPr>
              <w:pStyle w:val="TableContents"/>
              <w:spacing w:before="0" w:after="283"/>
              <w:jc w:val="right"/>
              <w:rPr/>
            </w:pPr>
            <w:r>
              <w:rPr/>
              <w:t>607,027</w:t>
            </w:r>
          </w:p>
        </w:tc>
        <w:tc>
          <w:tcPr>
            <w:tcW w:w="164" w:type="dxa"/>
            <w:tcBorders/>
            <w:shd w:fill="auto" w:val="clear"/>
            <w:vAlign w:val="bottom"/>
          </w:tcPr>
          <w:p>
            <w:pPr>
              <w:pStyle w:val="TableContents"/>
              <w:spacing w:before="0" w:after="283"/>
              <w:rPr/>
            </w:pPr>
            <w:r>
              <w:rPr/>
              <w:t> </w:t>
            </w:r>
          </w:p>
        </w:tc>
      </w:tr>
      <w:tr>
        <w:trPr/>
        <w:tc>
          <w:tcPr>
            <w:tcW w:w="2559"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63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pBdr>
                <w:top w:val="single" w:sz="2" w:space="1" w:color="000000"/>
              </w:pBdr>
              <w:spacing w:before="0" w:after="0"/>
              <w:rPr/>
            </w:pPr>
            <w:r>
              <w:rPr/>
              <w:t> </w:t>
            </w:r>
          </w:p>
        </w:tc>
        <w:tc>
          <w:tcPr>
            <w:tcW w:w="137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3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single" w:sz="2" w:space="1" w:color="000000"/>
              </w:pBdr>
              <w:spacing w:before="0" w:after="0"/>
              <w:rPr/>
            </w:pPr>
            <w:r>
              <w:rPr/>
              <w:t> </w:t>
            </w:r>
          </w:p>
        </w:tc>
        <w:tc>
          <w:tcPr>
            <w:tcW w:w="1406"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2559"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b/>
              </w:rPr>
            </w:pPr>
            <w:r>
              <w:rPr>
                <w:b/>
              </w:rPr>
              <w:t>5,709,500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b/>
              </w:rPr>
            </w:pPr>
            <w:r>
              <w:rPr>
                <w:b/>
              </w:rPr>
              <w:t>$</w:t>
            </w:r>
          </w:p>
        </w:tc>
        <w:tc>
          <w:tcPr>
            <w:tcW w:w="639" w:type="dxa"/>
            <w:tcBorders/>
            <w:shd w:fill="CCEEFF" w:val="clear"/>
            <w:vAlign w:val="bottom"/>
          </w:tcPr>
          <w:p>
            <w:pPr>
              <w:pStyle w:val="TableContents"/>
              <w:spacing w:before="0" w:after="283"/>
              <w:jc w:val="right"/>
              <w:rPr>
                <w:b/>
              </w:rPr>
            </w:pPr>
            <w:r>
              <w:rPr>
                <w:b/>
              </w:rPr>
              <w:t>570</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b/>
              </w:rPr>
            </w:pPr>
            <w:r>
              <w:rPr>
                <w:b/>
              </w:rPr>
              <w:t>$</w:t>
            </w:r>
          </w:p>
        </w:tc>
        <w:tc>
          <w:tcPr>
            <w:tcW w:w="1373" w:type="dxa"/>
            <w:tcBorders/>
            <w:shd w:fill="CCEEFF" w:val="clear"/>
            <w:vAlign w:val="bottom"/>
          </w:tcPr>
          <w:p>
            <w:pPr>
              <w:pStyle w:val="TableContents"/>
              <w:spacing w:before="0" w:after="283"/>
              <w:jc w:val="right"/>
              <w:rPr>
                <w:b/>
              </w:rPr>
            </w:pPr>
            <w:r>
              <w:rPr>
                <w:b/>
              </w:rPr>
              <w:t>969,759</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1236" w:type="dxa"/>
            <w:tcBorders/>
            <w:shd w:fill="CCEEFF" w:val="clear"/>
            <w:vAlign w:val="bottom"/>
          </w:tcPr>
          <w:p>
            <w:pPr>
              <w:pStyle w:val="TableContents"/>
              <w:spacing w:before="0" w:after="283"/>
              <w:jc w:val="right"/>
              <w:rPr>
                <w:b/>
              </w:rPr>
            </w:pPr>
            <w:r>
              <w:rPr>
                <w:b/>
              </w:rPr>
              <w:t>(5,964,009</w:t>
            </w:r>
          </w:p>
        </w:tc>
        <w:tc>
          <w:tcPr>
            <w:tcW w:w="155" w:type="dxa"/>
            <w:tcBorders/>
            <w:shd w:fill="CCEEFF" w:val="clear"/>
            <w:vAlign w:val="bottom"/>
          </w:tcPr>
          <w:p>
            <w:pPr>
              <w:pStyle w:val="TableContents"/>
              <w:spacing w:before="0" w:after="283"/>
              <w:rPr>
                <w:b/>
              </w:rPr>
            </w:pPr>
            <w:r>
              <w:rPr>
                <w:b/>
              </w:rPr>
              <w:t>) </w:t>
            </w:r>
          </w:p>
        </w:tc>
        <w:tc>
          <w:tcPr>
            <w:tcW w:w="149"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b/>
              </w:rPr>
            </w:pPr>
            <w:r>
              <w:rPr>
                <w:b/>
              </w:rPr>
              <w:t>$</w:t>
            </w:r>
          </w:p>
        </w:tc>
        <w:tc>
          <w:tcPr>
            <w:tcW w:w="1406" w:type="dxa"/>
            <w:tcBorders/>
            <w:shd w:fill="CCEEFF" w:val="clear"/>
            <w:vAlign w:val="bottom"/>
          </w:tcPr>
          <w:p>
            <w:pPr>
              <w:pStyle w:val="TableContents"/>
              <w:spacing w:before="0" w:after="283"/>
              <w:jc w:val="right"/>
              <w:rPr>
                <w:b/>
              </w:rPr>
            </w:pPr>
            <w:r>
              <w:rPr>
                <w:b/>
              </w:rPr>
              <w:t>(4,993,680</w:t>
            </w:r>
          </w:p>
        </w:tc>
        <w:tc>
          <w:tcPr>
            <w:tcW w:w="164" w:type="dxa"/>
            <w:tcBorders/>
            <w:shd w:fill="CCEEFF" w:val="clear"/>
            <w:vAlign w:val="bottom"/>
          </w:tcPr>
          <w:p>
            <w:pPr>
              <w:pStyle w:val="TableContents"/>
              <w:spacing w:before="0" w:after="283"/>
              <w:rPr>
                <w:b/>
              </w:rPr>
            </w:pPr>
            <w:r>
              <w:rPr>
                <w:b/>
              </w:rPr>
              <w:t>) </w:t>
            </w:r>
          </w:p>
        </w:tc>
      </w:tr>
      <w:tr>
        <w:trPr/>
        <w:tc>
          <w:tcPr>
            <w:tcW w:w="2559"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00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63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pBdr>
                <w:top w:val="double" w:sz="6" w:space="1" w:color="000000"/>
              </w:pBdr>
              <w:spacing w:before="0" w:after="0"/>
              <w:rPr/>
            </w:pPr>
            <w:r>
              <w:rPr/>
              <w:t> </w:t>
            </w:r>
          </w:p>
        </w:tc>
        <w:tc>
          <w:tcPr>
            <w:tcW w:w="137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0"/>
              <w:rPr/>
            </w:pPr>
            <w:r>
              <w:rPr/>
              <w:t> </w:t>
            </w:r>
          </w:p>
        </w:tc>
        <w:tc>
          <w:tcPr>
            <w:tcW w:w="123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pBdr>
                <w:top w:val="double" w:sz="6" w:space="1" w:color="000000"/>
              </w:pBdr>
              <w:spacing w:before="0" w:after="0"/>
              <w:rPr/>
            </w:pPr>
            <w:r>
              <w:rPr/>
              <w:t> </w:t>
            </w:r>
          </w:p>
        </w:tc>
        <w:tc>
          <w:tcPr>
            <w:tcW w:w="1406"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FOR THE THREE MONTHS ENDED DECEMBER 31, 2021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92"/>
        <w:gridCol w:w="176"/>
        <w:gridCol w:w="60"/>
        <w:gridCol w:w="1087"/>
        <w:gridCol w:w="155"/>
        <w:gridCol w:w="127"/>
        <w:gridCol w:w="202"/>
        <w:gridCol w:w="688"/>
        <w:gridCol w:w="155"/>
        <w:gridCol w:w="127"/>
        <w:gridCol w:w="140"/>
        <w:gridCol w:w="1026"/>
        <w:gridCol w:w="60"/>
        <w:gridCol w:w="176"/>
        <w:gridCol w:w="167"/>
        <w:gridCol w:w="1251"/>
        <w:gridCol w:w="155"/>
        <w:gridCol w:w="127"/>
        <w:gridCol w:w="185"/>
        <w:gridCol w:w="1419"/>
        <w:gridCol w:w="164"/>
      </w:tblGrid>
      <w:tr>
        <w:trPr/>
        <w:tc>
          <w:tcPr>
            <w:tcW w:w="289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89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31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155" w:type="dxa"/>
            <w:tcBorders/>
            <w:shd w:fill="auto" w:val="clear"/>
            <w:vAlign w:val="bottom"/>
          </w:tcPr>
          <w:p>
            <w:pPr>
              <w:pStyle w:val="TableContents"/>
              <w:spacing w:before="0" w:after="283"/>
              <w:rPr/>
            </w:pPr>
            <w:r>
              <w:rPr/>
              <w:t> </w:t>
            </w:r>
          </w:p>
        </w:tc>
        <w:tc>
          <w:tcPr>
            <w:tcW w:w="127" w:type="dxa"/>
            <w:vMerge w:val="restart"/>
            <w:tcBorders/>
            <w:shd w:fill="auto" w:val="clear"/>
            <w:vAlign w:val="bottom"/>
          </w:tcPr>
          <w:p>
            <w:pPr>
              <w:pStyle w:val="TableContents"/>
              <w:spacing w:before="0" w:after="283"/>
              <w:rPr/>
            </w:pPr>
            <w:r>
              <w:rPr/>
              <w:t> </w:t>
            </w:r>
          </w:p>
        </w:tc>
        <w:tc>
          <w:tcPr>
            <w:tcW w:w="1166"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Additional</w:t>
            </w:r>
            <w:r>
              <w:rPr/>
              <w:br/>
            </w:r>
            <w:r>
              <w:rPr>
                <w:b/>
              </w:rPr>
              <w:t>Paid-in</w:t>
              <w:br/>
              <w:t>Capital</w:t>
            </w:r>
          </w:p>
        </w:tc>
        <w:tc>
          <w:tcPr>
            <w:tcW w:w="60" w:type="dxa"/>
            <w:vMerge w:val="restart"/>
            <w:tcBorders/>
            <w:shd w:fill="auto" w:val="clear"/>
            <w:vAlign w:val="bottom"/>
          </w:tcPr>
          <w:p>
            <w:pPr>
              <w:pStyle w:val="TableContents"/>
              <w:spacing w:before="0" w:after="283"/>
              <w:rPr/>
            </w:pPr>
            <w:r>
              <w:rPr/>
              <w:t> </w:t>
            </w:r>
          </w:p>
        </w:tc>
        <w:tc>
          <w:tcPr>
            <w:tcW w:w="176" w:type="dxa"/>
            <w:vMerge w:val="restart"/>
            <w:tcBorders/>
            <w:shd w:fill="auto" w:val="clear"/>
            <w:vAlign w:val="bottom"/>
          </w:tcPr>
          <w:p>
            <w:pPr>
              <w:pStyle w:val="TableContents"/>
              <w:spacing w:before="0" w:after="283"/>
              <w:rPr/>
            </w:pPr>
            <w:r>
              <w:rPr/>
              <w:t>  </w:t>
            </w:r>
          </w:p>
        </w:tc>
        <w:tc>
          <w:tcPr>
            <w:tcW w:w="1418"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Accumulated</w:t>
            </w:r>
            <w:r>
              <w:rPr/>
              <w:br/>
            </w:r>
            <w:r>
              <w:rPr>
                <w:b/>
              </w:rPr>
              <w:t>Deficit</w:t>
            </w:r>
          </w:p>
        </w:tc>
        <w:tc>
          <w:tcPr>
            <w:tcW w:w="155" w:type="dxa"/>
            <w:vMerge w:val="restart"/>
            <w:tcBorders/>
            <w:shd w:fill="auto" w:val="clear"/>
            <w:vAlign w:val="bottom"/>
          </w:tcPr>
          <w:p>
            <w:pPr>
              <w:pStyle w:val="TableContents"/>
              <w:spacing w:before="0" w:after="283"/>
              <w:rPr/>
            </w:pPr>
            <w:r>
              <w:rPr/>
              <w:t> </w:t>
            </w:r>
          </w:p>
        </w:tc>
        <w:tc>
          <w:tcPr>
            <w:tcW w:w="127" w:type="dxa"/>
            <w:vMerge w:val="restart"/>
            <w:tcBorders/>
            <w:shd w:fill="auto" w:val="clear"/>
            <w:vAlign w:val="bottom"/>
          </w:tcPr>
          <w:p>
            <w:pPr>
              <w:pStyle w:val="TableContents"/>
              <w:spacing w:before="0" w:after="283"/>
              <w:rPr/>
            </w:pPr>
            <w:r>
              <w:rPr/>
              <w:t> </w:t>
            </w:r>
          </w:p>
        </w:tc>
        <w:tc>
          <w:tcPr>
            <w:tcW w:w="1604"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Total</w:t>
              <w:br/>
              <w:t>Stockholders</w:t>
            </w:r>
            <w:r>
              <w:rPr/>
              <w:br/>
            </w:r>
            <w:r>
              <w:rPr>
                <w:b/>
              </w:rPr>
              <w:t>Equity</w:t>
              <w:br/>
              <w:t>(Deficit)</w:t>
            </w:r>
          </w:p>
        </w:tc>
        <w:tc>
          <w:tcPr>
            <w:tcW w:w="164" w:type="dxa"/>
            <w:vMerge w:val="restart"/>
            <w:tcBorders/>
            <w:shd w:fill="auto" w:val="clear"/>
            <w:vAlign w:val="bottom"/>
          </w:tcPr>
          <w:p>
            <w:pPr>
              <w:pStyle w:val="TableContents"/>
              <w:spacing w:before="0" w:after="283"/>
              <w:rPr/>
            </w:pPr>
            <w:r>
              <w:rPr/>
              <w:t> </w:t>
            </w:r>
          </w:p>
        </w:tc>
      </w:tr>
      <w:tr>
        <w:trPr/>
        <w:tc>
          <w:tcPr>
            <w:tcW w:w="289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1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127" w:type="dxa"/>
            <w:vMerge w:val="continue"/>
            <w:tcBorders/>
            <w:shd w:fill="auto" w:val="clear"/>
            <w:vAlign w:val="bottom"/>
          </w:tcPr>
          <w:p>
            <w:pPr>
              <w:pStyle w:val="Normal"/>
              <w:rPr/>
            </w:pPr>
            <w:r>
              <w:rPr/>
            </w:r>
          </w:p>
        </w:tc>
        <w:tc>
          <w:tcPr>
            <w:tcW w:w="1166"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76" w:type="dxa"/>
            <w:vMerge w:val="continue"/>
            <w:tcBorders/>
            <w:shd w:fill="auto" w:val="clear"/>
            <w:vAlign w:val="bottom"/>
          </w:tcPr>
          <w:p>
            <w:pPr>
              <w:pStyle w:val="Normal"/>
              <w:rPr/>
            </w:pPr>
            <w:r>
              <w:rPr/>
            </w:r>
          </w:p>
        </w:tc>
        <w:tc>
          <w:tcPr>
            <w:tcW w:w="1418" w:type="dxa"/>
            <w:gridSpan w:val="2"/>
            <w:vMerge w:val="continue"/>
            <w:tcBorders>
              <w:bottom w:val="single" w:sz="8" w:space="0" w:color="000000"/>
            </w:tcBorders>
            <w:shd w:fill="auto" w:val="clear"/>
            <w:tcMar>
              <w:bottom w:w="28" w:type="dxa"/>
            </w:tcMar>
            <w:vAlign w:val="bottom"/>
          </w:tcPr>
          <w:p>
            <w:pPr>
              <w:pStyle w:val="Normal"/>
              <w:rPr/>
            </w:pPr>
            <w:r>
              <w:rPr/>
            </w:r>
          </w:p>
        </w:tc>
        <w:tc>
          <w:tcPr>
            <w:tcW w:w="155" w:type="dxa"/>
            <w:vMerge w:val="continue"/>
            <w:tcBorders/>
            <w:shd w:fill="auto" w:val="clear"/>
            <w:vAlign w:val="bottom"/>
          </w:tcPr>
          <w:p>
            <w:pPr>
              <w:pStyle w:val="Normal"/>
              <w:rPr/>
            </w:pPr>
            <w:r>
              <w:rPr/>
            </w:r>
          </w:p>
        </w:tc>
        <w:tc>
          <w:tcPr>
            <w:tcW w:w="127" w:type="dxa"/>
            <w:vMerge w:val="continue"/>
            <w:tcBorders/>
            <w:shd w:fill="auto" w:val="clear"/>
            <w:vAlign w:val="bottom"/>
          </w:tcPr>
          <w:p>
            <w:pPr>
              <w:pStyle w:val="Normal"/>
              <w:rPr/>
            </w:pPr>
            <w:r>
              <w:rPr/>
            </w:r>
          </w:p>
        </w:tc>
        <w:tc>
          <w:tcPr>
            <w:tcW w:w="1604" w:type="dxa"/>
            <w:gridSpan w:val="2"/>
            <w:vMerge w:val="continue"/>
            <w:tcBorders>
              <w:bottom w:val="single" w:sz="8" w:space="0" w:color="000000"/>
            </w:tcBorders>
            <w:shd w:fill="auto" w:val="clear"/>
            <w:tcMar>
              <w:bottom w:w="28" w:type="dxa"/>
            </w:tcMar>
            <w:vAlign w:val="bottom"/>
          </w:tcPr>
          <w:p>
            <w:pPr>
              <w:pStyle w:val="Normal"/>
              <w:rPr/>
            </w:pPr>
            <w:r>
              <w:rPr/>
            </w:r>
          </w:p>
        </w:tc>
        <w:tc>
          <w:tcPr>
            <w:tcW w:w="164" w:type="dxa"/>
            <w:vMerge w:val="continue"/>
            <w:tcBorders/>
            <w:shd w:fill="auto" w:val="clear"/>
            <w:vAlign w:val="bottom"/>
          </w:tcPr>
          <w:p>
            <w:pPr>
              <w:pStyle w:val="Normal"/>
              <w:rPr/>
            </w:pPr>
            <w:r>
              <w:rPr/>
            </w:r>
          </w:p>
        </w:tc>
      </w:tr>
      <w:tr>
        <w:trPr/>
        <w:tc>
          <w:tcPr>
            <w:tcW w:w="289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September 31, 2021 (audited)</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b/>
              </w:rPr>
            </w:pPr>
            <w:r>
              <w:rPr>
                <w:b/>
              </w:rPr>
              <w:t>6,834,500</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b/>
              </w:rPr>
            </w:pPr>
            <w:r>
              <w:rPr>
                <w:b/>
              </w:rPr>
              <w:t>$</w:t>
            </w:r>
          </w:p>
        </w:tc>
        <w:tc>
          <w:tcPr>
            <w:tcW w:w="688" w:type="dxa"/>
            <w:tcBorders/>
            <w:shd w:fill="CCEEFF" w:val="clear"/>
            <w:vAlign w:val="bottom"/>
          </w:tcPr>
          <w:p>
            <w:pPr>
              <w:pStyle w:val="TableContents"/>
              <w:spacing w:before="0" w:after="283"/>
              <w:jc w:val="right"/>
              <w:rPr>
                <w:b/>
              </w:rPr>
            </w:pPr>
            <w:r>
              <w:rPr>
                <w:b/>
              </w:rPr>
              <w:t>683</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6" w:type="dxa"/>
            <w:tcBorders/>
            <w:shd w:fill="CCEEFF" w:val="clear"/>
            <w:vAlign w:val="bottom"/>
          </w:tcPr>
          <w:p>
            <w:pPr>
              <w:pStyle w:val="TableContents"/>
              <w:spacing w:before="0" w:after="283"/>
              <w:jc w:val="right"/>
              <w:rPr>
                <w:b/>
              </w:rPr>
            </w:pPr>
            <w:r>
              <w:rPr>
                <w:b/>
              </w:rPr>
              <w:t>1,378,693</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b/>
              </w:rPr>
            </w:pPr>
            <w:r>
              <w:rPr>
                <w:b/>
              </w:rPr>
              <w:t>$</w:t>
            </w:r>
          </w:p>
        </w:tc>
        <w:tc>
          <w:tcPr>
            <w:tcW w:w="1251" w:type="dxa"/>
            <w:tcBorders/>
            <w:shd w:fill="CCEEFF" w:val="clear"/>
            <w:vAlign w:val="bottom"/>
          </w:tcPr>
          <w:p>
            <w:pPr>
              <w:pStyle w:val="TableContents"/>
              <w:spacing w:before="0" w:after="283"/>
              <w:jc w:val="right"/>
              <w:rPr>
                <w:b/>
              </w:rPr>
            </w:pPr>
            <w:r>
              <w:rPr>
                <w:b/>
              </w:rPr>
              <w:t>(468,899</w:t>
            </w:r>
          </w:p>
        </w:tc>
        <w:tc>
          <w:tcPr>
            <w:tcW w:w="155" w:type="dxa"/>
            <w:tcBorders/>
            <w:shd w:fill="CCEEFF" w:val="clear"/>
            <w:vAlign w:val="bottom"/>
          </w:tcPr>
          <w:p>
            <w:pPr>
              <w:pStyle w:val="TableContents"/>
              <w:spacing w:before="0" w:after="283"/>
              <w:rPr>
                <w:b/>
              </w:rPr>
            </w:pPr>
            <w:r>
              <w:rPr>
                <w:b/>
              </w:rPr>
              <w:t>) </w:t>
            </w:r>
          </w:p>
        </w:tc>
        <w:tc>
          <w:tcPr>
            <w:tcW w:w="12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b/>
              </w:rPr>
            </w:pPr>
            <w:r>
              <w:rPr>
                <w:b/>
              </w:rPr>
              <w:t>$</w:t>
            </w:r>
          </w:p>
        </w:tc>
        <w:tc>
          <w:tcPr>
            <w:tcW w:w="1419" w:type="dxa"/>
            <w:tcBorders/>
            <w:shd w:fill="CCEEFF" w:val="clear"/>
            <w:vAlign w:val="bottom"/>
          </w:tcPr>
          <w:p>
            <w:pPr>
              <w:pStyle w:val="TableContents"/>
              <w:spacing w:before="0" w:after="283"/>
              <w:jc w:val="right"/>
              <w:rPr>
                <w:b/>
              </w:rPr>
            </w:pPr>
            <w:r>
              <w:rPr>
                <w:b/>
              </w:rPr>
              <w:t>910,477</w:t>
            </w:r>
          </w:p>
        </w:tc>
        <w:tc>
          <w:tcPr>
            <w:tcW w:w="164" w:type="dxa"/>
            <w:tcBorders/>
            <w:shd w:fill="CCEEFF" w:val="clear"/>
            <w:vAlign w:val="bottom"/>
          </w:tcPr>
          <w:p>
            <w:pPr>
              <w:pStyle w:val="TableContents"/>
              <w:spacing w:before="0" w:after="283"/>
              <w:rPr/>
            </w:pPr>
            <w:r>
              <w:rPr/>
              <w:t> </w:t>
            </w:r>
          </w:p>
        </w:tc>
      </w:tr>
      <w:tr>
        <w:trPr/>
        <w:tc>
          <w:tcPr>
            <w:tcW w:w="2892" w:type="dxa"/>
            <w:tcBorders/>
            <w:shd w:fill="auto" w:val="clear"/>
          </w:tcPr>
          <w:p>
            <w:pPr>
              <w:pStyle w:val="TableContents"/>
              <w:spacing w:before="0" w:after="0"/>
              <w:rPr>
                <w:rFonts w:ascii="Times New Roman" w:hAnsi="Times New Roman"/>
                <w:sz w:val="20"/>
              </w:rPr>
            </w:pPr>
            <w:r>
              <w:rPr>
                <w:rFonts w:ascii="Times New Roman" w:hAnsi="Times New Roman"/>
                <w:sz w:val="20"/>
              </w:rPr>
              <w:t>Forfeiture of founder shares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(1,125,000</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(113</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113</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  </w:t>
            </w:r>
          </w:p>
        </w:tc>
        <w:tc>
          <w:tcPr>
            <w:tcW w:w="164" w:type="dxa"/>
            <w:tcBorders/>
            <w:shd w:fill="auto" w:val="clear"/>
            <w:vAlign w:val="bottom"/>
          </w:tcPr>
          <w:p>
            <w:pPr>
              <w:pStyle w:val="TableContents"/>
              <w:spacing w:before="0" w:after="283"/>
              <w:rPr/>
            </w:pPr>
            <w:r>
              <w:rPr/>
              <w:t> </w:t>
            </w:r>
          </w:p>
        </w:tc>
      </w:tr>
      <w:tr>
        <w:trPr/>
        <w:tc>
          <w:tcPr>
            <w:tcW w:w="2892"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27,963</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419" w:type="dxa"/>
            <w:tcBorders/>
            <w:shd w:fill="CCEEFF" w:val="clear"/>
            <w:vAlign w:val="bottom"/>
          </w:tcPr>
          <w:p>
            <w:pPr>
              <w:pStyle w:val="TableContents"/>
              <w:spacing w:before="0" w:after="283"/>
              <w:jc w:val="right"/>
              <w:rPr/>
            </w:pPr>
            <w:r>
              <w:rPr/>
              <w:t>27,963</w:t>
            </w:r>
          </w:p>
        </w:tc>
        <w:tc>
          <w:tcPr>
            <w:tcW w:w="164" w:type="dxa"/>
            <w:tcBorders/>
            <w:shd w:fill="CCEEFF" w:val="clear"/>
            <w:vAlign w:val="bottom"/>
          </w:tcPr>
          <w:p>
            <w:pPr>
              <w:pStyle w:val="TableContents"/>
              <w:spacing w:before="0" w:after="283"/>
              <w:rPr/>
            </w:pPr>
            <w:r>
              <w:rPr/>
              <w:t> </w:t>
            </w:r>
          </w:p>
        </w:tc>
      </w:tr>
      <w:tr>
        <w:trPr/>
        <w:tc>
          <w:tcPr>
            <w:tcW w:w="2892"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(2,036,114</w:t>
            </w:r>
          </w:p>
        </w:tc>
        <w:tc>
          <w:tcPr>
            <w:tcW w:w="1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419" w:type="dxa"/>
            <w:tcBorders/>
            <w:shd w:fill="auto" w:val="clear"/>
            <w:vAlign w:val="bottom"/>
          </w:tcPr>
          <w:p>
            <w:pPr>
              <w:pStyle w:val="TableContents"/>
              <w:spacing w:before="0" w:after="283"/>
              <w:jc w:val="right"/>
              <w:rPr/>
            </w:pPr>
            <w:r>
              <w:rPr/>
              <w:t>(2,036,114</w:t>
            </w:r>
          </w:p>
        </w:tc>
        <w:tc>
          <w:tcPr>
            <w:tcW w:w="164" w:type="dxa"/>
            <w:tcBorders/>
            <w:shd w:fill="auto" w:val="clear"/>
            <w:vAlign w:val="bottom"/>
          </w:tcPr>
          <w:p>
            <w:pPr>
              <w:pStyle w:val="TableContents"/>
              <w:spacing w:before="0" w:after="283"/>
              <w:rPr/>
            </w:pPr>
            <w:r>
              <w:rPr/>
              <w:t>) </w:t>
            </w:r>
          </w:p>
        </w:tc>
      </w:tr>
      <w:tr>
        <w:trPr/>
        <w:tc>
          <w:tcPr>
            <w:tcW w:w="2892"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8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single" w:sz="2" w:space="1" w:color="000000"/>
              </w:pBdr>
              <w:spacing w:before="0" w:after="0"/>
              <w:rPr/>
            </w:pPr>
            <w:r>
              <w:rPr/>
              <w:t> </w:t>
            </w:r>
          </w:p>
        </w:tc>
        <w:tc>
          <w:tcPr>
            <w:tcW w:w="1419" w:type="dxa"/>
            <w:tcBorders/>
            <w:shd w:fill="auto" w:val="clear"/>
            <w:vAlign w:val="bottom"/>
          </w:tcPr>
          <w:p>
            <w:pPr>
              <w:pStyle w:val="TableContents"/>
              <w:pBdr>
                <w:top w:val="single" w:sz="2"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r>
        <w:trPr/>
        <w:tc>
          <w:tcPr>
            <w:tcW w:w="2892"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Balance as of December 31, 2021</w:t>
            </w:r>
          </w:p>
        </w:tc>
        <w:tc>
          <w:tcPr>
            <w:tcW w:w="1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7" w:type="dxa"/>
            <w:tcBorders/>
            <w:shd w:fill="CCEEFF" w:val="clear"/>
            <w:vAlign w:val="bottom"/>
          </w:tcPr>
          <w:p>
            <w:pPr>
              <w:pStyle w:val="TableContents"/>
              <w:spacing w:before="0" w:after="283"/>
              <w:jc w:val="right"/>
              <w:rPr>
                <w:b/>
              </w:rPr>
            </w:pPr>
            <w:r>
              <w:rPr>
                <w:b/>
              </w:rPr>
              <w:t>5,709,500</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b/>
              </w:rPr>
            </w:pPr>
            <w:r>
              <w:rPr>
                <w:b/>
              </w:rPr>
              <w:t>$</w:t>
            </w:r>
          </w:p>
        </w:tc>
        <w:tc>
          <w:tcPr>
            <w:tcW w:w="688" w:type="dxa"/>
            <w:tcBorders/>
            <w:shd w:fill="CCEEFF" w:val="clear"/>
            <w:vAlign w:val="bottom"/>
          </w:tcPr>
          <w:p>
            <w:pPr>
              <w:pStyle w:val="TableContents"/>
              <w:spacing w:before="0" w:after="283"/>
              <w:jc w:val="right"/>
              <w:rPr>
                <w:b/>
              </w:rPr>
            </w:pPr>
            <w:r>
              <w:rPr>
                <w:b/>
              </w:rPr>
              <w:t>570</w:t>
            </w:r>
          </w:p>
        </w:tc>
        <w:tc>
          <w:tcPr>
            <w:tcW w:w="155"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6" w:type="dxa"/>
            <w:tcBorders/>
            <w:shd w:fill="CCEEFF" w:val="clear"/>
            <w:vAlign w:val="bottom"/>
          </w:tcPr>
          <w:p>
            <w:pPr>
              <w:pStyle w:val="TableContents"/>
              <w:spacing w:before="0" w:after="283"/>
              <w:jc w:val="right"/>
              <w:rPr>
                <w:b/>
              </w:rPr>
            </w:pPr>
            <w:r>
              <w:rPr>
                <w:b/>
              </w:rPr>
              <w:t>1,406,769</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b/>
              </w:rPr>
            </w:pPr>
            <w:r>
              <w:rPr>
                <w:b/>
              </w:rPr>
              <w:t>$</w:t>
            </w:r>
          </w:p>
        </w:tc>
        <w:tc>
          <w:tcPr>
            <w:tcW w:w="1251" w:type="dxa"/>
            <w:tcBorders/>
            <w:shd w:fill="CCEEFF" w:val="clear"/>
            <w:vAlign w:val="bottom"/>
          </w:tcPr>
          <w:p>
            <w:pPr>
              <w:pStyle w:val="TableContents"/>
              <w:spacing w:before="0" w:after="283"/>
              <w:jc w:val="right"/>
              <w:rPr>
                <w:b/>
              </w:rPr>
            </w:pPr>
            <w:r>
              <w:rPr>
                <w:b/>
              </w:rPr>
              <w:t>(2,505,013</w:t>
            </w:r>
          </w:p>
        </w:tc>
        <w:tc>
          <w:tcPr>
            <w:tcW w:w="155" w:type="dxa"/>
            <w:tcBorders/>
            <w:shd w:fill="CCEEFF" w:val="clear"/>
            <w:vAlign w:val="bottom"/>
          </w:tcPr>
          <w:p>
            <w:pPr>
              <w:pStyle w:val="TableContents"/>
              <w:spacing w:before="0" w:after="283"/>
              <w:rPr>
                <w:b/>
              </w:rPr>
            </w:pPr>
            <w:r>
              <w:rPr>
                <w:b/>
              </w:rPr>
              <w:t>) </w:t>
            </w:r>
          </w:p>
        </w:tc>
        <w:tc>
          <w:tcPr>
            <w:tcW w:w="127"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b/>
              </w:rPr>
            </w:pPr>
            <w:r>
              <w:rPr>
                <w:b/>
              </w:rPr>
              <w:t>$</w:t>
            </w:r>
          </w:p>
        </w:tc>
        <w:tc>
          <w:tcPr>
            <w:tcW w:w="1419" w:type="dxa"/>
            <w:tcBorders/>
            <w:shd w:fill="CCEEFF" w:val="clear"/>
            <w:vAlign w:val="bottom"/>
          </w:tcPr>
          <w:p>
            <w:pPr>
              <w:pStyle w:val="TableContents"/>
              <w:spacing w:before="0" w:after="283"/>
              <w:jc w:val="right"/>
              <w:rPr>
                <w:b/>
              </w:rPr>
            </w:pPr>
            <w:r>
              <w:rPr>
                <w:b/>
              </w:rPr>
              <w:t>(1,097,674</w:t>
            </w:r>
          </w:p>
        </w:tc>
        <w:tc>
          <w:tcPr>
            <w:tcW w:w="164" w:type="dxa"/>
            <w:tcBorders/>
            <w:shd w:fill="CCEEFF" w:val="clear"/>
            <w:vAlign w:val="bottom"/>
          </w:tcPr>
          <w:p>
            <w:pPr>
              <w:pStyle w:val="TableContents"/>
              <w:spacing w:before="0" w:after="283"/>
              <w:rPr>
                <w:b/>
              </w:rPr>
            </w:pPr>
            <w:r>
              <w:rPr>
                <w:b/>
              </w:rPr>
              <w:t>) </w:t>
            </w:r>
          </w:p>
        </w:tc>
      </w:tr>
      <w:tr>
        <w:trPr/>
        <w:tc>
          <w:tcPr>
            <w:tcW w:w="2892"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08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pBdr>
                <w:top w:val="double" w:sz="6" w:space="1" w:color="000000"/>
              </w:pBdr>
              <w:spacing w:before="0" w:after="0"/>
              <w:rPr/>
            </w:pPr>
            <w:r>
              <w:rPr/>
              <w:t> </w:t>
            </w:r>
          </w:p>
        </w:tc>
        <w:tc>
          <w:tcPr>
            <w:tcW w:w="6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pBdr>
                <w:top w:val="double" w:sz="6" w:space="1" w:color="000000"/>
              </w:pBdr>
              <w:spacing w:before="0" w:after="0"/>
              <w:rPr/>
            </w:pPr>
            <w:r>
              <w:rPr/>
              <w:t> </w:t>
            </w:r>
          </w:p>
        </w:tc>
        <w:tc>
          <w:tcPr>
            <w:tcW w:w="1419" w:type="dxa"/>
            <w:tcBorders/>
            <w:shd w:fill="auto" w:val="clear"/>
            <w:vAlign w:val="bottom"/>
          </w:tcPr>
          <w:p>
            <w:pPr>
              <w:pStyle w:val="TableContents"/>
              <w:pBdr>
                <w:top w:val="double" w:sz="6" w:space="1" w:color="000000"/>
              </w:pBdr>
              <w:spacing w:before="0" w:after="0"/>
              <w:rPr/>
            </w:pPr>
            <w:r>
              <w:rPr/>
              <w:t> </w:t>
            </w:r>
          </w:p>
        </w:tc>
        <w:tc>
          <w:tcPr>
            <w:tcW w:w="164"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5" w:name="fin309194_54"/>
      <w:bookmarkEnd w:id="55"/>
      <w:r>
        <w:rPr>
          <w:rFonts w:ascii="Times New Roman" w:hAnsi="Times New Roman"/>
          <w:b/>
          <w:sz w:val="20"/>
        </w:rPr>
        <w:t xml:space="preserve">UNAUDITED CONDENSED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985"/>
        <w:gridCol w:w="513"/>
        <w:gridCol w:w="253"/>
        <w:gridCol w:w="1877"/>
        <w:gridCol w:w="155"/>
        <w:gridCol w:w="467"/>
        <w:gridCol w:w="253"/>
        <w:gridCol w:w="1877"/>
        <w:gridCol w:w="159"/>
      </w:tblGrid>
      <w:tr>
        <w:trPr/>
        <w:tc>
          <w:tcPr>
            <w:tcW w:w="4985"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985" w:type="dxa"/>
            <w:tcBorders/>
            <w:shd w:fill="auto" w:val="clear"/>
            <w:vAlign w:val="bottom"/>
          </w:tcPr>
          <w:p>
            <w:pPr>
              <w:pStyle w:val="TableContents"/>
              <w:spacing w:before="0" w:after="283"/>
              <w:rPr/>
            </w:pPr>
            <w:r>
              <w:rPr/>
              <w:t> </w:t>
            </w:r>
          </w:p>
        </w:tc>
        <w:tc>
          <w:tcPr>
            <w:tcW w:w="513" w:type="dxa"/>
            <w:tcBorders/>
            <w:shd w:fill="auto" w:val="clear"/>
            <w:vAlign w:val="bottom"/>
          </w:tcPr>
          <w:p>
            <w:pPr>
              <w:pStyle w:val="TableContents"/>
              <w:spacing w:before="0" w:after="283"/>
              <w:rPr/>
            </w:pPr>
            <w:r>
              <w:rPr/>
              <w:t>  </w:t>
            </w:r>
          </w:p>
        </w:tc>
        <w:tc>
          <w:tcPr>
            <w:tcW w:w="21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br/>
              <w:t>December 31, 2022</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1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 months ended</w:t>
              <w:br/>
              <w:t>December 31, 2021</w:t>
            </w:r>
          </w:p>
        </w:tc>
        <w:tc>
          <w:tcPr>
            <w:tcW w:w="159" w:type="dxa"/>
            <w:tcBorders/>
            <w:shd w:fill="auto" w:val="clear"/>
            <w:vAlign w:val="bottom"/>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Net income (loss)</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877" w:type="dxa"/>
            <w:tcBorders/>
            <w:shd w:fill="auto" w:val="clear"/>
            <w:vAlign w:val="bottom"/>
          </w:tcPr>
          <w:p>
            <w:pPr>
              <w:pStyle w:val="TableContents"/>
              <w:spacing w:before="0" w:after="283"/>
              <w:jc w:val="right"/>
              <w:rPr/>
            </w:pPr>
            <w:r>
              <w:rPr/>
              <w:t>607,027</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877" w:type="dxa"/>
            <w:tcBorders/>
            <w:shd w:fill="auto" w:val="clear"/>
            <w:vAlign w:val="bottom"/>
          </w:tcPr>
          <w:p>
            <w:pPr>
              <w:pStyle w:val="TableContents"/>
              <w:spacing w:before="0" w:after="283"/>
              <w:jc w:val="right"/>
              <w:rPr/>
            </w:pPr>
            <w:r>
              <w:rPr/>
              <w:t>(2,036,114</w:t>
            </w:r>
          </w:p>
        </w:tc>
        <w:tc>
          <w:tcPr>
            <w:tcW w:w="159" w:type="dxa"/>
            <w:tcBorders/>
            <w:shd w:fill="auto" w:val="clear"/>
            <w:vAlign w:val="bottom"/>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income (loss) to net cash used in operating activities: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Interest earned on investments held in Trust Account</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(1,289,673</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(2,844</w:t>
            </w:r>
          </w:p>
        </w:tc>
        <w:tc>
          <w:tcPr>
            <w:tcW w:w="159" w:type="dxa"/>
            <w:tcBorders/>
            <w:shd w:fill="auto" w:val="clear"/>
            <w:vAlign w:val="bottom"/>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27,963</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27,963</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Changes in current assets and liabilities:</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4985"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55,678</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120,574</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Accounts payable </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24,344</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1,603,681</w:t>
            </w:r>
          </w:p>
        </w:tc>
        <w:tc>
          <w:tcPr>
            <w:tcW w:w="159" w:type="dxa"/>
            <w:tcBorders/>
            <w:shd w:fill="auto" w:val="clear"/>
            <w:vAlign w:val="bottom"/>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payable</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260,331</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Franchise tax payable</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50,000</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48,850</w:t>
            </w:r>
          </w:p>
        </w:tc>
        <w:tc>
          <w:tcPr>
            <w:tcW w:w="159"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cash used in operating activities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b/>
              </w:rPr>
            </w:pPr>
            <w:r>
              <w:rPr>
                <w:b/>
              </w:rPr>
              <w:t>(264,331</w:t>
            </w:r>
          </w:p>
        </w:tc>
        <w:tc>
          <w:tcPr>
            <w:tcW w:w="155" w:type="dxa"/>
            <w:tcBorders/>
            <w:shd w:fill="CCEEFF" w:val="clear"/>
            <w:vAlign w:val="bottom"/>
          </w:tcPr>
          <w:p>
            <w:pPr>
              <w:pStyle w:val="TableContents"/>
              <w:spacing w:before="0" w:after="283"/>
              <w:rPr>
                <w:b/>
              </w:rPr>
            </w:pPr>
            <w:r>
              <w:rPr>
                <w:b/>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b/>
              </w:rPr>
            </w:pPr>
            <w:r>
              <w:rPr>
                <w:b/>
              </w:rPr>
              <w:t>(237,890</w:t>
            </w:r>
          </w:p>
        </w:tc>
        <w:tc>
          <w:tcPr>
            <w:tcW w:w="159" w:type="dxa"/>
            <w:tcBorders/>
            <w:shd w:fill="CCEEFF" w:val="clear"/>
            <w:vAlign w:val="bottom"/>
          </w:tcPr>
          <w:p>
            <w:pPr>
              <w:pStyle w:val="TableContents"/>
              <w:spacing w:before="0" w:after="283"/>
              <w:rPr>
                <w:b/>
              </w:rPr>
            </w:pPr>
            <w:r>
              <w:rPr>
                <w:b/>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4985" w:type="dxa"/>
            <w:tcBorders/>
            <w:shd w:fill="CCEEFF" w:val="clear"/>
          </w:tcPr>
          <w:p>
            <w:pPr>
              <w:pStyle w:val="TableContents"/>
              <w:spacing w:before="0" w:after="0"/>
              <w:rPr>
                <w:rFonts w:ascii="Times New Roman" w:hAnsi="Times New Roman"/>
                <w:sz w:val="20"/>
              </w:rPr>
            </w:pPr>
            <w:r>
              <w:rPr>
                <w:rFonts w:ascii="Times New Roman" w:hAnsi="Times New Roman"/>
                <w:sz w:val="20"/>
              </w:rPr>
              <w:t>Principal deposited in Trust Account</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(1,500,000</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cash used in investing activities</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b/>
              </w:rPr>
            </w:pPr>
            <w:r>
              <w:rPr>
                <w:b/>
              </w:rPr>
              <w:t>(1,500,000</w:t>
            </w:r>
          </w:p>
        </w:tc>
        <w:tc>
          <w:tcPr>
            <w:tcW w:w="155" w:type="dxa"/>
            <w:tcBorders/>
            <w:shd w:fill="auto" w:val="clear"/>
            <w:vAlign w:val="bottom"/>
          </w:tcPr>
          <w:p>
            <w:pPr>
              <w:pStyle w:val="TableContents"/>
              <w:spacing w:before="0" w:after="283"/>
              <w:rPr>
                <w:b/>
              </w:rPr>
            </w:pPr>
            <w:r>
              <w:rPr>
                <w:b/>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b/>
              </w:rPr>
            </w:pPr>
            <w:r>
              <w:rPr>
                <w:b/>
              </w:rPr>
              <w:t>  </w:t>
            </w:r>
          </w:p>
        </w:tc>
        <w:tc>
          <w:tcPr>
            <w:tcW w:w="159"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issuance of promissory notes to related party</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1,950,000</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sz w:val="20"/>
              </w:rPr>
            </w:pPr>
            <w:r>
              <w:rPr>
                <w:rFonts w:ascii="Times New Roman" w:hAnsi="Times New Roman"/>
                <w:sz w:val="20"/>
              </w:rPr>
              <w:t>Advances from related parties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Payment of deferred offering costs</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Net cash provided by financing activities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b/>
              </w:rPr>
            </w:pPr>
            <w:r>
              <w:rPr>
                <w:b/>
              </w:rPr>
              <w:t>1,950,000</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Net change in cash</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b/>
              </w:rPr>
            </w:pPr>
            <w:r>
              <w:rPr>
                <w:b/>
              </w:rPr>
              <w:t>185,669</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877" w:type="dxa"/>
            <w:tcBorders/>
            <w:shd w:fill="auto" w:val="clear"/>
            <w:vAlign w:val="bottom"/>
          </w:tcPr>
          <w:p>
            <w:pPr>
              <w:pStyle w:val="TableContents"/>
              <w:spacing w:before="0" w:after="283"/>
              <w:jc w:val="right"/>
              <w:rPr>
                <w:b/>
              </w:rPr>
            </w:pPr>
            <w:r>
              <w:rPr>
                <w:b/>
              </w:rPr>
              <w:t>(237,890</w:t>
            </w:r>
          </w:p>
        </w:tc>
        <w:tc>
          <w:tcPr>
            <w:tcW w:w="159" w:type="dxa"/>
            <w:tcBorders/>
            <w:shd w:fill="auto" w:val="clear"/>
            <w:vAlign w:val="bottom"/>
          </w:tcPr>
          <w:p>
            <w:pPr>
              <w:pStyle w:val="TableContents"/>
              <w:spacing w:before="0" w:after="283"/>
              <w:rPr>
                <w:b/>
              </w:rPr>
            </w:pPr>
            <w:r>
              <w:rPr>
                <w:b/>
              </w:rPr>
              <w:t>) </w:t>
            </w:r>
          </w:p>
        </w:tc>
      </w:tr>
      <w:tr>
        <w:trPr/>
        <w:tc>
          <w:tcPr>
            <w:tcW w:w="4985"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beginning of the period</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177,578</w:t>
            </w:r>
          </w:p>
        </w:tc>
        <w:tc>
          <w:tcPr>
            <w:tcW w:w="155"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877" w:type="dxa"/>
            <w:tcBorders/>
            <w:shd w:fill="CCEEFF" w:val="clear"/>
            <w:vAlign w:val="bottom"/>
          </w:tcPr>
          <w:p>
            <w:pPr>
              <w:pStyle w:val="TableContents"/>
              <w:spacing w:before="0" w:after="283"/>
              <w:jc w:val="right"/>
              <w:rPr/>
            </w:pPr>
            <w:r>
              <w:rPr/>
              <w:t>657,590</w:t>
            </w:r>
          </w:p>
        </w:tc>
        <w:tc>
          <w:tcPr>
            <w:tcW w:w="159" w:type="dxa"/>
            <w:tcBorders/>
            <w:shd w:fill="CCEEFF"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87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Cash, end of the period</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b/>
              </w:rPr>
            </w:pPr>
            <w:r>
              <w:rPr>
                <w:b/>
              </w:rPr>
              <w:t>$</w:t>
            </w:r>
          </w:p>
        </w:tc>
        <w:tc>
          <w:tcPr>
            <w:tcW w:w="1877" w:type="dxa"/>
            <w:tcBorders/>
            <w:shd w:fill="auto" w:val="clear"/>
            <w:vAlign w:val="bottom"/>
          </w:tcPr>
          <w:p>
            <w:pPr>
              <w:pStyle w:val="TableContents"/>
              <w:spacing w:before="0" w:after="283"/>
              <w:jc w:val="right"/>
              <w:rPr>
                <w:b/>
              </w:rPr>
            </w:pPr>
            <w:r>
              <w:rPr>
                <w:b/>
              </w:rPr>
              <w:t>363,247</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b/>
              </w:rPr>
            </w:pPr>
            <w:r>
              <w:rPr>
                <w:b/>
              </w:rPr>
              <w:t>$</w:t>
            </w:r>
          </w:p>
        </w:tc>
        <w:tc>
          <w:tcPr>
            <w:tcW w:w="1877" w:type="dxa"/>
            <w:tcBorders/>
            <w:shd w:fill="auto" w:val="clear"/>
            <w:vAlign w:val="bottom"/>
          </w:tcPr>
          <w:p>
            <w:pPr>
              <w:pStyle w:val="TableContents"/>
              <w:spacing w:before="0" w:after="283"/>
              <w:jc w:val="right"/>
              <w:rPr>
                <w:b/>
              </w:rPr>
            </w:pPr>
            <w:r>
              <w:rPr>
                <w:b/>
              </w:rPr>
              <w:t>419,700</w:t>
            </w:r>
          </w:p>
        </w:tc>
        <w:tc>
          <w:tcPr>
            <w:tcW w:w="159" w:type="dxa"/>
            <w:tcBorders/>
            <w:shd w:fill="auto" w:val="clear"/>
            <w:vAlign w:val="bottom"/>
          </w:tcPr>
          <w:p>
            <w:pPr>
              <w:pStyle w:val="TableContents"/>
              <w:spacing w:before="0" w:after="283"/>
              <w:rPr/>
            </w:pPr>
            <w:r>
              <w:rPr/>
              <w:t> </w:t>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double" w:sz="6" w:space="1" w:color="000000"/>
              </w:pBdr>
              <w:spacing w:before="0" w:after="0"/>
              <w:rPr/>
            </w:pPr>
            <w:r>
              <w:rPr/>
              <w:t> </w:t>
            </w:r>
          </w:p>
        </w:tc>
        <w:tc>
          <w:tcPr>
            <w:tcW w:w="187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double" w:sz="6" w:space="1" w:color="000000"/>
              </w:pBdr>
              <w:spacing w:before="0" w:after="0"/>
              <w:rPr/>
            </w:pPr>
            <w:r>
              <w:rPr/>
              <w:t> </w:t>
            </w:r>
          </w:p>
        </w:tc>
        <w:tc>
          <w:tcPr>
            <w:tcW w:w="187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85" w:type="dxa"/>
            <w:tcBorders/>
            <w:shd w:fill="CCEEFF" w:val="clear"/>
          </w:tcPr>
          <w:p>
            <w:pPr>
              <w:pStyle w:val="TableContents"/>
              <w:spacing w:before="0" w:after="0"/>
              <w:rPr>
                <w:rFonts w:ascii="Times New Roman" w:hAnsi="Times New Roman"/>
                <w:b/>
                <w:sz w:val="20"/>
              </w:rPr>
            </w:pPr>
            <w:r>
              <w:rPr>
                <w:rFonts w:ascii="Times New Roman" w:hAnsi="Times New Roman"/>
                <w:b/>
                <w:sz w:val="20"/>
              </w:rPr>
              <w:t>Supplemental disclosure of noncash investing and financing activities</w:t>
            </w:r>
          </w:p>
        </w:tc>
        <w:tc>
          <w:tcPr>
            <w:tcW w:w="51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877"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4985" w:type="dxa"/>
            <w:tcBorders/>
            <w:shd w:fill="auto"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877" w:type="dxa"/>
            <w:tcBorders/>
            <w:shd w:fill="auto" w:val="clear"/>
            <w:vAlign w:val="bottom"/>
          </w:tcPr>
          <w:p>
            <w:pPr>
              <w:pStyle w:val="TableContents"/>
              <w:spacing w:before="0" w:after="283"/>
              <w:jc w:val="right"/>
              <w:rPr/>
            </w:pPr>
            <w:r>
              <w:rPr/>
              <w:t>2,479,343</w:t>
            </w:r>
          </w:p>
        </w:tc>
        <w:tc>
          <w:tcPr>
            <w:tcW w:w="155"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87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sz w:val="4"/>
                <w:szCs w:val="4"/>
              </w:rPr>
            </w:pPr>
            <w:r>
              <w:rPr>
                <w:sz w:val="4"/>
                <w:szCs w:val="4"/>
              </w:rPr>
            </w:r>
          </w:p>
        </w:tc>
      </w:tr>
      <w:tr>
        <w:trPr/>
        <w:tc>
          <w:tcPr>
            <w:tcW w:w="4985" w:type="dxa"/>
            <w:tcBorders/>
            <w:shd w:fill="auto" w:val="clear"/>
            <w:vAlign w:val="bottom"/>
          </w:tcPr>
          <w:p>
            <w:pPr>
              <w:pStyle w:val="TableContents"/>
              <w:spacing w:before="0" w:after="283"/>
              <w:rPr>
                <w:sz w:val="4"/>
                <w:szCs w:val="4"/>
              </w:rPr>
            </w:pPr>
            <w:r>
              <w:rPr>
                <w:sz w:val="4"/>
                <w:szCs w:val="4"/>
              </w:rPr>
            </w:r>
          </w:p>
        </w:tc>
        <w:tc>
          <w:tcPr>
            <w:tcW w:w="5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double" w:sz="6" w:space="1" w:color="000000"/>
              </w:pBdr>
              <w:spacing w:before="0" w:after="0"/>
              <w:rPr/>
            </w:pPr>
            <w:r>
              <w:rPr/>
              <w:t> </w:t>
            </w:r>
          </w:p>
        </w:tc>
        <w:tc>
          <w:tcPr>
            <w:tcW w:w="187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double" w:sz="6" w:space="1" w:color="000000"/>
              </w:pBdr>
              <w:spacing w:before="0" w:after="0"/>
              <w:rPr/>
            </w:pPr>
            <w:r>
              <w:rPr/>
              <w:t> </w:t>
            </w:r>
          </w:p>
        </w:tc>
        <w:tc>
          <w:tcPr>
            <w:tcW w:w="1877"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r>
        <w:rPr>
          <w:rFonts w:ascii="Times New Roman" w:hAnsi="Times New Roman"/>
          <w:b/>
          <w:sz w:val="20"/>
        </w:rPr>
        <w:t xml:space="preserve">NOTES TO UNAUDITED CONDENSED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DECEMBER 31, 2022 </w:t>
      </w:r>
    </w:p>
    <w:p>
      <w:pPr>
        <w:pStyle w:val="TextBody"/>
        <w:spacing w:before="240" w:after="0"/>
        <w:jc w:val="left"/>
        <w:rPr>
          <w:rFonts w:ascii="Times New Roman" w:hAnsi="Times New Roman"/>
          <w:b/>
          <w:sz w:val="20"/>
        </w:rPr>
      </w:pPr>
      <w:r>
        <w:rPr>
          <w:rFonts w:ascii="Times New Roman" w:hAnsi="Times New Roman"/>
          <w:b/>
          <w:sz w:val="20"/>
        </w:rPr>
        <w:t xml:space="preserve">Note 1  Organization, Business Operations and Going Concern </w:t>
      </w:r>
    </w:p>
    <w:p>
      <w:pPr>
        <w:pStyle w:val="TextBody"/>
        <w:spacing w:before="120" w:after="0"/>
        <w:jc w:val="left"/>
        <w:rPr>
          <w:rFonts w:ascii="Times New Roman" w:hAnsi="Times New Roman"/>
          <w:sz w:val="20"/>
        </w:rPr>
      </w:pPr>
      <w:r>
        <w:rPr>
          <w:rFonts w:ascii="Times New Roman" w:hAnsi="Times New Roman"/>
          <w:sz w:val="20"/>
        </w:rPr>
        <w:t xml:space="preserve">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 </w:t>
      </w:r>
    </w:p>
    <w:p>
      <w:pPr>
        <w:pStyle w:val="TextBody"/>
        <w:spacing w:before="120" w:after="0"/>
        <w:jc w:val="left"/>
        <w:rPr>
          <w:rFonts w:ascii="Times New Roman" w:hAnsi="Times New Roman"/>
          <w:sz w:val="20"/>
        </w:rPr>
      </w:pPr>
      <w:r>
        <w:rPr>
          <w:rFonts w:ascii="Times New Roman" w:hAnsi="Times New Roman"/>
          <w:sz w:val="20"/>
        </w:rPr>
        <w:t xml:space="preserve">As of December 31, 2022, the Company had not commenced any operations. All activity for the period from November 5, 2020 (inception) through December 31, 2022,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w:t>
      </w:r>
    </w:p>
    <w:p>
      <w:pPr>
        <w:pStyle w:val="TextBody"/>
        <w:spacing w:before="120" w:after="0"/>
        <w:jc w:val="left"/>
        <w:rPr>
          <w:rFonts w:ascii="Times New Roman" w:hAnsi="Times New Roman"/>
          <w:sz w:val="20"/>
        </w:rPr>
      </w:pPr>
      <w:r>
        <w:rPr>
          <w:rFonts w:ascii="Times New Roman" w:hAnsi="Times New Roman"/>
          <w:sz w:val="20"/>
        </w:rPr>
        <w:t xml:space="preserve">The Companys sponsor is Armada Sponsor LLC (the Sponsor). </w:t>
      </w:r>
    </w:p>
    <w:p>
      <w:pPr>
        <w:pStyle w:val="TextBody"/>
        <w:spacing w:before="120" w:after="0"/>
        <w:jc w:val="left"/>
        <w:rPr>
          <w:rFonts w:ascii="Times New Roman" w:hAnsi="Times New Roman"/>
          <w:sz w:val="20"/>
        </w:rPr>
      </w:pPr>
      <w:r>
        <w:rPr>
          <w:rFonts w:ascii="Times New Roman" w:hAnsi="Times New Roman"/>
          <w:sz w:val="20"/>
        </w:rPr>
        <w:t xml:space="preserve">The registration statement for the Companys IPO was declared effective on August 12, 2021 (the Effective Date). On August 17, 2021, the Company commenced the IPO of 15,000,000 units at $10.00 per unit (the Units). </w:t>
      </w:r>
    </w:p>
    <w:p>
      <w:pPr>
        <w:pStyle w:val="TextBody"/>
        <w:spacing w:before="12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spacing w:before="120" w:after="0"/>
        <w:jc w:val="left"/>
        <w:rPr>
          <w:rFonts w:ascii="Times New Roman" w:hAnsi="Times New Roman"/>
          <w:sz w:val="20"/>
        </w:rPr>
      </w:pPr>
      <w:r>
        <w:rPr>
          <w:rFonts w:ascii="Times New Roman" w:hAnsi="Times New Roman"/>
          <w:sz w:val="20"/>
        </w:rPr>
        <w:t xml:space="preserve">Transaction costs amounted to $3,537,515 consisting of $1,500,000 of underwriting commissions, and $2,037,515 of other offering costs. </w:t>
      </w:r>
    </w:p>
    <w:p>
      <w:pPr>
        <w:pStyle w:val="TextBody"/>
        <w:spacing w:before="120" w:after="0"/>
        <w:jc w:val="left"/>
        <w:rPr>
          <w:rFonts w:ascii="Times New Roman" w:hAnsi="Times New Roman"/>
          <w:sz w:val="20"/>
        </w:rPr>
      </w:pPr>
      <w:r>
        <w:rPr>
          <w:rFonts w:ascii="Times New Roman" w:hAnsi="Times New Roman"/>
          <w:sz w:val="20"/>
        </w:rPr>
        <w:t xml:space="preserve">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As of December 31, 2022, the Trust Account has released $182,069 to the Company to pay tax obligations. </w:t>
      </w:r>
    </w:p>
    <w:p>
      <w:pPr>
        <w:pStyle w:val="TextBody"/>
        <w:spacing w:before="12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sale of Private Shares, although substantially all of the net proceeds are intended to be applied generally toward consummating a Business Combination. </w:t>
      </w:r>
    </w:p>
    <w:p>
      <w:pPr>
        <w:pStyle w:val="TextBody"/>
        <w:spacing w:before="120" w:after="0"/>
        <w:jc w:val="left"/>
        <w:rPr>
          <w:rFonts w:ascii="Times New Roman" w:hAnsi="Times New Roman"/>
          <w:sz w:val="20"/>
        </w:rPr>
      </w:pPr>
      <w:r>
        <w:rPr>
          <w:rFonts w:ascii="Times New Roman" w:hAnsi="Times New Roman"/>
          <w:sz w:val="20"/>
        </w:rPr>
        <w:t xml:space="preserve">The Company must complete one or more initial Business Combinations having an aggregate fair market value of at least 80% of the value of the assets held in the trust account (as defined below) (excluding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spacing w:before="120" w:after="0"/>
        <w:jc w:val="left"/>
        <w:rPr>
          <w:rFonts w:ascii="Times New Roman" w:hAnsi="Times New Roman"/>
          <w:sz w:val="20"/>
        </w:rPr>
      </w:pPr>
      <w:r>
        <w:rPr>
          <w:rFonts w:ascii="Times New Roman" w:hAnsi="Times New Roman"/>
          <w:sz w:val="20"/>
        </w:rPr>
        <w:t xml:space="preserve">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dont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 </w:t>
      </w:r>
    </w:p>
    <w:p>
      <w:pPr>
        <w:pStyle w:val="TextBody"/>
        <w:spacing w:before="120" w:after="0"/>
        <w:jc w:val="left"/>
        <w:rPr>
          <w:rFonts w:ascii="Times New Roman" w:hAnsi="Times New Roman"/>
          <w:sz w:val="20"/>
        </w:rPr>
      </w:pPr>
      <w:r>
        <w:rPr>
          <w:rFonts w:ascii="Times New Roman" w:hAnsi="Times New Roman"/>
          <w:sz w:val="20"/>
        </w:rPr>
        <w:t xml:space="preserve">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 </w:t>
      </w:r>
    </w:p>
    <w:p>
      <w:pPr>
        <w:pStyle w:val="TextBody"/>
        <w:spacing w:before="120" w:after="0"/>
        <w:jc w:val="left"/>
        <w:rPr>
          <w:rFonts w:ascii="Times New Roman" w:hAnsi="Times New Roman"/>
          <w:sz w:val="20"/>
        </w:rPr>
      </w:pPr>
      <w:r>
        <w:rPr>
          <w:rFonts w:ascii="Times New Roman" w:hAnsi="Times New Roman"/>
          <w:sz w:val="20"/>
        </w:rPr>
        <w:t xml:space="preserve">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 </w:t>
      </w:r>
    </w:p>
    <w:p>
      <w:pPr>
        <w:pStyle w:val="TextBody"/>
        <w:spacing w:before="120" w:after="0"/>
        <w:jc w:val="left"/>
        <w:rPr>
          <w:rFonts w:ascii="Times New Roman" w:hAnsi="Times New Roman"/>
          <w:sz w:val="20"/>
        </w:rPr>
      </w:pPr>
      <w:r>
        <w:rPr>
          <w:rFonts w:ascii="Times New Roman" w:hAnsi="Times New Roman"/>
          <w:sz w:val="20"/>
        </w:rPr>
        <w:t xml:space="preserve">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 </w:t>
      </w:r>
    </w:p>
    <w:p>
      <w:pPr>
        <w:pStyle w:val="TextBody"/>
        <w:spacing w:before="120" w:after="0"/>
        <w:jc w:val="left"/>
        <w:rPr>
          <w:rFonts w:ascii="Times New Roman" w:hAnsi="Times New Roman"/>
          <w:sz w:val="20"/>
        </w:rPr>
      </w:pPr>
      <w:r>
        <w:rPr>
          <w:rFonts w:ascii="Times New Roman" w:hAnsi="Times New Roman"/>
          <w:sz w:val="20"/>
        </w:rPr>
        <w:t xml:space="preserve">The Sponsor has agreed that it will be liable to ensure that the proceeds in the Trust Account are not reduced below $10.00 per share by the claims of target businesses or claims of vendors or other entities that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 </w:t>
      </w:r>
    </w:p>
    <w:p>
      <w:pPr>
        <w:pStyle w:val="TextBody"/>
        <w:spacing w:before="120" w:after="0"/>
        <w:jc w:val="left"/>
        <w:rPr>
          <w:rFonts w:ascii="Times New Roman" w:hAnsi="Times New Roman"/>
          <w:sz w:val="20"/>
        </w:rPr>
      </w:pPr>
      <w:r>
        <w:rPr>
          <w:rFonts w:ascii="Times New Roman" w:hAnsi="Times New Roman"/>
          <w:sz w:val="20"/>
        </w:rPr>
        <w:t>On December 17, 2021, the Company entered into a business combination agreement with Rezolve Limited, a private limited company incorporated under the laws of England and Wales (</w:t>
      </w:r>
      <w:r>
        <w:rPr>
          <w:rFonts w:ascii="Times New Roman" w:hAnsi="Times New Roman"/>
          <w:sz w:val="20"/>
          <w:u w:val="single"/>
        </w:rPr>
        <w:t>Rezolve</w:t>
      </w:r>
      <w:r>
        <w:rPr>
          <w:rFonts w:ascii="Times New Roman" w:hAnsi="Times New Roman"/>
          <w:sz w:val="20"/>
        </w:rPr>
        <w:t>), Rezolve Group Limited, a Cayman Islands exempted company (</w:t>
      </w:r>
      <w:r>
        <w:rPr>
          <w:rFonts w:ascii="Times New Roman" w:hAnsi="Times New Roman"/>
          <w:sz w:val="20"/>
          <w:u w:val="single"/>
        </w:rPr>
        <w:t>Cayman NewCo</w:t>
      </w:r>
      <w:r>
        <w:rPr>
          <w:rFonts w:ascii="Times New Roman" w:hAnsi="Times New Roman"/>
          <w:sz w:val="20"/>
        </w:rPr>
        <w:t>), and Rezolve Merger Sub, Inc., (</w:t>
      </w:r>
      <w:r>
        <w:rPr>
          <w:rFonts w:ascii="Times New Roman" w:hAnsi="Times New Roman"/>
          <w:sz w:val="20"/>
          <w:u w:val="single"/>
        </w:rPr>
        <w:t>Rezolve Merger Sub</w:t>
      </w:r>
      <w:r>
        <w:rPr>
          <w:rFonts w:ascii="Times New Roman" w:hAnsi="Times New Roman"/>
          <w:sz w:val="20"/>
        </w:rPr>
        <w:t>) (such business combination agreement, the </w:t>
      </w:r>
      <w:r>
        <w:rPr>
          <w:rFonts w:ascii="Times New Roman" w:hAnsi="Times New Roman"/>
          <w:sz w:val="20"/>
          <w:u w:val="single"/>
        </w:rPr>
        <w:t>Business Combination Agreement</w:t>
      </w:r>
      <w:r>
        <w:rPr>
          <w:rFonts w:ascii="Times New Roman" w:hAnsi="Times New Roman"/>
          <w:sz w:val="20"/>
        </w:rPr>
        <w:t>, and such business combination, the </w:t>
      </w:r>
      <w:r>
        <w:rPr>
          <w:rFonts w:ascii="Times New Roman" w:hAnsi="Times New Roman"/>
          <w:sz w:val="20"/>
          <w:u w:val="single"/>
        </w:rPr>
        <w:t>Business Combination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Times New Roman" w:hAnsi="Times New Roman"/>
          <w:sz w:val="20"/>
          <w:u w:val="single"/>
        </w:rPr>
        <w:t>Subscription Agreements</w:t>
      </w:r>
      <w:r>
        <w:rPr>
          <w:rFonts w:ascii="Times New Roman" w:hAnsi="Times New Roman"/>
          <w:sz w:val="20"/>
        </w:rPr>
        <w:t xml:space="preserve">). The obligations of each party under the subscription agreements are conditioned upon customary closing conditions and the consummation of the Business Combination. </w:t>
      </w:r>
    </w:p>
    <w:p>
      <w:pPr>
        <w:pStyle w:val="TextBody"/>
        <w:spacing w:before="120" w:after="0"/>
        <w:jc w:val="left"/>
        <w:rPr>
          <w:rFonts w:ascii="Times New Roman" w:hAnsi="Times New Roman"/>
          <w:sz w:val="20"/>
        </w:rPr>
      </w:pPr>
      <w:r>
        <w:rPr>
          <w:rFonts w:ascii="Times New Roman" w:hAnsi="Times New Roman"/>
          <w:sz w:val="20"/>
        </w:rPr>
        <w:t>Concurrently with the execution and delivery of the Business Combination Agreement, Armada and the Key Company Shareholders (as defined in the Business Combination Agreement) have entered into the Transaction Support Agreement (the </w:t>
      </w:r>
      <w:r>
        <w:rPr>
          <w:rFonts w:ascii="Times New Roman" w:hAnsi="Times New Roman"/>
          <w:sz w:val="20"/>
          <w:u w:val="single"/>
        </w:rPr>
        <w:t>Transaction Support Agreement</w:t>
      </w:r>
      <w:r>
        <w:rPr>
          <w:rFonts w:ascii="Times New Roman" w:hAnsi="Times New Roman"/>
          <w:sz w:val="20"/>
        </w:rPr>
        <w:t xml:space="preserve">),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 </w:t>
      </w:r>
    </w:p>
    <w:p>
      <w:pPr>
        <w:pStyle w:val="TextBody"/>
        <w:spacing w:before="12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spacing w:before="120" w:after="0"/>
        <w:jc w:val="left"/>
        <w:rPr>
          <w:rFonts w:ascii="Times New Roman" w:hAnsi="Times New Roman"/>
          <w:sz w:val="20"/>
        </w:rPr>
      </w:pPr>
      <w:r>
        <w:rPr>
          <w:rFonts w:ascii="Times New Roman" w:hAnsi="Times New Roman"/>
          <w:sz w:val="20"/>
        </w:rPr>
        <w:t xml:space="preserve">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$10.17 per February 2, 2023 filed Form 8-K. As a result, approximately $116,864,975 per February 2, 2023 filed Form 8-K will be removed from the Companys Trust Account to pay such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Liquidity and Going Concern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among other things, the realization of assets and satisfaction of liabilities in the normal course of business. </w:t>
      </w:r>
    </w:p>
    <w:p>
      <w:pPr>
        <w:pStyle w:val="TextBody"/>
        <w:spacing w:before="120" w:after="0"/>
        <w:jc w:val="left"/>
        <w:rPr>
          <w:rFonts w:ascii="Times New Roman" w:hAnsi="Times New Roman"/>
          <w:sz w:val="20"/>
        </w:rPr>
      </w:pPr>
      <w:r>
        <w:rPr>
          <w:rFonts w:ascii="Times New Roman" w:hAnsi="Times New Roman"/>
          <w:sz w:val="20"/>
        </w:rPr>
        <w:t xml:space="preserve">As of December 31, 2022, the Company had approximately $0.4 million in its operating account and working capital deficiency of approximately $5 million (excluding income tax payable and franchise tax payable). </w:t>
      </w:r>
    </w:p>
    <w:p>
      <w:pPr>
        <w:pStyle w:val="TextBody"/>
        <w:spacing w:before="120" w:after="0"/>
        <w:jc w:val="left"/>
        <w:rPr>
          <w:rFonts w:ascii="Times New Roman" w:hAnsi="Times New Roman"/>
          <w:sz w:val="20"/>
        </w:rPr>
      </w:pPr>
      <w:r>
        <w:rPr>
          <w:rFonts w:ascii="Times New Roman" w:hAnsi="Times New Roman"/>
          <w:sz w:val="20"/>
        </w:rPr>
        <w:t xml:space="preserve">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 </w:t>
      </w:r>
    </w:p>
    <w:p>
      <w:pPr>
        <w:pStyle w:val="TextBody"/>
        <w:spacing w:before="12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On November 10, 2022 the Sponsor loaned the Company $1,500,000 in order to cover the additional contribution to the trust account in connection with the automatic extension and $450,000 to fund its working capital needs (see Note 3). These loans are evidenced by four promissory notes in the aggregate principal amount of $2,433,034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of December 31, 2022 and September 30, 2022, respectively. </w:t>
      </w:r>
    </w:p>
    <w:p>
      <w:pPr>
        <w:pStyle w:val="TextBody"/>
        <w:spacing w:before="12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December 31, 2022, there were no amounts outstanding under any Working Capital Loans. The Company has incurred and expects to continue to incur significant costs in pursuit of its acquisition plans. </w:t>
      </w:r>
    </w:p>
    <w:p>
      <w:pPr>
        <w:pStyle w:val="TextBody"/>
        <w:spacing w:before="12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 </w:t>
      </w:r>
    </w:p>
    <w:p>
      <w:pPr>
        <w:pStyle w:val="TextBody"/>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unaudited condensed financial statements. The unaudited condensed financial statements do not include any adjustments that might result from the outcome of this uncertainty. </w:t>
      </w:r>
    </w:p>
    <w:p>
      <w:pPr>
        <w:pStyle w:val="TextBody"/>
        <w:spacing w:before="12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spacing w:before="12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w:t>
      </w:r>
    </w:p>
    <w:p>
      <w:pPr>
        <w:pStyle w:val="TextBody"/>
        <w:spacing w:before="360" w:after="0"/>
        <w:jc w:val="left"/>
        <w:rPr>
          <w:rFonts w:ascii="Times New Roman" w:hAnsi="Times New Roman"/>
          <w:b/>
          <w:sz w:val="20"/>
        </w:rPr>
      </w:pPr>
      <w:r>
        <w:rPr>
          <w:rFonts w:ascii="Times New Roman" w:hAnsi="Times New Roman"/>
          <w:b/>
          <w:sz w:val="20"/>
        </w:rPr>
        <w:t xml:space="preserve">Note 2  Significant Accounting Policies </w:t>
      </w:r>
    </w:p>
    <w:p>
      <w:pPr>
        <w:pStyle w:val="TextBody"/>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2022, are not necessarily indicative of the results that may be expected through December 31, 2023. </w:t>
      </w:r>
    </w:p>
    <w:p>
      <w:pPr>
        <w:pStyle w:val="TextBody"/>
        <w:spacing w:before="120" w:after="0"/>
        <w:jc w:val="left"/>
        <w:rPr>
          <w:rFonts w:ascii="Times New Roman" w:hAnsi="Times New Roman"/>
          <w:sz w:val="20"/>
        </w:rPr>
      </w:pPr>
      <w:r>
        <w:rPr>
          <w:rFonts w:ascii="Times New Roman" w:hAnsi="Times New Roman"/>
          <w:sz w:val="20"/>
        </w:rPr>
        <w:t xml:space="preserve">The accompanying unaudited condensed financial statements should be read in conjunction with the Companys Annual Report on Form10-K, as filed with SEC on December 13, 2022. </w:t>
      </w:r>
    </w:p>
    <w:p>
      <w:pPr>
        <w:pStyle w:val="TextBody"/>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t>
      </w:r>
    </w:p>
    <w:p>
      <w:pPr>
        <w:pStyle w:val="TextBody"/>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$363,247 and $177,578 in cash as of December 31, 2022 and September 30, 2022,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Investment Held in Trust Account </w:t>
      </w:r>
    </w:p>
    <w:p>
      <w:pPr>
        <w:pStyle w:val="TextBody"/>
        <w:spacing w:before="120" w:after="0"/>
        <w:jc w:val="left"/>
        <w:rPr>
          <w:rFonts w:ascii="Times New Roman" w:hAnsi="Times New Roman"/>
          <w:sz w:val="20"/>
        </w:rPr>
      </w:pPr>
      <w:r>
        <w:rPr>
          <w:rFonts w:ascii="Times New Roman" w:hAnsi="Times New Roman"/>
          <w:sz w:val="20"/>
        </w:rPr>
        <w:t xml:space="preserve">As of December 31, 2022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gain on Investments Held in Trust Account in the accompanying condensed statement of operations. </w:t>
      </w:r>
    </w:p>
    <w:p>
      <w:pPr>
        <w:pStyle w:val="TextBody"/>
        <w:spacing w:before="120" w:after="0"/>
        <w:jc w:val="left"/>
        <w:rPr>
          <w:rFonts w:ascii="Times New Roman" w:hAnsi="Times New Roman"/>
          <w:sz w:val="20"/>
        </w:rPr>
      </w:pPr>
      <w:r>
        <w:rPr>
          <w:rFonts w:ascii="Times New Roman" w:hAnsi="Times New Roman"/>
          <w:sz w:val="20"/>
        </w:rPr>
        <w:t xml:space="preserve">As September 30, 2022, the assets held in the Trust Account were held in U.S. Treasury Bills with a maturity of 185 days or less and in money market funds which invest in U.S. Treasury securities. </w:t>
      </w:r>
    </w:p>
    <w:p>
      <w:pPr>
        <w:pStyle w:val="TextBody"/>
        <w:spacing w:before="120" w:after="0"/>
        <w:jc w:val="left"/>
        <w:rPr>
          <w:rFonts w:ascii="Times New Roman" w:hAnsi="Times New Roman"/>
          <w:sz w:val="20"/>
        </w:rPr>
      </w:pPr>
      <w:r>
        <w:rPr>
          <w:rFonts w:ascii="Times New Roman" w:hAnsi="Times New Roman"/>
          <w:sz w:val="20"/>
        </w:rPr>
        <w:t xml:space="preserve">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spacing w:before="120" w:after="0"/>
        <w:jc w:val="left"/>
        <w:rPr>
          <w:rFonts w:ascii="Times New Roman" w:hAnsi="Times New Roman"/>
          <w:sz w:val="20"/>
        </w:rPr>
      </w:pPr>
      <w:r>
        <w:rPr>
          <w:rFonts w:ascii="Times New Roman" w:hAnsi="Times New Roman"/>
          <w:sz w:val="20"/>
        </w:rPr>
        <w:t xml:space="preserve">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w:t>
      </w:r>
    </w:p>
    <w:p>
      <w:pPr>
        <w:pStyle w:val="TextBody"/>
        <w:spacing w:before="120" w:after="0"/>
        <w:jc w:val="left"/>
        <w:rPr>
          <w:rFonts w:ascii="Times New Roman" w:hAnsi="Times New Roman"/>
          <w:sz w:val="20"/>
        </w:rPr>
      </w:pPr>
      <w:r>
        <w:rPr>
          <w:rFonts w:ascii="Times New Roman" w:hAnsi="Times New Roman"/>
          <w:sz w:val="20"/>
        </w:rPr>
        <w:t xml:space="preserve">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 </w:t>
      </w:r>
    </w:p>
    <w:p>
      <w:pPr>
        <w:pStyle w:val="TextBody"/>
        <w:spacing w:before="120" w:after="0"/>
        <w:jc w:val="left"/>
        <w:rPr>
          <w:rFonts w:ascii="Times New Roman" w:hAnsi="Times New Roman"/>
          <w:sz w:val="20"/>
        </w:rPr>
      </w:pPr>
      <w:r>
        <w:rPr>
          <w:rFonts w:ascii="Times New Roman" w:hAnsi="Times New Roman"/>
          <w:sz w:val="20"/>
        </w:rPr>
        <w:t xml:space="preserve">There were no held to maturity securities on December 31, 2022. The carrying value, excluding gross unrealized holding loss, and fair value of held to maturity securities on September 30, 2022 is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519"/>
        <w:gridCol w:w="305"/>
        <w:gridCol w:w="151"/>
        <w:gridCol w:w="1477"/>
        <w:gridCol w:w="60"/>
        <w:gridCol w:w="305"/>
        <w:gridCol w:w="207"/>
        <w:gridCol w:w="1019"/>
        <w:gridCol w:w="60"/>
        <w:gridCol w:w="305"/>
        <w:gridCol w:w="305"/>
        <w:gridCol w:w="922"/>
        <w:gridCol w:w="60"/>
        <w:gridCol w:w="305"/>
        <w:gridCol w:w="150"/>
        <w:gridCol w:w="1477"/>
        <w:gridCol w:w="68"/>
      </w:tblGrid>
      <w:tr>
        <w:trPr/>
        <w:tc>
          <w:tcPr>
            <w:tcW w:w="251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51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Carrying</w:t>
              <w:br/>
              <w:t>Value as of</w:t>
              <w:br/>
              <w:t>September 30,</w:t>
              <w:br/>
              <w:t>2022</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Unrealized</w:t>
              <w:br/>
              <w:t>Gains</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Unrealized</w:t>
              <w:br/>
              <w:t>Losses</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w:t>
              <w:br/>
              <w:t>as of</w:t>
              <w:br/>
              <w:t>September 30,</w:t>
              <w:br/>
              <w:t>2022</w:t>
            </w:r>
          </w:p>
        </w:tc>
        <w:tc>
          <w:tcPr>
            <w:tcW w:w="68" w:type="dxa"/>
            <w:tcBorders/>
            <w:shd w:fill="auto" w:val="clear"/>
            <w:vAlign w:val="bottom"/>
          </w:tcPr>
          <w:p>
            <w:pPr>
              <w:pStyle w:val="TableContents"/>
              <w:spacing w:before="0" w:after="283"/>
              <w:rPr/>
            </w:pPr>
            <w:r>
              <w:rPr/>
              <w:t> </w:t>
            </w:r>
          </w:p>
        </w:tc>
      </w:tr>
      <w:tr>
        <w:trPr/>
        <w:tc>
          <w:tcPr>
            <w:tcW w:w="2519"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3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320</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320</w:t>
            </w:r>
          </w:p>
        </w:tc>
        <w:tc>
          <w:tcPr>
            <w:tcW w:w="68" w:type="dxa"/>
            <w:tcBorders/>
            <w:shd w:fill="CCEEFF" w:val="clear"/>
            <w:vAlign w:val="bottom"/>
          </w:tcPr>
          <w:p>
            <w:pPr>
              <w:pStyle w:val="TableContents"/>
              <w:spacing w:before="0" w:after="283"/>
              <w:rPr/>
            </w:pPr>
            <w:r>
              <w:rPr/>
              <w:t> </w:t>
            </w:r>
          </w:p>
        </w:tc>
      </w:tr>
      <w:tr>
        <w:trPr/>
        <w:tc>
          <w:tcPr>
            <w:tcW w:w="2519" w:type="dxa"/>
            <w:tcBorders/>
            <w:shd w:fill="auto" w:val="clear"/>
          </w:tcPr>
          <w:p>
            <w:pPr>
              <w:pStyle w:val="TableContents"/>
              <w:spacing w:before="0" w:after="0"/>
              <w:rPr>
                <w:rFonts w:ascii="Times New Roman" w:hAnsi="Times New Roman"/>
                <w:sz w:val="20"/>
              </w:rPr>
            </w:pPr>
            <w:r>
              <w:rPr>
                <w:rFonts w:ascii="Times New Roman" w:hAnsi="Times New Roman"/>
                <w:sz w:val="20"/>
              </w:rPr>
              <w:t>U.S. Treasury Bills</w:t>
            </w:r>
          </w:p>
        </w:tc>
        <w:tc>
          <w:tcPr>
            <w:tcW w:w="3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jc w:val="right"/>
              <w:rPr/>
            </w:pPr>
            <w:r>
              <w:rPr/>
              <w:t>150,844,605</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pPr>
            <w:r>
              <w:rPr/>
              <w:t>19,242</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jc w:val="right"/>
              <w:rPr/>
            </w:pPr>
            <w:r>
              <w:rPr/>
              <w:t>150,863,847</w:t>
            </w:r>
          </w:p>
        </w:tc>
        <w:tc>
          <w:tcPr>
            <w:tcW w:w="68" w:type="dxa"/>
            <w:tcBorders/>
            <w:shd w:fill="auto" w:val="clear"/>
            <w:vAlign w:val="bottom"/>
          </w:tcPr>
          <w:p>
            <w:pPr>
              <w:pStyle w:val="TableContents"/>
              <w:spacing w:before="0" w:after="283"/>
              <w:rPr/>
            </w:pPr>
            <w:r>
              <w:rPr/>
              <w:t> </w:t>
            </w:r>
          </w:p>
        </w:tc>
      </w:tr>
      <w:tr>
        <w:trPr/>
        <w:tc>
          <w:tcPr>
            <w:tcW w:w="251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4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477"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2519" w:type="dxa"/>
            <w:tcBorders/>
            <w:shd w:fill="CCEEFF" w:val="clear"/>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150,844,925</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19,242</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150,864,167</w:t>
            </w:r>
          </w:p>
        </w:tc>
        <w:tc>
          <w:tcPr>
            <w:tcW w:w="68" w:type="dxa"/>
            <w:tcBorders/>
            <w:shd w:fill="CCEEFF" w:val="clear"/>
            <w:vAlign w:val="bottom"/>
          </w:tcPr>
          <w:p>
            <w:pPr>
              <w:pStyle w:val="TableContents"/>
              <w:spacing w:before="0" w:after="283"/>
              <w:rPr/>
            </w:pPr>
            <w:r>
              <w:rPr/>
              <w:t> </w:t>
            </w:r>
          </w:p>
        </w:tc>
      </w:tr>
      <w:tr>
        <w:trPr/>
        <w:tc>
          <w:tcPr>
            <w:tcW w:w="251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0"/>
              <w:rPr/>
            </w:pPr>
            <w:r>
              <w:rPr/>
              <w:t> </w:t>
            </w:r>
          </w:p>
        </w:tc>
        <w:tc>
          <w:tcPr>
            <w:tcW w:w="147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01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double" w:sz="6" w:space="1" w:color="000000"/>
              </w:pBdr>
              <w:spacing w:before="0" w:after="0"/>
              <w:rPr/>
            </w:pPr>
            <w:r>
              <w:rPr/>
              <w:t> </w:t>
            </w:r>
          </w:p>
        </w:tc>
        <w:tc>
          <w:tcPr>
            <w:tcW w:w="92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double" w:sz="6" w:space="1" w:color="000000"/>
              </w:pBdr>
              <w:spacing w:before="0" w:after="0"/>
              <w:rPr/>
            </w:pPr>
            <w:r>
              <w:rPr/>
              <w:t> </w:t>
            </w:r>
          </w:p>
        </w:tc>
        <w:tc>
          <w:tcPr>
            <w:tcW w:w="1477" w:type="dxa"/>
            <w:tcBorders/>
            <w:shd w:fill="auto" w:val="clear"/>
            <w:vAlign w:val="bottom"/>
          </w:tcPr>
          <w:p>
            <w:pPr>
              <w:pStyle w:val="TableContents"/>
              <w:pBdr>
                <w:top w:val="double" w:sz="6"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Held to maturity investments (U.S. Treasury Bills) recorded as of September 30, 2022 matured on October 22, 2022 and total amount of $151,046,320, including amortized interest, was reinvested in money market funds. </w:t>
      </w:r>
    </w:p>
    <w:p>
      <w:pPr>
        <w:pStyle w:val="TextBody"/>
        <w:spacing w:before="120" w:after="0"/>
        <w:jc w:val="left"/>
        <w:rPr>
          <w:rFonts w:ascii="Times New Roman" w:hAnsi="Times New Roman"/>
          <w:sz w:val="20"/>
        </w:rPr>
      </w:pPr>
      <w:r>
        <w:rPr>
          <w:rFonts w:ascii="Times New Roman" w:hAnsi="Times New Roman"/>
          <w:sz w:val="20"/>
        </w:rPr>
        <w:t xml:space="preserve">The estimated fair values of investments held in the Trust Account are determined using available market information and are characterized as Level 1 investments within the fair value hierarchy under ASC 820 (as described below). </w:t>
      </w:r>
    </w:p>
    <w:p>
      <w:pPr>
        <w:pStyle w:val="TextBody"/>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spacing w:before="120" w:after="0"/>
        <w:jc w:val="left"/>
        <w:rPr>
          <w:rFonts w:ascii="Times New Roman" w:hAnsi="Times New Roman"/>
          <w:sz w:val="20"/>
        </w:rPr>
      </w:pPr>
      <w:r>
        <w:rPr>
          <w:rFonts w:ascii="Times New Roman" w:hAnsi="Times New Roman"/>
          <w:sz w:val="20"/>
        </w:rPr>
        <w:t>Fair value is defined as the price that would be received for sale of an asset or paid for transfer of a liability, in an orderly transaction between market participants at the measurement date. GAAP establishes a three-</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spacing w:before="12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spacing w:before="120" w:after="0"/>
        <w:jc w:val="left"/>
        <w:rPr>
          <w:rFonts w:ascii="Times New Roman" w:hAnsi="Times New Roman"/>
          <w:sz w:val="20"/>
        </w:rPr>
      </w:pPr>
      <w:r>
        <w:rPr>
          <w:rFonts w:ascii="Times New Roman" w:hAnsi="Times New Roman"/>
          <w:sz w:val="20"/>
        </w:rPr>
        <w:t xml:space="preserve">The fair value of certain of the Companys assets and liabilities, which qualify as financial instruments under ASC 820, Fair Value Measurements and Disclosures, approximates the carrying amounts represented in the condensed balance sheets. </w:t>
      </w:r>
    </w:p>
    <w:p>
      <w:pPr>
        <w:pStyle w:val="TextBody"/>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limit of $250,000. At December 31, 2022 and September 30, 2022, the Company has not experienced losses on this account and management believes the Company is not exposed to significant risks on such account. </w:t>
      </w:r>
    </w:p>
    <w:p>
      <w:pPr>
        <w:pStyle w:val="TextBody"/>
        <w:spacing w:before="360" w:after="0"/>
        <w:jc w:val="left"/>
        <w:rPr>
          <w:rFonts w:ascii="Times New Roman" w:hAnsi="Times New Roman"/>
          <w:b/>
          <w:sz w:val="20"/>
        </w:rPr>
      </w:pPr>
      <w:r>
        <w:rPr>
          <w:rFonts w:ascii="Times New Roman" w:hAnsi="Times New Roman"/>
          <w:b/>
          <w:sz w:val="20"/>
        </w:rPr>
        <w:t xml:space="preserve">Offering Costs Associated with IPO </w:t>
      </w:r>
    </w:p>
    <w:p>
      <w:pPr>
        <w:pStyle w:val="TextBody"/>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 </w:t>
      </w:r>
    </w:p>
    <w:p>
      <w:pPr>
        <w:pStyle w:val="TextBody"/>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deficit section of the Companys condensed balance sheets. </w:t>
      </w:r>
    </w:p>
    <w:p>
      <w:pPr>
        <w:pStyle w:val="TextBody"/>
        <w:spacing w:before="120" w:after="0"/>
        <w:jc w:val="left"/>
        <w:rPr>
          <w:rFonts w:ascii="Times New Roman" w:hAnsi="Times New Roman"/>
          <w:sz w:val="20"/>
        </w:rPr>
      </w:pPr>
      <w:r>
        <w:rPr>
          <w:rFonts w:ascii="Times New Roman" w:hAnsi="Times New Roman"/>
          <w:sz w:val="20"/>
        </w:rPr>
        <w:t xml:space="preserve">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 December 31, 2022 and September 30, 2022, the common stock reflected in the balance sheets are reconciled in the following table: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967"/>
        <w:gridCol w:w="445"/>
        <w:gridCol w:w="146"/>
        <w:gridCol w:w="1449"/>
        <w:gridCol w:w="159"/>
      </w:tblGrid>
      <w:tr>
        <w:trPr/>
        <w:tc>
          <w:tcPr>
            <w:tcW w:w="496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Gross Proceeds</w:t>
            </w:r>
          </w:p>
        </w:tc>
        <w:tc>
          <w:tcPr>
            <w:tcW w:w="4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150,000,000</w:t>
            </w:r>
          </w:p>
        </w:tc>
        <w:tc>
          <w:tcPr>
            <w:tcW w:w="159" w:type="dxa"/>
            <w:tcBorders/>
            <w:shd w:fill="CCEEFF" w:val="clear"/>
            <w:vAlign w:val="bottom"/>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Less: Proceeds allocated to Public Warrants</w:t>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(11,700,000</w:t>
            </w:r>
          </w:p>
        </w:tc>
        <w:tc>
          <w:tcPr>
            <w:tcW w:w="159"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Less: Issuance costs related to common stock</w:t>
            </w:r>
          </w:p>
        </w:tc>
        <w:tc>
          <w:tcPr>
            <w:tcW w:w="4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(3,261,589</w:t>
            </w:r>
          </w:p>
        </w:tc>
        <w:tc>
          <w:tcPr>
            <w:tcW w:w="159" w:type="dxa"/>
            <w:tcBorders/>
            <w:shd w:fill="CCEEFF" w:val="clear"/>
            <w:vAlign w:val="bottom"/>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Plus: Remeasurement of carrying value to redemption value</w:t>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14,961,589</w:t>
            </w:r>
          </w:p>
        </w:tc>
        <w:tc>
          <w:tcPr>
            <w:tcW w:w="159"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Plus: Subsequent remeasurement of carrying value to redemption value  Trust interest income (excluding the amount that can be withdrawn from Trust Account)</w:t>
            </w:r>
          </w:p>
        </w:tc>
        <w:tc>
          <w:tcPr>
            <w:tcW w:w="4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548,862</w:t>
            </w:r>
          </w:p>
        </w:tc>
        <w:tc>
          <w:tcPr>
            <w:tcW w:w="159" w:type="dxa"/>
            <w:tcBorders/>
            <w:shd w:fill="CCEEFF" w:val="clear"/>
            <w:vAlign w:val="bottom"/>
          </w:tcPr>
          <w:p>
            <w:pPr>
              <w:pStyle w:val="TableContents"/>
              <w:spacing w:before="0" w:after="283"/>
              <w:rPr/>
            </w:pPr>
            <w:r>
              <w:rPr/>
              <w:t> </w:t>
            </w:r>
          </w:p>
        </w:tc>
      </w:tr>
      <w:tr>
        <w:trPr/>
        <w:tc>
          <w:tcPr>
            <w:tcW w:w="4967"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4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subject to possible redemption  September 30, 2022</w:t>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449" w:type="dxa"/>
            <w:tcBorders/>
            <w:shd w:fill="auto" w:val="clear"/>
            <w:vAlign w:val="bottom"/>
          </w:tcPr>
          <w:p>
            <w:pPr>
              <w:pStyle w:val="TableContents"/>
              <w:spacing w:before="0" w:after="283"/>
              <w:jc w:val="right"/>
              <w:rPr/>
            </w:pPr>
            <w:r>
              <w:rPr/>
              <w:t>150,548,862</w:t>
            </w:r>
          </w:p>
        </w:tc>
        <w:tc>
          <w:tcPr>
            <w:tcW w:w="159"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Plus: Remeasurement of carrying value to redemption value</w:t>
            </w:r>
          </w:p>
        </w:tc>
        <w:tc>
          <w:tcPr>
            <w:tcW w:w="445"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2,479,343</w:t>
            </w:r>
          </w:p>
        </w:tc>
        <w:tc>
          <w:tcPr>
            <w:tcW w:w="159" w:type="dxa"/>
            <w:tcBorders/>
            <w:shd w:fill="CCEEFF" w:val="clear"/>
            <w:vAlign w:val="bottom"/>
          </w:tcPr>
          <w:p>
            <w:pPr>
              <w:pStyle w:val="TableContents"/>
              <w:spacing w:before="0" w:after="283"/>
              <w:rPr/>
            </w:pPr>
            <w:r>
              <w:rPr/>
              <w:t> </w:t>
            </w:r>
          </w:p>
        </w:tc>
      </w:tr>
      <w:tr>
        <w:trPr/>
        <w:tc>
          <w:tcPr>
            <w:tcW w:w="4967"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0"/>
              <w:rPr/>
            </w:pPr>
            <w:r>
              <w:rPr/>
              <w:t> </w:t>
            </w:r>
          </w:p>
        </w:tc>
        <w:tc>
          <w:tcPr>
            <w:tcW w:w="144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subject to possible redemption  December 31, 2022</w:t>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w:t>
            </w:r>
          </w:p>
        </w:tc>
        <w:tc>
          <w:tcPr>
            <w:tcW w:w="1449" w:type="dxa"/>
            <w:tcBorders/>
            <w:shd w:fill="auto" w:val="clear"/>
            <w:vAlign w:val="bottom"/>
          </w:tcPr>
          <w:p>
            <w:pPr>
              <w:pStyle w:val="TableContents"/>
              <w:spacing w:before="0" w:after="283"/>
              <w:jc w:val="right"/>
              <w:rPr/>
            </w:pPr>
            <w:r>
              <w:rPr/>
              <w:t>153,028,205</w:t>
            </w:r>
          </w:p>
        </w:tc>
        <w:tc>
          <w:tcPr>
            <w:tcW w:w="159" w:type="dxa"/>
            <w:tcBorders/>
            <w:shd w:fill="auto" w:val="clear"/>
            <w:vAlign w:val="bottom"/>
          </w:tcPr>
          <w:p>
            <w:pPr>
              <w:pStyle w:val="TableContents"/>
              <w:spacing w:before="0" w:after="283"/>
              <w:rPr/>
            </w:pPr>
            <w:r>
              <w:rPr/>
              <w:t> </w:t>
            </w:r>
          </w:p>
        </w:tc>
      </w:tr>
      <w:tr>
        <w:trPr/>
        <w:tc>
          <w:tcPr>
            <w:tcW w:w="4967"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0"/>
              <w:rPr/>
            </w:pPr>
            <w:r>
              <w:rPr/>
              <w:t> </w:t>
            </w:r>
          </w:p>
        </w:tc>
        <w:tc>
          <w:tcPr>
            <w:tcW w:w="1449"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Net Income (Loss) Per Common Stock </w:t>
      </w:r>
    </w:p>
    <w:p>
      <w:pPr>
        <w:pStyle w:val="TextBody"/>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spacing w:before="120" w:after="0"/>
        <w:jc w:val="left"/>
        <w:rPr>
          <w:rFonts w:ascii="Times New Roman" w:hAnsi="Times New Roman"/>
          <w:sz w:val="20"/>
        </w:rPr>
      </w:pPr>
      <w:r>
        <w:rPr>
          <w:rFonts w:ascii="Times New Roman" w:hAnsi="Times New Roman"/>
          <w:sz w:val="20"/>
        </w:rPr>
        <w:t xml:space="preserve">The calculation of diluted income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2022 and 2021,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 </w:t>
      </w:r>
    </w:p>
    <w:p>
      <w:pPr>
        <w:pStyle w:val="TextBody"/>
        <w:spacing w:before="12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income (loss) per common stock because the redemption value approximates fair value.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558"/>
        <w:gridCol w:w="290"/>
        <w:gridCol w:w="178"/>
        <w:gridCol w:w="1407"/>
        <w:gridCol w:w="60"/>
        <w:gridCol w:w="290"/>
        <w:gridCol w:w="140"/>
        <w:gridCol w:w="980"/>
        <w:gridCol w:w="60"/>
        <w:gridCol w:w="290"/>
        <w:gridCol w:w="140"/>
        <w:gridCol w:w="1113"/>
        <w:gridCol w:w="154"/>
        <w:gridCol w:w="290"/>
        <w:gridCol w:w="193"/>
        <w:gridCol w:w="1391"/>
        <w:gridCol w:w="161"/>
      </w:tblGrid>
      <w:tr>
        <w:trPr/>
        <w:tc>
          <w:tcPr>
            <w:tcW w:w="255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558"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6686" w:type="dxa"/>
            <w:gridSpan w:val="14"/>
            <w:tcBorders/>
            <w:shd w:fill="auto" w:val="clear"/>
            <w:vAlign w:val="bottom"/>
          </w:tcPr>
          <w:p>
            <w:pPr>
              <w:pStyle w:val="TableContents"/>
              <w:spacing w:before="0" w:after="283"/>
              <w:jc w:val="center"/>
              <w:rPr>
                <w:b/>
              </w:rPr>
            </w:pPr>
            <w:r>
              <w:rPr>
                <w:b/>
              </w:rPr>
              <w:t>Three months ended</w:t>
            </w:r>
          </w:p>
        </w:tc>
        <w:tc>
          <w:tcPr>
            <w:tcW w:w="161" w:type="dxa"/>
            <w:tcBorders/>
            <w:shd w:fill="auto"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055" w:type="dxa"/>
            <w:gridSpan w:val="6"/>
            <w:tcBorders/>
            <w:shd w:fill="auto" w:val="clear"/>
            <w:vAlign w:val="bottom"/>
          </w:tcPr>
          <w:p>
            <w:pPr>
              <w:pStyle w:val="TableContents"/>
              <w:spacing w:before="0" w:after="283"/>
              <w:jc w:val="center"/>
              <w:rPr>
                <w:b/>
              </w:rPr>
            </w:pPr>
            <w:r>
              <w:rPr>
                <w:b/>
              </w:rPr>
              <w:t>December 31, 2022</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281" w:type="dxa"/>
            <w:gridSpan w:val="6"/>
            <w:tcBorders/>
            <w:shd w:fill="auto" w:val="clear"/>
            <w:vAlign w:val="bottom"/>
          </w:tcPr>
          <w:p>
            <w:pPr>
              <w:pStyle w:val="TableContents"/>
              <w:spacing w:before="0" w:after="283"/>
              <w:jc w:val="center"/>
              <w:rPr>
                <w:b/>
              </w:rPr>
            </w:pPr>
            <w:r>
              <w:rPr>
                <w:b/>
              </w:rPr>
              <w:t>December 31, 2021</w:t>
            </w:r>
          </w:p>
        </w:tc>
        <w:tc>
          <w:tcPr>
            <w:tcW w:w="161" w:type="dxa"/>
            <w:tcBorders/>
            <w:shd w:fill="auto"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585" w:type="dxa"/>
            <w:gridSpan w:val="2"/>
            <w:tcBorders/>
            <w:shd w:fill="auto" w:val="clear"/>
            <w:vAlign w:val="bottom"/>
          </w:tcPr>
          <w:p>
            <w:pPr>
              <w:pStyle w:val="TableContents"/>
              <w:spacing w:before="0" w:after="283"/>
              <w:jc w:val="center"/>
              <w:rPr>
                <w:b/>
              </w:rPr>
            </w:pPr>
            <w:r>
              <w:rPr>
                <w:b/>
              </w:rPr>
              <w:t>Common stock</w:t>
              <w:br/>
              <w:t>subject to</w:t>
              <w:br/>
              <w:t>redemption</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jc w:val="center"/>
              <w:rPr>
                <w:b/>
              </w:rPr>
            </w:pPr>
            <w:r>
              <w:rPr>
                <w:b/>
              </w:rPr>
              <w:t>Common</w:t>
              <w:br/>
              <w:t>stock</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53"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Common stock</w:t>
            </w:r>
          </w:p>
          <w:p>
            <w:pPr>
              <w:pStyle w:val="TableContents"/>
              <w:spacing w:before="0" w:after="20"/>
              <w:jc w:val="center"/>
              <w:rPr>
                <w:rFonts w:ascii="Times New Roman" w:hAnsi="Times New Roman"/>
                <w:b/>
                <w:sz w:val="16"/>
              </w:rPr>
            </w:pPr>
            <w:r>
              <w:rPr>
                <w:rFonts w:ascii="Times New Roman" w:hAnsi="Times New Roman"/>
                <w:b/>
                <w:sz w:val="16"/>
              </w:rPr>
              <w:t>subject to</w:t>
              <w:br/>
              <w:t>redemption</w:t>
            </w:r>
          </w:p>
        </w:tc>
        <w:tc>
          <w:tcPr>
            <w:tcW w:w="154"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Common stock</w:t>
            </w:r>
          </w:p>
        </w:tc>
        <w:tc>
          <w:tcPr>
            <w:tcW w:w="161" w:type="dxa"/>
            <w:tcBorders/>
            <w:shd w:fill="auto" w:val="clear"/>
            <w:vAlign w:val="bottom"/>
          </w:tcPr>
          <w:p>
            <w:pPr>
              <w:pStyle w:val="TableContents"/>
              <w:spacing w:before="0" w:after="283"/>
              <w:rPr/>
            </w:pPr>
            <w:r>
              <w:rPr/>
              <w:t> </w:t>
            </w:r>
          </w:p>
        </w:tc>
      </w:tr>
      <w:tr>
        <w:trPr/>
        <w:tc>
          <w:tcPr>
            <w:tcW w:w="2558"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income (loss) per share</w:t>
            </w:r>
          </w:p>
        </w:tc>
        <w:tc>
          <w:tcPr>
            <w:tcW w:w="29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sz w:val="4"/>
                <w:szCs w:val="4"/>
              </w:rPr>
            </w:pPr>
            <w:r>
              <w:rPr>
                <w:sz w:val="4"/>
                <w:szCs w:val="4"/>
              </w:rPr>
            </w:r>
          </w:p>
        </w:tc>
        <w:tc>
          <w:tcPr>
            <w:tcW w:w="14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13"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sz w:val="4"/>
                <w:szCs w:val="4"/>
              </w:rPr>
            </w:pPr>
            <w:r>
              <w:rPr>
                <w:sz w:val="4"/>
                <w:szCs w:val="4"/>
              </w:rPr>
            </w:r>
          </w:p>
        </w:tc>
        <w:tc>
          <w:tcPr>
            <w:tcW w:w="29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1391"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2558" w:type="dxa"/>
            <w:tcBorders/>
            <w:shd w:fill="auto" w:val="clear"/>
          </w:tcPr>
          <w:p>
            <w:pPr>
              <w:pStyle w:val="TableContents"/>
              <w:spacing w:before="0" w:after="0"/>
              <w:rPr>
                <w:rFonts w:ascii="Times New Roman" w:hAnsi="Times New Roman"/>
                <w:sz w:val="20"/>
              </w:rPr>
            </w:pPr>
            <w:r>
              <w:rPr>
                <w:rFonts w:ascii="Times New Roman" w:hAnsi="Times New Roman"/>
                <w:sz w:val="20"/>
              </w:rPr>
              <w:t>Numerator:</w:t>
            </w:r>
          </w:p>
        </w:tc>
        <w:tc>
          <w:tcPr>
            <w:tcW w:w="29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sz w:val="4"/>
                <w:szCs w:val="4"/>
              </w:rPr>
            </w:pPr>
            <w:r>
              <w:rPr>
                <w:sz w:val="4"/>
                <w:szCs w:val="4"/>
              </w:rPr>
            </w:r>
          </w:p>
        </w:tc>
        <w:tc>
          <w:tcPr>
            <w:tcW w:w="1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2558" w:type="dxa"/>
            <w:tcBorders/>
            <w:shd w:fill="CCEEFF" w:val="clear"/>
          </w:tcPr>
          <w:p>
            <w:pPr>
              <w:pStyle w:val="TableContents"/>
              <w:spacing w:before="0" w:after="0"/>
              <w:rPr>
                <w:rFonts w:ascii="Times New Roman" w:hAnsi="Times New Roman"/>
                <w:sz w:val="20"/>
              </w:rPr>
            </w:pPr>
            <w:r>
              <w:rPr>
                <w:rFonts w:ascii="Times New Roman" w:hAnsi="Times New Roman"/>
                <w:sz w:val="20"/>
              </w:rPr>
              <w:t>Allocation of net income (loss)</w:t>
            </w:r>
          </w:p>
        </w:tc>
        <w:tc>
          <w:tcPr>
            <w:tcW w:w="29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w:t>
            </w:r>
          </w:p>
        </w:tc>
        <w:tc>
          <w:tcPr>
            <w:tcW w:w="1407" w:type="dxa"/>
            <w:tcBorders/>
            <w:shd w:fill="CCEEFF" w:val="clear"/>
            <w:vAlign w:val="bottom"/>
          </w:tcPr>
          <w:p>
            <w:pPr>
              <w:pStyle w:val="TableContents"/>
              <w:spacing w:before="0" w:after="283"/>
              <w:jc w:val="right"/>
              <w:rPr/>
            </w:pPr>
            <w:r>
              <w:rPr/>
              <w:t>439,673</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167,354</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3" w:type="dxa"/>
            <w:tcBorders/>
            <w:shd w:fill="CCEEFF" w:val="clear"/>
            <w:vAlign w:val="bottom"/>
          </w:tcPr>
          <w:p>
            <w:pPr>
              <w:pStyle w:val="TableContents"/>
              <w:spacing w:before="0" w:after="283"/>
              <w:jc w:val="right"/>
              <w:rPr/>
            </w:pPr>
            <w:r>
              <w:rPr/>
              <w:t>(1,474,768</w:t>
            </w:r>
          </w:p>
        </w:tc>
        <w:tc>
          <w:tcPr>
            <w:tcW w:w="154"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1391" w:type="dxa"/>
            <w:tcBorders/>
            <w:shd w:fill="CCEEFF" w:val="clear"/>
            <w:vAlign w:val="bottom"/>
          </w:tcPr>
          <w:p>
            <w:pPr>
              <w:pStyle w:val="TableContents"/>
              <w:spacing w:before="0" w:after="283"/>
              <w:jc w:val="right"/>
              <w:rPr/>
            </w:pPr>
            <w:r>
              <w:rPr/>
              <w:t>(561,346</w:t>
            </w:r>
          </w:p>
        </w:tc>
        <w:tc>
          <w:tcPr>
            <w:tcW w:w="161" w:type="dxa"/>
            <w:tcBorders/>
            <w:shd w:fill="CCEEFF" w:val="clear"/>
            <w:vAlign w:val="bottom"/>
          </w:tcPr>
          <w:p>
            <w:pPr>
              <w:pStyle w:val="TableContents"/>
              <w:spacing w:before="0" w:after="283"/>
              <w:rPr/>
            </w:pPr>
            <w:r>
              <w:rPr/>
              <w:t>) </w:t>
            </w:r>
          </w:p>
        </w:tc>
      </w:tr>
      <w:tr>
        <w:trPr/>
        <w:tc>
          <w:tcPr>
            <w:tcW w:w="2558" w:type="dxa"/>
            <w:tcBorders/>
            <w:shd w:fill="auto" w:val="clear"/>
          </w:tcPr>
          <w:p>
            <w:pPr>
              <w:pStyle w:val="TableContents"/>
              <w:spacing w:before="0" w:after="0"/>
              <w:rPr>
                <w:rFonts w:ascii="Times New Roman" w:hAnsi="Times New Roman"/>
                <w:sz w:val="20"/>
              </w:rPr>
            </w:pPr>
            <w:r>
              <w:rPr>
                <w:rFonts w:ascii="Times New Roman" w:hAnsi="Times New Roman"/>
                <w:sz w:val="20"/>
              </w:rPr>
              <w:t>Denominator</w:t>
            </w:r>
          </w:p>
        </w:tc>
        <w:tc>
          <w:tcPr>
            <w:tcW w:w="29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sz w:val="4"/>
                <w:szCs w:val="4"/>
              </w:rPr>
            </w:pPr>
            <w:r>
              <w:rPr>
                <w:sz w:val="4"/>
                <w:szCs w:val="4"/>
              </w:rPr>
            </w:r>
          </w:p>
        </w:tc>
        <w:tc>
          <w:tcPr>
            <w:tcW w:w="14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3"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2558"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shares outstanding</w:t>
            </w:r>
          </w:p>
        </w:tc>
        <w:tc>
          <w:tcPr>
            <w:tcW w:w="29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15,000,000</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5,709,500</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15,000,000</w:t>
            </w:r>
          </w:p>
        </w:tc>
        <w:tc>
          <w:tcPr>
            <w:tcW w:w="154"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5,709,500</w:t>
            </w:r>
          </w:p>
        </w:tc>
        <w:tc>
          <w:tcPr>
            <w:tcW w:w="161" w:type="dxa"/>
            <w:tcBorders/>
            <w:shd w:fill="CCEEFF"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pBdr>
                <w:top w:val="single" w:sz="2" w:space="1" w:color="000000"/>
              </w:pBdr>
              <w:spacing w:before="0" w:after="0"/>
              <w:rPr/>
            </w:pPr>
            <w:r>
              <w:rPr/>
              <w:t> </w:t>
            </w:r>
          </w:p>
        </w:tc>
        <w:tc>
          <w:tcPr>
            <w:tcW w:w="14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13"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91"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558"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net income (loss) per share</w:t>
            </w:r>
          </w:p>
        </w:tc>
        <w:tc>
          <w:tcPr>
            <w:tcW w:w="29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w:t>
            </w:r>
          </w:p>
        </w:tc>
        <w:tc>
          <w:tcPr>
            <w:tcW w:w="1407" w:type="dxa"/>
            <w:tcBorders/>
            <w:shd w:fill="auto" w:val="clear"/>
            <w:vAlign w:val="bottom"/>
          </w:tcPr>
          <w:p>
            <w:pPr>
              <w:pStyle w:val="TableContents"/>
              <w:spacing w:before="0" w:after="283"/>
              <w:jc w:val="right"/>
              <w:rPr/>
            </w:pPr>
            <w:r>
              <w:rPr/>
              <w:t>0.03</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0.03</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(0.10</w:t>
            </w:r>
          </w:p>
        </w:tc>
        <w:tc>
          <w:tcPr>
            <w:tcW w:w="154"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w:t>
            </w:r>
          </w:p>
        </w:tc>
        <w:tc>
          <w:tcPr>
            <w:tcW w:w="1391" w:type="dxa"/>
            <w:tcBorders/>
            <w:shd w:fill="auto" w:val="clear"/>
            <w:vAlign w:val="bottom"/>
          </w:tcPr>
          <w:p>
            <w:pPr>
              <w:pStyle w:val="TableContents"/>
              <w:spacing w:before="0" w:after="283"/>
              <w:jc w:val="right"/>
              <w:rPr/>
            </w:pPr>
            <w:r>
              <w:rPr/>
              <w:t>(0.10</w:t>
            </w:r>
          </w:p>
        </w:tc>
        <w:tc>
          <w:tcPr>
            <w:tcW w:w="161" w:type="dxa"/>
            <w:tcBorders/>
            <w:shd w:fill="auto"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pBdr>
                <w:top w:val="double" w:sz="6" w:space="1" w:color="000000"/>
              </w:pBdr>
              <w:spacing w:before="0" w:after="0"/>
              <w:rPr/>
            </w:pPr>
            <w:r>
              <w:rPr/>
              <w:t> </w:t>
            </w:r>
          </w:p>
        </w:tc>
        <w:tc>
          <w:tcPr>
            <w:tcW w:w="140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3" w:type="dxa"/>
            <w:tcBorders/>
            <w:shd w:fill="auto" w:val="clear"/>
            <w:vAlign w:val="bottom"/>
          </w:tcPr>
          <w:p>
            <w:pPr>
              <w:pStyle w:val="TableContents"/>
              <w:pBdr>
                <w:top w:val="double" w:sz="6"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double" w:sz="6" w:space="1" w:color="000000"/>
              </w:pBdr>
              <w:spacing w:before="0" w:after="0"/>
              <w:rPr/>
            </w:pPr>
            <w:r>
              <w:rPr/>
              <w:t> </w:t>
            </w:r>
          </w:p>
        </w:tc>
        <w:tc>
          <w:tcPr>
            <w:tcW w:w="1391"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Stock Based Compensation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share-based payments in accordance with FASB ASC Topic 718, Compensation- 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 </w:t>
      </w:r>
    </w:p>
    <w:p>
      <w:pPr>
        <w:pStyle w:val="TextBody"/>
        <w:spacing w:before="120" w:after="0"/>
        <w:jc w:val="left"/>
        <w:rPr>
          <w:rFonts w:ascii="Times New Roman" w:hAnsi="Times New Roman"/>
          <w:sz w:val="20"/>
        </w:rPr>
      </w:pPr>
      <w:r>
        <w:rPr>
          <w:rFonts w:ascii="Times New Roman" w:hAnsi="Times New Roman"/>
          <w:sz w:val="20"/>
        </w:rPr>
        <w:t xml:space="preserve">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For each of the three months ended December 31, 2022 and 2021 the Company recognized $27,963 of stock based compensation. </w:t>
      </w:r>
    </w:p>
    <w:p>
      <w:pPr>
        <w:pStyle w:val="TextBody"/>
        <w:spacing w:before="120" w:after="0"/>
        <w:jc w:val="left"/>
        <w:rPr>
          <w:rFonts w:ascii="Times New Roman" w:hAnsi="Times New Roman"/>
          <w:sz w:val="20"/>
        </w:rPr>
      </w:pPr>
      <w:r>
        <w:rPr>
          <w:rFonts w:ascii="Times New Roman" w:hAnsi="Times New Roman"/>
          <w:sz w:val="20"/>
        </w:rPr>
        <w:t xml:space="preserve">At December 31, 2022 there are 33,750 shares that remain unvested. Total unrecognized compensation expense related to the unvested shares at December 31, 2022 amounted to $83,891 and is expected to be recognized over a period of 0.6 years. </w:t>
      </w:r>
    </w:p>
    <w:p>
      <w:pPr>
        <w:pStyle w:val="TextBody"/>
        <w:spacing w:before="360" w:after="0"/>
        <w:jc w:val="left"/>
        <w:rPr>
          <w:rFonts w:ascii="Times New Roman" w:hAnsi="Times New Roman"/>
          <w:b/>
          <w:i/>
          <w:sz w:val="20"/>
        </w:rPr>
      </w:pPr>
      <w:r>
        <w:rPr>
          <w:rFonts w:ascii="Times New Roman" w:hAnsi="Times New Roman"/>
          <w:b/>
          <w:i/>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spacing w:before="12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spacing w:before="12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December 31, 2022 and September 30, 2022. The Company is currently not aware of any issues under review that could result in significant payments, accruals or material deviation from its position. </w:t>
      </w:r>
    </w:p>
    <w:p>
      <w:pPr>
        <w:pStyle w:val="TextBody"/>
        <w:spacing w:before="120" w:after="0"/>
        <w:jc w:val="left"/>
        <w:rPr>
          <w:rFonts w:ascii="Times New Roman" w:hAnsi="Times New Roman"/>
          <w:sz w:val="20"/>
        </w:rPr>
      </w:pPr>
      <w:r>
        <w:rPr>
          <w:rFonts w:ascii="Times New Roman" w:hAnsi="Times New Roman"/>
          <w:sz w:val="20"/>
        </w:rPr>
        <w:t xml:space="preserve">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spacing w:before="120" w:after="0"/>
        <w:jc w:val="left"/>
        <w:rPr>
          <w:rFonts w:ascii="Times New Roman" w:hAnsi="Times New Roman"/>
          <w:sz w:val="20"/>
        </w:rPr>
      </w:pPr>
      <w:r>
        <w:rPr>
          <w:rFonts w:ascii="Times New Roman" w:hAnsi="Times New Roman"/>
          <w:sz w:val="20"/>
        </w:rPr>
        <w:t xml:space="preserve">As of December 31, 2022 and September 30, 2022, the Companys deferred tax asset had a full valuation allowance recorded against it. Our effective tax rate was (30.01)% for three months ended December 30, 2022, and 0.00% for the three months ended December 31, 2021. The effective tax rate differs from the statutory tax rate of 21% for three months ended December 30, 2022 and 2021, due to the valuation allowance on the deferred tax assets. </w:t>
      </w:r>
    </w:p>
    <w:p>
      <w:pPr>
        <w:pStyle w:val="TextBody"/>
        <w:spacing w:before="120" w:after="0"/>
        <w:jc w:val="left"/>
        <w:rPr>
          <w:rFonts w:ascii="Times New Roman" w:hAnsi="Times New Roman"/>
          <w:sz w:val="20"/>
        </w:rPr>
      </w:pPr>
      <w:r>
        <w:rPr>
          <w:rFonts w:ascii="Times New Roman" w:hAnsi="Times New Roman"/>
          <w:sz w:val="20"/>
        </w:rPr>
        <w:t xml:space="preserve">Management does not believe that any other recently issued, but not effective, accounting standards, if currently adopted, would have a material effect on the Companys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Note 3  Related Party Transactions </w:t>
      </w:r>
    </w:p>
    <w:p>
      <w:pPr>
        <w:pStyle w:val="TextBody"/>
        <w:spacing w:before="120" w:after="0"/>
        <w:jc w:val="left"/>
        <w:rPr>
          <w:rFonts w:ascii="Times New Roman" w:hAnsi="Times New Roman"/>
          <w:b/>
          <w:sz w:val="20"/>
        </w:rPr>
      </w:pPr>
      <w:r>
        <w:rPr>
          <w:rFonts w:ascii="Times New Roman" w:hAnsi="Times New Roman"/>
          <w:b/>
          <w:sz w:val="20"/>
        </w:rPr>
        <w:t xml:space="preserve">Promissory Notes-Related Party </w:t>
      </w:r>
    </w:p>
    <w:p>
      <w:pPr>
        <w:pStyle w:val="TextBody"/>
        <w:spacing w:before="12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 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w:t>
      </w:r>
    </w:p>
    <w:p>
      <w:pPr>
        <w:pStyle w:val="TextBody"/>
        <w:spacing w:before="120" w:after="0"/>
        <w:jc w:val="left"/>
        <w:rPr>
          <w:rFonts w:ascii="Times New Roman" w:hAnsi="Times New Roman"/>
          <w:sz w:val="20"/>
        </w:rPr>
      </w:pPr>
      <w:r>
        <w:rPr>
          <w:rFonts w:ascii="Times New Roman" w:hAnsi="Times New Roman"/>
          <w:sz w:val="20"/>
        </w:rPr>
        <w:t xml:space="preserve">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of December 31, 2022 and September 30, 2022, respectively. </w:t>
      </w:r>
    </w:p>
    <w:p>
      <w:pPr>
        <w:pStyle w:val="TextBody"/>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spacing w:before="120" w:after="0"/>
        <w:jc w:val="left"/>
        <w:rPr>
          <w:rFonts w:ascii="Times New Roman" w:hAnsi="Times New Roman"/>
          <w:sz w:val="20"/>
        </w:rPr>
      </w:pPr>
      <w:r>
        <w:rPr>
          <w:rFonts w:ascii="Times New Roman" w:hAnsi="Times New Roman"/>
          <w:sz w:val="20"/>
        </w:rPr>
        <w:t xml:space="preserve">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December 31, 2022 and September 30, 2022, no such Working Capital Loans were outstanding. </w:t>
      </w:r>
    </w:p>
    <w:p>
      <w:pPr>
        <w:pStyle w:val="TextBody"/>
        <w:spacing w:before="360" w:after="0"/>
        <w:jc w:val="left"/>
        <w:rPr>
          <w:rFonts w:ascii="Times New Roman" w:hAnsi="Times New Roman"/>
          <w:b/>
          <w:sz w:val="20"/>
        </w:rPr>
      </w:pPr>
      <w:r>
        <w:rPr>
          <w:rFonts w:ascii="Times New Roman" w:hAnsi="Times New Roman"/>
          <w:b/>
          <w:sz w:val="20"/>
        </w:rPr>
        <w:t xml:space="preserve">Administrative Service Fee </w:t>
      </w:r>
    </w:p>
    <w:p>
      <w:pPr>
        <w:pStyle w:val="TextBody"/>
        <w:spacing w:before="120" w:after="0"/>
        <w:jc w:val="left"/>
        <w:rPr>
          <w:rFonts w:ascii="Times New Roman" w:hAnsi="Times New Roman"/>
          <w:sz w:val="20"/>
        </w:rPr>
      </w:pPr>
      <w:r>
        <w:rPr>
          <w:rFonts w:ascii="Times New Roman" w:hAnsi="Times New Roman"/>
          <w:sz w:val="20"/>
        </w:rPr>
        <w:t xml:space="preserve">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months ended December 31, 2022 and 2021, the Company incurred and paid $30,000 in administrative service fees. </w:t>
      </w:r>
    </w:p>
    <w:p>
      <w:pPr>
        <w:pStyle w:val="TextBody"/>
        <w:spacing w:before="360" w:after="0"/>
        <w:jc w:val="left"/>
        <w:rPr>
          <w:rFonts w:ascii="Times New Roman" w:hAnsi="Times New Roman"/>
          <w:b/>
          <w:sz w:val="20"/>
        </w:rPr>
      </w:pPr>
      <w:r>
        <w:rPr>
          <w:rFonts w:ascii="Times New Roman" w:hAnsi="Times New Roman"/>
          <w:b/>
          <w:sz w:val="20"/>
        </w:rPr>
        <w:t xml:space="preserve">Note 4  Commitments &amp; Contingencies </w:t>
      </w:r>
    </w:p>
    <w:p>
      <w:pPr>
        <w:pStyle w:val="TextBody"/>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 </w:t>
      </w:r>
    </w:p>
    <w:p>
      <w:pPr>
        <w:pStyle w:val="TextBody"/>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 </w:t>
      </w:r>
    </w:p>
    <w:p>
      <w:pPr>
        <w:pStyle w:val="TextBody"/>
        <w:spacing w:before="360" w:after="0"/>
        <w:jc w:val="left"/>
        <w:rPr>
          <w:rFonts w:ascii="Times New Roman" w:hAnsi="Times New Roman"/>
          <w:b/>
          <w:i/>
          <w:sz w:val="20"/>
        </w:rPr>
      </w:pPr>
      <w:r>
        <w:rPr>
          <w:rFonts w:ascii="Times New Roman" w:hAnsi="Times New Roman"/>
          <w:b/>
          <w:i/>
          <w:sz w:val="20"/>
        </w:rPr>
        <w:t xml:space="preserve">Financial Advisory Fee </w:t>
      </w:r>
    </w:p>
    <w:p>
      <w:pPr>
        <w:pStyle w:val="TextBody"/>
        <w:spacing w:before="120" w:after="0"/>
        <w:jc w:val="left"/>
        <w:rPr>
          <w:rFonts w:ascii="Times New Roman" w:hAnsi="Times New Roman"/>
          <w:sz w:val="20"/>
        </w:rPr>
      </w:pPr>
      <w:r>
        <w:rPr>
          <w:rFonts w:ascii="Times New Roman" w:hAnsi="Times New Roman"/>
          <w:sz w:val="20"/>
        </w:rPr>
        <w:t xml:space="preserve">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 </w:t>
      </w:r>
    </w:p>
    <w:p>
      <w:pPr>
        <w:pStyle w:val="TextBody"/>
        <w:spacing w:before="360" w:after="0"/>
        <w:jc w:val="left"/>
        <w:rPr>
          <w:rFonts w:ascii="Times New Roman" w:hAnsi="Times New Roman"/>
          <w:b/>
          <w:i/>
          <w:sz w:val="20"/>
        </w:rPr>
      </w:pPr>
      <w:r>
        <w:rPr>
          <w:rFonts w:ascii="Times New Roman" w:hAnsi="Times New Roman"/>
          <w:b/>
          <w:i/>
          <w:sz w:val="20"/>
        </w:rPr>
        <w:t xml:space="preserve">Business Combination Marketing Agreement </w:t>
      </w:r>
    </w:p>
    <w:p>
      <w:pPr>
        <w:pStyle w:val="TextBody"/>
        <w:spacing w:before="120" w:after="0"/>
        <w:jc w:val="left"/>
        <w:rPr>
          <w:rFonts w:ascii="Times New Roman" w:hAnsi="Times New Roman"/>
          <w:sz w:val="20"/>
        </w:rPr>
      </w:pPr>
      <w:r>
        <w:rPr>
          <w:rFonts w:ascii="Times New Roman" w:hAnsi="Times New Roman"/>
          <w:sz w:val="20"/>
        </w:rPr>
        <w:t xml:space="preserve">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 2021 the underwriters over-allotment option expired unused resulting in no additional marketing fees related to the over-allotment option to be not payable to the representative on the underwriter by the Company. </w:t>
      </w:r>
    </w:p>
    <w:p>
      <w:pPr>
        <w:pStyle w:val="TextBody"/>
        <w:spacing w:before="12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spacing w:before="120" w:after="0"/>
        <w:jc w:val="left"/>
        <w:rPr>
          <w:rFonts w:ascii="Times New Roman" w:hAnsi="Times New Roman"/>
          <w:sz w:val="20"/>
        </w:rPr>
      </w:pPr>
      <w:r>
        <w:rPr>
          <w:rFonts w:ascii="Times New Roman" w:hAnsi="Times New Roman"/>
          <w:sz w:val="20"/>
        </w:rPr>
        <w:t xml:space="preserve">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spacing w:before="360" w:after="0"/>
        <w:jc w:val="left"/>
        <w:rPr>
          <w:rFonts w:ascii="Times New Roman" w:hAnsi="Times New Roman"/>
          <w:b/>
          <w:sz w:val="20"/>
        </w:rPr>
      </w:pPr>
      <w:r>
        <w:rPr>
          <w:rFonts w:ascii="Times New Roman" w:hAnsi="Times New Roman"/>
          <w:b/>
          <w:sz w:val="20"/>
        </w:rPr>
        <w:t xml:space="preserve">Note 5  Recurring Fair Value Measurements </w:t>
      </w:r>
    </w:p>
    <w:p>
      <w:pPr>
        <w:pStyle w:val="TextBody"/>
        <w:spacing w:before="120" w:after="0"/>
        <w:jc w:val="left"/>
        <w:rPr>
          <w:rFonts w:ascii="Times New Roman" w:hAnsi="Times New Roman"/>
          <w:sz w:val="20"/>
        </w:rPr>
      </w:pPr>
      <w:r>
        <w:rPr>
          <w:rFonts w:ascii="Times New Roman" w:hAnsi="Times New Roman"/>
          <w:sz w:val="20"/>
        </w:rPr>
        <w:t xml:space="preserve">As of December 31, 2022 , the assets held in the Trust Account were held in money market funds which invest in U.S. Treasury securities. As of September 30, 2022, the assets held in the Trust Account were held in U.S. Treasury Bills with a maturity of 185 days or less. . </w:t>
      </w:r>
    </w:p>
    <w:p>
      <w:pPr>
        <w:pStyle w:val="TextBody"/>
        <w:spacing w:before="120" w:after="0"/>
        <w:jc w:val="left"/>
        <w:rPr>
          <w:rFonts w:ascii="Times New Roman" w:hAnsi="Times New Roman"/>
          <w:sz w:val="20"/>
        </w:rPr>
      </w:pPr>
      <w:r>
        <w:rPr>
          <w:rFonts w:ascii="Times New Roman" w:hAnsi="Times New Roman"/>
          <w:sz w:val="20"/>
        </w:rPr>
        <w:t xml:space="preserve">There were no transfers between Levels 1, 2 or 3 during the three months ended December 31, 2022 and 2021. </w:t>
      </w:r>
    </w:p>
    <w:p>
      <w:pPr>
        <w:pStyle w:val="TextBody"/>
        <w:spacing w:before="360" w:after="0"/>
        <w:jc w:val="left"/>
        <w:rPr>
          <w:rFonts w:ascii="Times New Roman" w:hAnsi="Times New Roman"/>
          <w:b/>
          <w:sz w:val="20"/>
        </w:rPr>
      </w:pPr>
      <w:r>
        <w:rPr>
          <w:rFonts w:ascii="Times New Roman" w:hAnsi="Times New Roman"/>
          <w:b/>
          <w:sz w:val="20"/>
        </w:rPr>
        <w:t xml:space="preserve">Note 6  Subsequent Events </w:t>
      </w:r>
    </w:p>
    <w:p>
      <w:pPr>
        <w:pStyle w:val="TextBody"/>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condensed financial statements were issued. Based upon this review, other than as disclosed below, the Company did not identify any subsequent events that would have required adjustment or disclosure in these unaudited condensed financial statements. </w:t>
      </w:r>
    </w:p>
    <w:p>
      <w:pPr>
        <w:pStyle w:val="TextBody"/>
        <w:spacing w:before="120" w:after="0"/>
        <w:jc w:val="left"/>
        <w:rPr>
          <w:rFonts w:ascii="Times New Roman" w:hAnsi="Times New Roman"/>
          <w:sz w:val="20"/>
        </w:rPr>
      </w:pPr>
      <w:r>
        <w:rPr>
          <w:rFonts w:ascii="Times New Roman" w:hAnsi="Times New Roman"/>
          <w:sz w:val="20"/>
        </w:rPr>
        <w:t xml:space="preserve">On January 20, 2023, the Company and its Sponsor, entered into one or more agreements (the Non-Redemption Agreements) with one or more third parties in exchange for them agreeing not to redeem shares of the 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 </w:t>
      </w:r>
    </w:p>
    <w:p>
      <w:pPr>
        <w:pStyle w:val="TextBody"/>
        <w:spacing w:before="120" w:after="0"/>
        <w:jc w:val="left"/>
        <w:rPr>
          <w:rFonts w:ascii="Times New Roman" w:hAnsi="Times New Roman"/>
          <w:sz w:val="20"/>
        </w:rPr>
      </w:pPr>
      <w:r>
        <w:rPr>
          <w:rFonts w:ascii="Times New Roman" w:hAnsi="Times New Roman"/>
          <w:sz w:val="20"/>
        </w:rPr>
        <w:t xml:space="preserve">The Non-Redemption Agreements shall terminate on the earlier of (a) the failure of the Companys stockholders to approve the Extension at the Meeting, or the determination of the Company not to proceed to effect the Extension, (b) the fulfillment of all obligations of parties to the Non-Redemption Agreements, (c) the liquidation or dissolution of the Company, or (d) the mutual written agreement of the parties. Additionally, pursuant to the Non-Redemption Agreements, the Company has agreed that until the earlier of (a) the consummation of the Companys initial business combination; (b) the liquidation of the trust account; and (c) 24 months from consummation of the Companys initial public offering,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The Company has also agreed that it will not use any amounts in the trust account, or the interest earned thereon, to pay any excise tax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be imposed on the Company pursuant to the Inflation Reduction Act (IRA) of 2022 (H.R. 5376) due to any redemptions of public shares at the Meeting, including in connection with a liquidation of the Company if it does not effect a business combination prior to its termination date by the Company. The Non-Redemption Agreements are not expected to increase the likelihood that the Extension Proposal is approved by stockholders but will increase the amount of funds that remain in the Companys trust account following the Meeting. </w:t>
      </w:r>
    </w:p>
    <w:p>
      <w:pPr>
        <w:pStyle w:val="TextBody"/>
        <w:spacing w:before="120" w:after="0"/>
        <w:jc w:val="left"/>
        <w:rPr>
          <w:rFonts w:ascii="Times New Roman" w:hAnsi="Times New Roman"/>
          <w:sz w:val="20"/>
        </w:rPr>
      </w:pPr>
      <w:r>
        <w:rPr>
          <w:rFonts w:ascii="Times New Roman" w:hAnsi="Times New Roman"/>
          <w:sz w:val="20"/>
        </w:rPr>
        <w:t xml:space="preserve">On February 2, 2023, the Company held an annual meeting of its stockholders (the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$10.17 per Feb 2, 2023 filed Form 8-K. As a result, approximately $116,864,975 per Feb 2, 2023 filed Form 8-K will be removed from the Companys Trust Account to pay such 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IFINANCIAL INFORMATION </w:t>
      </w:r>
    </w:p>
    <w:p>
      <w:pPr>
        <w:pStyle w:val="TextBody"/>
        <w:spacing w:before="240" w:after="0"/>
        <w:jc w:val="left"/>
        <w:rPr>
          <w:rFonts w:ascii="Times New Roman" w:hAnsi="Times New Roman"/>
          <w:b/>
          <w:sz w:val="20"/>
        </w:rPr>
      </w:pPr>
      <w:r>
        <w:rPr>
          <w:rFonts w:ascii="Times New Roman" w:hAnsi="Times New Roman"/>
          <w:b/>
          <w:sz w:val="20"/>
        </w:rPr>
        <w:t xml:space="preserve">Item 1. Financial Statements. </w:t>
      </w:r>
    </w:p>
    <w:p>
      <w:pPr>
        <w:pStyle w:val="TextBody"/>
        <w:spacing w:before="36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6" w:name="fin309194_14"/>
      <w:bookmarkEnd w:id="56"/>
      <w:r>
        <w:rPr>
          <w:rFonts w:ascii="Times New Roman" w:hAnsi="Times New Roman"/>
          <w:b/>
          <w:sz w:val="20"/>
        </w:rPr>
        <w:t xml:space="preserve">CONDENSED 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945"/>
        <w:gridCol w:w="334"/>
        <w:gridCol w:w="181"/>
        <w:gridCol w:w="1438"/>
        <w:gridCol w:w="155"/>
        <w:gridCol w:w="292"/>
        <w:gridCol w:w="207"/>
        <w:gridCol w:w="1829"/>
        <w:gridCol w:w="158"/>
      </w:tblGrid>
      <w:tr>
        <w:trPr/>
        <w:tc>
          <w:tcPr>
            <w:tcW w:w="594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45"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March 31, 2023</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September 30, 2022</w:t>
            </w:r>
          </w:p>
        </w:tc>
        <w:tc>
          <w:tcPr>
            <w:tcW w:w="158" w:type="dxa"/>
            <w:tcBorders/>
            <w:shd w:fill="auto"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619" w:type="dxa"/>
            <w:gridSpan w:val="2"/>
            <w:tcBorders/>
            <w:shd w:fill="auto" w:val="clear"/>
            <w:vAlign w:val="bottom"/>
          </w:tcPr>
          <w:p>
            <w:pPr>
              <w:pStyle w:val="TableContents"/>
              <w:spacing w:before="0" w:after="283"/>
              <w:jc w:val="center"/>
              <w:rPr>
                <w:b/>
              </w:rPr>
            </w:pPr>
            <w:r>
              <w:rPr>
                <w:b/>
              </w:rPr>
              <w:t>(Unaudited)</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36" w:type="dxa"/>
            <w:gridSpan w:val="2"/>
            <w:tcBorders/>
            <w:shd w:fill="auto" w:val="clear"/>
            <w:vAlign w:val="bottom"/>
          </w:tcPr>
          <w:p>
            <w:pPr>
              <w:pStyle w:val="TableContents"/>
              <w:spacing w:before="0" w:after="283"/>
              <w:jc w:val="center"/>
              <w:rPr>
                <w:b/>
              </w:rPr>
            </w:pPr>
            <w:r>
              <w:rPr>
                <w:b/>
              </w:rPr>
              <w:t>(Audited)</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14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82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Cash</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w:t>
            </w:r>
          </w:p>
        </w:tc>
        <w:tc>
          <w:tcPr>
            <w:tcW w:w="1438" w:type="dxa"/>
            <w:tcBorders/>
            <w:shd w:fill="auto" w:val="clear"/>
            <w:vAlign w:val="bottom"/>
          </w:tcPr>
          <w:p>
            <w:pPr>
              <w:pStyle w:val="TableContents"/>
              <w:spacing w:before="0" w:after="283"/>
              <w:jc w:val="right"/>
              <w:rPr/>
            </w:pPr>
            <w:r>
              <w:rPr/>
              <w:t>235,949</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w:t>
            </w:r>
          </w:p>
        </w:tc>
        <w:tc>
          <w:tcPr>
            <w:tcW w:w="1829" w:type="dxa"/>
            <w:tcBorders/>
            <w:shd w:fill="auto" w:val="clear"/>
            <w:vAlign w:val="bottom"/>
          </w:tcPr>
          <w:p>
            <w:pPr>
              <w:pStyle w:val="TableContents"/>
              <w:spacing w:before="0" w:after="283"/>
              <w:jc w:val="right"/>
              <w:rPr/>
            </w:pPr>
            <w:r>
              <w:rPr/>
              <w:t>177,578</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438" w:type="dxa"/>
            <w:tcBorders/>
            <w:shd w:fill="CCEEFF" w:val="clear"/>
            <w:vAlign w:val="bottom"/>
          </w:tcPr>
          <w:p>
            <w:pPr>
              <w:pStyle w:val="TableContents"/>
              <w:spacing w:before="0" w:after="283"/>
              <w:jc w:val="right"/>
              <w:rPr/>
            </w:pPr>
            <w:r>
              <w:rPr/>
              <w:t>3,736</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29" w:type="dxa"/>
            <w:tcBorders/>
            <w:shd w:fill="CCEEFF" w:val="clear"/>
            <w:vAlign w:val="bottom"/>
          </w:tcPr>
          <w:p>
            <w:pPr>
              <w:pStyle w:val="TableContents"/>
              <w:spacing w:before="0" w:after="283"/>
              <w:jc w:val="right"/>
              <w:rPr/>
            </w:pPr>
            <w:r>
              <w:rPr/>
              <w:t>61,942</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14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82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current assets</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pPr>
            <w:r>
              <w:rPr/>
              <w:t>239,685</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pPr>
            <w:r>
              <w:rPr/>
              <w:t>239,520</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Investment held in Trust Account</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438" w:type="dxa"/>
            <w:tcBorders/>
            <w:shd w:fill="CCEEFF" w:val="clear"/>
            <w:vAlign w:val="bottom"/>
          </w:tcPr>
          <w:p>
            <w:pPr>
              <w:pStyle w:val="TableContents"/>
              <w:spacing w:before="0" w:after="283"/>
              <w:jc w:val="right"/>
              <w:rPr/>
            </w:pPr>
            <w:r>
              <w:rPr/>
              <w:t>36,725,055</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29" w:type="dxa"/>
            <w:tcBorders/>
            <w:shd w:fill="CCEEFF" w:val="clear"/>
            <w:vAlign w:val="bottom"/>
          </w:tcPr>
          <w:p>
            <w:pPr>
              <w:pStyle w:val="TableContents"/>
              <w:spacing w:before="0" w:after="283"/>
              <w:jc w:val="right"/>
              <w:rPr/>
            </w:pPr>
            <w:r>
              <w:rPr/>
              <w:t>150,844,925</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14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82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b/>
              </w:rPr>
            </w:pPr>
            <w:r>
              <w:rPr>
                <w:b/>
              </w:rPr>
              <w:t>$</w:t>
            </w:r>
          </w:p>
        </w:tc>
        <w:tc>
          <w:tcPr>
            <w:tcW w:w="1438" w:type="dxa"/>
            <w:tcBorders/>
            <w:shd w:fill="auto" w:val="clear"/>
            <w:vAlign w:val="bottom"/>
          </w:tcPr>
          <w:p>
            <w:pPr>
              <w:pStyle w:val="TableContents"/>
              <w:spacing w:before="0" w:after="283"/>
              <w:jc w:val="right"/>
              <w:rPr>
                <w:b/>
              </w:rPr>
            </w:pPr>
            <w:r>
              <w:rPr>
                <w:b/>
              </w:rPr>
              <w:t>36,964,740</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b/>
              </w:rPr>
            </w:pPr>
            <w:r>
              <w:rPr>
                <w:b/>
              </w:rPr>
              <w:t>$</w:t>
            </w:r>
          </w:p>
        </w:tc>
        <w:tc>
          <w:tcPr>
            <w:tcW w:w="1829" w:type="dxa"/>
            <w:tcBorders/>
            <w:shd w:fill="auto" w:val="clear"/>
            <w:vAlign w:val="bottom"/>
          </w:tcPr>
          <w:p>
            <w:pPr>
              <w:pStyle w:val="TableContents"/>
              <w:spacing w:before="0" w:after="283"/>
              <w:jc w:val="right"/>
              <w:rPr>
                <w:b/>
              </w:rPr>
            </w:pPr>
            <w:r>
              <w:rPr>
                <w:b/>
              </w:rPr>
              <w:t>151,084,445</w:t>
            </w:r>
          </w:p>
        </w:tc>
        <w:tc>
          <w:tcPr>
            <w:tcW w:w="158" w:type="dxa"/>
            <w:tcBorders/>
            <w:shd w:fill="auto"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double" w:sz="6" w:space="1" w:color="000000"/>
              </w:pBdr>
              <w:spacing w:before="0" w:after="0"/>
              <w:rPr/>
            </w:pPr>
            <w:r>
              <w:rPr/>
              <w:t> </w:t>
            </w:r>
          </w:p>
        </w:tc>
        <w:tc>
          <w:tcPr>
            <w:tcW w:w="14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82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b/>
                <w:sz w:val="20"/>
              </w:rPr>
            </w:pPr>
            <w:r>
              <w:rPr>
                <w:rFonts w:ascii="Times New Roman" w:hAnsi="Times New Roman"/>
                <w:b/>
                <w:sz w:val="20"/>
              </w:rPr>
              <w:t>Liabilities, Common Stock Subject to Possible Redemption and Stockholders Deficit</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14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82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Current liabilities:</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sz w:val="4"/>
                <w:szCs w:val="4"/>
              </w:rPr>
            </w:pPr>
            <w:r>
              <w:rPr>
                <w:sz w:val="4"/>
                <w:szCs w:val="4"/>
              </w:rPr>
            </w:r>
          </w:p>
        </w:tc>
        <w:tc>
          <w:tcPr>
            <w:tcW w:w="143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sz w:val="4"/>
                <w:szCs w:val="4"/>
              </w:rPr>
            </w:pPr>
            <w:r>
              <w:rPr>
                <w:sz w:val="4"/>
                <w:szCs w:val="4"/>
              </w:rPr>
            </w:r>
          </w:p>
        </w:tc>
        <w:tc>
          <w:tcPr>
            <w:tcW w:w="1829"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w:t>
            </w:r>
          </w:p>
        </w:tc>
        <w:tc>
          <w:tcPr>
            <w:tcW w:w="1438" w:type="dxa"/>
            <w:tcBorders/>
            <w:shd w:fill="CCEEFF" w:val="clear"/>
            <w:vAlign w:val="bottom"/>
          </w:tcPr>
          <w:p>
            <w:pPr>
              <w:pStyle w:val="TableContents"/>
              <w:spacing w:before="0" w:after="283"/>
              <w:jc w:val="right"/>
              <w:rPr/>
            </w:pPr>
            <w:r>
              <w:rPr/>
              <w:t>3,545,202</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829" w:type="dxa"/>
            <w:tcBorders/>
            <w:shd w:fill="CCEEFF" w:val="clear"/>
            <w:vAlign w:val="bottom"/>
          </w:tcPr>
          <w:p>
            <w:pPr>
              <w:pStyle w:val="TableContents"/>
              <w:spacing w:before="0" w:after="283"/>
              <w:jc w:val="right"/>
              <w:rPr/>
            </w:pPr>
            <w:r>
              <w:rPr/>
              <w:t>3,137,535</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Franchise tax payable</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pPr>
            <w:r>
              <w:rPr/>
              <w:t>81,200</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pPr>
            <w:r>
              <w:rPr/>
              <w:t>150,000</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payable</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438" w:type="dxa"/>
            <w:tcBorders/>
            <w:shd w:fill="CCEEFF" w:val="clear"/>
            <w:vAlign w:val="bottom"/>
          </w:tcPr>
          <w:p>
            <w:pPr>
              <w:pStyle w:val="TableContents"/>
              <w:spacing w:before="0" w:after="283"/>
              <w:jc w:val="right"/>
              <w:rPr/>
            </w:pPr>
            <w:r>
              <w:rPr/>
              <w:t>181,118</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29" w:type="dxa"/>
            <w:tcBorders/>
            <w:shd w:fill="CCEEFF" w:val="clear"/>
            <w:vAlign w:val="bottom"/>
          </w:tcPr>
          <w:p>
            <w:pPr>
              <w:pStyle w:val="TableContents"/>
              <w:spacing w:before="0" w:after="283"/>
              <w:jc w:val="right"/>
              <w:rPr/>
            </w:pPr>
            <w:r>
              <w:rPr/>
              <w:t>145,621</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Excise tax payable</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pPr>
            <w:r>
              <w:rPr/>
              <w:t>1,170,799</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Promissory Notes-Related Party</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438" w:type="dxa"/>
            <w:tcBorders/>
            <w:shd w:fill="CCEEFF" w:val="clear"/>
            <w:vAlign w:val="bottom"/>
          </w:tcPr>
          <w:p>
            <w:pPr>
              <w:pStyle w:val="TableContents"/>
              <w:spacing w:before="0" w:after="283"/>
              <w:jc w:val="right"/>
              <w:rPr/>
            </w:pPr>
            <w:r>
              <w:rPr/>
              <w:t>2,201,754</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29" w:type="dxa"/>
            <w:tcBorders/>
            <w:shd w:fill="CCEEFF" w:val="clear"/>
            <w:vAlign w:val="bottom"/>
          </w:tcPr>
          <w:p>
            <w:pPr>
              <w:pStyle w:val="TableContents"/>
              <w:spacing w:before="0" w:after="283"/>
              <w:jc w:val="right"/>
              <w:rPr/>
            </w:pPr>
            <w:r>
              <w:rPr/>
              <w:t>251,754</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14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82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current liabilities</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b/>
              </w:rPr>
            </w:pPr>
            <w:r>
              <w:rPr>
                <w:b/>
              </w:rPr>
              <w:t>7,180,073</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b/>
              </w:rPr>
            </w:pPr>
            <w:r>
              <w:rPr>
                <w:b/>
              </w:rPr>
              <w:t>3,684,910</w:t>
            </w:r>
          </w:p>
        </w:tc>
        <w:tc>
          <w:tcPr>
            <w:tcW w:w="158" w:type="dxa"/>
            <w:tcBorders/>
            <w:shd w:fill="auto"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14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82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b/>
                <w:sz w:val="20"/>
              </w:rPr>
            </w:pPr>
            <w:r>
              <w:rPr>
                <w:rFonts w:ascii="Times New Roman" w:hAnsi="Times New Roman"/>
                <w:b/>
                <w:sz w:val="20"/>
              </w:rPr>
              <w:t>Commitments and Contingencies (Note 4)</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14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82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subject to possible redemption, 3,508,852 and 15,000,000 shares at redemption value of $10.44 and $10.04 per share at March 31, 2023 and September 30, 2022, respectively</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pPr>
            <w:r>
              <w:rPr/>
              <w:t>36,617,400</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pPr>
            <w:r>
              <w:rPr/>
              <w:t>150,548,862</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b/>
                <w:sz w:val="20"/>
              </w:rPr>
            </w:pPr>
            <w:r>
              <w:rPr>
                <w:rFonts w:ascii="Times New Roman" w:hAnsi="Times New Roman"/>
                <w:b/>
                <w:sz w:val="20"/>
              </w:rPr>
              <w:t>Stockholders Deficit:</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sz w:val="4"/>
                <w:szCs w:val="4"/>
              </w:rPr>
            </w:pPr>
            <w:r>
              <w:rPr>
                <w:sz w:val="4"/>
                <w:szCs w:val="4"/>
              </w:rPr>
            </w:r>
          </w:p>
        </w:tc>
        <w:tc>
          <w:tcPr>
            <w:tcW w:w="143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4"/>
                <w:szCs w:val="4"/>
              </w:rPr>
            </w:pPr>
            <w:r>
              <w:rPr>
                <w:sz w:val="4"/>
                <w:szCs w:val="4"/>
              </w:rPr>
            </w:r>
          </w:p>
        </w:tc>
        <w:tc>
          <w:tcPr>
            <w:tcW w:w="1829"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Preferred stock, $0.0001 par value; 1,000,000 shares authorized; none issued or outstanding</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$0.0001 par value; 100,000,000 shares authorized, 5,709,500 shares issued and outstanding (excluding 3,508,852 and 15,000,000 shares subject to possible redemption) at March 31, 2023 and September 30, 2022, respectively</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438" w:type="dxa"/>
            <w:tcBorders/>
            <w:shd w:fill="CCEEFF" w:val="clear"/>
            <w:vAlign w:val="bottom"/>
          </w:tcPr>
          <w:p>
            <w:pPr>
              <w:pStyle w:val="TableContents"/>
              <w:spacing w:before="0" w:after="283"/>
              <w:jc w:val="right"/>
              <w:rPr/>
            </w:pPr>
            <w:r>
              <w:rPr/>
              <w:t>570</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29" w:type="dxa"/>
            <w:tcBorders/>
            <w:shd w:fill="CCEEFF" w:val="clear"/>
            <w:vAlign w:val="bottom"/>
          </w:tcPr>
          <w:p>
            <w:pPr>
              <w:pStyle w:val="TableContents"/>
              <w:spacing w:before="0" w:after="283"/>
              <w:jc w:val="right"/>
              <w:rPr/>
            </w:pPr>
            <w:r>
              <w:rPr/>
              <w:t>570</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pPr>
            <w:r>
              <w:rPr/>
              <w:t>941,796</w:t>
            </w:r>
          </w:p>
        </w:tc>
        <w:tc>
          <w:tcPr>
            <w:tcW w:w="158" w:type="dxa"/>
            <w:tcBorders/>
            <w:shd w:fill="auto" w:val="clear"/>
            <w:vAlign w:val="bottom"/>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438" w:type="dxa"/>
            <w:tcBorders/>
            <w:shd w:fill="CCEEFF" w:val="clear"/>
            <w:vAlign w:val="bottom"/>
          </w:tcPr>
          <w:p>
            <w:pPr>
              <w:pStyle w:val="TableContents"/>
              <w:spacing w:before="0" w:after="283"/>
              <w:jc w:val="right"/>
              <w:rPr/>
            </w:pPr>
            <w:r>
              <w:rPr/>
              <w:t>(6,833,303</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829" w:type="dxa"/>
            <w:tcBorders/>
            <w:shd w:fill="CCEEFF" w:val="clear"/>
            <w:vAlign w:val="bottom"/>
          </w:tcPr>
          <w:p>
            <w:pPr>
              <w:pStyle w:val="TableContents"/>
              <w:spacing w:before="0" w:after="283"/>
              <w:jc w:val="right"/>
              <w:rPr/>
            </w:pPr>
            <w:r>
              <w:rPr/>
              <w:t>(4,091,693</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14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82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Stockholders Deficit</w:t>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438" w:type="dxa"/>
            <w:tcBorders/>
            <w:shd w:fill="auto" w:val="clear"/>
            <w:vAlign w:val="bottom"/>
          </w:tcPr>
          <w:p>
            <w:pPr>
              <w:pStyle w:val="TableContents"/>
              <w:spacing w:before="0" w:after="283"/>
              <w:jc w:val="right"/>
              <w:rPr>
                <w:b/>
              </w:rPr>
            </w:pPr>
            <w:r>
              <w:rPr>
                <w:b/>
              </w:rPr>
              <w:t>(6,832,733</w:t>
            </w:r>
          </w:p>
        </w:tc>
        <w:tc>
          <w:tcPr>
            <w:tcW w:w="155" w:type="dxa"/>
            <w:tcBorders/>
            <w:shd w:fill="auto" w:val="clear"/>
            <w:vAlign w:val="bottom"/>
          </w:tcPr>
          <w:p>
            <w:pPr>
              <w:pStyle w:val="TableContents"/>
              <w:spacing w:before="0" w:after="283"/>
              <w:rPr>
                <w:b/>
              </w:rPr>
            </w:pPr>
            <w:r>
              <w:rPr>
                <w:b/>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29" w:type="dxa"/>
            <w:tcBorders/>
            <w:shd w:fill="auto" w:val="clear"/>
            <w:vAlign w:val="bottom"/>
          </w:tcPr>
          <w:p>
            <w:pPr>
              <w:pStyle w:val="TableContents"/>
              <w:spacing w:before="0" w:after="283"/>
              <w:jc w:val="right"/>
              <w:rPr>
                <w:b/>
              </w:rPr>
            </w:pPr>
            <w:r>
              <w:rPr>
                <w:b/>
              </w:rPr>
              <w:t>(3,149,327</w:t>
            </w:r>
          </w:p>
        </w:tc>
        <w:tc>
          <w:tcPr>
            <w:tcW w:w="158" w:type="dxa"/>
            <w:tcBorders/>
            <w:shd w:fill="auto" w:val="clear"/>
            <w:vAlign w:val="bottom"/>
          </w:tcPr>
          <w:p>
            <w:pPr>
              <w:pStyle w:val="TableContents"/>
              <w:spacing w:before="0" w:after="283"/>
              <w:rPr>
                <w:b/>
              </w:rPr>
            </w:pPr>
            <w:r>
              <w:rPr>
                <w:b/>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single" w:sz="2" w:space="1" w:color="000000"/>
              </w:pBdr>
              <w:spacing w:before="0" w:after="0"/>
              <w:rPr/>
            </w:pPr>
            <w:r>
              <w:rPr/>
              <w:t> </w:t>
            </w:r>
          </w:p>
        </w:tc>
        <w:tc>
          <w:tcPr>
            <w:tcW w:w="143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829"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945"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Liabilities, Common Stock Subject to Possible Redemption and Stockholders Deficit</w:t>
            </w:r>
          </w:p>
        </w:tc>
        <w:tc>
          <w:tcPr>
            <w:tcW w:w="334"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b/>
              </w:rPr>
            </w:pPr>
            <w:r>
              <w:rPr>
                <w:b/>
              </w:rPr>
              <w:t>$</w:t>
            </w:r>
          </w:p>
        </w:tc>
        <w:tc>
          <w:tcPr>
            <w:tcW w:w="1438" w:type="dxa"/>
            <w:tcBorders/>
            <w:shd w:fill="CCEEFF" w:val="clear"/>
            <w:vAlign w:val="bottom"/>
          </w:tcPr>
          <w:p>
            <w:pPr>
              <w:pStyle w:val="TableContents"/>
              <w:spacing w:before="0" w:after="283"/>
              <w:jc w:val="right"/>
              <w:rPr>
                <w:b/>
              </w:rPr>
            </w:pPr>
            <w:r>
              <w:rPr>
                <w:b/>
              </w:rPr>
              <w:t>36,964,740</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b/>
              </w:rPr>
            </w:pPr>
            <w:r>
              <w:rPr>
                <w:b/>
              </w:rPr>
              <w:t>$</w:t>
            </w:r>
          </w:p>
        </w:tc>
        <w:tc>
          <w:tcPr>
            <w:tcW w:w="1829" w:type="dxa"/>
            <w:tcBorders/>
            <w:shd w:fill="CCEEFF" w:val="clear"/>
            <w:vAlign w:val="bottom"/>
          </w:tcPr>
          <w:p>
            <w:pPr>
              <w:pStyle w:val="TableContents"/>
              <w:spacing w:before="0" w:after="283"/>
              <w:jc w:val="right"/>
              <w:rPr>
                <w:b/>
              </w:rPr>
            </w:pPr>
            <w:r>
              <w:rPr>
                <w:b/>
              </w:rPr>
              <w:t>151,084,445</w:t>
            </w:r>
          </w:p>
        </w:tc>
        <w:tc>
          <w:tcPr>
            <w:tcW w:w="158" w:type="dxa"/>
            <w:tcBorders/>
            <w:shd w:fill="CCEEFF" w:val="clear"/>
            <w:vAlign w:val="bottom"/>
          </w:tcPr>
          <w:p>
            <w:pPr>
              <w:pStyle w:val="TableContents"/>
              <w:spacing w:before="0" w:after="283"/>
              <w:rPr/>
            </w:pPr>
            <w:r>
              <w:rPr/>
              <w:t> </w:t>
            </w:r>
          </w:p>
        </w:tc>
      </w:tr>
      <w:tr>
        <w:trPr/>
        <w:tc>
          <w:tcPr>
            <w:tcW w:w="5945"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pBdr>
                <w:top w:val="double" w:sz="6" w:space="1" w:color="000000"/>
              </w:pBdr>
              <w:spacing w:before="0" w:after="0"/>
              <w:rPr/>
            </w:pPr>
            <w:r>
              <w:rPr/>
              <w:t> </w:t>
            </w:r>
          </w:p>
        </w:tc>
        <w:tc>
          <w:tcPr>
            <w:tcW w:w="143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double" w:sz="6" w:space="1" w:color="000000"/>
              </w:pBdr>
              <w:spacing w:before="0" w:after="0"/>
              <w:rPr/>
            </w:pPr>
            <w:r>
              <w:rPr/>
              <w:t> </w:t>
            </w:r>
          </w:p>
        </w:tc>
        <w:tc>
          <w:tcPr>
            <w:tcW w:w="1829" w:type="dxa"/>
            <w:tcBorders/>
            <w:shd w:fill="auto" w:val="clear"/>
            <w:vAlign w:val="bottom"/>
          </w:tcPr>
          <w:p>
            <w:pPr>
              <w:pStyle w:val="TableContents"/>
              <w:pBdr>
                <w:top w:val="double" w:sz="6"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7" w:name="fin309194_15"/>
      <w:bookmarkEnd w:id="57"/>
      <w:r>
        <w:rPr>
          <w:rFonts w:ascii="Times New Roman" w:hAnsi="Times New Roman"/>
          <w:b/>
          <w:sz w:val="20"/>
        </w:rPr>
        <w:t xml:space="preserve">CONDENSED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01"/>
        <w:gridCol w:w="260"/>
        <w:gridCol w:w="140"/>
        <w:gridCol w:w="1026"/>
        <w:gridCol w:w="165"/>
        <w:gridCol w:w="219"/>
        <w:gridCol w:w="140"/>
        <w:gridCol w:w="1167"/>
        <w:gridCol w:w="155"/>
        <w:gridCol w:w="219"/>
        <w:gridCol w:w="140"/>
        <w:gridCol w:w="1115"/>
        <w:gridCol w:w="156"/>
        <w:gridCol w:w="219"/>
        <w:gridCol w:w="141"/>
        <w:gridCol w:w="1116"/>
        <w:gridCol w:w="160"/>
      </w:tblGrid>
      <w:tr>
        <w:trPr/>
        <w:tc>
          <w:tcPr>
            <w:tcW w:w="400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00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285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w:t>
              <w:br/>
              <w:t>March 31,</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288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Six Months Ended</w:t>
              <w:br/>
              <w:t>March 31,</w:t>
            </w:r>
          </w:p>
        </w:tc>
        <w:tc>
          <w:tcPr>
            <w:tcW w:w="160"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6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3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0" w:type="dxa"/>
            <w:tcBorders/>
            <w:shd w:fill="auto" w:val="clear"/>
            <w:vAlign w:val="bottom"/>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Formation and operating costs</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26" w:type="dxa"/>
            <w:tcBorders/>
            <w:shd w:fill="CCEEFF" w:val="clear"/>
            <w:vAlign w:val="bottom"/>
          </w:tcPr>
          <w:p>
            <w:pPr>
              <w:pStyle w:val="TableContents"/>
              <w:spacing w:before="0" w:after="283"/>
              <w:jc w:val="right"/>
              <w:rPr/>
            </w:pPr>
            <w:r>
              <w:rPr/>
              <w:t>790,735</w:t>
            </w:r>
          </w:p>
        </w:tc>
        <w:tc>
          <w:tcPr>
            <w:tcW w:w="16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67" w:type="dxa"/>
            <w:tcBorders/>
            <w:shd w:fill="CCEEFF" w:val="clear"/>
            <w:vAlign w:val="bottom"/>
          </w:tcPr>
          <w:p>
            <w:pPr>
              <w:pStyle w:val="TableContents"/>
              <w:spacing w:before="0" w:after="283"/>
              <w:jc w:val="right"/>
              <w:rPr/>
            </w:pPr>
            <w:r>
              <w:rPr/>
              <w:t>356,666</w:t>
            </w:r>
          </w:p>
        </w:tc>
        <w:tc>
          <w:tcPr>
            <w:tcW w:w="1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15" w:type="dxa"/>
            <w:tcBorders/>
            <w:shd w:fill="CCEEFF" w:val="clear"/>
            <w:vAlign w:val="bottom"/>
          </w:tcPr>
          <w:p>
            <w:pPr>
              <w:pStyle w:val="TableContents"/>
              <w:spacing w:before="0" w:after="283"/>
              <w:jc w:val="right"/>
              <w:rPr/>
            </w:pPr>
            <w:r>
              <w:rPr/>
              <w:t>1,185,087</w:t>
            </w:r>
          </w:p>
        </w:tc>
        <w:tc>
          <w:tcPr>
            <w:tcW w:w="15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16" w:type="dxa"/>
            <w:tcBorders/>
            <w:shd w:fill="CCEEFF" w:val="clear"/>
            <w:vAlign w:val="bottom"/>
          </w:tcPr>
          <w:p>
            <w:pPr>
              <w:pStyle w:val="TableContents"/>
              <w:spacing w:before="0" w:after="283"/>
              <w:jc w:val="right"/>
              <w:rPr/>
            </w:pPr>
            <w:r>
              <w:rPr/>
              <w:t>2,367,661</w:t>
            </w:r>
          </w:p>
        </w:tc>
        <w:tc>
          <w:tcPr>
            <w:tcW w:w="160" w:type="dxa"/>
            <w:tcBorders/>
            <w:shd w:fill="CCEEFF" w:val="clear"/>
            <w:vAlign w:val="bottom"/>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27,963</w:t>
            </w:r>
          </w:p>
        </w:tc>
        <w:tc>
          <w:tcPr>
            <w:tcW w:w="1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27,963</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55,926</w:t>
            </w:r>
          </w:p>
        </w:tc>
        <w:tc>
          <w:tcPr>
            <w:tcW w:w="15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55,926</w:t>
            </w:r>
          </w:p>
        </w:tc>
        <w:tc>
          <w:tcPr>
            <w:tcW w:w="160"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1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b/>
                <w:sz w:val="20"/>
              </w:rPr>
            </w:pPr>
            <w:r>
              <w:rPr>
                <w:rFonts w:ascii="Times New Roman" w:hAnsi="Times New Roman"/>
                <w:b/>
                <w:sz w:val="20"/>
              </w:rPr>
              <w:t>Loss from operations</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b/>
              </w:rPr>
            </w:pPr>
            <w:r>
              <w:rPr>
                <w:b/>
              </w:rPr>
              <w:t>(818,698</w:t>
            </w:r>
          </w:p>
        </w:tc>
        <w:tc>
          <w:tcPr>
            <w:tcW w:w="16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b/>
              </w:rPr>
            </w:pPr>
            <w:r>
              <w:rPr>
                <w:b/>
              </w:rPr>
              <w:t>(384,629</w:t>
            </w:r>
          </w:p>
        </w:tc>
        <w:tc>
          <w:tcPr>
            <w:tcW w:w="15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b/>
              </w:rPr>
            </w:pPr>
            <w:r>
              <w:rPr>
                <w:b/>
              </w:rPr>
              <w:t>(1,241,013</w:t>
            </w:r>
          </w:p>
        </w:tc>
        <w:tc>
          <w:tcPr>
            <w:tcW w:w="156"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b/>
              </w:rPr>
            </w:pPr>
            <w:r>
              <w:rPr>
                <w:b/>
              </w:rPr>
              <w:t>(2,423,587</w:t>
            </w:r>
          </w:p>
        </w:tc>
        <w:tc>
          <w:tcPr>
            <w:tcW w:w="160" w:type="dxa"/>
            <w:tcBorders/>
            <w:shd w:fill="CCEEFF" w:val="clear"/>
            <w:vAlign w:val="bottom"/>
          </w:tcPr>
          <w:p>
            <w:pPr>
              <w:pStyle w:val="TableContents"/>
              <w:spacing w:before="0" w:after="283"/>
              <w:rPr>
                <w:b/>
              </w:rPr>
            </w:pPr>
            <w:r>
              <w:rPr>
                <w:b/>
              </w:rPr>
              <w:t>) </w:t>
            </w:r>
          </w:p>
        </w:tc>
      </w:tr>
      <w:tr>
        <w:trPr/>
        <w:tc>
          <w:tcPr>
            <w:tcW w:w="4001" w:type="dxa"/>
            <w:tcBorders/>
            <w:shd w:fill="auto" w:val="clear"/>
          </w:tcPr>
          <w:p>
            <w:pPr>
              <w:pStyle w:val="TableContents"/>
              <w:spacing w:before="0" w:after="0"/>
              <w:rPr>
                <w:rFonts w:ascii="Times New Roman" w:hAnsi="Times New Roman"/>
                <w:b/>
                <w:sz w:val="20"/>
              </w:rPr>
            </w:pPr>
            <w:r>
              <w:rPr>
                <w:rFonts w:ascii="Times New Roman" w:hAnsi="Times New Roman"/>
                <w:b/>
                <w:sz w:val="20"/>
              </w:rPr>
              <w:t>Other income</w:t>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26"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Trust interest income</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974,408</w:t>
            </w:r>
          </w:p>
        </w:tc>
        <w:tc>
          <w:tcPr>
            <w:tcW w:w="16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12,243</w:t>
            </w:r>
          </w:p>
        </w:tc>
        <w:tc>
          <w:tcPr>
            <w:tcW w:w="1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2,264,081</w:t>
            </w:r>
          </w:p>
        </w:tc>
        <w:tc>
          <w:tcPr>
            <w:tcW w:w="15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15,087</w:t>
            </w:r>
          </w:p>
        </w:tc>
        <w:tc>
          <w:tcPr>
            <w:tcW w:w="160" w:type="dxa"/>
            <w:tcBorders/>
            <w:shd w:fill="CCEEFF"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1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Total other income</w:t>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974,408</w:t>
            </w:r>
          </w:p>
        </w:tc>
        <w:tc>
          <w:tcPr>
            <w:tcW w:w="1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12,243</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2,264,081</w:t>
            </w:r>
          </w:p>
        </w:tc>
        <w:tc>
          <w:tcPr>
            <w:tcW w:w="15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15,087</w:t>
            </w:r>
          </w:p>
        </w:tc>
        <w:tc>
          <w:tcPr>
            <w:tcW w:w="160" w:type="dxa"/>
            <w:tcBorders/>
            <w:shd w:fill="auto" w:val="clear"/>
            <w:vAlign w:val="bottom"/>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sz w:val="20"/>
              </w:rPr>
            </w:pPr>
            <w:r>
              <w:rPr>
                <w:rFonts w:ascii="Times New Roman" w:hAnsi="Times New Roman"/>
                <w:sz w:val="20"/>
              </w:rPr>
              <w:t>Income (Loss) before provision for income taxes</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155,710</w:t>
            </w:r>
          </w:p>
        </w:tc>
        <w:tc>
          <w:tcPr>
            <w:tcW w:w="16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67" w:type="dxa"/>
            <w:tcBorders/>
            <w:shd w:fill="CCEEFF" w:val="clear"/>
            <w:vAlign w:val="bottom"/>
          </w:tcPr>
          <w:p>
            <w:pPr>
              <w:pStyle w:val="TableContents"/>
              <w:spacing w:before="0" w:after="283"/>
              <w:jc w:val="right"/>
              <w:rPr/>
            </w:pPr>
            <w:r>
              <w:rPr/>
              <w:t>(372,286</w:t>
            </w:r>
          </w:p>
        </w:tc>
        <w:tc>
          <w:tcPr>
            <w:tcW w:w="1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1,023,068</w:t>
            </w:r>
          </w:p>
        </w:tc>
        <w:tc>
          <w:tcPr>
            <w:tcW w:w="15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(2,408,500</w:t>
            </w:r>
          </w:p>
        </w:tc>
        <w:tc>
          <w:tcPr>
            <w:tcW w:w="160" w:type="dxa"/>
            <w:tcBorders/>
            <w:shd w:fill="CCEEFF" w:val="clear"/>
            <w:vAlign w:val="bottom"/>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Provision for income taxes</w:t>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(182,853</w:t>
            </w:r>
          </w:p>
        </w:tc>
        <w:tc>
          <w:tcPr>
            <w:tcW w:w="1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(443,184</w:t>
            </w:r>
          </w:p>
        </w:tc>
        <w:tc>
          <w:tcPr>
            <w:tcW w:w="15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15" w:type="dxa"/>
            <w:tcBorders/>
            <w:shd w:fill="auto" w:val="clear"/>
            <w:vAlign w:val="bottom"/>
          </w:tcPr>
          <w:p>
            <w:pPr>
              <w:pStyle w:val="TableContents"/>
              <w:pBdr>
                <w:top w:val="single" w:sz="2"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11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(loss) income</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6" w:type="dxa"/>
            <w:tcBorders/>
            <w:shd w:fill="CCEEFF" w:val="clear"/>
            <w:vAlign w:val="bottom"/>
          </w:tcPr>
          <w:p>
            <w:pPr>
              <w:pStyle w:val="TableContents"/>
              <w:spacing w:before="0" w:after="283"/>
              <w:jc w:val="right"/>
              <w:rPr>
                <w:b/>
              </w:rPr>
            </w:pPr>
            <w:r>
              <w:rPr>
                <w:b/>
              </w:rPr>
              <w:t>(27,143</w:t>
            </w:r>
          </w:p>
        </w:tc>
        <w:tc>
          <w:tcPr>
            <w:tcW w:w="16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67" w:type="dxa"/>
            <w:tcBorders/>
            <w:shd w:fill="CCEEFF" w:val="clear"/>
            <w:vAlign w:val="bottom"/>
          </w:tcPr>
          <w:p>
            <w:pPr>
              <w:pStyle w:val="TableContents"/>
              <w:spacing w:before="0" w:after="283"/>
              <w:jc w:val="right"/>
              <w:rPr>
                <w:b/>
              </w:rPr>
            </w:pPr>
            <w:r>
              <w:rPr>
                <w:b/>
              </w:rPr>
              <w:t>(372,386</w:t>
            </w:r>
          </w:p>
        </w:tc>
        <w:tc>
          <w:tcPr>
            <w:tcW w:w="15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15" w:type="dxa"/>
            <w:tcBorders/>
            <w:shd w:fill="CCEEFF" w:val="clear"/>
            <w:vAlign w:val="bottom"/>
          </w:tcPr>
          <w:p>
            <w:pPr>
              <w:pStyle w:val="TableContents"/>
              <w:spacing w:before="0" w:after="283"/>
              <w:jc w:val="right"/>
              <w:rPr>
                <w:b/>
              </w:rPr>
            </w:pPr>
            <w:r>
              <w:rPr>
                <w:b/>
              </w:rPr>
              <w:t>579,884</w:t>
            </w:r>
          </w:p>
        </w:tc>
        <w:tc>
          <w:tcPr>
            <w:tcW w:w="15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b/>
              </w:rPr>
            </w:pPr>
            <w:r>
              <w:rPr>
                <w:b/>
              </w:rPr>
              <w:t>$</w:t>
            </w:r>
          </w:p>
        </w:tc>
        <w:tc>
          <w:tcPr>
            <w:tcW w:w="1116" w:type="dxa"/>
            <w:tcBorders/>
            <w:shd w:fill="CCEEFF" w:val="clear"/>
            <w:vAlign w:val="bottom"/>
          </w:tcPr>
          <w:p>
            <w:pPr>
              <w:pStyle w:val="TableContents"/>
              <w:spacing w:before="0" w:after="283"/>
              <w:jc w:val="right"/>
              <w:rPr>
                <w:b/>
              </w:rPr>
            </w:pPr>
            <w:r>
              <w:rPr>
                <w:b/>
              </w:rPr>
              <w:t>(2,408,500</w:t>
            </w:r>
          </w:p>
        </w:tc>
        <w:tc>
          <w:tcPr>
            <w:tcW w:w="160" w:type="dxa"/>
            <w:tcBorders/>
            <w:shd w:fill="CCEEFF" w:val="clear"/>
            <w:vAlign w:val="bottom"/>
          </w:tcPr>
          <w:p>
            <w:pPr>
              <w:pStyle w:val="TableContents"/>
              <w:spacing w:before="0" w:after="283"/>
              <w:rPr>
                <w:b/>
              </w:rPr>
            </w:pPr>
            <w:r>
              <w:rPr>
                <w:b/>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6" w:type="dxa"/>
            <w:tcBorders/>
            <w:shd w:fill="auto" w:val="clear"/>
            <w:vAlign w:val="bottom"/>
          </w:tcPr>
          <w:p>
            <w:pPr>
              <w:pStyle w:val="TableContents"/>
              <w:pBdr>
                <w:top w:val="double" w:sz="6"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6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common stock subject to possible redemption</w:t>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7,722,273</w:t>
            </w:r>
          </w:p>
        </w:tc>
        <w:tc>
          <w:tcPr>
            <w:tcW w:w="1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15,000,000</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11,401,124</w:t>
            </w:r>
          </w:p>
        </w:tc>
        <w:tc>
          <w:tcPr>
            <w:tcW w:w="15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15,000,000</w:t>
            </w:r>
          </w:p>
        </w:tc>
        <w:tc>
          <w:tcPr>
            <w:tcW w:w="160"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6" w:type="dxa"/>
            <w:tcBorders/>
            <w:shd w:fill="auto" w:val="clear"/>
            <w:vAlign w:val="bottom"/>
          </w:tcPr>
          <w:p>
            <w:pPr>
              <w:pStyle w:val="TableContents"/>
              <w:pBdr>
                <w:top w:val="double" w:sz="6"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6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b/>
                <w:sz w:val="20"/>
              </w:rPr>
            </w:pPr>
            <w:r>
              <w:rPr>
                <w:rFonts w:ascii="Times New Roman" w:hAnsi="Times New Roman"/>
                <w:b/>
                <w:sz w:val="20"/>
              </w:rPr>
              <w:t>Basic and diluted net (loss) income per share</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6" w:type="dxa"/>
            <w:tcBorders/>
            <w:shd w:fill="CCEEFF" w:val="clear"/>
            <w:vAlign w:val="bottom"/>
          </w:tcPr>
          <w:p>
            <w:pPr>
              <w:pStyle w:val="TableContents"/>
              <w:spacing w:before="0" w:after="283"/>
              <w:jc w:val="right"/>
              <w:rPr>
                <w:b/>
              </w:rPr>
            </w:pPr>
            <w:r>
              <w:rPr>
                <w:b/>
              </w:rPr>
              <w:t>(0.00</w:t>
            </w:r>
          </w:p>
        </w:tc>
        <w:tc>
          <w:tcPr>
            <w:tcW w:w="16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67" w:type="dxa"/>
            <w:tcBorders/>
            <w:shd w:fill="CCEEFF" w:val="clear"/>
            <w:vAlign w:val="bottom"/>
          </w:tcPr>
          <w:p>
            <w:pPr>
              <w:pStyle w:val="TableContents"/>
              <w:spacing w:before="0" w:after="283"/>
              <w:jc w:val="right"/>
              <w:rPr>
                <w:b/>
              </w:rPr>
            </w:pPr>
            <w:r>
              <w:rPr>
                <w:b/>
              </w:rPr>
              <w:t>(0.02</w:t>
            </w:r>
          </w:p>
        </w:tc>
        <w:tc>
          <w:tcPr>
            <w:tcW w:w="15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15" w:type="dxa"/>
            <w:tcBorders/>
            <w:shd w:fill="CCEEFF" w:val="clear"/>
            <w:vAlign w:val="bottom"/>
          </w:tcPr>
          <w:p>
            <w:pPr>
              <w:pStyle w:val="TableContents"/>
              <w:spacing w:before="0" w:after="283"/>
              <w:jc w:val="right"/>
              <w:rPr>
                <w:b/>
              </w:rPr>
            </w:pPr>
            <w:r>
              <w:rPr>
                <w:b/>
              </w:rPr>
              <w:t>0.03</w:t>
            </w:r>
          </w:p>
        </w:tc>
        <w:tc>
          <w:tcPr>
            <w:tcW w:w="15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b/>
              </w:rPr>
            </w:pPr>
            <w:r>
              <w:rPr>
                <w:b/>
              </w:rPr>
              <w:t>$</w:t>
            </w:r>
          </w:p>
        </w:tc>
        <w:tc>
          <w:tcPr>
            <w:tcW w:w="1116" w:type="dxa"/>
            <w:tcBorders/>
            <w:shd w:fill="CCEEFF" w:val="clear"/>
            <w:vAlign w:val="bottom"/>
          </w:tcPr>
          <w:p>
            <w:pPr>
              <w:pStyle w:val="TableContents"/>
              <w:spacing w:before="0" w:after="283"/>
              <w:jc w:val="right"/>
              <w:rPr>
                <w:b/>
              </w:rPr>
            </w:pPr>
            <w:r>
              <w:rPr>
                <w:b/>
              </w:rPr>
              <w:t>(0.02</w:t>
            </w:r>
          </w:p>
        </w:tc>
        <w:tc>
          <w:tcPr>
            <w:tcW w:w="160" w:type="dxa"/>
            <w:tcBorders/>
            <w:shd w:fill="CCEEFF" w:val="clear"/>
            <w:vAlign w:val="bottom"/>
          </w:tcPr>
          <w:p>
            <w:pPr>
              <w:pStyle w:val="TableContents"/>
              <w:spacing w:before="0" w:after="283"/>
              <w:rPr>
                <w:b/>
              </w:rPr>
            </w:pPr>
            <w:r>
              <w:rPr>
                <w:b/>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6" w:type="dxa"/>
            <w:tcBorders/>
            <w:shd w:fill="auto" w:val="clear"/>
            <w:vAlign w:val="bottom"/>
          </w:tcPr>
          <w:p>
            <w:pPr>
              <w:pStyle w:val="TableContents"/>
              <w:pBdr>
                <w:top w:val="double" w:sz="6"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6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weighted average shares outstanding, non-redeemable common stock</w:t>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5,709,500</w:t>
            </w:r>
          </w:p>
        </w:tc>
        <w:tc>
          <w:tcPr>
            <w:tcW w:w="16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pPr>
            <w:r>
              <w:rPr/>
              <w:t>5,709,500</w:t>
            </w:r>
          </w:p>
        </w:tc>
        <w:tc>
          <w:tcPr>
            <w:tcW w:w="15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5,709,500</w:t>
            </w:r>
          </w:p>
        </w:tc>
        <w:tc>
          <w:tcPr>
            <w:tcW w:w="15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5,709,500</w:t>
            </w:r>
          </w:p>
        </w:tc>
        <w:tc>
          <w:tcPr>
            <w:tcW w:w="160" w:type="dxa"/>
            <w:tcBorders/>
            <w:shd w:fill="auto" w:val="clear"/>
            <w:vAlign w:val="bottom"/>
          </w:tcPr>
          <w:p>
            <w:pPr>
              <w:pStyle w:val="TableContents"/>
              <w:spacing w:before="0" w:after="283"/>
              <w:rPr/>
            </w:pPr>
            <w:r>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6" w:type="dxa"/>
            <w:tcBorders/>
            <w:shd w:fill="auto" w:val="clear"/>
            <w:vAlign w:val="bottom"/>
          </w:tcPr>
          <w:p>
            <w:pPr>
              <w:pStyle w:val="TableContents"/>
              <w:pBdr>
                <w:top w:val="double" w:sz="6"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6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01" w:type="dxa"/>
            <w:tcBorders/>
            <w:shd w:fill="CCEEFF" w:val="clear"/>
          </w:tcPr>
          <w:p>
            <w:pPr>
              <w:pStyle w:val="TableContents"/>
              <w:spacing w:before="0" w:after="0"/>
              <w:rPr>
                <w:rFonts w:ascii="Times New Roman" w:hAnsi="Times New Roman"/>
                <w:b/>
                <w:sz w:val="20"/>
              </w:rPr>
            </w:pPr>
            <w:r>
              <w:rPr>
                <w:rFonts w:ascii="Times New Roman" w:hAnsi="Times New Roman"/>
                <w:b/>
                <w:sz w:val="20"/>
              </w:rPr>
              <w:t>Basic and diluted net (loss) income per share</w:t>
            </w:r>
          </w:p>
        </w:tc>
        <w:tc>
          <w:tcPr>
            <w:tcW w:w="2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6" w:type="dxa"/>
            <w:tcBorders/>
            <w:shd w:fill="CCEEFF" w:val="clear"/>
            <w:vAlign w:val="bottom"/>
          </w:tcPr>
          <w:p>
            <w:pPr>
              <w:pStyle w:val="TableContents"/>
              <w:spacing w:before="0" w:after="283"/>
              <w:jc w:val="right"/>
              <w:rPr>
                <w:b/>
              </w:rPr>
            </w:pPr>
            <w:r>
              <w:rPr>
                <w:b/>
              </w:rPr>
              <w:t>(0.00</w:t>
            </w:r>
          </w:p>
        </w:tc>
        <w:tc>
          <w:tcPr>
            <w:tcW w:w="165" w:type="dxa"/>
            <w:tcBorders/>
            <w:shd w:fill="CCEEFF" w:val="clear"/>
            <w:vAlign w:val="bottom"/>
          </w:tcPr>
          <w:p>
            <w:pPr>
              <w:pStyle w:val="TableContents"/>
              <w:spacing w:before="0" w:after="283"/>
              <w:rPr>
                <w:b/>
              </w:rPr>
            </w:pPr>
            <w:r>
              <w:rPr>
                <w:b/>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67" w:type="dxa"/>
            <w:tcBorders/>
            <w:shd w:fill="CCEEFF" w:val="clear"/>
            <w:vAlign w:val="bottom"/>
          </w:tcPr>
          <w:p>
            <w:pPr>
              <w:pStyle w:val="TableContents"/>
              <w:spacing w:before="0" w:after="283"/>
              <w:jc w:val="right"/>
              <w:rPr>
                <w:b/>
              </w:rPr>
            </w:pPr>
            <w:r>
              <w:rPr>
                <w:b/>
              </w:rPr>
              <w:t>  </w:t>
            </w:r>
          </w:p>
        </w:tc>
        <w:tc>
          <w:tcPr>
            <w:tcW w:w="15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15" w:type="dxa"/>
            <w:tcBorders/>
            <w:shd w:fill="CCEEFF" w:val="clear"/>
            <w:vAlign w:val="bottom"/>
          </w:tcPr>
          <w:p>
            <w:pPr>
              <w:pStyle w:val="TableContents"/>
              <w:spacing w:before="0" w:after="283"/>
              <w:jc w:val="right"/>
              <w:rPr>
                <w:b/>
              </w:rPr>
            </w:pPr>
            <w:r>
              <w:rPr>
                <w:b/>
              </w:rPr>
              <w:t>0.03</w:t>
            </w:r>
          </w:p>
        </w:tc>
        <w:tc>
          <w:tcPr>
            <w:tcW w:w="15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b/>
              </w:rPr>
            </w:pPr>
            <w:r>
              <w:rPr>
                <w:b/>
              </w:rPr>
              <w:t>$</w:t>
            </w:r>
          </w:p>
        </w:tc>
        <w:tc>
          <w:tcPr>
            <w:tcW w:w="1116" w:type="dxa"/>
            <w:tcBorders/>
            <w:shd w:fill="CCEEFF" w:val="clear"/>
            <w:vAlign w:val="bottom"/>
          </w:tcPr>
          <w:p>
            <w:pPr>
              <w:pStyle w:val="TableContents"/>
              <w:spacing w:before="0" w:after="283"/>
              <w:jc w:val="right"/>
              <w:rPr>
                <w:b/>
              </w:rPr>
            </w:pPr>
            <w:r>
              <w:rPr>
                <w:b/>
              </w:rPr>
              <w:t>(0.02</w:t>
            </w:r>
          </w:p>
        </w:tc>
        <w:tc>
          <w:tcPr>
            <w:tcW w:w="160" w:type="dxa"/>
            <w:tcBorders/>
            <w:shd w:fill="CCEEFF" w:val="clear"/>
            <w:vAlign w:val="bottom"/>
          </w:tcPr>
          <w:p>
            <w:pPr>
              <w:pStyle w:val="TableContents"/>
              <w:spacing w:before="0" w:after="283"/>
              <w:rPr>
                <w:b/>
              </w:rPr>
            </w:pPr>
            <w:r>
              <w:rPr>
                <w:b/>
              </w:rPr>
              <w:t>) </w:t>
            </w:r>
          </w:p>
        </w:tc>
      </w:tr>
      <w:tr>
        <w:trPr/>
        <w:tc>
          <w:tcPr>
            <w:tcW w:w="400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6" w:type="dxa"/>
            <w:tcBorders/>
            <w:shd w:fill="auto" w:val="clear"/>
            <w:vAlign w:val="bottom"/>
          </w:tcPr>
          <w:p>
            <w:pPr>
              <w:pStyle w:val="TableContents"/>
              <w:pBdr>
                <w:top w:val="double" w:sz="6" w:space="1" w:color="000000"/>
              </w:pBdr>
              <w:spacing w:before="0" w:after="0"/>
              <w:rPr/>
            </w:pPr>
            <w:r>
              <w:rPr/>
              <w:t> </w:t>
            </w:r>
          </w:p>
        </w:tc>
        <w:tc>
          <w:tcPr>
            <w:tcW w:w="16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6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5" w:type="dxa"/>
            <w:tcBorders/>
            <w:shd w:fill="auto" w:val="clear"/>
            <w:vAlign w:val="bottom"/>
          </w:tcPr>
          <w:p>
            <w:pPr>
              <w:pStyle w:val="TableContents"/>
              <w:pBdr>
                <w:top w:val="double" w:sz="6" w:space="1" w:color="000000"/>
              </w:pBdr>
              <w:spacing w:before="0" w:after="0"/>
              <w:rPr/>
            </w:pPr>
            <w:r>
              <w:rPr/>
              <w:t> </w:t>
            </w:r>
          </w:p>
        </w:tc>
        <w:tc>
          <w:tcPr>
            <w:tcW w:w="156" w:type="dxa"/>
            <w:tcBorders/>
            <w:shd w:fill="auto" w:val="clear"/>
            <w:vAlign w:val="cente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11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8" w:name="fin309194_16"/>
      <w:bookmarkEnd w:id="58"/>
      <w:r>
        <w:rPr>
          <w:rFonts w:ascii="Times New Roman" w:hAnsi="Times New Roman"/>
          <w:b/>
          <w:sz w:val="20"/>
        </w:rPr>
        <w:t xml:space="preserve">CONDENSED STATEMENTS OF CHANGES IN STOCKHOLDERS DEFICIT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120" w:after="0"/>
        <w:jc w:val="center"/>
        <w:rPr>
          <w:rFonts w:ascii="Times New Roman" w:hAnsi="Times New Roman"/>
          <w:b/>
          <w:sz w:val="20"/>
        </w:rPr>
      </w:pPr>
      <w:r>
        <w:rPr>
          <w:rFonts w:ascii="Times New Roman" w:hAnsi="Times New Roman"/>
          <w:b/>
          <w:sz w:val="20"/>
        </w:rPr>
        <w:t xml:space="preserve">FOR THE THREE AND SIX MONTHS ENDED MARCH 31,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65"/>
        <w:gridCol w:w="177"/>
        <w:gridCol w:w="60"/>
        <w:gridCol w:w="1011"/>
        <w:gridCol w:w="60"/>
        <w:gridCol w:w="177"/>
        <w:gridCol w:w="231"/>
        <w:gridCol w:w="640"/>
        <w:gridCol w:w="60"/>
        <w:gridCol w:w="177"/>
        <w:gridCol w:w="140"/>
        <w:gridCol w:w="1112"/>
        <w:gridCol w:w="154"/>
        <w:gridCol w:w="126"/>
        <w:gridCol w:w="160"/>
        <w:gridCol w:w="1280"/>
        <w:gridCol w:w="155"/>
        <w:gridCol w:w="126"/>
        <w:gridCol w:w="168"/>
        <w:gridCol w:w="1297"/>
        <w:gridCol w:w="163"/>
      </w:tblGrid>
      <w:tr>
        <w:trPr/>
        <w:tc>
          <w:tcPr>
            <w:tcW w:w="306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17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spacing w:before="0" w:after="283"/>
              <w:jc w:val="center"/>
              <w:rPr>
                <w:b/>
              </w:rPr>
            </w:pPr>
            <w:r>
              <w:rPr>
                <w:b/>
              </w:rPr>
              <w:t>Additional</w:t>
              <w:br/>
              <w:t>Paid-in</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40" w:type="dxa"/>
            <w:gridSpan w:val="2"/>
            <w:tcBorders/>
            <w:shd w:fill="auto" w:val="clear"/>
            <w:vAlign w:val="bottom"/>
          </w:tcPr>
          <w:p>
            <w:pPr>
              <w:pStyle w:val="TableContents"/>
              <w:spacing w:before="0" w:after="283"/>
              <w:jc w:val="center"/>
              <w:rPr>
                <w:b/>
              </w:rPr>
            </w:pPr>
            <w:r>
              <w:rPr>
                <w:b/>
              </w:rPr>
              <w:t>Accumulated</w:t>
            </w:r>
          </w:p>
        </w:tc>
        <w:tc>
          <w:tcPr>
            <w:tcW w:w="1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65" w:type="dxa"/>
            <w:gridSpan w:val="2"/>
            <w:tcBorders/>
            <w:shd w:fill="auto" w:val="clear"/>
            <w:vAlign w:val="bottom"/>
          </w:tcPr>
          <w:p>
            <w:pPr>
              <w:pStyle w:val="TableContents"/>
              <w:spacing w:before="0" w:after="283"/>
              <w:jc w:val="center"/>
              <w:rPr>
                <w:b/>
              </w:rPr>
            </w:pPr>
            <w:r>
              <w:rPr>
                <w:b/>
              </w:rPr>
              <w:t>Total</w:t>
              <w:br/>
              <w:t>Stockholders</w:t>
            </w:r>
          </w:p>
        </w:tc>
        <w:tc>
          <w:tcPr>
            <w:tcW w:w="163" w:type="dxa"/>
            <w:tcBorders/>
            <w:shd w:fill="auto"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0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8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Capital</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Deficit</w:t>
            </w:r>
          </w:p>
        </w:tc>
        <w:tc>
          <w:tcPr>
            <w:tcW w:w="1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Deficit</w:t>
            </w:r>
          </w:p>
        </w:tc>
        <w:tc>
          <w:tcPr>
            <w:tcW w:w="163" w:type="dxa"/>
            <w:tcBorders/>
            <w:shd w:fill="auto" w:val="clear"/>
            <w:vAlign w:val="bottom"/>
          </w:tcPr>
          <w:p>
            <w:pPr>
              <w:pStyle w:val="TableContents"/>
              <w:spacing w:before="0" w:after="283"/>
              <w:rPr/>
            </w:pPr>
            <w:r>
              <w:rPr/>
              <w:t> </w:t>
            </w:r>
          </w:p>
        </w:tc>
      </w:tr>
      <w:tr>
        <w:trPr/>
        <w:tc>
          <w:tcPr>
            <w:tcW w:w="3065"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September 30, 2022</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b/>
              </w:rPr>
            </w:pPr>
            <w:r>
              <w:rPr>
                <w:b/>
              </w:rPr>
              <w:t>5,709,500</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b/>
              </w:rPr>
            </w:pPr>
            <w:r>
              <w:rPr>
                <w:b/>
              </w:rPr>
              <w:t>$</w:t>
            </w:r>
          </w:p>
        </w:tc>
        <w:tc>
          <w:tcPr>
            <w:tcW w:w="640" w:type="dxa"/>
            <w:tcBorders/>
            <w:shd w:fill="CCEEFF" w:val="clear"/>
            <w:vAlign w:val="bottom"/>
          </w:tcPr>
          <w:p>
            <w:pPr>
              <w:pStyle w:val="TableContents"/>
              <w:spacing w:before="0" w:after="283"/>
              <w:jc w:val="right"/>
              <w:rPr>
                <w:b/>
              </w:rPr>
            </w:pPr>
            <w:r>
              <w:rPr>
                <w:b/>
              </w:rPr>
              <w:t>570</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12" w:type="dxa"/>
            <w:tcBorders/>
            <w:shd w:fill="CCEEFF" w:val="clear"/>
            <w:vAlign w:val="bottom"/>
          </w:tcPr>
          <w:p>
            <w:pPr>
              <w:pStyle w:val="TableContents"/>
              <w:spacing w:before="0" w:after="283"/>
              <w:jc w:val="right"/>
              <w:rPr>
                <w:b/>
              </w:rPr>
            </w:pPr>
            <w:r>
              <w:rPr>
                <w:b/>
              </w:rPr>
              <w:t>941,796</w:t>
            </w:r>
          </w:p>
        </w:tc>
        <w:tc>
          <w:tcPr>
            <w:tcW w:w="1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1280" w:type="dxa"/>
            <w:tcBorders/>
            <w:shd w:fill="CCEEFF" w:val="clear"/>
            <w:vAlign w:val="bottom"/>
          </w:tcPr>
          <w:p>
            <w:pPr>
              <w:pStyle w:val="TableContents"/>
              <w:spacing w:before="0" w:after="283"/>
              <w:jc w:val="right"/>
              <w:rPr>
                <w:b/>
              </w:rPr>
            </w:pPr>
            <w:r>
              <w:rPr>
                <w:b/>
              </w:rPr>
              <w:t>(4,091,693</w:t>
            </w:r>
          </w:p>
        </w:tc>
        <w:tc>
          <w:tcPr>
            <w:tcW w:w="155" w:type="dxa"/>
            <w:tcBorders/>
            <w:shd w:fill="CCEEFF" w:val="clear"/>
            <w:vAlign w:val="bottom"/>
          </w:tcPr>
          <w:p>
            <w:pPr>
              <w:pStyle w:val="TableContents"/>
              <w:spacing w:before="0" w:after="283"/>
              <w:rPr>
                <w:b/>
              </w:rPr>
            </w:pPr>
            <w:r>
              <w:rPr>
                <w:b/>
              </w:rPr>
              <w:t>) </w:t>
            </w:r>
          </w:p>
        </w:tc>
        <w:tc>
          <w:tcPr>
            <w:tcW w:w="12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b/>
              </w:rPr>
            </w:pPr>
            <w:r>
              <w:rPr>
                <w:b/>
              </w:rPr>
              <w:t>$</w:t>
            </w:r>
          </w:p>
        </w:tc>
        <w:tc>
          <w:tcPr>
            <w:tcW w:w="1297" w:type="dxa"/>
            <w:tcBorders/>
            <w:shd w:fill="CCEEFF" w:val="clear"/>
            <w:vAlign w:val="bottom"/>
          </w:tcPr>
          <w:p>
            <w:pPr>
              <w:pStyle w:val="TableContents"/>
              <w:spacing w:before="0" w:after="283"/>
              <w:jc w:val="right"/>
              <w:rPr>
                <w:b/>
              </w:rPr>
            </w:pPr>
            <w:r>
              <w:rPr>
                <w:b/>
              </w:rPr>
              <w:t>(3,149,327</w:t>
            </w:r>
          </w:p>
        </w:tc>
        <w:tc>
          <w:tcPr>
            <w:tcW w:w="163" w:type="dxa"/>
            <w:tcBorders/>
            <w:shd w:fill="CCEEFF" w:val="clear"/>
            <w:vAlign w:val="bottom"/>
          </w:tcPr>
          <w:p>
            <w:pPr>
              <w:pStyle w:val="TableContents"/>
              <w:spacing w:before="0" w:after="283"/>
              <w:rPr>
                <w:b/>
              </w:rPr>
            </w:pPr>
            <w:r>
              <w:rPr>
                <w:b/>
              </w:rPr>
              <w:t>) </w:t>
            </w:r>
          </w:p>
        </w:tc>
      </w:tr>
      <w:tr>
        <w:trPr/>
        <w:tc>
          <w:tcPr>
            <w:tcW w:w="3065"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27,963</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27,963</w:t>
            </w:r>
          </w:p>
        </w:tc>
        <w:tc>
          <w:tcPr>
            <w:tcW w:w="163" w:type="dxa"/>
            <w:tcBorders/>
            <w:shd w:fill="auto" w:val="clear"/>
            <w:vAlign w:val="bottom"/>
          </w:tcPr>
          <w:p>
            <w:pPr>
              <w:pStyle w:val="TableContents"/>
              <w:spacing w:before="0" w:after="283"/>
              <w:rPr/>
            </w:pPr>
            <w:r>
              <w:rPr/>
              <w:t> </w:t>
            </w:r>
          </w:p>
        </w:tc>
      </w:tr>
      <w:tr>
        <w:trPr/>
        <w:tc>
          <w:tcPr>
            <w:tcW w:w="3065" w:type="dxa"/>
            <w:tcBorders/>
            <w:shd w:fill="CCEEFF"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(2,479,343</w:t>
            </w:r>
          </w:p>
        </w:tc>
        <w:tc>
          <w:tcPr>
            <w:tcW w:w="1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(2,479,343</w:t>
            </w:r>
          </w:p>
        </w:tc>
        <w:tc>
          <w:tcPr>
            <w:tcW w:w="163" w:type="dxa"/>
            <w:tcBorders/>
            <w:shd w:fill="CCEEFF" w:val="clear"/>
            <w:vAlign w:val="bottom"/>
          </w:tcPr>
          <w:p>
            <w:pPr>
              <w:pStyle w:val="TableContents"/>
              <w:spacing w:before="0" w:after="283"/>
              <w:rPr/>
            </w:pPr>
            <w:r>
              <w:rPr/>
              <w:t>) </w:t>
            </w:r>
          </w:p>
        </w:tc>
      </w:tr>
      <w:tr>
        <w:trPr/>
        <w:tc>
          <w:tcPr>
            <w:tcW w:w="3065" w:type="dxa"/>
            <w:tcBorders/>
            <w:shd w:fill="auto" w:val="clear"/>
          </w:tcPr>
          <w:p>
            <w:pPr>
              <w:pStyle w:val="TableContents"/>
              <w:spacing w:before="0" w:after="0"/>
              <w:rPr>
                <w:rFonts w:ascii="Times New Roman" w:hAnsi="Times New Roman"/>
                <w:sz w:val="20"/>
              </w:rPr>
            </w:pPr>
            <w:r>
              <w:rPr>
                <w:rFonts w:ascii="Times New Roman" w:hAnsi="Times New Roman"/>
                <w:sz w:val="20"/>
              </w:rPr>
              <w:t>Net income</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607,027</w:t>
            </w:r>
          </w:p>
        </w:tc>
        <w:tc>
          <w:tcPr>
            <w:tcW w:w="1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607,027</w:t>
            </w:r>
          </w:p>
        </w:tc>
        <w:tc>
          <w:tcPr>
            <w:tcW w:w="163" w:type="dxa"/>
            <w:tcBorders/>
            <w:shd w:fill="auto"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64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12"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065"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31, 2022</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b/>
              </w:rPr>
            </w:pPr>
            <w:r>
              <w:rPr>
                <w:b/>
              </w:rPr>
              <w:t>5,709,500</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b/>
              </w:rPr>
            </w:pPr>
            <w:r>
              <w:rPr>
                <w:b/>
              </w:rPr>
              <w:t>$</w:t>
            </w:r>
          </w:p>
        </w:tc>
        <w:tc>
          <w:tcPr>
            <w:tcW w:w="640" w:type="dxa"/>
            <w:tcBorders/>
            <w:shd w:fill="CCEEFF" w:val="clear"/>
            <w:vAlign w:val="bottom"/>
          </w:tcPr>
          <w:p>
            <w:pPr>
              <w:pStyle w:val="TableContents"/>
              <w:spacing w:before="0" w:after="283"/>
              <w:jc w:val="right"/>
              <w:rPr>
                <w:b/>
              </w:rPr>
            </w:pPr>
            <w:r>
              <w:rPr>
                <w:b/>
              </w:rPr>
              <w:t>570</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112" w:type="dxa"/>
            <w:tcBorders/>
            <w:shd w:fill="CCEEFF" w:val="clear"/>
            <w:vAlign w:val="bottom"/>
          </w:tcPr>
          <w:p>
            <w:pPr>
              <w:pStyle w:val="TableContents"/>
              <w:spacing w:before="0" w:after="283"/>
              <w:jc w:val="right"/>
              <w:rPr>
                <w:b/>
              </w:rPr>
            </w:pPr>
            <w:r>
              <w:rPr>
                <w:b/>
              </w:rPr>
              <w:t>969,759</w:t>
            </w:r>
          </w:p>
        </w:tc>
        <w:tc>
          <w:tcPr>
            <w:tcW w:w="1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1280" w:type="dxa"/>
            <w:tcBorders/>
            <w:shd w:fill="CCEEFF" w:val="clear"/>
            <w:vAlign w:val="bottom"/>
          </w:tcPr>
          <w:p>
            <w:pPr>
              <w:pStyle w:val="TableContents"/>
              <w:spacing w:before="0" w:after="283"/>
              <w:jc w:val="right"/>
              <w:rPr>
                <w:b/>
              </w:rPr>
            </w:pPr>
            <w:r>
              <w:rPr>
                <w:b/>
              </w:rPr>
              <w:t>(5,964,009</w:t>
            </w:r>
          </w:p>
        </w:tc>
        <w:tc>
          <w:tcPr>
            <w:tcW w:w="155" w:type="dxa"/>
            <w:tcBorders/>
            <w:shd w:fill="CCEEFF" w:val="clear"/>
            <w:vAlign w:val="bottom"/>
          </w:tcPr>
          <w:p>
            <w:pPr>
              <w:pStyle w:val="TableContents"/>
              <w:spacing w:before="0" w:after="283"/>
              <w:rPr>
                <w:b/>
              </w:rPr>
            </w:pPr>
            <w:r>
              <w:rPr>
                <w:b/>
              </w:rPr>
              <w:t>) </w:t>
            </w:r>
          </w:p>
        </w:tc>
        <w:tc>
          <w:tcPr>
            <w:tcW w:w="12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b/>
              </w:rPr>
            </w:pPr>
            <w:r>
              <w:rPr>
                <w:b/>
              </w:rPr>
              <w:t>$</w:t>
            </w:r>
          </w:p>
        </w:tc>
        <w:tc>
          <w:tcPr>
            <w:tcW w:w="1297" w:type="dxa"/>
            <w:tcBorders/>
            <w:shd w:fill="CCEEFF" w:val="clear"/>
            <w:vAlign w:val="bottom"/>
          </w:tcPr>
          <w:p>
            <w:pPr>
              <w:pStyle w:val="TableContents"/>
              <w:spacing w:before="0" w:after="283"/>
              <w:jc w:val="right"/>
              <w:rPr>
                <w:b/>
              </w:rPr>
            </w:pPr>
            <w:r>
              <w:rPr>
                <w:b/>
              </w:rPr>
              <w:t>(4,993,680</w:t>
            </w:r>
          </w:p>
        </w:tc>
        <w:tc>
          <w:tcPr>
            <w:tcW w:w="163" w:type="dxa"/>
            <w:tcBorders/>
            <w:shd w:fill="CCEEFF" w:val="clear"/>
            <w:vAlign w:val="bottom"/>
          </w:tcPr>
          <w:p>
            <w:pPr>
              <w:pStyle w:val="TableContents"/>
              <w:spacing w:before="0" w:after="283"/>
              <w:rPr>
                <w:b/>
              </w:rPr>
            </w:pPr>
            <w:r>
              <w:rPr>
                <w:b/>
              </w:rPr>
              <w:t>) </w:t>
            </w:r>
          </w:p>
        </w:tc>
      </w:tr>
      <w:tr>
        <w:trPr/>
        <w:tc>
          <w:tcPr>
            <w:tcW w:w="3065"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27,963</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27,963</w:t>
            </w:r>
          </w:p>
        </w:tc>
        <w:tc>
          <w:tcPr>
            <w:tcW w:w="163" w:type="dxa"/>
            <w:tcBorders/>
            <w:shd w:fill="auto" w:val="clear"/>
            <w:vAlign w:val="bottom"/>
          </w:tcPr>
          <w:p>
            <w:pPr>
              <w:pStyle w:val="TableContents"/>
              <w:spacing w:before="0" w:after="283"/>
              <w:rPr/>
            </w:pPr>
            <w:r>
              <w:rPr/>
              <w:t> </w:t>
            </w:r>
          </w:p>
        </w:tc>
      </w:tr>
      <w:tr>
        <w:trPr/>
        <w:tc>
          <w:tcPr>
            <w:tcW w:w="3065" w:type="dxa"/>
            <w:tcBorders/>
            <w:shd w:fill="CCEEFF" w:val="clear"/>
          </w:tcPr>
          <w:p>
            <w:pPr>
              <w:pStyle w:val="TableContents"/>
              <w:spacing w:before="0" w:after="0"/>
              <w:rPr>
                <w:rFonts w:ascii="Times New Roman" w:hAnsi="Times New Roman"/>
                <w:sz w:val="20"/>
              </w:rPr>
            </w:pPr>
            <w:r>
              <w:rPr>
                <w:rFonts w:ascii="Times New Roman" w:hAnsi="Times New Roman"/>
                <w:sz w:val="20"/>
              </w:rPr>
              <w:t>Capital contribution made by Sponsor related to the shareholder non-redemption agreements</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0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sz w:val="4"/>
                <w:szCs w:val="4"/>
              </w:rPr>
            </w:pPr>
            <w:r>
              <w:rPr>
                <w:sz w:val="4"/>
                <w:szCs w:val="4"/>
              </w:rPr>
            </w:r>
          </w:p>
        </w:tc>
        <w:tc>
          <w:tcPr>
            <w:tcW w:w="64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1,102,909</w:t>
            </w:r>
          </w:p>
        </w:tc>
        <w:tc>
          <w:tcPr>
            <w:tcW w:w="1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12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sz w:val="4"/>
                <w:szCs w:val="4"/>
              </w:rPr>
            </w:pPr>
            <w:r>
              <w:rPr>
                <w:sz w:val="4"/>
                <w:szCs w:val="4"/>
              </w:rPr>
            </w:r>
          </w:p>
        </w:tc>
        <w:tc>
          <w:tcPr>
            <w:tcW w:w="1297"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3065" w:type="dxa"/>
            <w:tcBorders/>
            <w:shd w:fill="auto" w:val="clear"/>
          </w:tcPr>
          <w:p>
            <w:pPr>
              <w:pStyle w:val="TableContents"/>
              <w:spacing w:before="0" w:after="0"/>
              <w:rPr>
                <w:rFonts w:ascii="Times New Roman" w:hAnsi="Times New Roman"/>
                <w:sz w:val="20"/>
              </w:rPr>
            </w:pPr>
            <w:r>
              <w:rPr>
                <w:rFonts w:ascii="Times New Roman" w:hAnsi="Times New Roman"/>
                <w:sz w:val="20"/>
              </w:rPr>
              <w:t>Cost of raising capital related to the shareholder non-redemption agreements</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sz w:val="4"/>
                <w:szCs w:val="4"/>
              </w:rPr>
            </w:pPr>
            <w:r>
              <w:rPr>
                <w:sz w:val="4"/>
                <w:szCs w:val="4"/>
              </w:rPr>
            </w:r>
          </w:p>
        </w:tc>
        <w:tc>
          <w:tcPr>
            <w:tcW w:w="6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(1,102,909</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sz w:val="4"/>
                <w:szCs w:val="4"/>
              </w:rPr>
            </w:pPr>
            <w:r>
              <w:rPr>
                <w:sz w:val="4"/>
                <w:szCs w:val="4"/>
              </w:rPr>
            </w:r>
          </w:p>
        </w:tc>
        <w:tc>
          <w:tcPr>
            <w:tcW w:w="12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sz w:val="4"/>
                <w:szCs w:val="4"/>
              </w:rPr>
            </w:pPr>
            <w:r>
              <w:rPr>
                <w:sz w:val="4"/>
                <w:szCs w:val="4"/>
              </w:rPr>
            </w:r>
          </w:p>
        </w:tc>
        <w:tc>
          <w:tcPr>
            <w:tcW w:w="1297"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3065" w:type="dxa"/>
            <w:tcBorders/>
            <w:shd w:fill="CCEEFF"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(669,074</w:t>
            </w:r>
          </w:p>
        </w:tc>
        <w:tc>
          <w:tcPr>
            <w:tcW w:w="1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(669,074</w:t>
            </w:r>
          </w:p>
        </w:tc>
        <w:tc>
          <w:tcPr>
            <w:tcW w:w="163" w:type="dxa"/>
            <w:tcBorders/>
            <w:shd w:fill="CCEEFF" w:val="clear"/>
            <w:vAlign w:val="bottom"/>
          </w:tcPr>
          <w:p>
            <w:pPr>
              <w:pStyle w:val="TableContents"/>
              <w:spacing w:before="0" w:after="283"/>
              <w:rPr/>
            </w:pPr>
            <w:r>
              <w:rPr/>
              <w:t>) </w:t>
            </w:r>
          </w:p>
        </w:tc>
      </w:tr>
      <w:tr>
        <w:trPr/>
        <w:tc>
          <w:tcPr>
            <w:tcW w:w="3065" w:type="dxa"/>
            <w:tcBorders/>
            <w:shd w:fill="auto" w:val="clear"/>
          </w:tcPr>
          <w:p>
            <w:pPr>
              <w:pStyle w:val="TableContents"/>
              <w:spacing w:before="0" w:after="0"/>
              <w:rPr>
                <w:rFonts w:ascii="Times New Roman" w:hAnsi="Times New Roman"/>
                <w:sz w:val="20"/>
              </w:rPr>
            </w:pPr>
            <w:r>
              <w:rPr>
                <w:rFonts w:ascii="Times New Roman" w:hAnsi="Times New Roman"/>
                <w:sz w:val="20"/>
              </w:rPr>
              <w:t>Excise tax payable on redemption</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12" w:type="dxa"/>
            <w:tcBorders/>
            <w:shd w:fill="auto" w:val="clear"/>
            <w:vAlign w:val="bottom"/>
          </w:tcPr>
          <w:p>
            <w:pPr>
              <w:pStyle w:val="TableContents"/>
              <w:spacing w:before="0" w:after="283"/>
              <w:jc w:val="right"/>
              <w:rPr/>
            </w:pPr>
            <w:r>
              <w:rPr/>
              <w:t>(997,722</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80" w:type="dxa"/>
            <w:tcBorders/>
            <w:shd w:fill="auto" w:val="clear"/>
            <w:vAlign w:val="bottom"/>
          </w:tcPr>
          <w:p>
            <w:pPr>
              <w:pStyle w:val="TableContents"/>
              <w:spacing w:before="0" w:after="283"/>
              <w:jc w:val="right"/>
              <w:rPr/>
            </w:pPr>
            <w:r>
              <w:rPr/>
              <w:t>(173,077</w:t>
            </w:r>
          </w:p>
        </w:tc>
        <w:tc>
          <w:tcPr>
            <w:tcW w:w="15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(1,170,799</w:t>
            </w:r>
          </w:p>
        </w:tc>
        <w:tc>
          <w:tcPr>
            <w:tcW w:w="163" w:type="dxa"/>
            <w:tcBorders/>
            <w:shd w:fill="auto" w:val="clear"/>
            <w:vAlign w:val="bottom"/>
          </w:tcPr>
          <w:p>
            <w:pPr>
              <w:pStyle w:val="TableContents"/>
              <w:spacing w:before="0" w:after="283"/>
              <w:rPr/>
            </w:pPr>
            <w:r>
              <w:rPr/>
              <w:t>) </w:t>
            </w:r>
          </w:p>
        </w:tc>
      </w:tr>
      <w:tr>
        <w:trPr/>
        <w:tc>
          <w:tcPr>
            <w:tcW w:w="3065"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4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12" w:type="dxa"/>
            <w:tcBorders/>
            <w:shd w:fill="CCEEFF" w:val="clear"/>
            <w:vAlign w:val="bottom"/>
          </w:tcPr>
          <w:p>
            <w:pPr>
              <w:pStyle w:val="TableContents"/>
              <w:spacing w:before="0" w:after="283"/>
              <w:jc w:val="right"/>
              <w:rPr/>
            </w:pPr>
            <w:r>
              <w:rPr/>
              <w:t xml:space="preserve">   </w:t>
            </w:r>
          </w:p>
        </w:tc>
        <w:tc>
          <w:tcPr>
            <w:tcW w:w="15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80" w:type="dxa"/>
            <w:tcBorders/>
            <w:shd w:fill="CCEEFF" w:val="clear"/>
            <w:vAlign w:val="bottom"/>
          </w:tcPr>
          <w:p>
            <w:pPr>
              <w:pStyle w:val="TableContents"/>
              <w:spacing w:before="0" w:after="283"/>
              <w:jc w:val="right"/>
              <w:rPr/>
            </w:pPr>
            <w:r>
              <w:rPr/>
              <w:t>(27,143</w:t>
            </w:r>
          </w:p>
        </w:tc>
        <w:tc>
          <w:tcPr>
            <w:tcW w:w="15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(27,143</w:t>
            </w:r>
          </w:p>
        </w:tc>
        <w:tc>
          <w:tcPr>
            <w:tcW w:w="163" w:type="dxa"/>
            <w:tcBorders/>
            <w:shd w:fill="CCEEFF"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1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single" w:sz="2" w:space="1" w:color="000000"/>
              </w:pBdr>
              <w:spacing w:before="0" w:after="0"/>
              <w:rPr/>
            </w:pPr>
            <w:r>
              <w:rPr/>
              <w:t> </w:t>
            </w:r>
          </w:p>
        </w:tc>
        <w:tc>
          <w:tcPr>
            <w:tcW w:w="64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112"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3065"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March 31, 2023</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b/>
              </w:rPr>
            </w:pPr>
            <w:r>
              <w:rPr>
                <w:b/>
              </w:rPr>
              <w:t>5,709,500</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b/>
              </w:rPr>
            </w:pPr>
            <w:r>
              <w:rPr>
                <w:b/>
              </w:rPr>
              <w:t>$</w:t>
            </w:r>
          </w:p>
        </w:tc>
        <w:tc>
          <w:tcPr>
            <w:tcW w:w="640" w:type="dxa"/>
            <w:tcBorders/>
            <w:shd w:fill="auto" w:val="clear"/>
            <w:vAlign w:val="bottom"/>
          </w:tcPr>
          <w:p>
            <w:pPr>
              <w:pStyle w:val="TableContents"/>
              <w:spacing w:before="0" w:after="283"/>
              <w:jc w:val="right"/>
              <w:rPr>
                <w:b/>
              </w:rPr>
            </w:pPr>
            <w:r>
              <w:rPr>
                <w:b/>
              </w:rPr>
              <w:t>570</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112" w:type="dxa"/>
            <w:tcBorders/>
            <w:shd w:fill="auto" w:val="clear"/>
            <w:vAlign w:val="bottom"/>
          </w:tcPr>
          <w:p>
            <w:pPr>
              <w:pStyle w:val="TableContents"/>
              <w:spacing w:before="0" w:after="283"/>
              <w:jc w:val="right"/>
              <w:rPr>
                <w:b/>
              </w:rPr>
            </w:pPr>
            <w:r>
              <w:rPr>
                <w:b/>
              </w:rPr>
              <w:t>  </w:t>
            </w:r>
          </w:p>
        </w:tc>
        <w:tc>
          <w:tcPr>
            <w:tcW w:w="15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b/>
              </w:rPr>
            </w:pPr>
            <w:r>
              <w:rPr>
                <w:b/>
              </w:rPr>
              <w:t>$</w:t>
            </w:r>
          </w:p>
        </w:tc>
        <w:tc>
          <w:tcPr>
            <w:tcW w:w="1280" w:type="dxa"/>
            <w:tcBorders/>
            <w:shd w:fill="auto" w:val="clear"/>
            <w:vAlign w:val="bottom"/>
          </w:tcPr>
          <w:p>
            <w:pPr>
              <w:pStyle w:val="TableContents"/>
              <w:spacing w:before="0" w:after="283"/>
              <w:jc w:val="right"/>
              <w:rPr>
                <w:b/>
              </w:rPr>
            </w:pPr>
            <w:r>
              <w:rPr>
                <w:b/>
              </w:rPr>
              <w:t>(6,833,303</w:t>
            </w:r>
          </w:p>
        </w:tc>
        <w:tc>
          <w:tcPr>
            <w:tcW w:w="155" w:type="dxa"/>
            <w:tcBorders/>
            <w:shd w:fill="auto" w:val="clear"/>
            <w:vAlign w:val="bottom"/>
          </w:tcPr>
          <w:p>
            <w:pPr>
              <w:pStyle w:val="TableContents"/>
              <w:spacing w:before="0" w:after="283"/>
              <w:rPr>
                <w:b/>
              </w:rPr>
            </w:pPr>
            <w:r>
              <w:rPr>
                <w:b/>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b/>
              </w:rPr>
            </w:pPr>
            <w:r>
              <w:rPr>
                <w:b/>
              </w:rPr>
              <w:t>$</w:t>
            </w:r>
          </w:p>
        </w:tc>
        <w:tc>
          <w:tcPr>
            <w:tcW w:w="1297" w:type="dxa"/>
            <w:tcBorders/>
            <w:shd w:fill="auto" w:val="clear"/>
            <w:vAlign w:val="bottom"/>
          </w:tcPr>
          <w:p>
            <w:pPr>
              <w:pStyle w:val="TableContents"/>
              <w:spacing w:before="0" w:after="283"/>
              <w:jc w:val="right"/>
              <w:rPr>
                <w:b/>
              </w:rPr>
            </w:pPr>
            <w:r>
              <w:rPr>
                <w:b/>
              </w:rPr>
              <w:t>(6,832,733</w:t>
            </w:r>
          </w:p>
        </w:tc>
        <w:tc>
          <w:tcPr>
            <w:tcW w:w="163" w:type="dxa"/>
            <w:tcBorders/>
            <w:shd w:fill="auto" w:val="clear"/>
            <w:vAlign w:val="bottom"/>
          </w:tcPr>
          <w:p>
            <w:pPr>
              <w:pStyle w:val="TableContents"/>
              <w:spacing w:before="0" w:after="283"/>
              <w:rPr>
                <w:b/>
              </w:rPr>
            </w:pPr>
            <w:r>
              <w:rPr>
                <w:b/>
              </w:rPr>
              <w:t>) </w:t>
            </w:r>
          </w:p>
        </w:tc>
      </w:tr>
      <w:tr>
        <w:trPr/>
        <w:tc>
          <w:tcPr>
            <w:tcW w:w="3065"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01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pBdr>
                <w:top w:val="double" w:sz="6" w:space="1" w:color="000000"/>
              </w:pBdr>
              <w:spacing w:before="0" w:after="0"/>
              <w:rPr/>
            </w:pPr>
            <w:r>
              <w:rPr/>
              <w:t> </w:t>
            </w:r>
          </w:p>
        </w:tc>
        <w:tc>
          <w:tcPr>
            <w:tcW w:w="64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112" w:type="dxa"/>
            <w:tcBorders/>
            <w:shd w:fill="auto" w:val="clear"/>
            <w:vAlign w:val="bottom"/>
          </w:tcPr>
          <w:p>
            <w:pPr>
              <w:pStyle w:val="TableContents"/>
              <w:pBdr>
                <w:top w:val="double" w:sz="6"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0"/>
              <w:rPr/>
            </w:pPr>
            <w:r>
              <w:rPr/>
              <w:t> </w:t>
            </w:r>
          </w:p>
        </w:tc>
        <w:tc>
          <w:tcPr>
            <w:tcW w:w="12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pBdr>
                <w:top w:val="double" w:sz="6" w:space="1" w:color="000000"/>
              </w:pBdr>
              <w:spacing w:before="0" w:after="0"/>
              <w:rPr/>
            </w:pPr>
            <w:r>
              <w:rPr/>
              <w:t> </w:t>
            </w:r>
          </w:p>
        </w:tc>
        <w:tc>
          <w:tcPr>
            <w:tcW w:w="1297"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FOR THE THREE AND SIX MONTHS ENDED MARCH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31"/>
        <w:gridCol w:w="177"/>
        <w:gridCol w:w="60"/>
        <w:gridCol w:w="1086"/>
        <w:gridCol w:w="155"/>
        <w:gridCol w:w="129"/>
        <w:gridCol w:w="202"/>
        <w:gridCol w:w="688"/>
        <w:gridCol w:w="155"/>
        <w:gridCol w:w="129"/>
        <w:gridCol w:w="140"/>
        <w:gridCol w:w="1027"/>
        <w:gridCol w:w="60"/>
        <w:gridCol w:w="177"/>
        <w:gridCol w:w="160"/>
        <w:gridCol w:w="1251"/>
        <w:gridCol w:w="154"/>
        <w:gridCol w:w="129"/>
        <w:gridCol w:w="184"/>
        <w:gridCol w:w="1383"/>
        <w:gridCol w:w="162"/>
      </w:tblGrid>
      <w:tr>
        <w:trPr/>
        <w:tc>
          <w:tcPr>
            <w:tcW w:w="293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32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jc w:val="center"/>
              <w:rPr>
                <w:b/>
              </w:rPr>
            </w:pPr>
            <w:r>
              <w:rPr>
                <w:b/>
              </w:rPr>
              <w:t>Additional</w:t>
              <w:br/>
              <w:t>Paid-in</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11" w:type="dxa"/>
            <w:gridSpan w:val="2"/>
            <w:tcBorders/>
            <w:shd w:fill="auto" w:val="clear"/>
            <w:vAlign w:val="bottom"/>
          </w:tcPr>
          <w:p>
            <w:pPr>
              <w:pStyle w:val="TableContents"/>
              <w:spacing w:before="0" w:after="283"/>
              <w:jc w:val="center"/>
              <w:rPr>
                <w:b/>
              </w:rPr>
            </w:pPr>
            <w:r>
              <w:rPr>
                <w:b/>
              </w:rPr>
              <w:t>Accumulated</w:t>
            </w:r>
          </w:p>
        </w:tc>
        <w:tc>
          <w:tcPr>
            <w:tcW w:w="1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567" w:type="dxa"/>
            <w:gridSpan w:val="2"/>
            <w:tcBorders/>
            <w:shd w:fill="auto" w:val="clear"/>
            <w:vAlign w:val="bottom"/>
          </w:tcPr>
          <w:p>
            <w:pPr>
              <w:pStyle w:val="TableContents"/>
              <w:spacing w:before="0" w:after="283"/>
              <w:jc w:val="center"/>
              <w:rPr>
                <w:b/>
              </w:rPr>
            </w:pPr>
            <w:r>
              <w:rPr>
                <w:b/>
              </w:rPr>
              <w:t>Total</w:t>
              <w:br/>
              <w:t>Stockholders</w:t>
            </w:r>
          </w:p>
        </w:tc>
        <w:tc>
          <w:tcPr>
            <w:tcW w:w="162" w:type="dxa"/>
            <w:tcBorders/>
            <w:shd w:fill="auto" w:val="clear"/>
            <w:vAlign w:val="bottom"/>
          </w:tcPr>
          <w:p>
            <w:pPr>
              <w:pStyle w:val="TableContents"/>
              <w:spacing w:before="0" w:after="283"/>
              <w:rPr/>
            </w:pPr>
            <w:r>
              <w:rPr/>
              <w:t> </w:t>
            </w:r>
          </w:p>
        </w:tc>
      </w:tr>
      <w:tr>
        <w:trPr/>
        <w:tc>
          <w:tcPr>
            <w:tcW w:w="2931"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1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1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Capital</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4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Deficit</w:t>
            </w:r>
          </w:p>
        </w:tc>
        <w:tc>
          <w:tcPr>
            <w:tcW w:w="1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5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 (Deficit)</w:t>
            </w:r>
          </w:p>
        </w:tc>
        <w:tc>
          <w:tcPr>
            <w:tcW w:w="162" w:type="dxa"/>
            <w:tcBorders/>
            <w:shd w:fill="auto" w:val="clear"/>
            <w:vAlign w:val="bottom"/>
          </w:tcPr>
          <w:p>
            <w:pPr>
              <w:pStyle w:val="TableContents"/>
              <w:spacing w:before="0" w:after="283"/>
              <w:rPr/>
            </w:pPr>
            <w:r>
              <w:rPr/>
              <w:t> </w:t>
            </w:r>
          </w:p>
        </w:tc>
      </w:tr>
      <w:tr>
        <w:trPr/>
        <w:tc>
          <w:tcPr>
            <w:tcW w:w="2931"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September 30, 2021</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b/>
              </w:rPr>
            </w:pPr>
            <w:r>
              <w:rPr>
                <w:b/>
              </w:rPr>
              <w:t>6,834,500</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b/>
              </w:rPr>
            </w:pPr>
            <w:r>
              <w:rPr>
                <w:b/>
              </w:rPr>
              <w:t>$</w:t>
            </w:r>
          </w:p>
        </w:tc>
        <w:tc>
          <w:tcPr>
            <w:tcW w:w="688" w:type="dxa"/>
            <w:tcBorders/>
            <w:shd w:fill="CCEEFF" w:val="clear"/>
            <w:vAlign w:val="bottom"/>
          </w:tcPr>
          <w:p>
            <w:pPr>
              <w:pStyle w:val="TableContents"/>
              <w:spacing w:before="0" w:after="283"/>
              <w:jc w:val="right"/>
              <w:rPr>
                <w:b/>
              </w:rPr>
            </w:pPr>
            <w:r>
              <w:rPr>
                <w:b/>
              </w:rPr>
              <w:t>683</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7" w:type="dxa"/>
            <w:tcBorders/>
            <w:shd w:fill="CCEEFF" w:val="clear"/>
            <w:vAlign w:val="bottom"/>
          </w:tcPr>
          <w:p>
            <w:pPr>
              <w:pStyle w:val="TableContents"/>
              <w:spacing w:before="0" w:after="283"/>
              <w:jc w:val="right"/>
              <w:rPr>
                <w:b/>
              </w:rPr>
            </w:pPr>
            <w:r>
              <w:rPr>
                <w:b/>
              </w:rPr>
              <w:t>1,378,693</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1251" w:type="dxa"/>
            <w:tcBorders/>
            <w:shd w:fill="CCEEFF" w:val="clear"/>
            <w:vAlign w:val="bottom"/>
          </w:tcPr>
          <w:p>
            <w:pPr>
              <w:pStyle w:val="TableContents"/>
              <w:spacing w:before="0" w:after="283"/>
              <w:jc w:val="right"/>
              <w:rPr>
                <w:b/>
              </w:rPr>
            </w:pPr>
            <w:r>
              <w:rPr>
                <w:b/>
              </w:rPr>
              <w:t>(468,899</w:t>
            </w:r>
          </w:p>
        </w:tc>
        <w:tc>
          <w:tcPr>
            <w:tcW w:w="154" w:type="dxa"/>
            <w:tcBorders/>
            <w:shd w:fill="CCEEFF" w:val="clear"/>
            <w:vAlign w:val="bottom"/>
          </w:tcPr>
          <w:p>
            <w:pPr>
              <w:pStyle w:val="TableContents"/>
              <w:spacing w:before="0" w:after="283"/>
              <w:rPr>
                <w:b/>
              </w:rPr>
            </w:pPr>
            <w:r>
              <w:rPr>
                <w:b/>
              </w:rPr>
              <w:t>) </w:t>
            </w:r>
          </w:p>
        </w:tc>
        <w:tc>
          <w:tcPr>
            <w:tcW w:w="12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b/>
              </w:rPr>
            </w:pPr>
            <w:r>
              <w:rPr>
                <w:b/>
              </w:rPr>
              <w:t>$</w:t>
            </w:r>
          </w:p>
        </w:tc>
        <w:tc>
          <w:tcPr>
            <w:tcW w:w="1383" w:type="dxa"/>
            <w:tcBorders/>
            <w:shd w:fill="CCEEFF" w:val="clear"/>
            <w:vAlign w:val="bottom"/>
          </w:tcPr>
          <w:p>
            <w:pPr>
              <w:pStyle w:val="TableContents"/>
              <w:spacing w:before="0" w:after="283"/>
              <w:jc w:val="right"/>
              <w:rPr>
                <w:b/>
              </w:rPr>
            </w:pPr>
            <w:r>
              <w:rPr>
                <w:b/>
              </w:rPr>
              <w:t>910,477</w:t>
            </w:r>
          </w:p>
        </w:tc>
        <w:tc>
          <w:tcPr>
            <w:tcW w:w="162" w:type="dxa"/>
            <w:tcBorders/>
            <w:shd w:fill="CCEEFF" w:val="clear"/>
            <w:vAlign w:val="bottom"/>
          </w:tcPr>
          <w:p>
            <w:pPr>
              <w:pStyle w:val="TableContents"/>
              <w:spacing w:before="0" w:after="283"/>
              <w:rPr/>
            </w:pPr>
            <w:r>
              <w:rPr/>
              <w:t> </w:t>
            </w:r>
          </w:p>
        </w:tc>
      </w:tr>
      <w:tr>
        <w:trPr/>
        <w:tc>
          <w:tcPr>
            <w:tcW w:w="2931" w:type="dxa"/>
            <w:tcBorders/>
            <w:shd w:fill="auto" w:val="clear"/>
          </w:tcPr>
          <w:p>
            <w:pPr>
              <w:pStyle w:val="TableContents"/>
              <w:spacing w:before="0" w:after="0"/>
              <w:rPr>
                <w:rFonts w:ascii="Times New Roman" w:hAnsi="Times New Roman"/>
                <w:sz w:val="20"/>
              </w:rPr>
            </w:pPr>
            <w:r>
              <w:rPr>
                <w:rFonts w:ascii="Times New Roman" w:hAnsi="Times New Roman"/>
                <w:sz w:val="20"/>
              </w:rPr>
              <w:t>Forfeiture of founder shares</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(1,125,000</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(113</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pPr>
            <w:r>
              <w:rPr/>
              <w:t>113</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2931"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27,963</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27,963</w:t>
            </w:r>
          </w:p>
        </w:tc>
        <w:tc>
          <w:tcPr>
            <w:tcW w:w="162" w:type="dxa"/>
            <w:tcBorders/>
            <w:shd w:fill="CCEEFF" w:val="clear"/>
            <w:vAlign w:val="bottom"/>
          </w:tcPr>
          <w:p>
            <w:pPr>
              <w:pStyle w:val="TableContents"/>
              <w:spacing w:before="0" w:after="283"/>
              <w:rPr/>
            </w:pPr>
            <w:r>
              <w:rPr/>
              <w:t> </w:t>
            </w:r>
          </w:p>
        </w:tc>
      </w:tr>
      <w:tr>
        <w:trPr/>
        <w:tc>
          <w:tcPr>
            <w:tcW w:w="2931" w:type="dxa"/>
            <w:tcBorders/>
            <w:shd w:fill="auto" w:val="clear"/>
          </w:tcPr>
          <w:p>
            <w:pPr>
              <w:pStyle w:val="TableContents"/>
              <w:spacing w:before="0" w:after="0"/>
              <w:rPr>
                <w:rFonts w:ascii="Times New Roman" w:hAnsi="Times New Roman"/>
                <w:sz w:val="20"/>
              </w:rPr>
            </w:pPr>
            <w:r>
              <w:rPr>
                <w:rFonts w:ascii="Times New Roman" w:hAnsi="Times New Roman"/>
                <w:sz w:val="20"/>
              </w:rPr>
              <w:t>Net loss</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(2,036,114</w:t>
            </w:r>
          </w:p>
        </w:tc>
        <w:tc>
          <w:tcPr>
            <w:tcW w:w="1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(2,036,114</w:t>
            </w:r>
          </w:p>
        </w:tc>
        <w:tc>
          <w:tcPr>
            <w:tcW w:w="162" w:type="dxa"/>
            <w:tcBorders/>
            <w:shd w:fill="auto" w:val="clear"/>
            <w:vAlign w:val="bottom"/>
          </w:tcPr>
          <w:p>
            <w:pPr>
              <w:pStyle w:val="TableContents"/>
              <w:spacing w:before="0" w:after="283"/>
              <w:rPr/>
            </w:pPr>
            <w:r>
              <w:rPr/>
              <w:t>) </w:t>
            </w:r>
          </w:p>
        </w:tc>
      </w:tr>
      <w:tr>
        <w:trPr/>
        <w:tc>
          <w:tcPr>
            <w:tcW w:w="2931"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2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31" w:type="dxa"/>
            <w:tcBorders/>
            <w:shd w:fill="CCEEFF" w:val="clear"/>
          </w:tcPr>
          <w:p>
            <w:pPr>
              <w:pStyle w:val="TableContents"/>
              <w:spacing w:before="0" w:after="0"/>
              <w:rPr>
                <w:rFonts w:ascii="Times New Roman" w:hAnsi="Times New Roman"/>
                <w:b/>
                <w:sz w:val="20"/>
              </w:rPr>
            </w:pPr>
            <w:r>
              <w:rPr>
                <w:rFonts w:ascii="Times New Roman" w:hAnsi="Times New Roman"/>
                <w:b/>
                <w:sz w:val="20"/>
              </w:rPr>
              <w:t>Balance as of December, 2021</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b/>
              </w:rPr>
            </w:pPr>
            <w:r>
              <w:rPr>
                <w:b/>
              </w:rPr>
              <w:t>5,709,500</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b/>
              </w:rPr>
            </w:pPr>
            <w:r>
              <w:rPr>
                <w:b/>
              </w:rPr>
              <w:t>$</w:t>
            </w:r>
          </w:p>
        </w:tc>
        <w:tc>
          <w:tcPr>
            <w:tcW w:w="688" w:type="dxa"/>
            <w:tcBorders/>
            <w:shd w:fill="CCEEFF" w:val="clear"/>
            <w:vAlign w:val="bottom"/>
          </w:tcPr>
          <w:p>
            <w:pPr>
              <w:pStyle w:val="TableContents"/>
              <w:spacing w:before="0" w:after="283"/>
              <w:jc w:val="right"/>
              <w:rPr>
                <w:b/>
              </w:rPr>
            </w:pPr>
            <w:r>
              <w:rPr>
                <w:b/>
              </w:rPr>
              <w:t>570</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27" w:type="dxa"/>
            <w:tcBorders/>
            <w:shd w:fill="CCEEFF" w:val="clear"/>
            <w:vAlign w:val="bottom"/>
          </w:tcPr>
          <w:p>
            <w:pPr>
              <w:pStyle w:val="TableContents"/>
              <w:spacing w:before="0" w:after="283"/>
              <w:jc w:val="right"/>
              <w:rPr>
                <w:b/>
              </w:rPr>
            </w:pPr>
            <w:r>
              <w:rPr>
                <w:b/>
              </w:rPr>
              <w:t>1,406,769</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1251" w:type="dxa"/>
            <w:tcBorders/>
            <w:shd w:fill="CCEEFF" w:val="clear"/>
            <w:vAlign w:val="bottom"/>
          </w:tcPr>
          <w:p>
            <w:pPr>
              <w:pStyle w:val="TableContents"/>
              <w:spacing w:before="0" w:after="283"/>
              <w:jc w:val="right"/>
              <w:rPr>
                <w:b/>
              </w:rPr>
            </w:pPr>
            <w:r>
              <w:rPr>
                <w:b/>
              </w:rPr>
              <w:t>(2,505,013</w:t>
            </w:r>
          </w:p>
        </w:tc>
        <w:tc>
          <w:tcPr>
            <w:tcW w:w="154" w:type="dxa"/>
            <w:tcBorders/>
            <w:shd w:fill="CCEEFF" w:val="clear"/>
            <w:vAlign w:val="bottom"/>
          </w:tcPr>
          <w:p>
            <w:pPr>
              <w:pStyle w:val="TableContents"/>
              <w:spacing w:before="0" w:after="283"/>
              <w:rPr>
                <w:b/>
              </w:rPr>
            </w:pPr>
            <w:r>
              <w:rPr>
                <w:b/>
              </w:rPr>
              <w:t>) </w:t>
            </w:r>
          </w:p>
        </w:tc>
        <w:tc>
          <w:tcPr>
            <w:tcW w:w="12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b/>
              </w:rPr>
            </w:pPr>
            <w:r>
              <w:rPr>
                <w:b/>
              </w:rPr>
              <w:t>$</w:t>
            </w:r>
          </w:p>
        </w:tc>
        <w:tc>
          <w:tcPr>
            <w:tcW w:w="1383" w:type="dxa"/>
            <w:tcBorders/>
            <w:shd w:fill="CCEEFF" w:val="clear"/>
            <w:vAlign w:val="bottom"/>
          </w:tcPr>
          <w:p>
            <w:pPr>
              <w:pStyle w:val="TableContents"/>
              <w:spacing w:before="0" w:after="283"/>
              <w:jc w:val="right"/>
              <w:rPr>
                <w:b/>
              </w:rPr>
            </w:pPr>
            <w:r>
              <w:rPr>
                <w:b/>
              </w:rPr>
              <w:t>(1,097,674</w:t>
            </w:r>
          </w:p>
        </w:tc>
        <w:tc>
          <w:tcPr>
            <w:tcW w:w="162" w:type="dxa"/>
            <w:tcBorders/>
            <w:shd w:fill="CCEEFF" w:val="clear"/>
            <w:vAlign w:val="bottom"/>
          </w:tcPr>
          <w:p>
            <w:pPr>
              <w:pStyle w:val="TableContents"/>
              <w:spacing w:before="0" w:after="283"/>
              <w:rPr>
                <w:b/>
              </w:rPr>
            </w:pPr>
            <w:r>
              <w:rPr>
                <w:b/>
              </w:rPr>
              <w:t>) </w:t>
            </w:r>
          </w:p>
        </w:tc>
      </w:tr>
      <w:tr>
        <w:trPr/>
        <w:tc>
          <w:tcPr>
            <w:tcW w:w="2931" w:type="dxa"/>
            <w:tcBorders/>
            <w:shd w:fill="auto"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27" w:type="dxa"/>
            <w:tcBorders/>
            <w:shd w:fill="auto" w:val="clear"/>
            <w:vAlign w:val="bottom"/>
          </w:tcPr>
          <w:p>
            <w:pPr>
              <w:pStyle w:val="TableContents"/>
              <w:spacing w:before="0" w:after="283"/>
              <w:jc w:val="right"/>
              <w:rPr/>
            </w:pPr>
            <w:r>
              <w:rPr/>
              <w:t>27,963</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27,963</w:t>
            </w:r>
          </w:p>
        </w:tc>
        <w:tc>
          <w:tcPr>
            <w:tcW w:w="162" w:type="dxa"/>
            <w:tcBorders/>
            <w:shd w:fill="auto" w:val="clear"/>
            <w:vAlign w:val="bottom"/>
          </w:tcPr>
          <w:p>
            <w:pPr>
              <w:pStyle w:val="TableContents"/>
              <w:spacing w:before="0" w:after="283"/>
              <w:rPr/>
            </w:pPr>
            <w:r>
              <w:rPr/>
              <w:t> </w:t>
            </w:r>
          </w:p>
        </w:tc>
      </w:tr>
      <w:tr>
        <w:trPr/>
        <w:tc>
          <w:tcPr>
            <w:tcW w:w="2931"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17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8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(372,386</w:t>
            </w:r>
          </w:p>
        </w:tc>
        <w:tc>
          <w:tcPr>
            <w:tcW w:w="1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(372,386</w:t>
            </w:r>
          </w:p>
        </w:tc>
        <w:tc>
          <w:tcPr>
            <w:tcW w:w="162" w:type="dxa"/>
            <w:tcBorders/>
            <w:shd w:fill="CCEEFF" w:val="clear"/>
            <w:vAlign w:val="bottom"/>
          </w:tcPr>
          <w:p>
            <w:pPr>
              <w:pStyle w:val="TableContents"/>
              <w:spacing w:before="0" w:after="283"/>
              <w:rPr/>
            </w:pPr>
            <w:r>
              <w:rPr/>
              <w:t>) </w:t>
            </w:r>
          </w:p>
        </w:tc>
      </w:tr>
      <w:tr>
        <w:trPr/>
        <w:tc>
          <w:tcPr>
            <w:tcW w:w="2931"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08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pBdr>
                <w:top w:val="single" w:sz="2" w:space="1" w:color="000000"/>
              </w:pBdr>
              <w:spacing w:before="0" w:after="0"/>
              <w:rPr/>
            </w:pPr>
            <w:r>
              <w:rPr/>
              <w:t> </w:t>
            </w:r>
          </w:p>
        </w:tc>
        <w:tc>
          <w:tcPr>
            <w:tcW w:w="68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2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931" w:type="dxa"/>
            <w:tcBorders/>
            <w:shd w:fill="auto" w:val="clear"/>
          </w:tcPr>
          <w:p>
            <w:pPr>
              <w:pStyle w:val="TableContents"/>
              <w:spacing w:before="0" w:after="0"/>
              <w:rPr>
                <w:rFonts w:ascii="Times New Roman" w:hAnsi="Times New Roman"/>
                <w:b/>
                <w:sz w:val="20"/>
              </w:rPr>
            </w:pPr>
            <w:r>
              <w:rPr>
                <w:rFonts w:ascii="Times New Roman" w:hAnsi="Times New Roman"/>
                <w:b/>
                <w:sz w:val="20"/>
              </w:rPr>
              <w:t>Balance as of March 31, 2022</w:t>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b/>
              </w:rPr>
            </w:pPr>
            <w:r>
              <w:rPr>
                <w:b/>
              </w:rPr>
              <w:t>5,709,500</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b/>
              </w:rPr>
            </w:pPr>
            <w:r>
              <w:rPr>
                <w:b/>
              </w:rPr>
              <w:t>$</w:t>
            </w:r>
          </w:p>
        </w:tc>
        <w:tc>
          <w:tcPr>
            <w:tcW w:w="688" w:type="dxa"/>
            <w:tcBorders/>
            <w:shd w:fill="auto" w:val="clear"/>
            <w:vAlign w:val="bottom"/>
          </w:tcPr>
          <w:p>
            <w:pPr>
              <w:pStyle w:val="TableContents"/>
              <w:spacing w:before="0" w:after="283"/>
              <w:jc w:val="right"/>
              <w:rPr>
                <w:b/>
              </w:rPr>
            </w:pPr>
            <w:r>
              <w:rPr>
                <w:b/>
              </w:rPr>
              <w:t>570</w:t>
            </w:r>
          </w:p>
        </w:tc>
        <w:tc>
          <w:tcPr>
            <w:tcW w:w="15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1027" w:type="dxa"/>
            <w:tcBorders/>
            <w:shd w:fill="auto" w:val="clear"/>
            <w:vAlign w:val="bottom"/>
          </w:tcPr>
          <w:p>
            <w:pPr>
              <w:pStyle w:val="TableContents"/>
              <w:spacing w:before="0" w:after="283"/>
              <w:jc w:val="right"/>
              <w:rPr>
                <w:b/>
              </w:rPr>
            </w:pPr>
            <w:r>
              <w:rPr>
                <w:b/>
              </w:rPr>
              <w:t>1,434,732</w:t>
            </w:r>
          </w:p>
        </w:tc>
        <w:tc>
          <w:tcPr>
            <w:tcW w:w="6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b/>
              </w:rPr>
            </w:pPr>
            <w:r>
              <w:rPr>
                <w:b/>
              </w:rPr>
              <w:t>$</w:t>
            </w:r>
          </w:p>
        </w:tc>
        <w:tc>
          <w:tcPr>
            <w:tcW w:w="1251" w:type="dxa"/>
            <w:tcBorders/>
            <w:shd w:fill="auto" w:val="clear"/>
            <w:vAlign w:val="bottom"/>
          </w:tcPr>
          <w:p>
            <w:pPr>
              <w:pStyle w:val="TableContents"/>
              <w:spacing w:before="0" w:after="283"/>
              <w:jc w:val="right"/>
              <w:rPr>
                <w:b/>
              </w:rPr>
            </w:pPr>
            <w:r>
              <w:rPr>
                <w:b/>
              </w:rPr>
              <w:t>(2,877,399</w:t>
            </w:r>
          </w:p>
        </w:tc>
        <w:tc>
          <w:tcPr>
            <w:tcW w:w="154" w:type="dxa"/>
            <w:tcBorders/>
            <w:shd w:fill="auto" w:val="clear"/>
            <w:vAlign w:val="bottom"/>
          </w:tcPr>
          <w:p>
            <w:pPr>
              <w:pStyle w:val="TableContents"/>
              <w:spacing w:before="0" w:after="283"/>
              <w:rPr>
                <w:b/>
              </w:rPr>
            </w:pPr>
            <w:r>
              <w:rPr>
                <w:b/>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b/>
              </w:rPr>
            </w:pPr>
            <w:r>
              <w:rPr>
                <w:b/>
              </w:rPr>
              <w:t>$</w:t>
            </w:r>
          </w:p>
        </w:tc>
        <w:tc>
          <w:tcPr>
            <w:tcW w:w="1383" w:type="dxa"/>
            <w:tcBorders/>
            <w:shd w:fill="auto" w:val="clear"/>
            <w:vAlign w:val="bottom"/>
          </w:tcPr>
          <w:p>
            <w:pPr>
              <w:pStyle w:val="TableContents"/>
              <w:spacing w:before="0" w:after="283"/>
              <w:jc w:val="right"/>
              <w:rPr>
                <w:b/>
              </w:rPr>
            </w:pPr>
            <w:r>
              <w:rPr>
                <w:b/>
              </w:rPr>
              <w:t>(1,442,097</w:t>
            </w:r>
          </w:p>
        </w:tc>
        <w:tc>
          <w:tcPr>
            <w:tcW w:w="162" w:type="dxa"/>
            <w:tcBorders/>
            <w:shd w:fill="auto" w:val="clear"/>
            <w:vAlign w:val="bottom"/>
          </w:tcPr>
          <w:p>
            <w:pPr>
              <w:pStyle w:val="TableContents"/>
              <w:spacing w:before="0" w:after="283"/>
              <w:rPr>
                <w:b/>
              </w:rPr>
            </w:pPr>
            <w:r>
              <w:rPr>
                <w:b/>
              </w:rPr>
              <w:t>) </w:t>
            </w:r>
          </w:p>
        </w:tc>
      </w:tr>
      <w:tr>
        <w:trPr/>
        <w:tc>
          <w:tcPr>
            <w:tcW w:w="2931"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08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pBdr>
                <w:top w:val="double" w:sz="6" w:space="1" w:color="000000"/>
              </w:pBdr>
              <w:spacing w:before="0" w:after="0"/>
              <w:rPr/>
            </w:pPr>
            <w:r>
              <w:rPr/>
              <w:t> </w:t>
            </w:r>
          </w:p>
        </w:tc>
        <w:tc>
          <w:tcPr>
            <w:tcW w:w="68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2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pBdr>
                <w:top w:val="double" w:sz="6" w:space="1" w:color="000000"/>
              </w:pBdr>
              <w:spacing w:before="0" w:after="0"/>
              <w:rPr/>
            </w:pPr>
            <w:r>
              <w:rPr/>
              <w:t> </w:t>
            </w:r>
          </w:p>
        </w:tc>
        <w:tc>
          <w:tcPr>
            <w:tcW w:w="1383"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59" w:name="fin309194_17"/>
      <w:bookmarkEnd w:id="59"/>
      <w:r>
        <w:rPr>
          <w:rFonts w:ascii="Times New Roman" w:hAnsi="Times New Roman"/>
          <w:b/>
          <w:sz w:val="20"/>
        </w:rPr>
        <w:t xml:space="preserve">UNAUDITED CONDENSED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92"/>
        <w:gridCol w:w="313"/>
        <w:gridCol w:w="140"/>
        <w:gridCol w:w="1366"/>
        <w:gridCol w:w="166"/>
        <w:gridCol w:w="281"/>
        <w:gridCol w:w="140"/>
        <w:gridCol w:w="1070"/>
        <w:gridCol w:w="171"/>
      </w:tblGrid>
      <w:tr>
        <w:trPr/>
        <w:tc>
          <w:tcPr>
            <w:tcW w:w="689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689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6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Six Months Ended</w:t>
              <w:br/>
              <w:t>March 31,</w:t>
            </w:r>
          </w:p>
        </w:tc>
        <w:tc>
          <w:tcPr>
            <w:tcW w:w="171" w:type="dxa"/>
            <w:tcBorders/>
            <w:shd w:fill="auto"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2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71" w:type="dxa"/>
            <w:tcBorders/>
            <w:shd w:fill="auto" w:val="clear"/>
            <w:vAlign w:val="bottom"/>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Operating Activities: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6"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7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Net income (loss)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66" w:type="dxa"/>
            <w:tcBorders/>
            <w:shd w:fill="auto" w:val="clear"/>
            <w:vAlign w:val="bottom"/>
          </w:tcPr>
          <w:p>
            <w:pPr>
              <w:pStyle w:val="TableContents"/>
              <w:spacing w:before="0" w:after="283"/>
              <w:jc w:val="right"/>
              <w:rPr/>
            </w:pPr>
            <w:r>
              <w:rPr/>
              <w:t>579,884</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70" w:type="dxa"/>
            <w:tcBorders/>
            <w:shd w:fill="auto" w:val="clear"/>
            <w:vAlign w:val="bottom"/>
          </w:tcPr>
          <w:p>
            <w:pPr>
              <w:pStyle w:val="TableContents"/>
              <w:spacing w:before="0" w:after="283"/>
              <w:jc w:val="right"/>
              <w:rPr/>
            </w:pPr>
            <w:r>
              <w:rPr/>
              <w:t>(2,408,500</w:t>
            </w:r>
          </w:p>
        </w:tc>
        <w:tc>
          <w:tcPr>
            <w:tcW w:w="171" w:type="dxa"/>
            <w:tcBorders/>
            <w:shd w:fill="auto" w:val="clear"/>
            <w:vAlign w:val="bottom"/>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Adjustments to reconcile net income (loss) to net cash used in operating activities: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6"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7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Interest earned on cash and marketable securities held in Trust Account</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pPr>
            <w:r>
              <w:rPr/>
              <w:t>(2,264,081</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(15,087</w:t>
            </w:r>
          </w:p>
        </w:tc>
        <w:tc>
          <w:tcPr>
            <w:tcW w:w="171" w:type="dxa"/>
            <w:tcBorders/>
            <w:shd w:fill="auto" w:val="clear"/>
            <w:vAlign w:val="bottom"/>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Stock-based compensation</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pPr>
            <w:r>
              <w:rPr/>
              <w:t>55,926</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55,926</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Changes in current assets and liabilities: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6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Prepaid expenses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pPr>
            <w:r>
              <w:rPr/>
              <w:t>58,206</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249,694</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Accounts payable and accrued expenses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pPr>
            <w:r>
              <w:rPr/>
              <w:t>407,667</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1,642,614</w:t>
            </w:r>
          </w:p>
        </w:tc>
        <w:tc>
          <w:tcPr>
            <w:tcW w:w="171" w:type="dxa"/>
            <w:tcBorders/>
            <w:shd w:fill="auto" w:val="clear"/>
            <w:vAlign w:val="bottom"/>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Income tax payable</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pPr>
            <w:r>
              <w:rPr/>
              <w:t>35,497</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Franchise tax payable</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pPr>
            <w:r>
              <w:rPr/>
              <w:t>(68,800</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161,363</w:t>
            </w:r>
          </w:p>
        </w:tc>
        <w:tc>
          <w:tcPr>
            <w:tcW w:w="171" w:type="dxa"/>
            <w:tcBorders/>
            <w:shd w:fill="auto"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cash used in operating activities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b/>
              </w:rPr>
            </w:pPr>
            <w:r>
              <w:rPr>
                <w:b/>
              </w:rPr>
              <w:t>(1,195,701</w:t>
            </w:r>
          </w:p>
        </w:tc>
        <w:tc>
          <w:tcPr>
            <w:tcW w:w="166" w:type="dxa"/>
            <w:tcBorders/>
            <w:shd w:fill="CCEEFF" w:val="clear"/>
            <w:vAlign w:val="bottom"/>
          </w:tcPr>
          <w:p>
            <w:pPr>
              <w:pStyle w:val="TableContents"/>
              <w:spacing w:before="0" w:after="283"/>
              <w:rPr>
                <w:b/>
              </w:rPr>
            </w:pPr>
            <w:r>
              <w:rPr>
                <w:b/>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b/>
              </w:rPr>
            </w:pPr>
            <w:r>
              <w:rPr>
                <w:b/>
              </w:rPr>
              <w:t>(313,990</w:t>
            </w:r>
          </w:p>
        </w:tc>
        <w:tc>
          <w:tcPr>
            <w:tcW w:w="171" w:type="dxa"/>
            <w:tcBorders/>
            <w:shd w:fill="CCEEFF" w:val="clear"/>
            <w:vAlign w:val="bottom"/>
          </w:tcPr>
          <w:p>
            <w:pPr>
              <w:pStyle w:val="TableContents"/>
              <w:spacing w:before="0" w:after="283"/>
              <w:rPr>
                <w:b/>
              </w:rPr>
            </w:pPr>
            <w:r>
              <w:rPr>
                <w:b/>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b/>
                <w:sz w:val="20"/>
              </w:rPr>
            </w:pPr>
            <w:r>
              <w:rPr>
                <w:rFonts w:ascii="Times New Roman" w:hAnsi="Times New Roman"/>
                <w:b/>
                <w:sz w:val="20"/>
              </w:rPr>
              <w:t>Cash Flows from Investing Activities: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6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Withdrawals from trust for redemptions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pPr>
            <w:r>
              <w:rPr/>
              <w:t>117,079,879</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Withdrawals from trust to pay for taxes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pPr>
            <w:r>
              <w:rPr/>
              <w:t>804,072</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Principal deposited in Trust Account</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pPr>
            <w:r>
              <w:rPr/>
              <w:t>(1,500,000</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b/>
                <w:sz w:val="20"/>
              </w:rPr>
            </w:pPr>
            <w:r>
              <w:rPr>
                <w:rFonts w:ascii="Times New Roman" w:hAnsi="Times New Roman"/>
                <w:b/>
                <w:sz w:val="20"/>
              </w:rPr>
              <w:t>Net cash provided by investing activities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b/>
              </w:rPr>
            </w:pPr>
            <w:r>
              <w:rPr>
                <w:b/>
              </w:rPr>
              <w:t>116,383,951</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b/>
              </w:rPr>
            </w:pPr>
            <w:r>
              <w:rPr>
                <w:b/>
              </w:rPr>
              <w:t>  </w:t>
            </w:r>
          </w:p>
        </w:tc>
        <w:tc>
          <w:tcPr>
            <w:tcW w:w="171" w:type="dxa"/>
            <w:tcBorders/>
            <w:shd w:fill="auto"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Flows from Financing Activities: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366"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7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sz w:val="4"/>
                <w:szCs w:val="4"/>
              </w:rPr>
            </w:pPr>
            <w:r>
              <w:rPr>
                <w:sz w:val="4"/>
                <w:szCs w:val="4"/>
              </w:rPr>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Proceeds from issuance of promissory note to related party</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pPr>
            <w:r>
              <w:rPr/>
              <w:t>1,950,000</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Redemptions of class A shares</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pPr>
            <w:r>
              <w:rPr/>
              <w:t>(117,079,879</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b/>
                <w:sz w:val="20"/>
              </w:rPr>
            </w:pPr>
            <w:r>
              <w:rPr>
                <w:rFonts w:ascii="Times New Roman" w:hAnsi="Times New Roman"/>
                <w:b/>
                <w:sz w:val="20"/>
              </w:rPr>
              <w:t>Net cash used in financing activities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b/>
              </w:rPr>
            </w:pPr>
            <w:r>
              <w:rPr>
                <w:b/>
              </w:rPr>
              <w:t>(115,129,879</w:t>
            </w:r>
          </w:p>
        </w:tc>
        <w:tc>
          <w:tcPr>
            <w:tcW w:w="166" w:type="dxa"/>
            <w:tcBorders/>
            <w:shd w:fill="auto" w:val="clear"/>
            <w:vAlign w:val="bottom"/>
          </w:tcPr>
          <w:p>
            <w:pPr>
              <w:pStyle w:val="TableContents"/>
              <w:spacing w:before="0" w:after="283"/>
              <w:rPr>
                <w:b/>
              </w:rPr>
            </w:pPr>
            <w:r>
              <w:rPr>
                <w:b/>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b/>
              </w:rPr>
            </w:pPr>
            <w:r>
              <w:rPr>
                <w:b/>
              </w:rPr>
              <w:t>  </w:t>
            </w:r>
          </w:p>
        </w:tc>
        <w:tc>
          <w:tcPr>
            <w:tcW w:w="171" w:type="dxa"/>
            <w:tcBorders/>
            <w:shd w:fill="auto"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change in cash</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366" w:type="dxa"/>
            <w:tcBorders/>
            <w:shd w:fill="CCEEFF" w:val="clear"/>
            <w:vAlign w:val="bottom"/>
          </w:tcPr>
          <w:p>
            <w:pPr>
              <w:pStyle w:val="TableContents"/>
              <w:spacing w:before="0" w:after="283"/>
              <w:jc w:val="right"/>
              <w:rPr>
                <w:b/>
              </w:rPr>
            </w:pPr>
            <w:r>
              <w:rPr>
                <w:b/>
              </w:rPr>
              <w:t>58,371</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b/>
              </w:rPr>
            </w:pPr>
            <w:r>
              <w:rPr>
                <w:b/>
              </w:rPr>
              <w:t>(313,990</w:t>
            </w:r>
          </w:p>
        </w:tc>
        <w:tc>
          <w:tcPr>
            <w:tcW w:w="171" w:type="dxa"/>
            <w:tcBorders/>
            <w:shd w:fill="CCEEFF" w:val="clear"/>
            <w:vAlign w:val="bottom"/>
          </w:tcPr>
          <w:p>
            <w:pPr>
              <w:pStyle w:val="TableContents"/>
              <w:spacing w:before="0" w:after="283"/>
              <w:rPr>
                <w:b/>
              </w:rPr>
            </w:pPr>
            <w:r>
              <w:rPr>
                <w:b/>
              </w:rPr>
              <w:t>) </w:t>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Cash, beginning of the period</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366" w:type="dxa"/>
            <w:tcBorders/>
            <w:shd w:fill="auto" w:val="clear"/>
            <w:vAlign w:val="bottom"/>
          </w:tcPr>
          <w:p>
            <w:pPr>
              <w:pStyle w:val="TableContents"/>
              <w:spacing w:before="0" w:after="283"/>
              <w:jc w:val="right"/>
              <w:rPr/>
            </w:pPr>
            <w:r>
              <w:rPr/>
              <w:t>177,578</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657,590</w:t>
            </w:r>
          </w:p>
        </w:tc>
        <w:tc>
          <w:tcPr>
            <w:tcW w:w="171" w:type="dxa"/>
            <w:tcBorders/>
            <w:shd w:fill="auto"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end of the period</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366" w:type="dxa"/>
            <w:tcBorders/>
            <w:shd w:fill="CCEEFF" w:val="clear"/>
            <w:vAlign w:val="bottom"/>
          </w:tcPr>
          <w:p>
            <w:pPr>
              <w:pStyle w:val="TableContents"/>
              <w:spacing w:before="0" w:after="283"/>
              <w:jc w:val="right"/>
              <w:rPr>
                <w:b/>
              </w:rPr>
            </w:pPr>
            <w:r>
              <w:rPr>
                <w:b/>
              </w:rPr>
              <w:t>235,949</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1070" w:type="dxa"/>
            <w:tcBorders/>
            <w:shd w:fill="CCEEFF" w:val="clear"/>
            <w:vAlign w:val="bottom"/>
          </w:tcPr>
          <w:p>
            <w:pPr>
              <w:pStyle w:val="TableContents"/>
              <w:spacing w:before="0" w:after="283"/>
              <w:jc w:val="right"/>
              <w:rPr>
                <w:b/>
              </w:rPr>
            </w:pPr>
            <w:r>
              <w:rPr>
                <w:b/>
              </w:rPr>
              <w:t>343,600</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b/>
                <w:sz w:val="20"/>
              </w:rPr>
            </w:pPr>
            <w:r>
              <w:rPr>
                <w:rFonts w:ascii="Times New Roman" w:hAnsi="Times New Roman"/>
                <w:b/>
                <w:sz w:val="20"/>
              </w:rPr>
              <w:t>Supplemental disclosure of non-cash financing activities: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366"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07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CCEEFF" w:val="clear"/>
          </w:tcPr>
          <w:p>
            <w:pPr>
              <w:pStyle w:val="TableContents"/>
              <w:spacing w:before="0" w:after="0"/>
              <w:rPr>
                <w:rFonts w:ascii="Times New Roman" w:hAnsi="Times New Roman"/>
                <w:sz w:val="20"/>
              </w:rPr>
            </w:pPr>
            <w:r>
              <w:rPr>
                <w:rFonts w:ascii="Times New Roman" w:hAnsi="Times New Roman"/>
                <w:sz w:val="20"/>
              </w:rPr>
              <w:t>Subsequent remeasurement of common stock subject to possible redemption</w:t>
            </w:r>
          </w:p>
        </w:tc>
        <w:tc>
          <w:tcPr>
            <w:tcW w:w="31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66" w:type="dxa"/>
            <w:tcBorders/>
            <w:shd w:fill="CCEEFF" w:val="clear"/>
            <w:vAlign w:val="bottom"/>
          </w:tcPr>
          <w:p>
            <w:pPr>
              <w:pStyle w:val="TableContents"/>
              <w:spacing w:before="0" w:after="283"/>
              <w:jc w:val="right"/>
              <w:rPr/>
            </w:pPr>
            <w:r>
              <w:rPr/>
              <w:t>3,148,417</w:t>
            </w:r>
          </w:p>
        </w:tc>
        <w:tc>
          <w:tcPr>
            <w:tcW w:w="166" w:type="dxa"/>
            <w:tcBorders/>
            <w:shd w:fill="CCEEFF" w:val="clear"/>
            <w:vAlign w:val="bottom"/>
          </w:tcPr>
          <w:p>
            <w:pPr>
              <w:pStyle w:val="TableContents"/>
              <w:spacing w:before="0" w:after="283"/>
              <w:rPr/>
            </w:pPr>
            <w:r>
              <w:rPr/>
              <w:t> </w:t>
            </w:r>
          </w:p>
        </w:tc>
        <w:tc>
          <w:tcPr>
            <w:tcW w:w="2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070" w:type="dxa"/>
            <w:tcBorders/>
            <w:shd w:fill="CCEEFF" w:val="clear"/>
            <w:vAlign w:val="bottom"/>
          </w:tcPr>
          <w:p>
            <w:pPr>
              <w:pStyle w:val="TableContents"/>
              <w:spacing w:before="0" w:after="283"/>
              <w:jc w:val="right"/>
              <w:rPr/>
            </w:pPr>
            <w:r>
              <w:rPr/>
              <w:t>  </w:t>
            </w:r>
          </w:p>
        </w:tc>
        <w:tc>
          <w:tcPr>
            <w:tcW w:w="171" w:type="dxa"/>
            <w:tcBorders/>
            <w:shd w:fill="CCEEFF"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366"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70" w:type="dxa"/>
            <w:tcBorders/>
            <w:shd w:fill="auto" w:val="clear"/>
            <w:vAlign w:val="bottom"/>
          </w:tcPr>
          <w:p>
            <w:pPr>
              <w:pStyle w:val="TableContents"/>
              <w:pBdr>
                <w:top w:val="single" w:sz="2"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r>
        <w:trPr/>
        <w:tc>
          <w:tcPr>
            <w:tcW w:w="6892" w:type="dxa"/>
            <w:tcBorders/>
            <w:shd w:fill="auto" w:val="clear"/>
          </w:tcPr>
          <w:p>
            <w:pPr>
              <w:pStyle w:val="TableContents"/>
              <w:spacing w:before="0" w:after="0"/>
              <w:rPr>
                <w:rFonts w:ascii="Times New Roman" w:hAnsi="Times New Roman"/>
                <w:sz w:val="20"/>
              </w:rPr>
            </w:pPr>
            <w:r>
              <w:rPr>
                <w:rFonts w:ascii="Times New Roman" w:hAnsi="Times New Roman"/>
                <w:sz w:val="20"/>
              </w:rPr>
              <w:t>Excise tax payable on redemptions</w:t>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66" w:type="dxa"/>
            <w:tcBorders/>
            <w:shd w:fill="auto" w:val="clear"/>
            <w:vAlign w:val="bottom"/>
          </w:tcPr>
          <w:p>
            <w:pPr>
              <w:pStyle w:val="TableContents"/>
              <w:spacing w:before="0" w:after="283"/>
              <w:jc w:val="right"/>
              <w:rPr/>
            </w:pPr>
            <w:r>
              <w:rPr/>
              <w:t>1,170,799</w:t>
            </w:r>
          </w:p>
        </w:tc>
        <w:tc>
          <w:tcPr>
            <w:tcW w:w="166" w:type="dxa"/>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70" w:type="dxa"/>
            <w:tcBorders/>
            <w:shd w:fill="auto" w:val="clear"/>
            <w:vAlign w:val="bottom"/>
          </w:tcPr>
          <w:p>
            <w:pPr>
              <w:pStyle w:val="TableContents"/>
              <w:spacing w:before="0" w:after="283"/>
              <w:jc w:val="right"/>
              <w:rPr/>
            </w:pPr>
            <w:r>
              <w:rPr/>
              <w:t>  </w:t>
            </w:r>
          </w:p>
        </w:tc>
        <w:tc>
          <w:tcPr>
            <w:tcW w:w="171" w:type="dxa"/>
            <w:tcBorders/>
            <w:shd w:fill="auto" w:val="clear"/>
            <w:vAlign w:val="bottom"/>
          </w:tcPr>
          <w:p>
            <w:pPr>
              <w:pStyle w:val="TableContents"/>
              <w:spacing w:before="0" w:after="283"/>
              <w:rPr/>
            </w:pPr>
            <w:r>
              <w:rPr/>
              <w:t> </w:t>
            </w:r>
          </w:p>
        </w:tc>
      </w:tr>
      <w:tr>
        <w:trPr/>
        <w:tc>
          <w:tcPr>
            <w:tcW w:w="6892"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366" w:type="dxa"/>
            <w:tcBorders/>
            <w:shd w:fill="auto" w:val="clear"/>
            <w:vAlign w:val="bottom"/>
          </w:tcPr>
          <w:p>
            <w:pPr>
              <w:pStyle w:val="TableContents"/>
              <w:pBdr>
                <w:top w:val="double" w:sz="6" w:space="1" w:color="000000"/>
              </w:pBdr>
              <w:spacing w:before="0" w:after="0"/>
              <w:rPr/>
            </w:pPr>
            <w:r>
              <w:rPr/>
              <w:t> </w:t>
            </w:r>
          </w:p>
        </w:tc>
        <w:tc>
          <w:tcPr>
            <w:tcW w:w="166" w:type="dxa"/>
            <w:tcBorders/>
            <w:shd w:fill="auto" w:val="clear"/>
            <w:vAlign w:val="center"/>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070" w:type="dxa"/>
            <w:tcBorders/>
            <w:shd w:fill="auto" w:val="clear"/>
            <w:vAlign w:val="bottom"/>
          </w:tcPr>
          <w:p>
            <w:pPr>
              <w:pStyle w:val="TableContents"/>
              <w:pBdr>
                <w:top w:val="double" w:sz="6" w:space="1" w:color="000000"/>
              </w:pBdr>
              <w:spacing w:before="0" w:after="0"/>
              <w:rPr/>
            </w:pPr>
            <w:r>
              <w:rPr/>
              <w:t> </w:t>
            </w:r>
          </w:p>
        </w:tc>
        <w:tc>
          <w:tcPr>
            <w:tcW w:w="171"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i/>
          <w:sz w:val="20"/>
        </w:rPr>
      </w:pPr>
      <w:r>
        <w:rPr>
          <w:rFonts w:ascii="Times New Roman" w:hAnsi="Times New Roman"/>
          <w:i/>
          <w:sz w:val="20"/>
        </w:rPr>
        <w:t xml:space="preserve">The accompanying notes are an integral part of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ARMADA ACQUISITION CORP. I </w:t>
      </w:r>
    </w:p>
    <w:p>
      <w:pPr>
        <w:pStyle w:val="TextBody"/>
        <w:spacing w:before="0" w:after="0"/>
        <w:jc w:val="center"/>
        <w:rPr>
          <w:rFonts w:ascii="Times New Roman" w:hAnsi="Times New Roman"/>
          <w:b/>
          <w:sz w:val="20"/>
        </w:rPr>
      </w:pPr>
      <w:bookmarkStart w:id="60" w:name="fin309194_18"/>
      <w:bookmarkEnd w:id="60"/>
      <w:r>
        <w:rPr>
          <w:rFonts w:ascii="Times New Roman" w:hAnsi="Times New Roman"/>
          <w:b/>
          <w:sz w:val="20"/>
        </w:rPr>
        <w:t xml:space="preserve">NOTES TO UNAUDITED CONDENSED FINANCIAL STATEMENTS </w:t>
      </w:r>
    </w:p>
    <w:p>
      <w:pPr>
        <w:pStyle w:val="TextBody"/>
        <w:spacing w:before="0" w:after="0"/>
        <w:jc w:val="center"/>
        <w:rPr>
          <w:rFonts w:ascii="Times New Roman" w:hAnsi="Times New Roman"/>
          <w:b/>
          <w:sz w:val="20"/>
        </w:rPr>
      </w:pPr>
      <w:r>
        <w:rPr>
          <w:rFonts w:ascii="Times New Roman" w:hAnsi="Times New Roman"/>
          <w:b/>
          <w:sz w:val="20"/>
        </w:rPr>
        <w:t xml:space="preserve">MARCH 31, 2023 </w:t>
      </w:r>
    </w:p>
    <w:p>
      <w:pPr>
        <w:pStyle w:val="TextBody"/>
        <w:spacing w:before="240" w:after="0"/>
        <w:jc w:val="left"/>
        <w:rPr>
          <w:rFonts w:ascii="Times New Roman" w:hAnsi="Times New Roman"/>
          <w:b/>
          <w:sz w:val="20"/>
        </w:rPr>
      </w:pPr>
      <w:r>
        <w:rPr>
          <w:rFonts w:ascii="Times New Roman" w:hAnsi="Times New Roman"/>
          <w:b/>
          <w:sz w:val="20"/>
        </w:rPr>
        <w:t xml:space="preserve">Note 1  Organization, Business Operations and Going Concern </w:t>
      </w:r>
    </w:p>
    <w:p>
      <w:pPr>
        <w:pStyle w:val="TextBody"/>
        <w:spacing w:before="120" w:after="0"/>
        <w:jc w:val="left"/>
        <w:rPr>
          <w:rFonts w:ascii="Times New Roman" w:hAnsi="Times New Roman"/>
          <w:sz w:val="20"/>
        </w:rPr>
      </w:pPr>
      <w:r>
        <w:rPr>
          <w:rFonts w:ascii="Times New Roman" w:hAnsi="Times New Roman"/>
          <w:sz w:val="20"/>
        </w:rPr>
        <w:t xml:space="preserve">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 </w:t>
      </w:r>
    </w:p>
    <w:p>
      <w:pPr>
        <w:pStyle w:val="TextBody"/>
        <w:spacing w:before="240" w:after="0"/>
        <w:jc w:val="left"/>
        <w:rPr>
          <w:rFonts w:ascii="Times New Roman" w:hAnsi="Times New Roman"/>
          <w:sz w:val="20"/>
        </w:rPr>
      </w:pPr>
      <w:r>
        <w:rPr>
          <w:rFonts w:ascii="Times New Roman" w:hAnsi="Times New Roman"/>
          <w:sz w:val="20"/>
        </w:rPr>
        <w:t xml:space="preserve">As of March 31, 2023, the Company had not commenced any operations. All activity for the period from November 5, 2020 (inception) through March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w:t>
      </w:r>
    </w:p>
    <w:p>
      <w:pPr>
        <w:pStyle w:val="TextBody"/>
        <w:spacing w:before="240" w:after="0"/>
        <w:jc w:val="left"/>
        <w:rPr>
          <w:rFonts w:ascii="Times New Roman" w:hAnsi="Times New Roman"/>
          <w:sz w:val="20"/>
        </w:rPr>
      </w:pPr>
      <w:r>
        <w:rPr>
          <w:rFonts w:ascii="Times New Roman" w:hAnsi="Times New Roman"/>
          <w:sz w:val="20"/>
        </w:rPr>
        <w:t xml:space="preserve">The Companys sponsor is Armada Sponsor LLC (the Sponsor). </w:t>
      </w:r>
    </w:p>
    <w:p>
      <w:pPr>
        <w:pStyle w:val="TextBody"/>
        <w:spacing w:before="240" w:after="0"/>
        <w:jc w:val="left"/>
        <w:rPr>
          <w:rFonts w:ascii="Times New Roman" w:hAnsi="Times New Roman"/>
          <w:sz w:val="20"/>
        </w:rPr>
      </w:pPr>
      <w:r>
        <w:rPr>
          <w:rFonts w:ascii="Times New Roman" w:hAnsi="Times New Roman"/>
          <w:sz w:val="20"/>
        </w:rPr>
        <w:t xml:space="preserve">The registration statement for the Companys IPO was declared effective on August 12, 2021 (the Effective Date). On August 17, 2021, the Company commenced the IPO of 15,000,000 units at $10.00 per unit (the Units). </w:t>
      </w:r>
    </w:p>
    <w:p>
      <w:pPr>
        <w:pStyle w:val="TextBody"/>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459,500 shares of common stock (Private Shares), at a price of $10.00 per share for an aggregate purchase price of $4,595,000. </w:t>
      </w:r>
    </w:p>
    <w:p>
      <w:pPr>
        <w:pStyle w:val="TextBody"/>
        <w:spacing w:before="240" w:after="0"/>
        <w:jc w:val="left"/>
        <w:rPr>
          <w:rFonts w:ascii="Times New Roman" w:hAnsi="Times New Roman"/>
          <w:sz w:val="20"/>
        </w:rPr>
      </w:pPr>
      <w:r>
        <w:rPr>
          <w:rFonts w:ascii="Times New Roman" w:hAnsi="Times New Roman"/>
          <w:sz w:val="20"/>
        </w:rPr>
        <w:t xml:space="preserve">Transaction costs amounted to $3,537,515 consisting of $1,500,000 of underwriting commissions, and $2,037,515 of other offering costs. </w:t>
      </w:r>
    </w:p>
    <w:p>
      <w:pPr>
        <w:pStyle w:val="TextBody"/>
        <w:spacing w:before="240" w:after="0"/>
        <w:jc w:val="left"/>
        <w:rPr>
          <w:rFonts w:ascii="Times New Roman" w:hAnsi="Times New Roman"/>
          <w:sz w:val="20"/>
        </w:rPr>
      </w:pPr>
      <w:r>
        <w:rPr>
          <w:rFonts w:ascii="Times New Roman" w:hAnsi="Times New Roman"/>
          <w:sz w:val="20"/>
        </w:rPr>
        <w:t xml:space="preserve">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$804,072 and $182,069 as of March 31, 2023 and September 30, 2022, respectively, to the Company to pay its income and franchise tax obligations. </w:t>
      </w:r>
    </w:p>
    <w:p>
      <w:pPr>
        <w:pStyle w:val="TextBody"/>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sale of Private Shares, although substantially all of the net proceeds are intended to be applied generally toward consummating a Business Combination.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Company must complete one or more initial Business Combinations having an aggregate fair market value of at least 80% of the value of the assets held in the trust account (as defined below)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 </w:t>
      </w:r>
    </w:p>
    <w:p>
      <w:pPr>
        <w:pStyle w:val="TextBody"/>
        <w:spacing w:before="240" w:after="0"/>
        <w:jc w:val="left"/>
        <w:rPr>
          <w:rFonts w:ascii="Times New Roman" w:hAnsi="Times New Roman"/>
          <w:sz w:val="20"/>
        </w:rPr>
      </w:pPr>
      <w:r>
        <w:rPr>
          <w:rFonts w:ascii="Times New Roman" w:hAnsi="Times New Roman"/>
          <w:sz w:val="20"/>
        </w:rPr>
        <w:t xml:space="preserve">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 </w:t>
      </w:r>
    </w:p>
    <w:p>
      <w:pPr>
        <w:pStyle w:val="TextBody"/>
        <w:spacing w:before="240" w:after="0"/>
        <w:jc w:val="left"/>
        <w:rPr>
          <w:rFonts w:ascii="Times New Roman" w:hAnsi="Times New Roman"/>
          <w:sz w:val="20"/>
        </w:rPr>
      </w:pPr>
      <w:r>
        <w:rPr>
          <w:rFonts w:ascii="Times New Roman" w:hAnsi="Times New Roman"/>
          <w:sz w:val="20"/>
        </w:rPr>
        <w:t xml:space="preserve">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 </w:t>
      </w:r>
    </w:p>
    <w:p>
      <w:pPr>
        <w:pStyle w:val="TextBody"/>
        <w:spacing w:before="240" w:after="0"/>
        <w:jc w:val="left"/>
        <w:rPr>
          <w:rFonts w:ascii="Times New Roman" w:hAnsi="Times New Roman"/>
          <w:sz w:val="20"/>
        </w:rPr>
      </w:pPr>
      <w:r>
        <w:rPr>
          <w:rFonts w:ascii="Times New Roman" w:hAnsi="Times New Roman"/>
          <w:sz w:val="20"/>
        </w:rPr>
        <w:t xml:space="preserve">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 </w:t>
      </w:r>
    </w:p>
    <w:p>
      <w:pPr>
        <w:pStyle w:val="TextBody"/>
        <w:spacing w:before="240" w:after="0"/>
        <w:jc w:val="left"/>
        <w:rPr>
          <w:rFonts w:ascii="Times New Roman" w:hAnsi="Times New Roman"/>
          <w:sz w:val="20"/>
        </w:rPr>
      </w:pPr>
      <w:r>
        <w:rPr>
          <w:rFonts w:ascii="Times New Roman" w:hAnsi="Times New Roman"/>
          <w:sz w:val="20"/>
        </w:rPr>
        <w:t xml:space="preserve">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 </w:t>
      </w:r>
    </w:p>
    <w:p>
      <w:pPr>
        <w:pStyle w:val="TextBody"/>
        <w:spacing w:before="240" w:after="0"/>
        <w:jc w:val="left"/>
        <w:rPr>
          <w:rFonts w:ascii="Times New Roman" w:hAnsi="Times New Roman"/>
          <w:sz w:val="20"/>
        </w:rPr>
      </w:pPr>
      <w:r>
        <w:rPr>
          <w:rFonts w:ascii="Times New Roman" w:hAnsi="Times New Roman"/>
          <w:sz w:val="20"/>
        </w:rPr>
        <w:t>On December 17, 2021, the Company entered into a business combination agreement with Rezolve Limited, a private limited company incorporated under the laws of England and Wales (</w:t>
      </w:r>
      <w:r>
        <w:rPr>
          <w:rFonts w:ascii="Times New Roman" w:hAnsi="Times New Roman"/>
          <w:sz w:val="20"/>
          <w:u w:val="single"/>
        </w:rPr>
        <w:t>Rezolve</w:t>
      </w:r>
      <w:r>
        <w:rPr>
          <w:rFonts w:ascii="Times New Roman" w:hAnsi="Times New Roman"/>
          <w:sz w:val="20"/>
        </w:rPr>
        <w:t>), Rezolve Group Limited, a Cayman Islands exempted company (</w:t>
      </w:r>
      <w:r>
        <w:rPr>
          <w:rFonts w:ascii="Times New Roman" w:hAnsi="Times New Roman"/>
          <w:sz w:val="20"/>
          <w:u w:val="single"/>
        </w:rPr>
        <w:t>Cayman NewCo</w:t>
      </w:r>
      <w:r>
        <w:rPr>
          <w:rFonts w:ascii="Times New Roman" w:hAnsi="Times New Roman"/>
          <w:sz w:val="20"/>
        </w:rPr>
        <w:t>), and Rezolve Merger Sub, Inc., (</w:t>
      </w:r>
      <w:r>
        <w:rPr>
          <w:rFonts w:ascii="Times New Roman" w:hAnsi="Times New Roman"/>
          <w:sz w:val="20"/>
          <w:u w:val="single"/>
        </w:rPr>
        <w:t>Rezolve Merger Sub</w:t>
      </w:r>
      <w:r>
        <w:rPr>
          <w:rFonts w:ascii="Times New Roman" w:hAnsi="Times New Roman"/>
          <w:sz w:val="20"/>
        </w:rPr>
        <w:t>) (such business combination agreement, the </w:t>
      </w:r>
      <w:r>
        <w:rPr>
          <w:rFonts w:ascii="Times New Roman" w:hAnsi="Times New Roman"/>
          <w:sz w:val="20"/>
          <w:u w:val="single"/>
        </w:rPr>
        <w:t>Business Combination Agreement</w:t>
      </w:r>
      <w:r>
        <w:rPr>
          <w:rFonts w:ascii="Times New Roman" w:hAnsi="Times New Roman"/>
          <w:sz w:val="20"/>
        </w:rPr>
        <w:t>, and such business combination, the </w:t>
      </w:r>
      <w:r>
        <w:rPr>
          <w:rFonts w:ascii="Times New Roman" w:hAnsi="Times New Roman"/>
          <w:sz w:val="20"/>
          <w:u w:val="single"/>
        </w:rPr>
        <w:t>Business Combination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Times New Roman" w:hAnsi="Times New Roman"/>
          <w:sz w:val="20"/>
          <w:u w:val="single"/>
        </w:rPr>
        <w:t>Subscription Agreements</w:t>
      </w:r>
      <w:r>
        <w:rPr>
          <w:rFonts w:ascii="Times New Roman" w:hAnsi="Times New Roman"/>
          <w:sz w:val="20"/>
        </w:rPr>
        <w:t xml:space="preserve">). The obligations of each party under the subscription agreements are conditioned upon customary closing conditions and the consummation of the Business Combination. </w:t>
      </w:r>
    </w:p>
    <w:p>
      <w:pPr>
        <w:pStyle w:val="TextBody"/>
        <w:spacing w:before="240" w:after="0"/>
        <w:jc w:val="left"/>
        <w:rPr>
          <w:rFonts w:ascii="Times New Roman" w:hAnsi="Times New Roman"/>
          <w:sz w:val="20"/>
        </w:rPr>
      </w:pPr>
      <w:r>
        <w:rPr>
          <w:rFonts w:ascii="Times New Roman" w:hAnsi="Times New Roman"/>
          <w:sz w:val="20"/>
        </w:rPr>
        <w:t>Concurrently with the execution and delivery of the Business Combination Agreement, Armada and the Key Company Shareholders (as defined in the Business Combination Agreement) have entered into the Transaction Support Agreement (the </w:t>
      </w:r>
      <w:r>
        <w:rPr>
          <w:rFonts w:ascii="Times New Roman" w:hAnsi="Times New Roman"/>
          <w:sz w:val="20"/>
          <w:u w:val="single"/>
        </w:rPr>
        <w:t>Transaction Support Agreement</w:t>
      </w:r>
      <w:r>
        <w:rPr>
          <w:rFonts w:ascii="Times New Roman" w:hAnsi="Times New Roman"/>
          <w:sz w:val="20"/>
        </w:rPr>
        <w:t xml:space="preserve">),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 </w:t>
      </w:r>
    </w:p>
    <w:p>
      <w:pPr>
        <w:pStyle w:val="TextBody"/>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spacing w:before="240" w:after="0"/>
        <w:jc w:val="left"/>
        <w:rPr>
          <w:rFonts w:ascii="Times New Roman" w:hAnsi="Times New Roman"/>
          <w:sz w:val="20"/>
        </w:rPr>
      </w:pPr>
      <w:r>
        <w:rPr>
          <w:rFonts w:ascii="Times New Roman" w:hAnsi="Times New Roman"/>
          <w:sz w:val="20"/>
        </w:rPr>
        <w:t>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$10.19. As a result, $ 117,079,879 was removed from the Companys Trust Account to pay such holders.</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 </w:t>
      </w:r>
    </w:p>
    <w:p>
      <w:pPr>
        <w:pStyle w:val="TextBody"/>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among other things, the realization of assets and satisfaction of liabilities in the normal course of business. </w:t>
      </w:r>
    </w:p>
    <w:p>
      <w:pPr>
        <w:pStyle w:val="TextBody"/>
        <w:spacing w:before="240" w:after="0"/>
        <w:jc w:val="left"/>
        <w:rPr>
          <w:rFonts w:ascii="Times New Roman" w:hAnsi="Times New Roman"/>
          <w:sz w:val="20"/>
        </w:rPr>
      </w:pPr>
      <w:r>
        <w:rPr>
          <w:rFonts w:ascii="Times New Roman" w:hAnsi="Times New Roman"/>
          <w:sz w:val="20"/>
        </w:rPr>
        <w:t xml:space="preserve">As of March 31, 2023, the Company had approximately $0.2 million in its operating account and working capital deficiency of approximately $6.9 million (excluding income tax payable and franchise tax payable). </w:t>
      </w:r>
    </w:p>
    <w:p>
      <w:pPr>
        <w:pStyle w:val="TextBody"/>
        <w:spacing w:before="240" w:after="0"/>
        <w:jc w:val="left"/>
        <w:rPr>
          <w:rFonts w:ascii="Times New Roman" w:hAnsi="Times New Roman"/>
          <w:sz w:val="20"/>
        </w:rPr>
      </w:pPr>
      <w:r>
        <w:rPr>
          <w:rFonts w:ascii="Times New Roman" w:hAnsi="Times New Roman"/>
          <w:sz w:val="20"/>
        </w:rPr>
        <w:t xml:space="preserve">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 </w:t>
      </w:r>
    </w:p>
    <w:p>
      <w:pPr>
        <w:pStyle w:val="TextBody"/>
        <w:spacing w:before="24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On November 10, 2022 the Sponsor loaned the Company $1,500,000 in order to cover the additional contribution to the trust account in connection with the automatic extension and $450,000 to fund its working capital needs (see Note 3). These loans are evidenced by four promissory notes in the aggregate principal amount of $2,433,034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March 31, 2023 and September 30, 2022, respectively. </w:t>
      </w:r>
    </w:p>
    <w:p>
      <w:pPr>
        <w:pStyle w:val="TextBody"/>
        <w:spacing w:before="240" w:after="0"/>
        <w:jc w:val="left"/>
        <w:rPr>
          <w:rFonts w:ascii="Times New Roman" w:hAnsi="Times New Roman"/>
          <w:sz w:val="20"/>
        </w:rPr>
      </w:pPr>
      <w:r>
        <w:rPr>
          <w:rFonts w:ascii="Times New Roman" w:hAnsi="Times New Roman"/>
          <w:sz w:val="20"/>
        </w:rPr>
        <w:t xml:space="preserve">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March 31, 2023, there were no amounts outstanding under any Working Capital Loans. The Company has incurred and expects to continue to incur significant costs in pursuit of its acquisition plans. </w:t>
      </w:r>
    </w:p>
    <w:p>
      <w:pPr>
        <w:pStyle w:val="TextBody"/>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liquidity condition and date for mandatory liquidation and dissolution raise substantial doubt about the Companys ability to continue as a going concern through August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 </w:t>
      </w:r>
    </w:p>
    <w:p>
      <w:pPr>
        <w:pStyle w:val="TextBody"/>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spacing w:before="120" w:after="0"/>
        <w:jc w:val="left"/>
        <w:rPr>
          <w:rFonts w:ascii="Times New Roman" w:hAnsi="Times New Roman"/>
          <w:sz w:val="20"/>
        </w:rPr>
      </w:pPr>
      <w:r>
        <w:rPr>
          <w:rFonts w:ascii="Times New Roman" w:hAnsi="Times New Roman"/>
          <w:sz w:val="20"/>
        </w:rPr>
        <w:t xml:space="preserve">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unaudited condensed financial statements. The unaudited condensed financial statements do not include any adjustments that might result from the outcome of this uncertainty. </w:t>
      </w:r>
    </w:p>
    <w:p>
      <w:pPr>
        <w:pStyle w:val="TextBody"/>
        <w:spacing w:before="24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spacing w:before="240" w:after="0"/>
        <w:jc w:val="left"/>
        <w:rPr>
          <w:rFonts w:ascii="Times New Roman" w:hAnsi="Times New Roman"/>
          <w:sz w:val="20"/>
        </w:rPr>
      </w:pPr>
      <w:r>
        <w:rPr>
          <w:rFonts w:ascii="Times New Roman" w:hAnsi="Times New Roman"/>
          <w:sz w:val="20"/>
        </w:rPr>
        <w:t xml:space="preserve">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w:t>
      </w:r>
    </w:p>
    <w:p>
      <w:pPr>
        <w:pStyle w:val="TextBody"/>
        <w:spacing w:before="240" w:after="0"/>
        <w:jc w:val="left"/>
        <w:rPr>
          <w:rFonts w:ascii="Times New Roman" w:hAnsi="Times New Roman"/>
          <w:sz w:val="20"/>
        </w:rPr>
      </w:pPr>
      <w:r>
        <w:rPr>
          <w:rFonts w:ascii="Times New Roman" w:hAnsi="Times New Roman"/>
          <w:sz w:val="20"/>
        </w:rPr>
        <w:t xml:space="preserve">As discussed above, during February 2023, holders of 11,491,148 shares of Common Stock elected to redeem their shares in connection with the Extension. As a result, $117,079,879 was removed from the Companys Trust Account to pay such holders. Management has evaluated the requirements of the IR Act and the Companys operations, and has determined that a liability of $1,170,799 is required to be recorded as of March 31, 2023. This liability will be reevaluated and remeasured at the end of such subsequent period until it is settled. </w:t>
      </w:r>
    </w:p>
    <w:p>
      <w:pPr>
        <w:pStyle w:val="TextBody"/>
        <w:spacing w:before="360" w:after="0"/>
        <w:jc w:val="left"/>
        <w:rPr>
          <w:rFonts w:ascii="Times New Roman" w:hAnsi="Times New Roman"/>
          <w:b/>
          <w:sz w:val="20"/>
        </w:rPr>
      </w:pPr>
      <w:r>
        <w:rPr>
          <w:rFonts w:ascii="Times New Roman" w:hAnsi="Times New Roman"/>
          <w:b/>
          <w:sz w:val="20"/>
        </w:rPr>
        <w:t xml:space="preserve">Note 2  Significant Accounting Policies </w:t>
      </w:r>
    </w:p>
    <w:p>
      <w:pPr>
        <w:pStyle w:val="TextBody"/>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spacing w:before="120" w:after="0"/>
        <w:jc w:val="left"/>
        <w:rPr>
          <w:rFonts w:ascii="Times New Roman" w:hAnsi="Times New Roman"/>
          <w:sz w:val="20"/>
        </w:rPr>
      </w:pPr>
      <w:r>
        <w:rPr>
          <w:rFonts w:ascii="Times New Roman" w:hAnsi="Times New Roman"/>
          <w:sz w:val="20"/>
        </w:rPr>
        <w:t xml:space="preserve">The accompanying unaudited condensed financial statements are presented in U.S. dollars in conformity with accounting principles generally accepted in the United States of America (GAAP) and pursuant to the rules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2023, are not necessarily indicative of the results that may be expected through December 31, 2023. </w:t>
      </w:r>
    </w:p>
    <w:p>
      <w:pPr>
        <w:pStyle w:val="TextBody"/>
        <w:spacing w:before="240" w:after="0"/>
        <w:jc w:val="left"/>
        <w:rPr>
          <w:rFonts w:ascii="Times New Roman" w:hAnsi="Times New Roman"/>
          <w:sz w:val="20"/>
        </w:rPr>
      </w:pPr>
      <w:r>
        <w:rPr>
          <w:rFonts w:ascii="Times New Roman" w:hAnsi="Times New Roman"/>
          <w:sz w:val="20"/>
        </w:rPr>
        <w:t xml:space="preserve">The accompanying unaudited condensed financial statements should be read in conjunction with the Companys Annual Report on Form10-K, as filed with SEC on December 22, 2022. </w:t>
      </w:r>
    </w:p>
    <w:p>
      <w:pPr>
        <w:pStyle w:val="TextBody"/>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t>
      </w:r>
    </w:p>
    <w:p>
      <w:pPr>
        <w:pStyle w:val="TextBody"/>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The Company had $235,949 and $177,578 in cash as of March 31, 2023 and September 30, 2022, respectively. </w:t>
      </w:r>
    </w:p>
    <w:p>
      <w:pPr>
        <w:pStyle w:val="TextBody"/>
        <w:spacing w:before="360" w:after="0"/>
        <w:jc w:val="left"/>
        <w:rPr>
          <w:rFonts w:ascii="Times New Roman" w:hAnsi="Times New Roman"/>
          <w:b/>
          <w:i/>
          <w:sz w:val="20"/>
        </w:rPr>
      </w:pPr>
      <w:r>
        <w:rPr>
          <w:rFonts w:ascii="Times New Roman" w:hAnsi="Times New Roman"/>
          <w:b/>
          <w:i/>
          <w:sz w:val="20"/>
        </w:rPr>
        <w:t xml:space="preserve">Investment Held in Trust Account </w:t>
      </w:r>
    </w:p>
    <w:p>
      <w:pPr>
        <w:pStyle w:val="TextBody"/>
        <w:spacing w:before="120" w:after="0"/>
        <w:jc w:val="left"/>
        <w:rPr>
          <w:rFonts w:ascii="Times New Roman" w:hAnsi="Times New Roman"/>
          <w:sz w:val="20"/>
        </w:rPr>
      </w:pPr>
      <w:r>
        <w:rPr>
          <w:rFonts w:ascii="Times New Roman" w:hAnsi="Times New Roman"/>
          <w:sz w:val="20"/>
        </w:rPr>
        <w:t xml:space="preserve">As of March 31, 2023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trust interest income on Investments Held in Trust Account in the accompanying condensed statement of operations. </w:t>
      </w:r>
    </w:p>
    <w:p>
      <w:pPr>
        <w:pStyle w:val="TextBody"/>
        <w:spacing w:before="240" w:after="0"/>
        <w:jc w:val="left"/>
        <w:rPr>
          <w:rFonts w:ascii="Times New Roman" w:hAnsi="Times New Roman"/>
          <w:sz w:val="20"/>
        </w:rPr>
      </w:pPr>
      <w:r>
        <w:rPr>
          <w:rFonts w:ascii="Times New Roman" w:hAnsi="Times New Roman"/>
          <w:sz w:val="20"/>
        </w:rPr>
        <w:t xml:space="preserve">As September 30, 2022, the assets held in the Trust Account were held in U.S. Treasury Bills with a maturity of 185 days or less and in money market funds which invest in U.S. Treasury securities. </w:t>
      </w:r>
    </w:p>
    <w:p>
      <w:pPr>
        <w:pStyle w:val="TextBody"/>
        <w:spacing w:before="240" w:after="0"/>
        <w:jc w:val="left"/>
        <w:rPr>
          <w:rFonts w:ascii="Times New Roman" w:hAnsi="Times New Roman"/>
          <w:sz w:val="20"/>
        </w:rPr>
      </w:pPr>
      <w:r>
        <w:rPr>
          <w:rFonts w:ascii="Times New Roman" w:hAnsi="Times New Roman"/>
          <w:sz w:val="20"/>
        </w:rPr>
        <w:t xml:space="preserve">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 </w:t>
      </w:r>
    </w:p>
    <w:p>
      <w:pPr>
        <w:pStyle w:val="TextBody"/>
        <w:spacing w:before="240" w:after="0"/>
        <w:jc w:val="left"/>
        <w:rPr>
          <w:rFonts w:ascii="Times New Roman" w:hAnsi="Times New Roman"/>
          <w:sz w:val="20"/>
        </w:rPr>
      </w:pPr>
      <w:r>
        <w:rPr>
          <w:rFonts w:ascii="Times New Roman" w:hAnsi="Times New Roman"/>
          <w:sz w:val="20"/>
        </w:rPr>
        <w:t xml:space="preserve">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w:t>
      </w:r>
    </w:p>
    <w:p>
      <w:pPr>
        <w:pStyle w:val="TextBody"/>
        <w:spacing w:before="240" w:after="0"/>
        <w:jc w:val="left"/>
        <w:rPr>
          <w:rFonts w:ascii="Times New Roman" w:hAnsi="Times New Roman"/>
          <w:sz w:val="20"/>
        </w:rPr>
      </w:pPr>
      <w:r>
        <w:rPr>
          <w:rFonts w:ascii="Times New Roman" w:hAnsi="Times New Roman"/>
          <w:sz w:val="20"/>
        </w:rPr>
        <w:t xml:space="preserve">Premiums and discounts are amortized or accreted over the life of the related held-to-maturity security as an adjustment to yield using the effective-interest method. Such amortization and accretion are included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interest income line item in the unaudited condensed statements of operations. Interest income is recognized when earned. </w:t>
      </w:r>
    </w:p>
    <w:p>
      <w:pPr>
        <w:pStyle w:val="TextBody"/>
        <w:spacing w:before="240" w:after="0"/>
        <w:jc w:val="left"/>
        <w:rPr>
          <w:rFonts w:ascii="Times New Roman" w:hAnsi="Times New Roman"/>
          <w:sz w:val="20"/>
        </w:rPr>
      </w:pPr>
      <w:r>
        <w:rPr>
          <w:rFonts w:ascii="Times New Roman" w:hAnsi="Times New Roman"/>
          <w:sz w:val="20"/>
        </w:rPr>
        <w:t xml:space="preserve">There were no held to maturity securities on March 31, 2023. The carrying value, excluding gross unrealized holding loss, and fair value of held to maturity securities on September 30, 2022 is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519"/>
        <w:gridCol w:w="305"/>
        <w:gridCol w:w="151"/>
        <w:gridCol w:w="1477"/>
        <w:gridCol w:w="60"/>
        <w:gridCol w:w="305"/>
        <w:gridCol w:w="207"/>
        <w:gridCol w:w="1019"/>
        <w:gridCol w:w="60"/>
        <w:gridCol w:w="305"/>
        <w:gridCol w:w="305"/>
        <w:gridCol w:w="922"/>
        <w:gridCol w:w="60"/>
        <w:gridCol w:w="305"/>
        <w:gridCol w:w="150"/>
        <w:gridCol w:w="1477"/>
        <w:gridCol w:w="68"/>
      </w:tblGrid>
      <w:tr>
        <w:trPr/>
        <w:tc>
          <w:tcPr>
            <w:tcW w:w="251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519"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Carrying</w:t>
              <w:br/>
              <w:t>Value as of</w:t>
              <w:br/>
              <w:t>September 30,</w:t>
              <w:br/>
              <w:t>2022</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Unrealized</w:t>
              <w:br/>
              <w:t>Gains</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2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Unrealized</w:t>
              <w:br/>
              <w:t>Losses</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w:t>
              <w:br/>
              <w:t>as of</w:t>
              <w:br/>
              <w:t>September 30,</w:t>
              <w:br/>
              <w:t>2022</w:t>
            </w:r>
          </w:p>
        </w:tc>
        <w:tc>
          <w:tcPr>
            <w:tcW w:w="68" w:type="dxa"/>
            <w:tcBorders/>
            <w:shd w:fill="auto" w:val="clear"/>
            <w:vAlign w:val="bottom"/>
          </w:tcPr>
          <w:p>
            <w:pPr>
              <w:pStyle w:val="TableContents"/>
              <w:spacing w:before="0" w:after="283"/>
              <w:rPr/>
            </w:pPr>
            <w:r>
              <w:rPr/>
              <w:t> </w:t>
            </w:r>
          </w:p>
        </w:tc>
      </w:tr>
      <w:tr>
        <w:trPr/>
        <w:tc>
          <w:tcPr>
            <w:tcW w:w="2519" w:type="dxa"/>
            <w:tcBorders/>
            <w:shd w:fill="CCEEFF" w:val="clear"/>
          </w:tcPr>
          <w:p>
            <w:pPr>
              <w:pStyle w:val="TableContents"/>
              <w:spacing w:before="0" w:after="0"/>
              <w:rPr>
                <w:rFonts w:ascii="Times New Roman" w:hAnsi="Times New Roman"/>
                <w:sz w:val="20"/>
              </w:rPr>
            </w:pPr>
            <w:r>
              <w:rPr>
                <w:rFonts w:ascii="Times New Roman" w:hAnsi="Times New Roman"/>
                <w:sz w:val="20"/>
              </w:rPr>
              <w:t>Cash</w:t>
            </w:r>
          </w:p>
        </w:tc>
        <w:tc>
          <w:tcPr>
            <w:tcW w:w="3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320</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320</w:t>
            </w:r>
          </w:p>
        </w:tc>
        <w:tc>
          <w:tcPr>
            <w:tcW w:w="68" w:type="dxa"/>
            <w:tcBorders/>
            <w:shd w:fill="CCEEFF" w:val="clear"/>
            <w:vAlign w:val="bottom"/>
          </w:tcPr>
          <w:p>
            <w:pPr>
              <w:pStyle w:val="TableContents"/>
              <w:spacing w:before="0" w:after="283"/>
              <w:rPr/>
            </w:pPr>
            <w:r>
              <w:rPr/>
              <w:t> </w:t>
            </w:r>
          </w:p>
        </w:tc>
      </w:tr>
      <w:tr>
        <w:trPr/>
        <w:tc>
          <w:tcPr>
            <w:tcW w:w="2519" w:type="dxa"/>
            <w:tcBorders/>
            <w:shd w:fill="auto" w:val="clear"/>
          </w:tcPr>
          <w:p>
            <w:pPr>
              <w:pStyle w:val="TableContents"/>
              <w:spacing w:before="0" w:after="0"/>
              <w:rPr>
                <w:rFonts w:ascii="Times New Roman" w:hAnsi="Times New Roman"/>
                <w:sz w:val="20"/>
              </w:rPr>
            </w:pPr>
            <w:r>
              <w:rPr>
                <w:rFonts w:ascii="Times New Roman" w:hAnsi="Times New Roman"/>
                <w:sz w:val="20"/>
              </w:rPr>
              <w:t>U.S. Treasury Bills</w:t>
            </w:r>
          </w:p>
        </w:tc>
        <w:tc>
          <w:tcPr>
            <w:tcW w:w="3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jc w:val="right"/>
              <w:rPr/>
            </w:pPr>
            <w:r>
              <w:rPr/>
              <w:t>150,844,605</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pPr>
            <w:r>
              <w:rPr/>
              <w:t>19,242</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477" w:type="dxa"/>
            <w:tcBorders/>
            <w:shd w:fill="auto" w:val="clear"/>
            <w:vAlign w:val="bottom"/>
          </w:tcPr>
          <w:p>
            <w:pPr>
              <w:pStyle w:val="TableContents"/>
              <w:spacing w:before="0" w:after="283"/>
              <w:jc w:val="right"/>
              <w:rPr/>
            </w:pPr>
            <w:r>
              <w:rPr/>
              <w:t>150,863,847</w:t>
            </w:r>
          </w:p>
        </w:tc>
        <w:tc>
          <w:tcPr>
            <w:tcW w:w="68" w:type="dxa"/>
            <w:tcBorders/>
            <w:shd w:fill="auto" w:val="clear"/>
            <w:vAlign w:val="bottom"/>
          </w:tcPr>
          <w:p>
            <w:pPr>
              <w:pStyle w:val="TableContents"/>
              <w:spacing w:before="0" w:after="283"/>
              <w:rPr/>
            </w:pPr>
            <w:r>
              <w:rPr/>
              <w:t> </w:t>
            </w:r>
          </w:p>
        </w:tc>
      </w:tr>
      <w:tr>
        <w:trPr/>
        <w:tc>
          <w:tcPr>
            <w:tcW w:w="251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4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477"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2519" w:type="dxa"/>
            <w:tcBorders/>
            <w:shd w:fill="CCEEFF" w:val="clear"/>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150,844,925</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19,242</w:t>
            </w:r>
          </w:p>
        </w:tc>
        <w:tc>
          <w:tcPr>
            <w:tcW w:w="60"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1477" w:type="dxa"/>
            <w:tcBorders/>
            <w:shd w:fill="CCEEFF" w:val="clear"/>
            <w:vAlign w:val="bottom"/>
          </w:tcPr>
          <w:p>
            <w:pPr>
              <w:pStyle w:val="TableContents"/>
              <w:spacing w:before="0" w:after="283"/>
              <w:jc w:val="right"/>
              <w:rPr/>
            </w:pPr>
            <w:r>
              <w:rPr/>
              <w:t>150,864,167</w:t>
            </w:r>
          </w:p>
        </w:tc>
        <w:tc>
          <w:tcPr>
            <w:tcW w:w="68" w:type="dxa"/>
            <w:tcBorders/>
            <w:shd w:fill="CCEEFF" w:val="clear"/>
            <w:vAlign w:val="bottom"/>
          </w:tcPr>
          <w:p>
            <w:pPr>
              <w:pStyle w:val="TableContents"/>
              <w:spacing w:before="0" w:after="283"/>
              <w:rPr/>
            </w:pPr>
            <w:r>
              <w:rPr/>
              <w:t> </w:t>
            </w:r>
          </w:p>
        </w:tc>
      </w:tr>
      <w:tr>
        <w:trPr/>
        <w:tc>
          <w:tcPr>
            <w:tcW w:w="2519" w:type="dxa"/>
            <w:tcBorders/>
            <w:shd w:fill="auto" w:val="clear"/>
            <w:vAlign w:val="bottom"/>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4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477"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Held to maturity investments (U.S. Treasury Bills) recorded as of September 30, 2022 matured on October 22, 2022 and the total amount of $151,046,320, including amortized interest, was reinvested in money market funds. </w:t>
      </w:r>
    </w:p>
    <w:p>
      <w:pPr>
        <w:pStyle w:val="TextBody"/>
        <w:spacing w:before="240" w:after="0"/>
        <w:jc w:val="left"/>
        <w:rPr>
          <w:rFonts w:ascii="Times New Roman" w:hAnsi="Times New Roman"/>
          <w:sz w:val="20"/>
        </w:rPr>
      </w:pPr>
      <w:r>
        <w:rPr>
          <w:rFonts w:ascii="Times New Roman" w:hAnsi="Times New Roman"/>
          <w:sz w:val="20"/>
        </w:rPr>
        <w:t xml:space="preserve">The estimated fair values of investments held in the Trust Account are determined using available market information and are characterized as Level 1 investments within the fair value hierarchy under ASC 820 (as described below). </w:t>
      </w:r>
    </w:p>
    <w:p>
      <w:pPr>
        <w:pStyle w:val="TextBody"/>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1, defined as observable inputs such as quoted prices (unadjusted) for identical instruments in active markets;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5"/>
        <w:gridCol w:w="316"/>
        <w:gridCol w:w="105"/>
        <w:gridCol w:w="9593"/>
      </w:tblGrid>
      <w:tr>
        <w:trPr/>
        <w:tc>
          <w:tcPr>
            <w:tcW w:w="525"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Level 3, defined as unobservable inputs in which little or no market data exists, therefore requiring an entity to develop its own assumptions, such as valuations derived from valuation techniques in which one or more significant inputs or significant value drivers are unobservable. </w:t>
            </w:r>
          </w:p>
        </w:tc>
      </w:tr>
    </w:tbl>
    <w:p>
      <w:pPr>
        <w:pStyle w:val="TextBody"/>
        <w:spacing w:before="24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spacing w:before="240" w:after="0"/>
        <w:jc w:val="left"/>
        <w:rPr>
          <w:rFonts w:ascii="Times New Roman" w:hAnsi="Times New Roman"/>
          <w:sz w:val="20"/>
        </w:rPr>
      </w:pPr>
      <w:r>
        <w:rPr>
          <w:rFonts w:ascii="Times New Roman" w:hAnsi="Times New Roman"/>
          <w:sz w:val="20"/>
        </w:rPr>
        <w:t xml:space="preserve">The fair value of certain of the Companys assets and liabilities, which qualify as financial instruments under ASC 820, Fair Value Measurement approximates the carrying amounts represented in the condensed balance sheets. </w:t>
      </w:r>
    </w:p>
    <w:p>
      <w:pPr>
        <w:pStyle w:val="TextBody"/>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a cash account in a financial institution, which, at times, may exceed the Federal Depository Insurance Corporation limit of $250,000. At March 31, 2023 and September 30, 2022, the Company has not experienced losses on this account and management believes the Company is not exposed to significant risks on such account.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Offering Costs Associated with IPO </w:t>
      </w:r>
    </w:p>
    <w:p>
      <w:pPr>
        <w:pStyle w:val="TextBody"/>
        <w:spacing w:before="120" w:after="0"/>
        <w:jc w:val="left"/>
        <w:rPr>
          <w:rFonts w:ascii="Times New Roman" w:hAnsi="Times New Roman"/>
          <w:sz w:val="20"/>
        </w:rPr>
      </w:pPr>
      <w:r>
        <w:rPr>
          <w:rFonts w:ascii="Times New Roman" w:hAnsi="Times New Roman"/>
          <w:sz w:val="20"/>
        </w:rPr>
        <w:t xml:space="preserve">The Company complies with the requirements of ASC340-10-S99-1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 </w:t>
      </w:r>
    </w:p>
    <w:p>
      <w:pPr>
        <w:pStyle w:val="TextBody"/>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3,508,852 shares of common stock as of March 31, 2023 subject to possible redemption are presented at redemption value as temporary equity, outside of the stockholders deficit section of the Companys condensed balance sheets. </w:t>
      </w:r>
    </w:p>
    <w:p>
      <w:pPr>
        <w:pStyle w:val="TextBody"/>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 </w:t>
      </w:r>
    </w:p>
    <w:p>
      <w:pPr>
        <w:pStyle w:val="TextBody"/>
        <w:spacing w:before="240" w:after="0"/>
        <w:jc w:val="left"/>
        <w:rPr>
          <w:rFonts w:ascii="Times New Roman" w:hAnsi="Times New Roman"/>
          <w:sz w:val="20"/>
        </w:rPr>
      </w:pPr>
      <w:r>
        <w:rPr>
          <w:rFonts w:ascii="Times New Roman" w:hAnsi="Times New Roman"/>
          <w:sz w:val="20"/>
        </w:rPr>
        <w:t xml:space="preserve">At March 31, 2023 and September 30, 2022, the common stock reflected in the balance sheets are reconciled in the following table: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7554"/>
        <w:gridCol w:w="470"/>
        <w:gridCol w:w="149"/>
        <w:gridCol w:w="1363"/>
        <w:gridCol w:w="159"/>
      </w:tblGrid>
      <w:tr>
        <w:trPr/>
        <w:tc>
          <w:tcPr>
            <w:tcW w:w="7554"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554" w:type="dxa"/>
            <w:tcBorders/>
            <w:shd w:fill="CCEEFF" w:val="clear"/>
          </w:tcPr>
          <w:p>
            <w:pPr>
              <w:pStyle w:val="TableContents"/>
              <w:spacing w:before="0" w:after="0"/>
              <w:rPr>
                <w:rFonts w:ascii="Times New Roman" w:hAnsi="Times New Roman"/>
                <w:sz w:val="20"/>
              </w:rPr>
            </w:pPr>
            <w:r>
              <w:rPr>
                <w:rFonts w:ascii="Times New Roman" w:hAnsi="Times New Roman"/>
                <w:sz w:val="20"/>
              </w:rPr>
              <w:t>Gross Proceeds</w:t>
            </w:r>
          </w:p>
        </w:tc>
        <w:tc>
          <w:tcPr>
            <w:tcW w:w="47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w:t>
            </w:r>
          </w:p>
        </w:tc>
        <w:tc>
          <w:tcPr>
            <w:tcW w:w="1363" w:type="dxa"/>
            <w:tcBorders/>
            <w:shd w:fill="CCEEFF" w:val="clear"/>
            <w:vAlign w:val="bottom"/>
          </w:tcPr>
          <w:p>
            <w:pPr>
              <w:pStyle w:val="TableContents"/>
              <w:spacing w:before="0" w:after="283"/>
              <w:jc w:val="right"/>
              <w:rPr/>
            </w:pPr>
            <w:r>
              <w:rPr/>
              <w:t>150,000,000</w:t>
            </w:r>
          </w:p>
        </w:tc>
        <w:tc>
          <w:tcPr>
            <w:tcW w:w="159" w:type="dxa"/>
            <w:tcBorders/>
            <w:shd w:fill="CCEEFF" w:val="clear"/>
            <w:vAlign w:val="bottom"/>
          </w:tcPr>
          <w:p>
            <w:pPr>
              <w:pStyle w:val="TableContents"/>
              <w:spacing w:before="0" w:after="283"/>
              <w:rPr/>
            </w:pPr>
            <w:r>
              <w:rPr/>
              <w:t> </w:t>
            </w:r>
          </w:p>
        </w:tc>
      </w:tr>
      <w:tr>
        <w:trPr/>
        <w:tc>
          <w:tcPr>
            <w:tcW w:w="7554" w:type="dxa"/>
            <w:tcBorders/>
            <w:shd w:fill="auto" w:val="clear"/>
          </w:tcPr>
          <w:p>
            <w:pPr>
              <w:pStyle w:val="TableContents"/>
              <w:spacing w:before="0" w:after="0"/>
              <w:rPr>
                <w:rFonts w:ascii="Times New Roman" w:hAnsi="Times New Roman"/>
                <w:sz w:val="20"/>
              </w:rPr>
            </w:pPr>
            <w:r>
              <w:rPr>
                <w:rFonts w:ascii="Times New Roman" w:hAnsi="Times New Roman"/>
                <w:sz w:val="20"/>
              </w:rPr>
              <w:t>Less: Proceeds allocated to Public Warrants</w:t>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(11,700,000</w:t>
            </w:r>
          </w:p>
        </w:tc>
        <w:tc>
          <w:tcPr>
            <w:tcW w:w="159" w:type="dxa"/>
            <w:tcBorders/>
            <w:shd w:fill="auto" w:val="clear"/>
            <w:vAlign w:val="bottom"/>
          </w:tcPr>
          <w:p>
            <w:pPr>
              <w:pStyle w:val="TableContents"/>
              <w:spacing w:before="0" w:after="283"/>
              <w:rPr/>
            </w:pPr>
            <w:r>
              <w:rPr/>
              <w:t>) </w:t>
            </w:r>
          </w:p>
        </w:tc>
      </w:tr>
      <w:tr>
        <w:trPr/>
        <w:tc>
          <w:tcPr>
            <w:tcW w:w="7554" w:type="dxa"/>
            <w:tcBorders/>
            <w:shd w:fill="CCEEFF" w:val="clear"/>
          </w:tcPr>
          <w:p>
            <w:pPr>
              <w:pStyle w:val="TableContents"/>
              <w:spacing w:before="0" w:after="0"/>
              <w:rPr>
                <w:rFonts w:ascii="Times New Roman" w:hAnsi="Times New Roman"/>
                <w:sz w:val="20"/>
              </w:rPr>
            </w:pPr>
            <w:r>
              <w:rPr>
                <w:rFonts w:ascii="Times New Roman" w:hAnsi="Times New Roman"/>
                <w:sz w:val="20"/>
              </w:rPr>
              <w:t>Less: Issuance costs related to common stock</w:t>
            </w:r>
          </w:p>
        </w:tc>
        <w:tc>
          <w:tcPr>
            <w:tcW w:w="47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(3,261,589</w:t>
            </w:r>
          </w:p>
        </w:tc>
        <w:tc>
          <w:tcPr>
            <w:tcW w:w="159" w:type="dxa"/>
            <w:tcBorders/>
            <w:shd w:fill="CCEEFF" w:val="clear"/>
            <w:vAlign w:val="bottom"/>
          </w:tcPr>
          <w:p>
            <w:pPr>
              <w:pStyle w:val="TableContents"/>
              <w:spacing w:before="0" w:after="283"/>
              <w:rPr/>
            </w:pPr>
            <w:r>
              <w:rPr/>
              <w:t>) </w:t>
            </w:r>
          </w:p>
        </w:tc>
      </w:tr>
      <w:tr>
        <w:trPr/>
        <w:tc>
          <w:tcPr>
            <w:tcW w:w="7554" w:type="dxa"/>
            <w:tcBorders/>
            <w:shd w:fill="auto" w:val="clear"/>
          </w:tcPr>
          <w:p>
            <w:pPr>
              <w:pStyle w:val="TableContents"/>
              <w:spacing w:before="0" w:after="0"/>
              <w:rPr>
                <w:rFonts w:ascii="Times New Roman" w:hAnsi="Times New Roman"/>
                <w:sz w:val="20"/>
              </w:rPr>
            </w:pPr>
            <w:r>
              <w:rPr>
                <w:rFonts w:ascii="Times New Roman" w:hAnsi="Times New Roman"/>
                <w:sz w:val="20"/>
              </w:rPr>
              <w:t>Plus: Remeasurement of carrying value to redemption value</w:t>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14,961,589</w:t>
            </w:r>
          </w:p>
        </w:tc>
        <w:tc>
          <w:tcPr>
            <w:tcW w:w="159" w:type="dxa"/>
            <w:tcBorders/>
            <w:shd w:fill="auto" w:val="clear"/>
            <w:vAlign w:val="bottom"/>
          </w:tcPr>
          <w:p>
            <w:pPr>
              <w:pStyle w:val="TableContents"/>
              <w:spacing w:before="0" w:after="283"/>
              <w:rPr/>
            </w:pPr>
            <w:r>
              <w:rPr/>
              <w:t> </w:t>
            </w:r>
          </w:p>
        </w:tc>
      </w:tr>
      <w:tr>
        <w:trPr/>
        <w:tc>
          <w:tcPr>
            <w:tcW w:w="7554" w:type="dxa"/>
            <w:tcBorders/>
            <w:shd w:fill="CCEEFF" w:val="clear"/>
          </w:tcPr>
          <w:p>
            <w:pPr>
              <w:pStyle w:val="TableContents"/>
              <w:spacing w:before="0" w:after="0"/>
              <w:rPr>
                <w:rFonts w:ascii="Times New Roman" w:hAnsi="Times New Roman"/>
                <w:sz w:val="20"/>
              </w:rPr>
            </w:pPr>
            <w:r>
              <w:rPr>
                <w:rFonts w:ascii="Times New Roman" w:hAnsi="Times New Roman"/>
                <w:sz w:val="20"/>
              </w:rPr>
              <w:t>Plus: Subsequent remeasurement of carrying value to redemption value  Trust interest income (excluding the amount that can be withdrawn from Trust Account)</w:t>
            </w:r>
          </w:p>
        </w:tc>
        <w:tc>
          <w:tcPr>
            <w:tcW w:w="47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548,862</w:t>
            </w:r>
          </w:p>
        </w:tc>
        <w:tc>
          <w:tcPr>
            <w:tcW w:w="159"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Common stock subject to possible redemption  September 30, 2022</w:t>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b/>
              </w:rPr>
            </w:pPr>
            <w:r>
              <w:rPr>
                <w:b/>
              </w:rPr>
              <w:t>$</w:t>
            </w:r>
          </w:p>
        </w:tc>
        <w:tc>
          <w:tcPr>
            <w:tcW w:w="1363" w:type="dxa"/>
            <w:tcBorders/>
            <w:shd w:fill="auto" w:val="clear"/>
            <w:vAlign w:val="bottom"/>
          </w:tcPr>
          <w:p>
            <w:pPr>
              <w:pStyle w:val="TableContents"/>
              <w:spacing w:before="0" w:after="283"/>
              <w:jc w:val="right"/>
              <w:rPr>
                <w:b/>
              </w:rPr>
            </w:pPr>
            <w:r>
              <w:rPr>
                <w:b/>
              </w:rPr>
              <w:t>150,548,862</w:t>
            </w:r>
          </w:p>
        </w:tc>
        <w:tc>
          <w:tcPr>
            <w:tcW w:w="159"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554" w:type="dxa"/>
            <w:tcBorders/>
            <w:shd w:fill="CCEEFF" w:val="clear"/>
          </w:tcPr>
          <w:p>
            <w:pPr>
              <w:pStyle w:val="TableContents"/>
              <w:spacing w:before="0" w:after="0"/>
              <w:rPr>
                <w:rFonts w:ascii="Times New Roman" w:hAnsi="Times New Roman"/>
                <w:sz w:val="20"/>
              </w:rPr>
            </w:pPr>
            <w:r>
              <w:rPr>
                <w:rFonts w:ascii="Times New Roman" w:hAnsi="Times New Roman"/>
                <w:sz w:val="20"/>
              </w:rPr>
              <w:t>Less: Redemptions</w:t>
            </w:r>
          </w:p>
        </w:tc>
        <w:tc>
          <w:tcPr>
            <w:tcW w:w="47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1363" w:type="dxa"/>
            <w:tcBorders/>
            <w:shd w:fill="CCEEFF" w:val="clear"/>
            <w:vAlign w:val="bottom"/>
          </w:tcPr>
          <w:p>
            <w:pPr>
              <w:pStyle w:val="TableContents"/>
              <w:spacing w:before="0" w:after="283"/>
              <w:jc w:val="right"/>
              <w:rPr/>
            </w:pPr>
            <w:r>
              <w:rPr/>
              <w:t>(117,079,879</w:t>
            </w:r>
          </w:p>
        </w:tc>
        <w:tc>
          <w:tcPr>
            <w:tcW w:w="159" w:type="dxa"/>
            <w:tcBorders/>
            <w:shd w:fill="CCEEFF" w:val="clear"/>
            <w:vAlign w:val="bottom"/>
          </w:tcPr>
          <w:p>
            <w:pPr>
              <w:pStyle w:val="TableContents"/>
              <w:spacing w:before="0" w:after="283"/>
              <w:rPr/>
            </w:pPr>
            <w:r>
              <w:rPr/>
              <w:t>) </w:t>
            </w:r>
          </w:p>
        </w:tc>
      </w:tr>
      <w:tr>
        <w:trPr/>
        <w:tc>
          <w:tcPr>
            <w:tcW w:w="7554" w:type="dxa"/>
            <w:tcBorders/>
            <w:shd w:fill="auto" w:val="clear"/>
          </w:tcPr>
          <w:p>
            <w:pPr>
              <w:pStyle w:val="TableContents"/>
              <w:spacing w:before="0" w:after="0"/>
              <w:rPr>
                <w:rFonts w:ascii="Times New Roman" w:hAnsi="Times New Roman"/>
                <w:sz w:val="20"/>
              </w:rPr>
            </w:pPr>
            <w:r>
              <w:rPr>
                <w:rFonts w:ascii="Times New Roman" w:hAnsi="Times New Roman"/>
                <w:sz w:val="20"/>
              </w:rPr>
              <w:t>Plus: Remeasurement of carrying value to redemption value</w:t>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3" w:type="dxa"/>
            <w:tcBorders/>
            <w:shd w:fill="auto" w:val="clear"/>
            <w:vAlign w:val="bottom"/>
          </w:tcPr>
          <w:p>
            <w:pPr>
              <w:pStyle w:val="TableContents"/>
              <w:spacing w:before="0" w:after="283"/>
              <w:jc w:val="right"/>
              <w:rPr/>
            </w:pPr>
            <w:r>
              <w:rPr/>
              <w:t>3,148,417</w:t>
            </w:r>
          </w:p>
        </w:tc>
        <w:tc>
          <w:tcPr>
            <w:tcW w:w="159" w:type="dxa"/>
            <w:tcBorders/>
            <w:shd w:fill="auto"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554" w:type="dxa"/>
            <w:tcBorders/>
            <w:shd w:fill="CCEEFF" w:val="clear"/>
            <w:vAlign w:val="bottom"/>
          </w:tcPr>
          <w:p>
            <w:pPr>
              <w:pStyle w:val="TableContents"/>
              <w:spacing w:before="0" w:after="0"/>
              <w:rPr>
                <w:rFonts w:ascii="Times New Roman" w:hAnsi="Times New Roman"/>
                <w:b/>
                <w:sz w:val="20"/>
              </w:rPr>
            </w:pPr>
            <w:r>
              <w:rPr>
                <w:rFonts w:ascii="Times New Roman" w:hAnsi="Times New Roman"/>
                <w:b/>
                <w:sz w:val="20"/>
              </w:rPr>
              <w:t>Common stock subject to possible redemption  March 31, 2023</w:t>
            </w:r>
          </w:p>
        </w:tc>
        <w:tc>
          <w:tcPr>
            <w:tcW w:w="47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b/>
              </w:rPr>
            </w:pPr>
            <w:r>
              <w:rPr>
                <w:b/>
              </w:rPr>
              <w:t>$</w:t>
            </w:r>
          </w:p>
        </w:tc>
        <w:tc>
          <w:tcPr>
            <w:tcW w:w="1363" w:type="dxa"/>
            <w:tcBorders/>
            <w:shd w:fill="CCEEFF" w:val="clear"/>
            <w:vAlign w:val="bottom"/>
          </w:tcPr>
          <w:p>
            <w:pPr>
              <w:pStyle w:val="TableContents"/>
              <w:spacing w:before="0" w:after="283"/>
              <w:jc w:val="right"/>
              <w:rPr>
                <w:b/>
              </w:rPr>
            </w:pPr>
            <w:r>
              <w:rPr>
                <w:b/>
              </w:rPr>
              <w:t>36,617,400</w:t>
            </w:r>
          </w:p>
        </w:tc>
        <w:tc>
          <w:tcPr>
            <w:tcW w:w="159" w:type="dxa"/>
            <w:tcBorders/>
            <w:shd w:fill="CCEEFF" w:val="clear"/>
            <w:vAlign w:val="bottom"/>
          </w:tcPr>
          <w:p>
            <w:pPr>
              <w:pStyle w:val="TableContents"/>
              <w:spacing w:before="0" w:after="283"/>
              <w:rPr/>
            </w:pPr>
            <w:r>
              <w:rPr/>
              <w:t> </w:t>
            </w:r>
          </w:p>
        </w:tc>
      </w:tr>
      <w:tr>
        <w:trPr/>
        <w:tc>
          <w:tcPr>
            <w:tcW w:w="7554"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pBdr>
                <w:top w:val="single" w:sz="2" w:space="1" w:color="000000"/>
              </w:pBdr>
              <w:spacing w:before="0" w:after="0"/>
              <w:rPr/>
            </w:pPr>
            <w:r>
              <w:rPr/>
              <w:t> </w:t>
            </w:r>
          </w:p>
        </w:tc>
        <w:tc>
          <w:tcPr>
            <w:tcW w:w="136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Net Income (Loss) Per Common Stock </w:t>
      </w:r>
    </w:p>
    <w:p>
      <w:pPr>
        <w:pStyle w:val="TextBody"/>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 </w:t>
      </w:r>
    </w:p>
    <w:p>
      <w:pPr>
        <w:pStyle w:val="TextBody"/>
        <w:spacing w:before="240" w:after="0"/>
        <w:jc w:val="left"/>
        <w:rPr>
          <w:rFonts w:ascii="Times New Roman" w:hAnsi="Times New Roman"/>
          <w:sz w:val="20"/>
        </w:rPr>
      </w:pPr>
      <w:r>
        <w:rPr>
          <w:rFonts w:ascii="Times New Roman" w:hAnsi="Times New Roman"/>
          <w:sz w:val="20"/>
        </w:rPr>
        <w:t xml:space="preserve">The calculation of diluted income (loss) per share does not consider the effect of the warrants issued in connection with the IPO because the warrants are contingently exercisable, and the contingencies have not yet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been met. The warrants are exercisable to purchase 7,500,000 shares of common stock in the aggregate. As of March 31, 2023 and 2022,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 </w:t>
      </w:r>
    </w:p>
    <w:p>
      <w:pPr>
        <w:pStyle w:val="TextBody"/>
        <w:spacing w:before="240" w:after="0"/>
        <w:jc w:val="left"/>
        <w:rPr>
          <w:rFonts w:ascii="Times New Roman" w:hAnsi="Times New Roman"/>
          <w:sz w:val="20"/>
        </w:rPr>
      </w:pPr>
      <w:r>
        <w:rPr>
          <w:rFonts w:ascii="Times New Roman" w:hAnsi="Times New Roman"/>
          <w:sz w:val="20"/>
        </w:rPr>
        <w:t xml:space="preserve">Accretion of the carrying value of common stock subject to redemption value is excluded from net income (loss) per common stock because the redemption value approximates fair value.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251"/>
        <w:gridCol w:w="255"/>
        <w:gridCol w:w="193"/>
        <w:gridCol w:w="1367"/>
        <w:gridCol w:w="155"/>
        <w:gridCol w:w="255"/>
        <w:gridCol w:w="140"/>
        <w:gridCol w:w="980"/>
        <w:gridCol w:w="155"/>
        <w:gridCol w:w="255"/>
        <w:gridCol w:w="174"/>
        <w:gridCol w:w="1383"/>
        <w:gridCol w:w="155"/>
        <w:gridCol w:w="255"/>
        <w:gridCol w:w="193"/>
        <w:gridCol w:w="1367"/>
        <w:gridCol w:w="162"/>
      </w:tblGrid>
      <w:tr>
        <w:trPr/>
        <w:tc>
          <w:tcPr>
            <w:tcW w:w="225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702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For the Three Months Ended March 31,</w:t>
            </w:r>
          </w:p>
        </w:tc>
        <w:tc>
          <w:tcPr>
            <w:tcW w:w="162" w:type="dxa"/>
            <w:tcBorders/>
            <w:shd w:fill="auto" w:val="clear"/>
            <w:vAlign w:val="bottom"/>
          </w:tcPr>
          <w:p>
            <w:pPr>
              <w:pStyle w:val="TableContents"/>
              <w:spacing w:before="0" w:after="283"/>
              <w:rPr/>
            </w:pPr>
            <w:r>
              <w:rPr/>
              <w:t> </w:t>
            </w:r>
          </w:p>
        </w:tc>
      </w:tr>
      <w:tr>
        <w:trPr/>
        <w:tc>
          <w:tcPr>
            <w:tcW w:w="225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0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352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2" w:type="dxa"/>
            <w:tcBorders/>
            <w:shd w:fill="auto" w:val="clear"/>
            <w:vAlign w:val="bottom"/>
          </w:tcPr>
          <w:p>
            <w:pPr>
              <w:pStyle w:val="TableContents"/>
              <w:spacing w:before="0" w:after="283"/>
              <w:rPr/>
            </w:pPr>
            <w:r>
              <w:rPr/>
              <w:t> </w:t>
            </w:r>
          </w:p>
        </w:tc>
      </w:tr>
      <w:tr>
        <w:trPr/>
        <w:tc>
          <w:tcPr>
            <w:tcW w:w="225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br/>
              <w:t>subject to</w:t>
              <w:br/>
              <w:t>redemption</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w:t>
              <w:br/>
              <w:t>stock</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5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Common stock</w:t>
            </w:r>
            <w:r>
              <w:rPr/>
              <w:br/>
            </w:r>
            <w:r>
              <w:rPr>
                <w:b/>
              </w:rPr>
              <w:t>subject to</w:t>
              <w:br/>
              <w:t>redemption</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162" w:type="dxa"/>
            <w:tcBorders/>
            <w:shd w:fill="auto" w:val="clear"/>
            <w:vAlign w:val="bottom"/>
          </w:tcPr>
          <w:p>
            <w:pPr>
              <w:pStyle w:val="TableContents"/>
              <w:spacing w:before="0" w:after="283"/>
              <w:rPr/>
            </w:pPr>
            <w:r>
              <w:rPr/>
              <w:t> </w:t>
            </w:r>
          </w:p>
        </w:tc>
      </w:tr>
      <w:tr>
        <w:trPr/>
        <w:tc>
          <w:tcPr>
            <w:tcW w:w="2251"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(loss) income per share</w:t>
            </w:r>
          </w:p>
        </w:tc>
        <w:tc>
          <w:tcPr>
            <w:tcW w:w="2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136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138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1367"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251" w:type="dxa"/>
            <w:tcBorders/>
            <w:shd w:fill="auto" w:val="clear"/>
          </w:tcPr>
          <w:p>
            <w:pPr>
              <w:pStyle w:val="TableContents"/>
              <w:spacing w:before="0" w:after="0"/>
              <w:rPr>
                <w:rFonts w:ascii="Times New Roman" w:hAnsi="Times New Roman"/>
                <w:sz w:val="20"/>
              </w:rPr>
            </w:pPr>
            <w:r>
              <w:rPr>
                <w:rFonts w:ascii="Times New Roman" w:hAnsi="Times New Roman"/>
                <w:sz w:val="20"/>
              </w:rPr>
              <w:t>Numerator:</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138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67"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251" w:type="dxa"/>
            <w:tcBorders/>
            <w:shd w:fill="CCEEFF" w:val="clear"/>
          </w:tcPr>
          <w:p>
            <w:pPr>
              <w:pStyle w:val="TableContents"/>
              <w:spacing w:before="0" w:after="0"/>
              <w:rPr>
                <w:rFonts w:ascii="Times New Roman" w:hAnsi="Times New Roman"/>
                <w:sz w:val="20"/>
              </w:rPr>
            </w:pPr>
            <w:r>
              <w:rPr>
                <w:rFonts w:ascii="Times New Roman" w:hAnsi="Times New Roman"/>
                <w:sz w:val="20"/>
              </w:rPr>
              <w:t>Allocation of net (loss) income</w:t>
            </w:r>
          </w:p>
        </w:tc>
        <w:tc>
          <w:tcPr>
            <w:tcW w:w="2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1367" w:type="dxa"/>
            <w:tcBorders/>
            <w:shd w:fill="CCEEFF" w:val="clear"/>
            <w:vAlign w:val="bottom"/>
          </w:tcPr>
          <w:p>
            <w:pPr>
              <w:pStyle w:val="TableContents"/>
              <w:spacing w:before="0" w:after="283"/>
              <w:jc w:val="right"/>
              <w:rPr/>
            </w:pPr>
            <w:r>
              <w:rPr/>
              <w:t>(15,605</w:t>
            </w:r>
          </w:p>
        </w:tc>
        <w:tc>
          <w:tcPr>
            <w:tcW w:w="15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(11,538</w:t>
            </w:r>
          </w:p>
        </w:tc>
        <w:tc>
          <w:tcPr>
            <w:tcW w:w="15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1383" w:type="dxa"/>
            <w:tcBorders/>
            <w:shd w:fill="CCEEFF" w:val="clear"/>
            <w:vAlign w:val="bottom"/>
          </w:tcPr>
          <w:p>
            <w:pPr>
              <w:pStyle w:val="TableContents"/>
              <w:spacing w:before="0" w:after="283"/>
              <w:jc w:val="right"/>
              <w:rPr/>
            </w:pPr>
            <w:r>
              <w:rPr/>
              <w:t>269,721</w:t>
            </w:r>
          </w:p>
        </w:tc>
        <w:tc>
          <w:tcPr>
            <w:tcW w:w="15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1367" w:type="dxa"/>
            <w:tcBorders/>
            <w:shd w:fill="CCEEFF" w:val="clear"/>
            <w:vAlign w:val="bottom"/>
          </w:tcPr>
          <w:p>
            <w:pPr>
              <w:pStyle w:val="TableContents"/>
              <w:spacing w:before="0" w:after="283"/>
              <w:jc w:val="right"/>
              <w:rPr/>
            </w:pPr>
            <w:r>
              <w:rPr/>
              <w:t>102,665</w:t>
            </w:r>
          </w:p>
        </w:tc>
        <w:tc>
          <w:tcPr>
            <w:tcW w:w="162" w:type="dxa"/>
            <w:tcBorders/>
            <w:shd w:fill="CCEEFF" w:val="clear"/>
            <w:vAlign w:val="bottom"/>
          </w:tcPr>
          <w:p>
            <w:pPr>
              <w:pStyle w:val="TableContents"/>
              <w:spacing w:before="0" w:after="283"/>
              <w:rPr/>
            </w:pPr>
            <w:r>
              <w:rPr/>
              <w:t> </w:t>
            </w:r>
          </w:p>
        </w:tc>
      </w:tr>
      <w:tr>
        <w:trPr/>
        <w:tc>
          <w:tcPr>
            <w:tcW w:w="2251"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251" w:type="dxa"/>
            <w:tcBorders/>
            <w:shd w:fill="auto" w:val="clear"/>
          </w:tcPr>
          <w:p>
            <w:pPr>
              <w:pStyle w:val="TableContents"/>
              <w:spacing w:before="0" w:after="0"/>
              <w:rPr>
                <w:rFonts w:ascii="Times New Roman" w:hAnsi="Times New Roman"/>
                <w:sz w:val="20"/>
              </w:rPr>
            </w:pPr>
            <w:r>
              <w:rPr>
                <w:rFonts w:ascii="Times New Roman" w:hAnsi="Times New Roman"/>
                <w:sz w:val="20"/>
              </w:rPr>
              <w:t>Denominator</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6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138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67"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251"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shares outstanding</w:t>
            </w:r>
          </w:p>
        </w:tc>
        <w:tc>
          <w:tcPr>
            <w:tcW w:w="2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7,722,273</w:t>
            </w:r>
          </w:p>
        </w:tc>
        <w:tc>
          <w:tcPr>
            <w:tcW w:w="15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5,709,500</w:t>
            </w:r>
          </w:p>
        </w:tc>
        <w:tc>
          <w:tcPr>
            <w:tcW w:w="15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15,000,000</w:t>
            </w:r>
          </w:p>
        </w:tc>
        <w:tc>
          <w:tcPr>
            <w:tcW w:w="155"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67" w:type="dxa"/>
            <w:tcBorders/>
            <w:shd w:fill="CCEEFF" w:val="clear"/>
            <w:vAlign w:val="bottom"/>
          </w:tcPr>
          <w:p>
            <w:pPr>
              <w:pStyle w:val="TableContents"/>
              <w:spacing w:before="0" w:after="283"/>
              <w:jc w:val="right"/>
              <w:rPr/>
            </w:pPr>
            <w:r>
              <w:rPr/>
              <w:t>5,709,500</w:t>
            </w:r>
          </w:p>
        </w:tc>
        <w:tc>
          <w:tcPr>
            <w:tcW w:w="162" w:type="dxa"/>
            <w:tcBorders/>
            <w:shd w:fill="CCEEFF" w:val="clear"/>
            <w:vAlign w:val="bottom"/>
          </w:tcPr>
          <w:p>
            <w:pPr>
              <w:pStyle w:val="TableContents"/>
              <w:spacing w:before="0" w:after="283"/>
              <w:rPr/>
            </w:pPr>
            <w:r>
              <w:rPr/>
              <w:t> </w:t>
            </w:r>
          </w:p>
        </w:tc>
      </w:tr>
      <w:tr>
        <w:trPr/>
        <w:tc>
          <w:tcPr>
            <w:tcW w:w="2251"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251"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net (loss) income per share</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w:t>
            </w:r>
          </w:p>
        </w:tc>
        <w:tc>
          <w:tcPr>
            <w:tcW w:w="1367" w:type="dxa"/>
            <w:tcBorders/>
            <w:shd w:fill="auto" w:val="clear"/>
            <w:vAlign w:val="bottom"/>
          </w:tcPr>
          <w:p>
            <w:pPr>
              <w:pStyle w:val="TableContents"/>
              <w:spacing w:before="0" w:after="283"/>
              <w:jc w:val="right"/>
              <w:rPr/>
            </w:pPr>
            <w:r>
              <w:rPr/>
              <w:t>(0.00</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(0.00</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1383" w:type="dxa"/>
            <w:tcBorders/>
            <w:shd w:fill="auto" w:val="clear"/>
            <w:vAlign w:val="bottom"/>
          </w:tcPr>
          <w:p>
            <w:pPr>
              <w:pStyle w:val="TableContents"/>
              <w:spacing w:before="0" w:after="283"/>
              <w:jc w:val="right"/>
              <w:rPr/>
            </w:pPr>
            <w:r>
              <w:rPr/>
              <w:t>(0.02</w:t>
            </w:r>
          </w:p>
        </w:tc>
        <w:tc>
          <w:tcPr>
            <w:tcW w:w="155"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w:t>
            </w:r>
          </w:p>
        </w:tc>
        <w:tc>
          <w:tcPr>
            <w:tcW w:w="1367" w:type="dxa"/>
            <w:tcBorders/>
            <w:shd w:fill="auto" w:val="clear"/>
            <w:vAlign w:val="bottom"/>
          </w:tcPr>
          <w:p>
            <w:pPr>
              <w:pStyle w:val="TableContents"/>
              <w:spacing w:before="0" w:after="283"/>
              <w:jc w:val="right"/>
              <w:rPr/>
            </w:pPr>
            <w:r>
              <w:rPr/>
              <w:t>(0.02</w:t>
            </w:r>
          </w:p>
        </w:tc>
        <w:tc>
          <w:tcPr>
            <w:tcW w:w="162" w:type="dxa"/>
            <w:tcBorders/>
            <w:shd w:fill="auto" w:val="clear"/>
            <w:vAlign w:val="bottom"/>
          </w:tcPr>
          <w:p>
            <w:pPr>
              <w:pStyle w:val="TableContents"/>
              <w:spacing w:before="0" w:after="283"/>
              <w:rPr/>
            </w:pPr>
            <w:r>
              <w:rPr/>
              <w:t>) </w:t>
            </w:r>
          </w:p>
        </w:tc>
      </w:tr>
      <w:tr>
        <w:trPr/>
        <w:tc>
          <w:tcPr>
            <w:tcW w:w="2251"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138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7"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521"/>
        <w:gridCol w:w="239"/>
        <w:gridCol w:w="175"/>
        <w:gridCol w:w="1377"/>
        <w:gridCol w:w="60"/>
        <w:gridCol w:w="239"/>
        <w:gridCol w:w="140"/>
        <w:gridCol w:w="982"/>
        <w:gridCol w:w="60"/>
        <w:gridCol w:w="239"/>
        <w:gridCol w:w="175"/>
        <w:gridCol w:w="1377"/>
        <w:gridCol w:w="155"/>
        <w:gridCol w:w="239"/>
        <w:gridCol w:w="193"/>
        <w:gridCol w:w="1362"/>
        <w:gridCol w:w="162"/>
      </w:tblGrid>
      <w:tr>
        <w:trPr/>
        <w:tc>
          <w:tcPr>
            <w:tcW w:w="252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6773"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For the Six Months Ended March 31,</w:t>
            </w:r>
          </w:p>
        </w:tc>
        <w:tc>
          <w:tcPr>
            <w:tcW w:w="162" w:type="dxa"/>
            <w:tcBorders/>
            <w:shd w:fill="auto"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97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2023</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50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162" w:type="dxa"/>
            <w:tcBorders/>
            <w:shd w:fill="auto"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5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br/>
              <w:t>subject to</w:t>
              <w:br/>
              <w:t>redemption</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1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w:t>
              <w:br/>
              <w:t>stock</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55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Common stock</w:t>
            </w:r>
            <w:r>
              <w:rPr/>
              <w:br/>
            </w:r>
            <w:r>
              <w:rPr>
                <w:b/>
              </w:rPr>
              <w:t>subject to</w:t>
              <w:br/>
              <w:t>redemption</w:t>
            </w:r>
          </w:p>
        </w:tc>
        <w:tc>
          <w:tcPr>
            <w:tcW w:w="15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5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 stock</w:t>
            </w:r>
          </w:p>
        </w:tc>
        <w:tc>
          <w:tcPr>
            <w:tcW w:w="162" w:type="dxa"/>
            <w:tcBorders/>
            <w:shd w:fill="auto" w:val="clear"/>
            <w:vAlign w:val="bottom"/>
          </w:tcPr>
          <w:p>
            <w:pPr>
              <w:pStyle w:val="TableContents"/>
              <w:spacing w:before="0" w:after="283"/>
              <w:rPr/>
            </w:pPr>
            <w:r>
              <w:rPr/>
              <w:t> </w:t>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Basic and diluted net income (loss) per share</w:t>
            </w:r>
          </w:p>
        </w:tc>
        <w:tc>
          <w:tcPr>
            <w:tcW w:w="23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sz w:val="4"/>
                <w:szCs w:val="4"/>
              </w:rPr>
            </w:pPr>
            <w:r>
              <w:rPr>
                <w:sz w:val="4"/>
                <w:szCs w:val="4"/>
              </w:rPr>
            </w:r>
          </w:p>
        </w:tc>
        <w:tc>
          <w:tcPr>
            <w:tcW w:w="137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8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sz w:val="4"/>
                <w:szCs w:val="4"/>
              </w:rPr>
            </w:pPr>
            <w:r>
              <w:rPr>
                <w:sz w:val="4"/>
                <w:szCs w:val="4"/>
              </w:rPr>
            </w:r>
          </w:p>
        </w:tc>
        <w:tc>
          <w:tcPr>
            <w:tcW w:w="13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136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Numerator:</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13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13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6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Allocation of net income (loss)</w:t>
            </w:r>
          </w:p>
        </w:tc>
        <w:tc>
          <w:tcPr>
            <w:tcW w:w="23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w:t>
            </w:r>
          </w:p>
        </w:tc>
        <w:tc>
          <w:tcPr>
            <w:tcW w:w="1377" w:type="dxa"/>
            <w:tcBorders/>
            <w:shd w:fill="CCEEFF" w:val="clear"/>
            <w:vAlign w:val="bottom"/>
          </w:tcPr>
          <w:p>
            <w:pPr>
              <w:pStyle w:val="TableContents"/>
              <w:spacing w:before="0" w:after="283"/>
              <w:jc w:val="right"/>
              <w:rPr/>
            </w:pPr>
            <w:r>
              <w:rPr/>
              <w:t>386,387</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193,497</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w:t>
            </w:r>
          </w:p>
        </w:tc>
        <w:tc>
          <w:tcPr>
            <w:tcW w:w="1377" w:type="dxa"/>
            <w:tcBorders/>
            <w:shd w:fill="CCEEFF" w:val="clear"/>
            <w:vAlign w:val="bottom"/>
          </w:tcPr>
          <w:p>
            <w:pPr>
              <w:pStyle w:val="TableContents"/>
              <w:spacing w:before="0" w:after="283"/>
              <w:jc w:val="right"/>
              <w:rPr/>
            </w:pPr>
            <w:r>
              <w:rPr/>
              <w:t>(1,744,489</w:t>
            </w:r>
          </w:p>
        </w:tc>
        <w:tc>
          <w:tcPr>
            <w:tcW w:w="15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1362" w:type="dxa"/>
            <w:tcBorders/>
            <w:shd w:fill="CCEEFF" w:val="clear"/>
            <w:vAlign w:val="bottom"/>
          </w:tcPr>
          <w:p>
            <w:pPr>
              <w:pStyle w:val="TableContents"/>
              <w:spacing w:before="0" w:after="283"/>
              <w:jc w:val="right"/>
              <w:rPr/>
            </w:pPr>
            <w:r>
              <w:rPr/>
              <w:t>(664,011</w:t>
            </w:r>
          </w:p>
        </w:tc>
        <w:tc>
          <w:tcPr>
            <w:tcW w:w="162" w:type="dxa"/>
            <w:tcBorders/>
            <w:shd w:fill="CCEEFF"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Denominator</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13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sz w:val="4"/>
                <w:szCs w:val="4"/>
              </w:rPr>
            </w:pPr>
            <w:r>
              <w:rPr>
                <w:sz w:val="4"/>
                <w:szCs w:val="4"/>
              </w:rPr>
            </w:r>
          </w:p>
        </w:tc>
        <w:tc>
          <w:tcPr>
            <w:tcW w:w="13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136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521"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shares outstanding</w:t>
            </w:r>
          </w:p>
        </w:tc>
        <w:tc>
          <w:tcPr>
            <w:tcW w:w="23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377" w:type="dxa"/>
            <w:tcBorders/>
            <w:shd w:fill="CCEEFF" w:val="clear"/>
            <w:vAlign w:val="bottom"/>
          </w:tcPr>
          <w:p>
            <w:pPr>
              <w:pStyle w:val="TableContents"/>
              <w:spacing w:before="0" w:after="283"/>
              <w:jc w:val="right"/>
              <w:rPr/>
            </w:pPr>
            <w:r>
              <w:rPr/>
              <w:t>11,401,124</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5,709,500</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377" w:type="dxa"/>
            <w:tcBorders/>
            <w:shd w:fill="CCEEFF" w:val="clear"/>
            <w:vAlign w:val="bottom"/>
          </w:tcPr>
          <w:p>
            <w:pPr>
              <w:pStyle w:val="TableContents"/>
              <w:spacing w:before="0" w:after="283"/>
              <w:jc w:val="right"/>
              <w:rPr/>
            </w:pPr>
            <w:r>
              <w:rPr/>
              <w:t>15,000,000</w:t>
            </w:r>
          </w:p>
        </w:tc>
        <w:tc>
          <w:tcPr>
            <w:tcW w:w="155"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5,709,500</w:t>
            </w:r>
          </w:p>
        </w:tc>
        <w:tc>
          <w:tcPr>
            <w:tcW w:w="162" w:type="dxa"/>
            <w:tcBorders/>
            <w:shd w:fill="CCEEFF"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521" w:type="dxa"/>
            <w:tcBorders/>
            <w:shd w:fill="auto" w:val="clear"/>
          </w:tcPr>
          <w:p>
            <w:pPr>
              <w:pStyle w:val="TableContents"/>
              <w:spacing w:before="0" w:after="0"/>
              <w:rPr>
                <w:rFonts w:ascii="Times New Roman" w:hAnsi="Times New Roman"/>
                <w:sz w:val="20"/>
              </w:rPr>
            </w:pPr>
            <w:r>
              <w:rPr>
                <w:rFonts w:ascii="Times New Roman" w:hAnsi="Times New Roman"/>
                <w:sz w:val="20"/>
              </w:rPr>
              <w:t>Basic and diluted net income (loss) per share</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w:t>
            </w:r>
          </w:p>
        </w:tc>
        <w:tc>
          <w:tcPr>
            <w:tcW w:w="1377" w:type="dxa"/>
            <w:tcBorders/>
            <w:shd w:fill="auto" w:val="clear"/>
            <w:vAlign w:val="bottom"/>
          </w:tcPr>
          <w:p>
            <w:pPr>
              <w:pStyle w:val="TableContents"/>
              <w:spacing w:before="0" w:after="283"/>
              <w:jc w:val="right"/>
              <w:rPr/>
            </w:pPr>
            <w:r>
              <w:rPr/>
              <w:t>0.03</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0.03</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w:t>
            </w:r>
          </w:p>
        </w:tc>
        <w:tc>
          <w:tcPr>
            <w:tcW w:w="1377" w:type="dxa"/>
            <w:tcBorders/>
            <w:shd w:fill="auto" w:val="clear"/>
            <w:vAlign w:val="bottom"/>
          </w:tcPr>
          <w:p>
            <w:pPr>
              <w:pStyle w:val="TableContents"/>
              <w:spacing w:before="0" w:after="283"/>
              <w:jc w:val="right"/>
              <w:rPr/>
            </w:pPr>
            <w:r>
              <w:rPr/>
              <w:t>(0.12</w:t>
            </w:r>
          </w:p>
        </w:tc>
        <w:tc>
          <w:tcPr>
            <w:tcW w:w="155"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w:t>
            </w:r>
          </w:p>
        </w:tc>
        <w:tc>
          <w:tcPr>
            <w:tcW w:w="1362" w:type="dxa"/>
            <w:tcBorders/>
            <w:shd w:fill="auto" w:val="clear"/>
            <w:vAlign w:val="bottom"/>
          </w:tcPr>
          <w:p>
            <w:pPr>
              <w:pStyle w:val="TableContents"/>
              <w:spacing w:before="0" w:after="283"/>
              <w:jc w:val="right"/>
              <w:rPr/>
            </w:pPr>
            <w:r>
              <w:rPr/>
              <w:t>(0.12</w:t>
            </w:r>
          </w:p>
        </w:tc>
        <w:tc>
          <w:tcPr>
            <w:tcW w:w="162" w:type="dxa"/>
            <w:tcBorders/>
            <w:shd w:fill="auto" w:val="clear"/>
            <w:vAlign w:val="bottom"/>
          </w:tcPr>
          <w:p>
            <w:pPr>
              <w:pStyle w:val="TableContents"/>
              <w:spacing w:before="0" w:after="283"/>
              <w:rPr/>
            </w:pPr>
            <w:r>
              <w:rPr/>
              <w:t>) </w:t>
            </w:r>
          </w:p>
        </w:tc>
      </w:tr>
      <w:tr>
        <w:trPr/>
        <w:tc>
          <w:tcPr>
            <w:tcW w:w="2521"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7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pBdr>
                <w:top w:val="single" w:sz="2" w:space="1" w:color="000000"/>
              </w:pBdr>
              <w:spacing w:before="0" w:after="0"/>
              <w:rPr/>
            </w:pPr>
            <w:r>
              <w:rPr/>
              <w:t> </w:t>
            </w:r>
          </w:p>
        </w:tc>
        <w:tc>
          <w:tcPr>
            <w:tcW w:w="13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36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spacing w:before="120" w:after="0"/>
        <w:jc w:val="left"/>
        <w:rPr>
          <w:rFonts w:ascii="Times New Roman" w:hAnsi="Times New Roman"/>
          <w:sz w:val="20"/>
        </w:rPr>
      </w:pPr>
      <w:r>
        <w:rPr>
          <w:rFonts w:ascii="Times New Roman" w:hAnsi="Times New Roman"/>
          <w:sz w:val="20"/>
        </w:rPr>
        <w:t xml:space="preserve">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 </w:t>
      </w:r>
    </w:p>
    <w:p>
      <w:pPr>
        <w:pStyle w:val="TextBody"/>
        <w:spacing w:before="240" w:after="0"/>
        <w:jc w:val="left"/>
        <w:rPr>
          <w:rFonts w:ascii="Times New Roman" w:hAnsi="Times New Roman"/>
          <w:sz w:val="20"/>
        </w:rPr>
      </w:pPr>
      <w:r>
        <w:rPr>
          <w:rFonts w:ascii="Times New Roman" w:hAnsi="Times New Roman"/>
          <w:sz w:val="20"/>
        </w:rPr>
        <w:t xml:space="preserve">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The Company recognized $55,926 of stock-based compensation for the six months ended March 31, 2023 and 2022. </w:t>
      </w:r>
    </w:p>
    <w:p>
      <w:pPr>
        <w:pStyle w:val="TextBody"/>
        <w:spacing w:before="240" w:after="0"/>
        <w:jc w:val="left"/>
        <w:rPr>
          <w:rFonts w:ascii="Times New Roman" w:hAnsi="Times New Roman"/>
          <w:sz w:val="20"/>
        </w:rPr>
      </w:pPr>
      <w:r>
        <w:rPr>
          <w:rFonts w:ascii="Times New Roman" w:hAnsi="Times New Roman"/>
          <w:sz w:val="20"/>
        </w:rPr>
        <w:t xml:space="preserve">At March 31, 2023, there are 55,928 shares that remain unvested. Total unrecognized compensation expense related to the unvested shares at March 31, 2023 amounted to $55,928 and is expected to be recognized over a period of 0.4 years. </w:t>
      </w:r>
    </w:p>
    <w:p>
      <w:pPr>
        <w:pStyle w:val="TextBody"/>
        <w:spacing w:before="360" w:after="0"/>
        <w:jc w:val="left"/>
        <w:rPr>
          <w:rFonts w:ascii="Times New Roman" w:hAnsi="Times New Roman"/>
          <w:b/>
          <w:i/>
          <w:sz w:val="20"/>
        </w:rPr>
      </w:pPr>
      <w:r>
        <w:rPr>
          <w:rFonts w:ascii="Times New Roman" w:hAnsi="Times New Roman"/>
          <w:b/>
          <w:i/>
          <w:sz w:val="20"/>
        </w:rPr>
        <w:t xml:space="preserve">Income Taxes </w:t>
      </w:r>
    </w:p>
    <w:p>
      <w:pPr>
        <w:pStyle w:val="TextBody"/>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w:t>
      </w:r>
    </w:p>
    <w:p>
      <w:pPr>
        <w:pStyle w:val="TextBody"/>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March 31, 2023 and September 30, 2022. The Company is currently not aware of any issues under review that could result in significant payments, accruals or material deviation from its position. </w:t>
      </w:r>
    </w:p>
    <w:p>
      <w:pPr>
        <w:pStyle w:val="TextBody"/>
        <w:spacing w:before="240" w:after="0"/>
        <w:jc w:val="left"/>
        <w:rPr>
          <w:rFonts w:ascii="Times New Roman" w:hAnsi="Times New Roman"/>
          <w:sz w:val="20"/>
        </w:rPr>
      </w:pPr>
      <w:r>
        <w:rPr>
          <w:rFonts w:ascii="Times New Roman" w:hAnsi="Times New Roman"/>
          <w:sz w:val="20"/>
        </w:rPr>
        <w:t xml:space="preserve">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spacing w:before="240" w:after="0"/>
        <w:jc w:val="left"/>
        <w:rPr>
          <w:rFonts w:ascii="Times New Roman" w:hAnsi="Times New Roman"/>
          <w:sz w:val="20"/>
        </w:rPr>
      </w:pPr>
      <w:r>
        <w:rPr>
          <w:rFonts w:ascii="Times New Roman" w:hAnsi="Times New Roman"/>
          <w:sz w:val="20"/>
        </w:rPr>
        <w:t xml:space="preserve">As of March 31, 2023, and September 30, 2022, the Companys deferred tax asset had a full valuation allowance recorded against it. Our effective tax rate 43.32% and 0.00% for the six months ended March 31, 2023 and 2022. The effective tax rate differs from the statutory tax rate of 21% for six months ended March 31, 2023, and 2022, due to the valuation allowance on the deferred tax assets and permanent differences related to the business acquisition expenses. </w:t>
      </w:r>
    </w:p>
    <w:p>
      <w:pPr>
        <w:pStyle w:val="TextBody"/>
        <w:spacing w:before="240" w:after="0"/>
        <w:jc w:val="left"/>
        <w:rPr>
          <w:rFonts w:ascii="Times New Roman" w:hAnsi="Times New Roman"/>
          <w:sz w:val="20"/>
        </w:rPr>
      </w:pPr>
      <w:r>
        <w:rPr>
          <w:rFonts w:ascii="Times New Roman" w:hAnsi="Times New Roman"/>
          <w:sz w:val="20"/>
        </w:rPr>
        <w:t xml:space="preserve">Management does not believe that any recently issued, but not effective, accounting standards, if currently adopted, would have a material effect on the Companys condensed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Note 3  Related Party Transactions </w:t>
      </w:r>
    </w:p>
    <w:p>
      <w:pPr>
        <w:pStyle w:val="TextBody"/>
        <w:spacing w:before="120" w:after="0"/>
        <w:jc w:val="left"/>
        <w:rPr>
          <w:rFonts w:ascii="Times New Roman" w:hAnsi="Times New Roman"/>
          <w:b/>
          <w:sz w:val="20"/>
        </w:rPr>
      </w:pPr>
      <w:r>
        <w:rPr>
          <w:rFonts w:ascii="Times New Roman" w:hAnsi="Times New Roman"/>
          <w:b/>
          <w:sz w:val="20"/>
        </w:rPr>
        <w:t xml:space="preserve">Promissory Notes-Related Party </w:t>
      </w:r>
    </w:p>
    <w:p>
      <w:pPr>
        <w:pStyle w:val="TextBody"/>
        <w:spacing w:before="120" w:after="0"/>
        <w:jc w:val="left"/>
        <w:rPr>
          <w:rFonts w:ascii="Times New Roman" w:hAnsi="Times New Roman"/>
          <w:sz w:val="20"/>
        </w:rPr>
      </w:pPr>
      <w:r>
        <w:rPr>
          <w:rFonts w:ascii="Times New Roman" w:hAnsi="Times New Roman"/>
          <w:sz w:val="20"/>
        </w:rPr>
        <w:t xml:space="preserve">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w:t>
      </w:r>
    </w:p>
    <w:p>
      <w:pPr>
        <w:pStyle w:val="TextBody"/>
        <w:spacing w:before="240" w:after="0"/>
        <w:jc w:val="left"/>
        <w:rPr>
          <w:rFonts w:ascii="Times New Roman" w:hAnsi="Times New Roman"/>
          <w:sz w:val="20"/>
        </w:rPr>
      </w:pPr>
      <w:r>
        <w:rPr>
          <w:rFonts w:ascii="Times New Roman" w:hAnsi="Times New Roman"/>
          <w:sz w:val="20"/>
        </w:rPr>
        <w:t xml:space="preserve">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March 31, 2023 and September 30, 2022, respectively. </w:t>
      </w:r>
    </w:p>
    <w:p>
      <w:pPr>
        <w:pStyle w:val="TextBody"/>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spacing w:before="120" w:after="0"/>
        <w:jc w:val="left"/>
        <w:rPr>
          <w:rFonts w:ascii="Times New Roman" w:hAnsi="Times New Roman"/>
          <w:sz w:val="20"/>
        </w:rPr>
      </w:pPr>
      <w:r>
        <w:rPr>
          <w:rFonts w:ascii="Times New Roman" w:hAnsi="Times New Roman"/>
          <w:sz w:val="20"/>
        </w:rPr>
        <w:t xml:space="preserve">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March 31, 2023 and September 30, 2022, no such Working Capital Loans were outstanding. </w:t>
      </w:r>
    </w:p>
    <w:p>
      <w:pPr>
        <w:pStyle w:val="TextBody"/>
        <w:spacing w:before="360" w:after="0"/>
        <w:jc w:val="left"/>
        <w:rPr>
          <w:rFonts w:ascii="Times New Roman" w:hAnsi="Times New Roman"/>
          <w:b/>
          <w:sz w:val="20"/>
        </w:rPr>
      </w:pPr>
      <w:r>
        <w:rPr>
          <w:rFonts w:ascii="Times New Roman" w:hAnsi="Times New Roman"/>
          <w:b/>
          <w:sz w:val="20"/>
        </w:rPr>
        <w:t xml:space="preserve">Administrative Service Fee </w:t>
      </w:r>
    </w:p>
    <w:p>
      <w:pPr>
        <w:pStyle w:val="TextBody"/>
        <w:spacing w:before="120" w:after="0"/>
        <w:jc w:val="left"/>
        <w:rPr>
          <w:rFonts w:ascii="Times New Roman" w:hAnsi="Times New Roman"/>
          <w:sz w:val="20"/>
        </w:rPr>
      </w:pPr>
      <w:r>
        <w:rPr>
          <w:rFonts w:ascii="Times New Roman" w:hAnsi="Times New Roman"/>
          <w:sz w:val="20"/>
        </w:rPr>
        <w:t xml:space="preserve">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and six months ended March 31, 2023 and 2022, the Company incurred and paid $30,000 and $60,000, respectively, in administrative service fees. </w:t>
      </w:r>
    </w:p>
    <w:p>
      <w:pPr>
        <w:pStyle w:val="TextBody"/>
        <w:spacing w:before="360" w:after="0"/>
        <w:jc w:val="left"/>
        <w:rPr>
          <w:rFonts w:ascii="Times New Roman" w:hAnsi="Times New Roman"/>
          <w:b/>
          <w:sz w:val="20"/>
        </w:rPr>
      </w:pPr>
      <w:r>
        <w:rPr>
          <w:rFonts w:ascii="Times New Roman" w:hAnsi="Times New Roman"/>
          <w:b/>
          <w:sz w:val="20"/>
        </w:rPr>
        <w:t xml:space="preserve">Note 4  Commitments and Contingencies </w:t>
      </w:r>
    </w:p>
    <w:p>
      <w:pPr>
        <w:pStyle w:val="TextBody"/>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Underwriting Agreement </w:t>
      </w:r>
    </w:p>
    <w:p>
      <w:pPr>
        <w:pStyle w:val="TextBody"/>
        <w:spacing w:before="120" w:after="0"/>
        <w:jc w:val="left"/>
        <w:rPr>
          <w:rFonts w:ascii="Times New Roman" w:hAnsi="Times New Roman"/>
          <w:sz w:val="20"/>
        </w:rPr>
      </w:pPr>
      <w:r>
        <w:rPr>
          <w:rFonts w:ascii="Times New Roman" w:hAnsi="Times New Roman"/>
          <w:sz w:val="20"/>
        </w:rPr>
        <w:t xml:space="preserve">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 </w:t>
      </w:r>
    </w:p>
    <w:p>
      <w:pPr>
        <w:pStyle w:val="TextBody"/>
        <w:spacing w:before="360" w:after="0"/>
        <w:jc w:val="left"/>
        <w:rPr>
          <w:rFonts w:ascii="Times New Roman" w:hAnsi="Times New Roman"/>
          <w:b/>
          <w:i/>
          <w:sz w:val="20"/>
        </w:rPr>
      </w:pPr>
      <w:r>
        <w:rPr>
          <w:rFonts w:ascii="Times New Roman" w:hAnsi="Times New Roman"/>
          <w:b/>
          <w:i/>
          <w:sz w:val="20"/>
        </w:rPr>
        <w:t xml:space="preserve">Financial Advisory Fee </w:t>
      </w:r>
    </w:p>
    <w:p>
      <w:pPr>
        <w:pStyle w:val="TextBody"/>
        <w:spacing w:before="120" w:after="0"/>
        <w:jc w:val="left"/>
        <w:rPr>
          <w:rFonts w:ascii="Times New Roman" w:hAnsi="Times New Roman"/>
          <w:sz w:val="20"/>
        </w:rPr>
      </w:pPr>
      <w:r>
        <w:rPr>
          <w:rFonts w:ascii="Times New Roman" w:hAnsi="Times New Roman"/>
          <w:sz w:val="20"/>
        </w:rPr>
        <w:t xml:space="preserve">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 </w:t>
      </w:r>
    </w:p>
    <w:p>
      <w:pPr>
        <w:pStyle w:val="TextBody"/>
        <w:spacing w:before="360" w:after="0"/>
        <w:jc w:val="left"/>
        <w:rPr>
          <w:rFonts w:ascii="Times New Roman" w:hAnsi="Times New Roman"/>
          <w:b/>
          <w:i/>
          <w:sz w:val="20"/>
        </w:rPr>
      </w:pPr>
      <w:r>
        <w:rPr>
          <w:rFonts w:ascii="Times New Roman" w:hAnsi="Times New Roman"/>
          <w:b/>
          <w:i/>
          <w:sz w:val="20"/>
        </w:rPr>
        <w:t xml:space="preserve">Business Combination Marketing Agreement </w:t>
      </w:r>
    </w:p>
    <w:p>
      <w:pPr>
        <w:pStyle w:val="TextBody"/>
        <w:spacing w:before="120" w:after="0"/>
        <w:jc w:val="left"/>
        <w:rPr>
          <w:rFonts w:ascii="Times New Roman" w:hAnsi="Times New Roman"/>
          <w:sz w:val="20"/>
        </w:rPr>
      </w:pPr>
      <w:r>
        <w:rPr>
          <w:rFonts w:ascii="Times New Roman" w:hAnsi="Times New Roman"/>
          <w:sz w:val="20"/>
        </w:rPr>
        <w:t xml:space="preserve">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 2021 the underwriters over-allotment option expired unused resulting in no additional marketing fees related to the over-allotment option to be not payable to the representative on the underwriter by the Company. </w:t>
      </w:r>
    </w:p>
    <w:p>
      <w:pPr>
        <w:pStyle w:val="TextBody"/>
        <w:spacing w:before="240" w:after="0"/>
        <w:jc w:val="left"/>
        <w:rPr>
          <w:rFonts w:ascii="Times New Roman" w:hAnsi="Times New Roman"/>
          <w:sz w:val="20"/>
        </w:rPr>
      </w:pPr>
      <w:r>
        <w:rPr>
          <w:rFonts w:ascii="Times New Roman" w:hAnsi="Times New Roman"/>
          <w:sz w:val="20"/>
        </w:rPr>
        <w:t xml:space="preserve">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 </w:t>
      </w:r>
    </w:p>
    <w:p>
      <w:pPr>
        <w:pStyle w:val="TextBody"/>
        <w:spacing w:before="360" w:after="0"/>
        <w:jc w:val="left"/>
        <w:rPr>
          <w:rFonts w:ascii="Times New Roman" w:hAnsi="Times New Roman"/>
          <w:b/>
          <w:i/>
          <w:sz w:val="20"/>
        </w:rPr>
      </w:pPr>
      <w:r>
        <w:rPr>
          <w:rFonts w:ascii="Times New Roman" w:hAnsi="Times New Roman"/>
          <w:b/>
          <w:i/>
          <w:sz w:val="20"/>
        </w:rPr>
        <w:t xml:space="preserve">Non-Redemption Agreements </w:t>
      </w:r>
    </w:p>
    <w:p>
      <w:pPr>
        <w:pStyle w:val="TextBody"/>
        <w:spacing w:before="120" w:after="0"/>
        <w:jc w:val="left"/>
        <w:rPr>
          <w:rFonts w:ascii="Times New Roman" w:hAnsi="Times New Roman"/>
          <w:sz w:val="20"/>
        </w:rPr>
      </w:pPr>
      <w:r>
        <w:rPr>
          <w:rFonts w:ascii="Times New Roman" w:hAnsi="Times New Roman"/>
          <w:sz w:val="20"/>
        </w:rPr>
        <w:t xml:space="preserve">On January 20, 2023, the Company and its Sponsor, entered into one or more agreements (the Non-Redemption Agreements ) with one or more third parties in exchange for them agreeing not to redeem shares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founders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w:t>
      </w:r>
    </w:p>
    <w:p>
      <w:pPr>
        <w:pStyle w:val="TextBody"/>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spacing w:before="120" w:after="0"/>
        <w:jc w:val="left"/>
        <w:rPr>
          <w:rFonts w:ascii="Times New Roman" w:hAnsi="Times New Roman"/>
          <w:sz w:val="20"/>
        </w:rPr>
      </w:pPr>
      <w:r>
        <w:rPr>
          <w:rFonts w:ascii="Times New Roman" w:hAnsi="Times New Roman"/>
          <w:sz w:val="20"/>
        </w:rPr>
        <w:t xml:space="preserve">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 </w:t>
      </w:r>
    </w:p>
    <w:p>
      <w:pPr>
        <w:pStyle w:val="TextBody"/>
        <w:spacing w:before="360" w:after="0"/>
        <w:jc w:val="left"/>
        <w:rPr>
          <w:rFonts w:ascii="Times New Roman" w:hAnsi="Times New Roman"/>
          <w:b/>
          <w:i/>
          <w:sz w:val="20"/>
        </w:rPr>
      </w:pPr>
      <w:r>
        <w:rPr>
          <w:rFonts w:ascii="Times New Roman" w:hAnsi="Times New Roman"/>
          <w:b/>
          <w:i/>
          <w:sz w:val="20"/>
        </w:rPr>
        <w:t xml:space="preserve">Purchasing Agreement </w:t>
      </w:r>
    </w:p>
    <w:p>
      <w:pPr>
        <w:pStyle w:val="TextBody"/>
        <w:spacing w:before="120" w:after="0"/>
        <w:jc w:val="left"/>
        <w:rPr>
          <w:rFonts w:ascii="Times New Roman" w:hAnsi="Times New Roman"/>
          <w:sz w:val="20"/>
        </w:rPr>
      </w:pPr>
      <w:r>
        <w:rPr>
          <w:rFonts w:ascii="Times New Roman" w:hAnsi="Times New Roman"/>
          <w:sz w:val="20"/>
        </w:rPr>
        <w:t xml:space="preserve">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 </w:t>
      </w:r>
    </w:p>
    <w:p>
      <w:pPr>
        <w:pStyle w:val="TextBody"/>
        <w:spacing w:before="360" w:after="0"/>
        <w:jc w:val="left"/>
        <w:rPr>
          <w:rFonts w:ascii="Times New Roman" w:hAnsi="Times New Roman"/>
          <w:b/>
          <w:sz w:val="20"/>
        </w:rPr>
      </w:pPr>
      <w:r>
        <w:rPr>
          <w:rFonts w:ascii="Times New Roman" w:hAnsi="Times New Roman"/>
          <w:b/>
          <w:sz w:val="20"/>
        </w:rPr>
        <w:t xml:space="preserve">Note 5  Recurring Fair Value Measurements </w:t>
      </w:r>
    </w:p>
    <w:p>
      <w:pPr>
        <w:pStyle w:val="TextBody"/>
        <w:spacing w:before="120" w:after="0"/>
        <w:jc w:val="left"/>
        <w:rPr>
          <w:rFonts w:ascii="Times New Roman" w:hAnsi="Times New Roman"/>
          <w:sz w:val="20"/>
        </w:rPr>
      </w:pPr>
      <w:r>
        <w:rPr>
          <w:rFonts w:ascii="Times New Roman" w:hAnsi="Times New Roman"/>
          <w:sz w:val="20"/>
        </w:rPr>
        <w:t xml:space="preserve">As of March 31, 2023, the assets held in the Trust Account were held in money market funds which invest in U.S. Treasury securities. As of September 30, 2022, the assets held in the Trust Account were held in U.S. Treasury Bills with a maturity of 185 days or less. </w:t>
      </w:r>
    </w:p>
    <w:p>
      <w:pPr>
        <w:pStyle w:val="TextBody"/>
        <w:spacing w:before="240" w:after="0"/>
        <w:jc w:val="left"/>
        <w:rPr>
          <w:rFonts w:ascii="Times New Roman" w:hAnsi="Times New Roman"/>
          <w:sz w:val="20"/>
        </w:rPr>
      </w:pPr>
      <w:r>
        <w:rPr>
          <w:rFonts w:ascii="Times New Roman" w:hAnsi="Times New Roman"/>
          <w:sz w:val="20"/>
        </w:rPr>
        <w:t xml:space="preserve">There were no transfers between Levels 1, 2 or 3 during the six months ended March 31, 2023 and 2022. </w:t>
      </w:r>
    </w:p>
    <w:p>
      <w:pPr>
        <w:pStyle w:val="TextBody"/>
        <w:spacing w:before="360" w:after="0"/>
        <w:jc w:val="left"/>
        <w:rPr>
          <w:rFonts w:ascii="Times New Roman" w:hAnsi="Times New Roman"/>
          <w:b/>
          <w:sz w:val="20"/>
        </w:rPr>
      </w:pPr>
      <w:r>
        <w:rPr>
          <w:rFonts w:ascii="Times New Roman" w:hAnsi="Times New Roman"/>
          <w:b/>
          <w:sz w:val="20"/>
        </w:rPr>
        <w:t xml:space="preserve">Note 6  Subsequent Events </w:t>
      </w:r>
    </w:p>
    <w:p>
      <w:pPr>
        <w:pStyle w:val="TextBody"/>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these unaudited condensed financial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99"/>
        <w:gridCol w:w="645"/>
        <w:gridCol w:w="8695"/>
      </w:tblGrid>
      <w:tr>
        <w:trPr/>
        <w:tc>
          <w:tcPr>
            <w:tcW w:w="119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bottom"/>
          </w:tcPr>
          <w:p>
            <w:pPr>
              <w:pStyle w:val="TableContents"/>
              <w:spacing w:before="0" w:after="283"/>
              <w:rPr>
                <w:sz w:val="4"/>
                <w:szCs w:val="4"/>
              </w:rPr>
            </w:pPr>
            <w:r>
              <w:rPr>
                <w:sz w:val="4"/>
                <w:szCs w:val="4"/>
              </w:rPr>
            </w:r>
          </w:p>
        </w:tc>
        <w:tc>
          <w:tcPr>
            <w:tcW w:w="8695" w:type="dxa"/>
            <w:tcBorders/>
            <w:shd w:fill="auto" w:val="clear"/>
            <w:vAlign w:val="center"/>
          </w:tcPr>
          <w:p>
            <w:pPr>
              <w:pStyle w:val="TableContents"/>
              <w:spacing w:before="0" w:after="283"/>
              <w:rPr>
                <w:sz w:val="4"/>
                <w:szCs w:val="4"/>
              </w:rPr>
            </w:pPr>
            <w:r>
              <w:rPr>
                <w:sz w:val="4"/>
                <w:szCs w:val="4"/>
              </w:rPr>
            </w:r>
          </w:p>
        </w:tc>
      </w:tr>
      <w:tr>
        <w:trPr/>
        <w:tc>
          <w:tcPr>
            <w:tcW w:w="1199"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45" w:type="dxa"/>
            <w:tcBorders/>
            <w:shd w:fill="auto" w:val="clear"/>
            <w:vAlign w:val="bottom"/>
          </w:tcPr>
          <w:p>
            <w:pPr>
              <w:pStyle w:val="TableContents"/>
              <w:spacing w:before="0" w:after="283"/>
              <w:rPr/>
            </w:pPr>
            <w:r>
              <w:rPr/>
              <w:t>  </w:t>
            </w:r>
          </w:p>
        </w:tc>
        <w:tc>
          <w:tcPr>
            <w:tcW w:w="869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2.1*</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Business Combination Agreement, dated December 17, 2021, as amended on November 10, 2022 and as further amended and restated on June 16, 2023</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3.1*</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Amended and Restated Certificate of Incorporation of Armada</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3.2*</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Amended and Restated Memorandum and Articles of Association of Rezolve (as they will be in effect at the Merger Effective Time) (included as Annex        to the proxy statement/prospectus).</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3.3*</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Bylaws of Armada</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4.1*</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Specimen Unit Certificate of Armada</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4.2*</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Specimen Common Stock Certificate of Armada</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4.3*</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Specimen Warrant Certificate of Armada</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4.4*</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Warrant Agreement, dated        , by and between Armada and        , as warrant agent</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4.5*</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Assignment, Assumption and Amendment Agreement (Warrant Agreement) between Armada, Rezolve and        .</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4.6*</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Specimen of Rezolve Ordinary Share Certificate</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5.1*</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Opinion of Taylor Wessing LLP</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5.2*</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Opinion of Wilson Sonsini Goodrich &amp; Rosati, P.C. regarding the binding obligation of the Warrants</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10.1*</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Private Placement Warrants Purchase Agreement, dated        , by and between Armada and Sponsor</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10.2*</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Registration Rights Agreement, dated</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10.3*</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Subscription Agreement, by and among Armada and the subscribers party thereto.</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10.4*</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Sponsor Lock-Up Agreement, by and among Rezolve and the shareholders party thereto</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10.5*</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Rezolve Incentive Equity Plan and form agreements thereunder</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10.6*</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Nominee Agreement dated        , by and between        and Rezolve</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10.7*</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Director and Officer Indemnification Agreement</w:t>
            </w:r>
          </w:p>
        </w:tc>
      </w:tr>
      <w:tr>
        <w:trPr>
          <w:trHeight w:val="120" w:hRule="atLeast"/>
        </w:trPr>
        <w:tc>
          <w:tcPr>
            <w:tcW w:w="1199" w:type="dxa"/>
            <w:tcBorders/>
            <w:shd w:fill="auto" w:val="clear"/>
            <w:vAlign w:val="center"/>
          </w:tcPr>
          <w:p>
            <w:pPr>
              <w:pStyle w:val="TableContents"/>
              <w:spacing w:before="0" w:after="283"/>
              <w:rPr>
                <w:sz w:val="4"/>
                <w:szCs w:val="4"/>
              </w:rPr>
            </w:pPr>
            <w:r>
              <w:rPr>
                <w:sz w:val="4"/>
                <w:szCs w:val="4"/>
              </w:rPr>
            </w:r>
          </w:p>
        </w:tc>
        <w:tc>
          <w:tcPr>
            <w:tcW w:w="9340" w:type="dxa"/>
            <w:gridSpan w:val="2"/>
            <w:tcBorders/>
            <w:shd w:fill="auto" w:val="clear"/>
            <w:vAlign w:val="center"/>
          </w:tcPr>
          <w:p>
            <w:pPr>
              <w:pStyle w:val="TableContents"/>
              <w:spacing w:before="0" w:after="283"/>
              <w:rPr>
                <w:sz w:val="4"/>
                <w:szCs w:val="4"/>
              </w:rPr>
            </w:pPr>
            <w:r>
              <w:rPr>
                <w:sz w:val="4"/>
                <w:szCs w:val="4"/>
              </w:rPr>
            </w:r>
          </w:p>
        </w:tc>
      </w:tr>
      <w:tr>
        <w:trPr/>
        <w:tc>
          <w:tcPr>
            <w:tcW w:w="1199" w:type="dxa"/>
            <w:tcBorders/>
            <w:shd w:fill="auto" w:val="clear"/>
          </w:tcPr>
          <w:p>
            <w:pPr>
              <w:pStyle w:val="TableContents"/>
              <w:spacing w:before="0" w:after="283"/>
              <w:rPr/>
            </w:pPr>
            <w:r>
              <w:rPr/>
              <w:t>  </w:t>
            </w:r>
            <w:r>
              <w:rPr/>
              <w:t>10.8*</w:t>
            </w:r>
          </w:p>
        </w:tc>
        <w:tc>
          <w:tcPr>
            <w:tcW w:w="645" w:type="dxa"/>
            <w:tcBorders/>
            <w:shd w:fill="auto" w:val="clear"/>
            <w:vAlign w:val="bottom"/>
          </w:tcPr>
          <w:p>
            <w:pPr>
              <w:pStyle w:val="TableContents"/>
              <w:spacing w:before="0" w:after="283"/>
              <w:rPr/>
            </w:pPr>
            <w:r>
              <w:rPr/>
              <w:t>  </w:t>
            </w:r>
          </w:p>
        </w:tc>
        <w:tc>
          <w:tcPr>
            <w:tcW w:w="8695" w:type="dxa"/>
            <w:tcBorders/>
            <w:shd w:fill="auto" w:val="clear"/>
          </w:tcPr>
          <w:p>
            <w:pPr>
              <w:pStyle w:val="TableContents"/>
              <w:spacing w:before="0" w:after="283"/>
              <w:rPr/>
            </w:pPr>
            <w:r>
              <w:rPr/>
              <w:t>Form of Investor Rights Agreement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191"/>
        <w:gridCol w:w="592"/>
        <w:gridCol w:w="8756"/>
      </w:tblGrid>
      <w:tr>
        <w:trPr/>
        <w:tc>
          <w:tcPr>
            <w:tcW w:w="119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8756" w:type="dxa"/>
            <w:tcBorders/>
            <w:shd w:fill="auto" w:val="clear"/>
            <w:vAlign w:val="center"/>
          </w:tcPr>
          <w:p>
            <w:pPr>
              <w:pStyle w:val="TableContents"/>
              <w:spacing w:before="0" w:after="283"/>
              <w:rPr>
                <w:sz w:val="4"/>
                <w:szCs w:val="4"/>
              </w:rPr>
            </w:pPr>
            <w:r>
              <w:rPr>
                <w:sz w:val="4"/>
                <w:szCs w:val="4"/>
              </w:rPr>
            </w:r>
          </w:p>
        </w:tc>
      </w:tr>
      <w:tr>
        <w:trPr/>
        <w:tc>
          <w:tcPr>
            <w:tcW w:w="1191"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592" w:type="dxa"/>
            <w:tcBorders/>
            <w:shd w:fill="auto" w:val="clear"/>
            <w:vAlign w:val="bottom"/>
          </w:tcPr>
          <w:p>
            <w:pPr>
              <w:pStyle w:val="TableContents"/>
              <w:spacing w:before="0" w:after="283"/>
              <w:rPr/>
            </w:pPr>
            <w:r>
              <w:rPr/>
              <w:t>  </w:t>
            </w:r>
          </w:p>
        </w:tc>
        <w:tc>
          <w:tcPr>
            <w:tcW w:w="875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10.9*</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Service Agreement between Rezolve and Daniel Wagner, dated April 1, 2016</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10.10*</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Service Agreement between Rezolve and Richard Burchill, dated September 6, 2021</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10.11*</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Service Agreement between Rezolve and Peter Vesco, dated                     , 2023</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10.12*</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Service Agreement between Rezolve and Sauvik Banerjjee, dated                     , 2023</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10.13*</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Service Agreement between Rezolve and Salman Ahmad, dated                     , 2023</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10.14*</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Form of Three-Year Term Non-Executive Director Appointment Letter</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10.15*</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Form of One-Year Term Non-Executive Director Appointment Letter</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10.16*</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Form of Transaction Support Agreement</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10.17*</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Loan Note Instrument dated December 16, 2021, as amended and restated on November 21, 2022, and as further amended and restated on May 23, 2023</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10.18*</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Letter Agreement, dated as of August 12, 2021, by and among Armada, its officers, its directors and Armada Sponsor LLC</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10.19*</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Side Letter between Armada Sponsor LLC and Rezolve, dated March 28, 2022</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21.1*</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List of subsidiaries of Rezolve</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23.1</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231.htm">
              <w:r>
                <w:rPr>
                  <w:rStyle w:val="InternetLink"/>
                </w:rPr>
                <w:t xml:space="preserve">Consent of MSPC Certified Public Accountants and Advisors, A Professional Corporation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23.2</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232.htm">
              <w:r>
                <w:rPr>
                  <w:rStyle w:val="InternetLink"/>
                </w:rPr>
                <w:t xml:space="preserve">Consent of Marcum LLP, independent registered accounting firm for Armada Acquisition Corp. I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23.3</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233.htm">
              <w:r>
                <w:rPr>
                  <w:rStyle w:val="InternetLink"/>
                </w:rPr>
                <w:t xml:space="preserve">Consent of Marshall &amp; Stevens Transaction Advisory Services LLC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23.4</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234.htm">
              <w:r>
                <w:rPr>
                  <w:rStyle w:val="InternetLink"/>
                </w:rPr>
                <w:t>Consent of Northland Securities, Inc.</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23.5*</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Consent of Taylor Wessing LLP (included in Exhibit 5.1)</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23.6*</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Consent of Wilson Sonsini Goodrich &amp; Rosati, Professional Corporation (included in Exhibit 5.2)</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24.1</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sig">
              <w:r>
                <w:rPr>
                  <w:rStyle w:val="InternetLink"/>
                </w:rPr>
                <w:t xml:space="preserve">Power of Attorney (included on signature page of the initial filing of this Registration Statement)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99.1*</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r>
              <w:rPr/>
              <w:t>Form of Proxy for Armada</w:t>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99.2</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992.htm">
              <w:r>
                <w:rPr>
                  <w:rStyle w:val="InternetLink"/>
                </w:rPr>
                <w:t xml:space="preserve">Consent to be named a nominee director of Stephen Herbert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  </w:t>
            </w:r>
            <w:r>
              <w:rPr/>
              <w:t>99.3</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993.htm">
              <w:r>
                <w:rPr>
                  <w:rStyle w:val="InternetLink"/>
                </w:rPr>
                <w:t xml:space="preserve">Consent to be named a nominee director of Douglas Lurio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pPr>
            <w:r>
              <w:rPr/>
              <w:t>107</w:t>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pPr>
            <w:hyperlink w:anchor="d309194dexfilingfees.htm">
              <w:r>
                <w:rPr>
                  <w:rStyle w:val="InternetLink"/>
                </w:rPr>
                <w:t xml:space="preserve">Calculation of Fee Table </w:t>
              </w:r>
            </w:hyperlink>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sz w:val="4"/>
                <w:szCs w:val="4"/>
              </w:rPr>
            </w:pPr>
            <w:r>
              <w:rPr>
                <w:sz w:val="4"/>
                <w:szCs w:val="4"/>
              </w:rPr>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sz w:val="4"/>
                <w:szCs w:val="4"/>
              </w:rPr>
            </w:pPr>
            <w:r>
              <w:rPr>
                <w:sz w:val="4"/>
                <w:szCs w:val="4"/>
              </w:rPr>
            </w:r>
          </w:p>
        </w:tc>
      </w:tr>
      <w:tr>
        <w:trPr>
          <w:trHeight w:val="120" w:hRule="atLeast"/>
        </w:trPr>
        <w:tc>
          <w:tcPr>
            <w:tcW w:w="1191" w:type="dxa"/>
            <w:tcBorders/>
            <w:shd w:fill="auto" w:val="clear"/>
            <w:vAlign w:val="center"/>
          </w:tcPr>
          <w:p>
            <w:pPr>
              <w:pStyle w:val="TableContents"/>
              <w:spacing w:before="0" w:after="283"/>
              <w:rPr>
                <w:sz w:val="4"/>
                <w:szCs w:val="4"/>
              </w:rPr>
            </w:pPr>
            <w:r>
              <w:rPr>
                <w:sz w:val="4"/>
                <w:szCs w:val="4"/>
              </w:rPr>
            </w:r>
          </w:p>
        </w:tc>
        <w:tc>
          <w:tcPr>
            <w:tcW w:w="9348" w:type="dxa"/>
            <w:gridSpan w:val="2"/>
            <w:tcBorders/>
            <w:shd w:fill="auto" w:val="clear"/>
            <w:vAlign w:val="center"/>
          </w:tcPr>
          <w:p>
            <w:pPr>
              <w:pStyle w:val="TableContents"/>
              <w:spacing w:before="0" w:after="283"/>
              <w:rPr>
                <w:sz w:val="4"/>
                <w:szCs w:val="4"/>
              </w:rPr>
            </w:pPr>
            <w:r>
              <w:rPr>
                <w:sz w:val="4"/>
                <w:szCs w:val="4"/>
              </w:rPr>
            </w:r>
          </w:p>
        </w:tc>
      </w:tr>
      <w:tr>
        <w:trPr/>
        <w:tc>
          <w:tcPr>
            <w:tcW w:w="1191" w:type="dxa"/>
            <w:tcBorders/>
            <w:shd w:fill="auto" w:val="clea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pPr>
            <w:r>
              <w:rPr/>
              <w:t>  </w:t>
            </w:r>
          </w:p>
        </w:tc>
        <w:tc>
          <w:tcPr>
            <w:tcW w:w="8756" w:type="dxa"/>
            <w:tcBorders/>
            <w:shd w:fill="auto" w:val="clea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9"/>
        <w:gridCol w:w="10330"/>
      </w:tblGrid>
      <w:tr>
        <w:trPr/>
        <w:tc>
          <w:tcPr>
            <w:tcW w:w="209" w:type="dxa"/>
            <w:tcBorders/>
            <w:shd w:fill="auto" w:val="clear"/>
          </w:tcPr>
          <w:p>
            <w:pPr>
              <w:pStyle w:val="TableContents"/>
              <w:spacing w:before="0" w:after="283"/>
              <w:jc w:val="left"/>
              <w:rPr/>
            </w:pPr>
            <w:r>
              <w:rPr/>
              <w:t>*</w:t>
            </w:r>
          </w:p>
        </w:tc>
        <w:tc>
          <w:tcPr>
            <w:tcW w:w="103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19"/>
        <w:gridCol w:w="9172"/>
      </w:tblGrid>
      <w:tr>
        <w:trPr/>
        <w:tc>
          <w:tcPr>
            <w:tcW w:w="948" w:type="dxa"/>
            <w:tcBorders/>
            <w:shd w:fill="auto" w:val="clear"/>
            <w:vAlign w:val="center"/>
          </w:tcPr>
          <w:p>
            <w:pPr>
              <w:pStyle w:val="TableContents"/>
              <w:spacing w:before="0" w:after="283"/>
              <w:rPr/>
            </w:pPr>
            <w:r>
              <w:rPr/>
              <w:t> </w:t>
            </w:r>
          </w:p>
        </w:tc>
        <w:tc>
          <w:tcPr>
            <w:tcW w:w="419" w:type="dxa"/>
            <w:tcBorders/>
            <w:shd w:fill="auto" w:val="clear"/>
          </w:tcPr>
          <w:p>
            <w:pPr>
              <w:pStyle w:val="TableContents"/>
              <w:spacing w:before="0" w:after="283"/>
              <w:jc w:val="left"/>
              <w:rPr/>
            </w:pPr>
            <w:r>
              <w:rPr/>
              <w:t>(i)</w:t>
            </w:r>
          </w:p>
        </w:tc>
        <w:tc>
          <w:tcPr>
            <w:tcW w:w="91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365"/>
        <w:gridCol w:w="9174"/>
      </w:tblGrid>
      <w:tr>
        <w:trPr/>
        <w:tc>
          <w:tcPr>
            <w:tcW w:w="1365" w:type="dxa"/>
            <w:tcBorders/>
            <w:shd w:fill="auto" w:val="clear"/>
            <w:vAlign w:val="center"/>
          </w:tcPr>
          <w:p>
            <w:pPr>
              <w:pStyle w:val="TableContents"/>
              <w:spacing w:before="0" w:after="283"/>
              <w:rPr/>
            </w:pPr>
            <w:r>
              <w:rPr/>
              <w:t> </w:t>
            </w:r>
          </w:p>
        </w:tc>
        <w:tc>
          <w:tcPr>
            <w:tcW w:w="9174" w:type="dxa"/>
            <w:tcBorders/>
            <w:shd w:fill="auto" w:val="clear"/>
          </w:tcPr>
          <w:p>
            <w:pPr>
              <w:pStyle w:val="TableContents"/>
              <w:spacing w:before="0" w:after="283"/>
              <w:jc w:val="left"/>
              <w:rPr/>
            </w:pPr>
            <w:r>
              <w:rPr/>
              <w:t xml:space="preserve">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(2)</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(3)</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19"/>
        <w:gridCol w:w="526"/>
        <w:gridCol w:w="9594"/>
      </w:tblGrid>
      <w:tr>
        <w:trPr/>
        <w:tc>
          <w:tcPr>
            <w:tcW w:w="419"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(4)</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5"/>
        <w:gridCol w:w="9593"/>
      </w:tblGrid>
      <w:tr>
        <w:trPr/>
        <w:tc>
          <w:tcPr>
            <w:tcW w:w="421"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(5)</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(6)</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(7)</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6"/>
        <w:gridCol w:w="422"/>
        <w:gridCol w:w="9171"/>
      </w:tblGrid>
      <w:tr>
        <w:trPr/>
        <w:tc>
          <w:tcPr>
            <w:tcW w:w="946" w:type="dxa"/>
            <w:tcBorders/>
            <w:shd w:fill="auto" w:val="clear"/>
            <w:vAlign w:val="center"/>
          </w:tcPr>
          <w:p>
            <w:pPr>
              <w:pStyle w:val="TableContents"/>
              <w:spacing w:before="0" w:after="283"/>
              <w:rPr/>
            </w:pPr>
            <w:r>
              <w:rPr/>
              <w:t> </w:t>
            </w:r>
          </w:p>
        </w:tc>
        <w:tc>
          <w:tcPr>
            <w:tcW w:w="422" w:type="dxa"/>
            <w:tcBorders/>
            <w:shd w:fill="auto" w:val="clear"/>
          </w:tcPr>
          <w:p>
            <w:pPr>
              <w:pStyle w:val="TableContents"/>
              <w:spacing w:before="0" w:after="283"/>
              <w:jc w:val="left"/>
              <w:rPr/>
            </w:pPr>
            <w:r>
              <w:rPr/>
              <w:t>(i)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48"/>
        <w:gridCol w:w="421"/>
        <w:gridCol w:w="9170"/>
      </w:tblGrid>
      <w:tr>
        <w:trPr/>
        <w:tc>
          <w:tcPr>
            <w:tcW w:w="948"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(iii)</w:t>
            </w:r>
          </w:p>
        </w:tc>
        <w:tc>
          <w:tcPr>
            <w:tcW w:w="91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47"/>
        <w:gridCol w:w="421"/>
        <w:gridCol w:w="9171"/>
      </w:tblGrid>
      <w:tr>
        <w:trPr/>
        <w:tc>
          <w:tcPr>
            <w:tcW w:w="947" w:type="dxa"/>
            <w:tcBorders/>
            <w:shd w:fill="auto" w:val="clear"/>
            <w:vAlign w:val="center"/>
          </w:tcPr>
          <w:p>
            <w:pPr>
              <w:pStyle w:val="TableContents"/>
              <w:spacing w:before="0" w:after="283"/>
              <w:rPr/>
            </w:pPr>
            <w:r>
              <w:rPr/>
              <w:t> </w:t>
            </w:r>
          </w:p>
        </w:tc>
        <w:tc>
          <w:tcPr>
            <w:tcW w:w="421" w:type="dxa"/>
            <w:tcBorders/>
            <w:shd w:fill="auto" w:val="clear"/>
          </w:tcPr>
          <w:p>
            <w:pPr>
              <w:pStyle w:val="TableContents"/>
              <w:spacing w:before="0" w:after="283"/>
              <w:jc w:val="left"/>
              <w:rPr/>
            </w:pPr>
            <w:r>
              <w:rPr/>
              <w:t>(iv)</w:t>
            </w:r>
          </w:p>
        </w:tc>
        <w:tc>
          <w:tcPr>
            <w:tcW w:w="91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5"/>
        <w:gridCol w:w="9594"/>
      </w:tblGrid>
      <w:tr>
        <w:trPr/>
        <w:tc>
          <w:tcPr>
            <w:tcW w:w="420" w:type="dxa"/>
            <w:tcBorders/>
            <w:shd w:fill="auto" w:val="clear"/>
            <w:vAlign w:val="center"/>
          </w:tcPr>
          <w:p>
            <w:pPr>
              <w:pStyle w:val="TableContents"/>
              <w:spacing w:before="0" w:after="283"/>
              <w:rPr/>
            </w:pPr>
            <w:r>
              <w:rPr/>
              <w:t> </w:t>
            </w:r>
          </w:p>
        </w:tc>
        <w:tc>
          <w:tcPr>
            <w:tcW w:w="525" w:type="dxa"/>
            <w:tcBorders/>
            <w:shd w:fill="auto" w:val="clear"/>
          </w:tcPr>
          <w:p>
            <w:pPr>
              <w:pStyle w:val="TableContents"/>
              <w:spacing w:before="0" w:after="283"/>
              <w:jc w:val="left"/>
              <w:rPr/>
            </w:pPr>
            <w:r>
              <w:rPr/>
              <w:t>(8)</w:t>
            </w:r>
          </w:p>
        </w:tc>
        <w:tc>
          <w:tcPr>
            <w:tcW w:w="95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526"/>
        <w:gridCol w:w="9593"/>
      </w:tblGrid>
      <w:tr>
        <w:trPr/>
        <w:tc>
          <w:tcPr>
            <w:tcW w:w="420"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(9)</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(10)</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this paragraph includes information contained in documents filed subsequent to the effective date of the registration statement through the date of responding to the request.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6"/>
        <w:gridCol w:w="9592"/>
      </w:tblGrid>
      <w:tr>
        <w:trPr/>
        <w:tc>
          <w:tcPr>
            <w:tcW w:w="421" w:type="dxa"/>
            <w:tcBorders/>
            <w:shd w:fill="auto" w:val="clear"/>
            <w:vAlign w:val="center"/>
          </w:tcPr>
          <w:p>
            <w:pPr>
              <w:pStyle w:val="TableContents"/>
              <w:spacing w:before="0" w:after="283"/>
              <w:rPr/>
            </w:pPr>
            <w:r>
              <w:rPr/>
              <w:t> </w:t>
            </w:r>
          </w:p>
        </w:tc>
        <w:tc>
          <w:tcPr>
            <w:tcW w:w="526" w:type="dxa"/>
            <w:tcBorders/>
            <w:shd w:fill="auto" w:val="clear"/>
          </w:tcPr>
          <w:p>
            <w:pPr>
              <w:pStyle w:val="TableContents"/>
              <w:spacing w:before="0" w:after="283"/>
              <w:jc w:val="left"/>
              <w:rPr/>
            </w:pPr>
            <w:r>
              <w:rPr/>
              <w:t>(11)</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supply by means of a post-effective amendment all information concerning this transaction, and the company being acquired involved therein, that was not the subject of and included in this Registration Statement when it became effective.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527"/>
        <w:gridCol w:w="9591"/>
      </w:tblGrid>
      <w:tr>
        <w:trPr/>
        <w:tc>
          <w:tcPr>
            <w:tcW w:w="421" w:type="dxa"/>
            <w:tcBorders/>
            <w:shd w:fill="auto" w:val="clear"/>
            <w:vAlign w:val="center"/>
          </w:tcPr>
          <w:p>
            <w:pPr>
              <w:pStyle w:val="TableContents"/>
              <w:spacing w:before="0" w:after="283"/>
              <w:rPr/>
            </w:pPr>
            <w:r>
              <w:rPr/>
              <w:t> </w:t>
            </w:r>
          </w:p>
        </w:tc>
        <w:tc>
          <w:tcPr>
            <w:tcW w:w="527" w:type="dxa"/>
            <w:tcBorders/>
            <w:shd w:fill="auto" w:val="clear"/>
          </w:tcPr>
          <w:p>
            <w:pPr>
              <w:pStyle w:val="TableContents"/>
              <w:spacing w:before="0" w:after="283"/>
              <w:jc w:val="left"/>
              <w:rPr/>
            </w:pPr>
            <w:r>
              <w:rPr/>
              <w:t>(12)</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1" w:name="sig"/>
      <w:bookmarkEnd w:id="61"/>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on Form F-4 to be signed on its behalf by the undersigned, thereunto duly authorized, in the city of London, United Kingdom, on the 16th day of June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2"/>
        <w:gridCol w:w="60"/>
        <w:gridCol w:w="3793"/>
      </w:tblGrid>
      <w:tr>
        <w:trPr/>
        <w:tc>
          <w:tcPr>
            <w:tcW w:w="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93"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Rezolve AI Limited</w:t>
            </w:r>
          </w:p>
        </w:tc>
      </w:tr>
      <w:tr>
        <w:trPr>
          <w:trHeight w:val="240" w:hRule="atLeast"/>
        </w:trPr>
        <w:tc>
          <w:tcPr>
            <w:tcW w:w="362" w:type="dxa"/>
            <w:tcBorders/>
            <w:shd w:fill="auto" w:val="clear"/>
            <w:vAlign w:val="center"/>
          </w:tcPr>
          <w:p>
            <w:pPr>
              <w:pStyle w:val="TableContents"/>
              <w:spacing w:before="0" w:after="283"/>
              <w:rPr>
                <w:sz w:val="4"/>
                <w:szCs w:val="4"/>
              </w:rPr>
            </w:pPr>
            <w:r>
              <w:rPr>
                <w:sz w:val="4"/>
                <w:szCs w:val="4"/>
              </w:rPr>
            </w:r>
          </w:p>
        </w:tc>
        <w:tc>
          <w:tcPr>
            <w:tcW w:w="3853" w:type="dxa"/>
            <w:gridSpan w:val="2"/>
            <w:tcBorders/>
            <w:shd w:fill="auto" w:val="clear"/>
            <w:vAlign w:val="center"/>
          </w:tcPr>
          <w:p>
            <w:pPr>
              <w:pStyle w:val="TableContents"/>
              <w:spacing w:before="0" w:after="283"/>
              <w:rPr>
                <w:sz w:val="4"/>
                <w:szCs w:val="4"/>
              </w:rPr>
            </w:pPr>
            <w:r>
              <w:rPr>
                <w:sz w:val="4"/>
                <w:szCs w:val="4"/>
              </w:rPr>
            </w:r>
          </w:p>
        </w:tc>
      </w:tr>
      <w:tr>
        <w:trPr/>
        <w:tc>
          <w:tcPr>
            <w:tcW w:w="36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93"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Daniel Wagner</w:t>
            </w:r>
          </w:p>
        </w:tc>
      </w:tr>
      <w:tr>
        <w:trPr/>
        <w:tc>
          <w:tcPr>
            <w:tcW w:w="3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Daniel Wagner</w:t>
            </w:r>
          </w:p>
        </w:tc>
      </w:tr>
      <w:tr>
        <w:trPr/>
        <w:tc>
          <w:tcPr>
            <w:tcW w:w="3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9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Executive Officer</w:t>
            </w:r>
          </w:p>
        </w:tc>
      </w:tr>
    </w:tbl>
    <w:p>
      <w:pPr>
        <w:pStyle w:val="TextBody"/>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does hereby constitute and appoint Daniel Wagner and Richard Burchill, and each of them singly,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344"/>
        <w:gridCol w:w="121"/>
        <w:gridCol w:w="3969"/>
        <w:gridCol w:w="199"/>
        <w:gridCol w:w="1906"/>
      </w:tblGrid>
      <w:tr>
        <w:trPr/>
        <w:tc>
          <w:tcPr>
            <w:tcW w:w="434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r>
      <w:tr>
        <w:trPr/>
        <w:tc>
          <w:tcPr>
            <w:tcW w:w="434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w:t>
            </w:r>
          </w:p>
        </w:tc>
        <w:tc>
          <w:tcPr>
            <w:tcW w:w="121" w:type="dxa"/>
            <w:tcBorders/>
            <w:shd w:fill="auto" w:val="clear"/>
            <w:vAlign w:val="bottom"/>
          </w:tcPr>
          <w:p>
            <w:pPr>
              <w:pStyle w:val="TableContents"/>
              <w:spacing w:before="0" w:after="283"/>
              <w:rPr/>
            </w:pPr>
            <w:r>
              <w:rPr/>
              <w:t>  </w:t>
            </w:r>
          </w:p>
        </w:tc>
        <w:tc>
          <w:tcPr>
            <w:tcW w:w="396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199" w:type="dxa"/>
            <w:tcBorders/>
            <w:shd w:fill="auto" w:val="clear"/>
            <w:vAlign w:val="bottom"/>
          </w:tcPr>
          <w:p>
            <w:pPr>
              <w:pStyle w:val="TableContents"/>
              <w:spacing w:before="0" w:after="283"/>
              <w:rPr/>
            </w:pPr>
            <w:r>
              <w:rPr/>
              <w:t> </w:t>
            </w:r>
          </w:p>
        </w:tc>
        <w:tc>
          <w:tcPr>
            <w:tcW w:w="190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344" w:type="dxa"/>
            <w:tcBorders/>
            <w:shd w:fill="auto" w:val="clear"/>
            <w:vAlign w:val="center"/>
          </w:tcPr>
          <w:p>
            <w:pPr>
              <w:pStyle w:val="TableContents"/>
              <w:spacing w:before="0" w:after="283"/>
              <w:rPr>
                <w:sz w:val="4"/>
                <w:szCs w:val="4"/>
              </w:rPr>
            </w:pPr>
            <w:r>
              <w:rPr>
                <w:sz w:val="4"/>
                <w:szCs w:val="4"/>
              </w:rPr>
            </w:r>
          </w:p>
        </w:tc>
        <w:tc>
          <w:tcPr>
            <w:tcW w:w="40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shd w:fill="auto" w:val="clear"/>
            <w:vAlign w:val="center"/>
          </w:tcPr>
          <w:p>
            <w:pPr>
              <w:pStyle w:val="TableContents"/>
              <w:spacing w:before="0" w:after="283"/>
              <w:rPr>
                <w:sz w:val="4"/>
                <w:szCs w:val="4"/>
              </w:rPr>
            </w:pPr>
            <w:r>
              <w:rPr>
                <w:sz w:val="4"/>
                <w:szCs w:val="4"/>
              </w:rPr>
            </w:r>
          </w:p>
        </w:tc>
      </w:tr>
      <w:tr>
        <w:trPr/>
        <w:tc>
          <w:tcPr>
            <w:tcW w:w="4344"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Daniel Wagner</w:t>
            </w:r>
          </w:p>
          <w:p>
            <w:pPr>
              <w:pStyle w:val="TableContents"/>
              <w:spacing w:before="0" w:after="20"/>
              <w:jc w:val="center"/>
              <w:rPr>
                <w:rFonts w:ascii="Times New Roman" w:hAnsi="Times New Roman"/>
                <w:b/>
                <w:sz w:val="20"/>
              </w:rPr>
            </w:pPr>
            <w:r>
              <w:rPr>
                <w:rFonts w:ascii="Times New Roman" w:hAnsi="Times New Roman"/>
                <w:b/>
                <w:sz w:val="20"/>
              </w:rPr>
              <w:t>Daniel Wagner</w:t>
            </w:r>
          </w:p>
        </w:tc>
        <w:tc>
          <w:tcPr>
            <w:tcW w:w="121" w:type="dxa"/>
            <w:tcBorders/>
            <w:shd w:fill="auto" w:val="clear"/>
            <w:vAlign w:val="bottom"/>
          </w:tcPr>
          <w:p>
            <w:pPr>
              <w:pStyle w:val="TableContents"/>
              <w:spacing w:before="0" w:after="283"/>
              <w:rPr/>
            </w:pPr>
            <w:r>
              <w:rPr/>
              <w:t>  </w:t>
            </w:r>
          </w:p>
        </w:tc>
        <w:tc>
          <w:tcPr>
            <w:tcW w:w="3969"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and Director</w:t>
            </w:r>
          </w:p>
          <w:p>
            <w:pPr>
              <w:pStyle w:val="TableContents"/>
              <w:spacing w:before="0" w:after="20"/>
              <w:rPr>
                <w:rFonts w:ascii="Times New Roman" w:hAnsi="Times New Roman"/>
                <w:sz w:val="20"/>
              </w:rPr>
            </w:pPr>
            <w:r>
              <w:rPr>
                <w:rFonts w:ascii="Times New Roman" w:hAnsi="Times New Roman"/>
                <w:sz w:val="20"/>
              </w:rPr>
              <w:t>(Principal Executive Officer)</w:t>
            </w:r>
          </w:p>
        </w:tc>
        <w:tc>
          <w:tcPr>
            <w:tcW w:w="199" w:type="dxa"/>
            <w:tcBorders/>
            <w:shd w:fill="auto" w:val="clear"/>
            <w:vAlign w:val="bottom"/>
          </w:tcPr>
          <w:p>
            <w:pPr>
              <w:pStyle w:val="TableContents"/>
              <w:spacing w:before="0" w:after="283"/>
              <w:rPr/>
            </w:pPr>
            <w:r>
              <w:rPr/>
              <w:t> </w:t>
            </w:r>
          </w:p>
        </w:tc>
        <w:tc>
          <w:tcPr>
            <w:tcW w:w="1906" w:type="dxa"/>
            <w:tcBorders/>
            <w:shd w:fill="auto" w:val="clear"/>
          </w:tcPr>
          <w:p>
            <w:pPr>
              <w:pStyle w:val="TableContents"/>
              <w:spacing w:before="0" w:after="283"/>
              <w:jc w:val="center"/>
              <w:rPr/>
            </w:pPr>
            <w:r>
              <w:rPr/>
              <w:t>June 16, 2023</w:t>
            </w:r>
          </w:p>
        </w:tc>
      </w:tr>
      <w:tr>
        <w:trPr>
          <w:trHeight w:val="240" w:hRule="atLeast"/>
        </w:trPr>
        <w:tc>
          <w:tcPr>
            <w:tcW w:w="4344" w:type="dxa"/>
            <w:tcBorders/>
            <w:shd w:fill="auto" w:val="clear"/>
            <w:vAlign w:val="center"/>
          </w:tcPr>
          <w:p>
            <w:pPr>
              <w:pStyle w:val="TableContents"/>
              <w:spacing w:before="0" w:after="283"/>
              <w:rPr>
                <w:sz w:val="4"/>
                <w:szCs w:val="4"/>
              </w:rPr>
            </w:pPr>
            <w:r>
              <w:rPr>
                <w:sz w:val="4"/>
                <w:szCs w:val="4"/>
              </w:rPr>
            </w:r>
          </w:p>
        </w:tc>
        <w:tc>
          <w:tcPr>
            <w:tcW w:w="40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shd w:fill="auto" w:val="clear"/>
            <w:vAlign w:val="center"/>
          </w:tcPr>
          <w:p>
            <w:pPr>
              <w:pStyle w:val="TableContents"/>
              <w:spacing w:before="0" w:after="283"/>
              <w:rPr>
                <w:sz w:val="4"/>
                <w:szCs w:val="4"/>
              </w:rPr>
            </w:pPr>
            <w:r>
              <w:rPr>
                <w:sz w:val="4"/>
                <w:szCs w:val="4"/>
              </w:rPr>
            </w:r>
          </w:p>
        </w:tc>
      </w:tr>
      <w:tr>
        <w:trPr/>
        <w:tc>
          <w:tcPr>
            <w:tcW w:w="4344"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Richard Burchill</w:t>
            </w:r>
          </w:p>
          <w:p>
            <w:pPr>
              <w:pStyle w:val="TableContents"/>
              <w:spacing w:before="0" w:after="20"/>
              <w:jc w:val="center"/>
              <w:rPr>
                <w:rFonts w:ascii="Times New Roman" w:hAnsi="Times New Roman"/>
                <w:b/>
                <w:sz w:val="20"/>
              </w:rPr>
            </w:pPr>
            <w:r>
              <w:rPr>
                <w:rFonts w:ascii="Times New Roman" w:hAnsi="Times New Roman"/>
                <w:b/>
                <w:sz w:val="20"/>
              </w:rPr>
              <w:t>Richard Burchill</w:t>
            </w:r>
          </w:p>
        </w:tc>
        <w:tc>
          <w:tcPr>
            <w:tcW w:w="121" w:type="dxa"/>
            <w:tcBorders/>
            <w:shd w:fill="auto" w:val="clear"/>
            <w:vAlign w:val="bottom"/>
          </w:tcPr>
          <w:p>
            <w:pPr>
              <w:pStyle w:val="TableContents"/>
              <w:spacing w:before="0" w:after="283"/>
              <w:rPr/>
            </w:pPr>
            <w:r>
              <w:rPr/>
              <w:t>  </w:t>
            </w:r>
          </w:p>
        </w:tc>
        <w:tc>
          <w:tcPr>
            <w:tcW w:w="3969"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and Accounting Officer)</w:t>
            </w:r>
          </w:p>
        </w:tc>
        <w:tc>
          <w:tcPr>
            <w:tcW w:w="199" w:type="dxa"/>
            <w:tcBorders/>
            <w:shd w:fill="auto" w:val="clear"/>
            <w:vAlign w:val="bottom"/>
          </w:tcPr>
          <w:p>
            <w:pPr>
              <w:pStyle w:val="TableContents"/>
              <w:spacing w:before="0" w:after="283"/>
              <w:rPr/>
            </w:pPr>
            <w:r>
              <w:rPr/>
              <w:t> </w:t>
            </w:r>
          </w:p>
        </w:tc>
        <w:tc>
          <w:tcPr>
            <w:tcW w:w="1906" w:type="dxa"/>
            <w:tcBorders/>
            <w:shd w:fill="auto" w:val="clear"/>
          </w:tcPr>
          <w:p>
            <w:pPr>
              <w:pStyle w:val="TableContents"/>
              <w:spacing w:before="0" w:after="283"/>
              <w:jc w:val="center"/>
              <w:rPr/>
            </w:pPr>
            <w:r>
              <w:rPr/>
              <w:t>June 16, 2023</w:t>
            </w:r>
          </w:p>
        </w:tc>
      </w:tr>
      <w:tr>
        <w:trPr>
          <w:trHeight w:val="240" w:hRule="atLeast"/>
        </w:trPr>
        <w:tc>
          <w:tcPr>
            <w:tcW w:w="4344" w:type="dxa"/>
            <w:tcBorders/>
            <w:shd w:fill="auto" w:val="clear"/>
            <w:vAlign w:val="center"/>
          </w:tcPr>
          <w:p>
            <w:pPr>
              <w:pStyle w:val="TableContents"/>
              <w:spacing w:before="0" w:after="283"/>
              <w:rPr>
                <w:sz w:val="4"/>
                <w:szCs w:val="4"/>
              </w:rPr>
            </w:pPr>
            <w:r>
              <w:rPr>
                <w:sz w:val="4"/>
                <w:szCs w:val="4"/>
              </w:rPr>
            </w:r>
          </w:p>
        </w:tc>
        <w:tc>
          <w:tcPr>
            <w:tcW w:w="40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shd w:fill="auto" w:val="clear"/>
            <w:vAlign w:val="center"/>
          </w:tcPr>
          <w:p>
            <w:pPr>
              <w:pStyle w:val="TableContents"/>
              <w:spacing w:before="0" w:after="283"/>
              <w:rPr>
                <w:sz w:val="4"/>
                <w:szCs w:val="4"/>
              </w:rPr>
            </w:pPr>
            <w:r>
              <w:rPr>
                <w:sz w:val="4"/>
                <w:szCs w:val="4"/>
              </w:rPr>
            </w:r>
          </w:p>
        </w:tc>
      </w:tr>
      <w:tr>
        <w:trPr/>
        <w:tc>
          <w:tcPr>
            <w:tcW w:w="4344"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John Wagner</w:t>
            </w:r>
          </w:p>
          <w:p>
            <w:pPr>
              <w:pStyle w:val="TableContents"/>
              <w:spacing w:before="0" w:after="20"/>
              <w:jc w:val="center"/>
              <w:rPr>
                <w:rFonts w:ascii="Times New Roman" w:hAnsi="Times New Roman"/>
                <w:b/>
                <w:sz w:val="20"/>
              </w:rPr>
            </w:pPr>
            <w:r>
              <w:rPr>
                <w:rFonts w:ascii="Times New Roman" w:hAnsi="Times New Roman"/>
                <w:b/>
                <w:sz w:val="20"/>
              </w:rPr>
              <w:t>John Wagner</w:t>
            </w:r>
          </w:p>
        </w:tc>
        <w:tc>
          <w:tcPr>
            <w:tcW w:w="121" w:type="dxa"/>
            <w:tcBorders/>
            <w:shd w:fill="auto" w:val="clear"/>
            <w:vAlign w:val="bottom"/>
          </w:tcPr>
          <w:p>
            <w:pPr>
              <w:pStyle w:val="TableContents"/>
              <w:spacing w:before="0" w:after="283"/>
              <w:rPr/>
            </w:pPr>
            <w:r>
              <w:rPr/>
              <w:t>  </w:t>
            </w:r>
          </w:p>
        </w:tc>
        <w:tc>
          <w:tcPr>
            <w:tcW w:w="3969" w:type="dxa"/>
            <w:tcBorders/>
            <w:shd w:fill="auto" w:val="clear"/>
          </w:tcPr>
          <w:p>
            <w:pPr>
              <w:pStyle w:val="TableContents"/>
              <w:spacing w:before="0" w:after="283"/>
              <w:rPr/>
            </w:pPr>
            <w:r>
              <w:rPr/>
              <w:t>Director</w:t>
            </w:r>
          </w:p>
        </w:tc>
        <w:tc>
          <w:tcPr>
            <w:tcW w:w="199" w:type="dxa"/>
            <w:tcBorders/>
            <w:shd w:fill="auto" w:val="clear"/>
            <w:vAlign w:val="bottom"/>
          </w:tcPr>
          <w:p>
            <w:pPr>
              <w:pStyle w:val="TableContents"/>
              <w:spacing w:before="0" w:after="283"/>
              <w:rPr/>
            </w:pPr>
            <w:r>
              <w:rPr/>
              <w:t> </w:t>
            </w:r>
          </w:p>
        </w:tc>
        <w:tc>
          <w:tcPr>
            <w:tcW w:w="1906" w:type="dxa"/>
            <w:tcBorders/>
            <w:shd w:fill="auto" w:val="clear"/>
          </w:tcPr>
          <w:p>
            <w:pPr>
              <w:pStyle w:val="TableContents"/>
              <w:spacing w:before="0" w:after="283"/>
              <w:jc w:val="center"/>
              <w:rPr/>
            </w:pPr>
            <w:r>
              <w:rPr/>
              <w:t>June 16, 2023</w:t>
            </w:r>
          </w:p>
        </w:tc>
      </w:tr>
      <w:tr>
        <w:trPr>
          <w:trHeight w:val="240" w:hRule="atLeast"/>
        </w:trPr>
        <w:tc>
          <w:tcPr>
            <w:tcW w:w="4344" w:type="dxa"/>
            <w:tcBorders/>
            <w:shd w:fill="auto" w:val="clear"/>
            <w:vAlign w:val="center"/>
          </w:tcPr>
          <w:p>
            <w:pPr>
              <w:pStyle w:val="TableContents"/>
              <w:spacing w:before="0" w:after="283"/>
              <w:rPr>
                <w:sz w:val="4"/>
                <w:szCs w:val="4"/>
              </w:rPr>
            </w:pPr>
            <w:r>
              <w:rPr>
                <w:sz w:val="4"/>
                <w:szCs w:val="4"/>
              </w:rPr>
            </w:r>
          </w:p>
        </w:tc>
        <w:tc>
          <w:tcPr>
            <w:tcW w:w="40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shd w:fill="auto" w:val="clear"/>
            <w:vAlign w:val="center"/>
          </w:tcPr>
          <w:p>
            <w:pPr>
              <w:pStyle w:val="TableContents"/>
              <w:spacing w:before="0" w:after="283"/>
              <w:rPr>
                <w:sz w:val="4"/>
                <w:szCs w:val="4"/>
              </w:rPr>
            </w:pPr>
            <w:r>
              <w:rPr>
                <w:sz w:val="4"/>
                <w:szCs w:val="4"/>
              </w:rPr>
            </w:r>
          </w:p>
        </w:tc>
      </w:tr>
      <w:tr>
        <w:trPr/>
        <w:tc>
          <w:tcPr>
            <w:tcW w:w="4344"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Anthony Sharp</w:t>
            </w:r>
          </w:p>
          <w:p>
            <w:pPr>
              <w:pStyle w:val="TableContents"/>
              <w:spacing w:before="0" w:after="20"/>
              <w:jc w:val="center"/>
              <w:rPr>
                <w:rFonts w:ascii="Times New Roman" w:hAnsi="Times New Roman"/>
                <w:b/>
                <w:sz w:val="20"/>
              </w:rPr>
            </w:pPr>
            <w:r>
              <w:rPr>
                <w:rFonts w:ascii="Times New Roman" w:hAnsi="Times New Roman"/>
                <w:b/>
                <w:sz w:val="20"/>
              </w:rPr>
              <w:t>Anthony Sharp</w:t>
            </w:r>
          </w:p>
        </w:tc>
        <w:tc>
          <w:tcPr>
            <w:tcW w:w="121" w:type="dxa"/>
            <w:tcBorders/>
            <w:shd w:fill="auto" w:val="clear"/>
            <w:vAlign w:val="bottom"/>
          </w:tcPr>
          <w:p>
            <w:pPr>
              <w:pStyle w:val="TableContents"/>
              <w:spacing w:before="0" w:after="283"/>
              <w:rPr/>
            </w:pPr>
            <w:r>
              <w:rPr/>
              <w:t>  </w:t>
            </w:r>
          </w:p>
        </w:tc>
        <w:tc>
          <w:tcPr>
            <w:tcW w:w="3969" w:type="dxa"/>
            <w:tcBorders/>
            <w:shd w:fill="auto" w:val="clear"/>
          </w:tcPr>
          <w:p>
            <w:pPr>
              <w:pStyle w:val="TableContents"/>
              <w:spacing w:before="0" w:after="283"/>
              <w:rPr/>
            </w:pPr>
            <w:r>
              <w:rPr/>
              <w:t>Director</w:t>
            </w:r>
          </w:p>
        </w:tc>
        <w:tc>
          <w:tcPr>
            <w:tcW w:w="199" w:type="dxa"/>
            <w:tcBorders/>
            <w:shd w:fill="auto" w:val="clear"/>
            <w:vAlign w:val="bottom"/>
          </w:tcPr>
          <w:p>
            <w:pPr>
              <w:pStyle w:val="TableContents"/>
              <w:spacing w:before="0" w:after="283"/>
              <w:rPr/>
            </w:pPr>
            <w:r>
              <w:rPr/>
              <w:t> </w:t>
            </w:r>
          </w:p>
        </w:tc>
        <w:tc>
          <w:tcPr>
            <w:tcW w:w="1906" w:type="dxa"/>
            <w:tcBorders/>
            <w:shd w:fill="auto" w:val="clear"/>
          </w:tcPr>
          <w:p>
            <w:pPr>
              <w:pStyle w:val="TableContents"/>
              <w:spacing w:before="0" w:after="283"/>
              <w:jc w:val="center"/>
              <w:rPr/>
            </w:pPr>
            <w:r>
              <w:rPr/>
              <w:t>June 16, 2023</w:t>
            </w:r>
          </w:p>
        </w:tc>
      </w:tr>
      <w:tr>
        <w:trPr>
          <w:trHeight w:val="240" w:hRule="atLeast"/>
        </w:trPr>
        <w:tc>
          <w:tcPr>
            <w:tcW w:w="4344" w:type="dxa"/>
            <w:tcBorders/>
            <w:shd w:fill="auto" w:val="clear"/>
            <w:vAlign w:val="center"/>
          </w:tcPr>
          <w:p>
            <w:pPr>
              <w:pStyle w:val="TableContents"/>
              <w:spacing w:before="0" w:after="283"/>
              <w:rPr>
                <w:sz w:val="4"/>
                <w:szCs w:val="4"/>
              </w:rPr>
            </w:pPr>
            <w:r>
              <w:rPr>
                <w:sz w:val="4"/>
                <w:szCs w:val="4"/>
              </w:rPr>
            </w:r>
          </w:p>
        </w:tc>
        <w:tc>
          <w:tcPr>
            <w:tcW w:w="4090" w:type="dxa"/>
            <w:gridSpan w:val="2"/>
            <w:tcBorders/>
            <w:shd w:fill="auto" w:val="clear"/>
            <w:vAlign w:val="center"/>
          </w:tcPr>
          <w:p>
            <w:pPr>
              <w:pStyle w:val="TableContents"/>
              <w:spacing w:before="0" w:after="283"/>
              <w:rPr>
                <w:sz w:val="4"/>
                <w:szCs w:val="4"/>
              </w:rPr>
            </w:pPr>
            <w:r>
              <w:rPr>
                <w:sz w:val="4"/>
                <w:szCs w:val="4"/>
              </w:rPr>
            </w:r>
          </w:p>
        </w:tc>
        <w:tc>
          <w:tcPr>
            <w:tcW w:w="2105" w:type="dxa"/>
            <w:gridSpan w:val="2"/>
            <w:tcBorders/>
            <w:shd w:fill="auto" w:val="clear"/>
            <w:vAlign w:val="center"/>
          </w:tcPr>
          <w:p>
            <w:pPr>
              <w:pStyle w:val="TableContents"/>
              <w:spacing w:before="0" w:after="283"/>
              <w:rPr>
                <w:sz w:val="4"/>
                <w:szCs w:val="4"/>
              </w:rPr>
            </w:pPr>
            <w:r>
              <w:rPr>
                <w:sz w:val="4"/>
                <w:szCs w:val="4"/>
              </w:rPr>
            </w:r>
          </w:p>
        </w:tc>
      </w:tr>
      <w:tr>
        <w:trPr/>
        <w:tc>
          <w:tcPr>
            <w:tcW w:w="4344"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Sir David Wright</w:t>
            </w:r>
          </w:p>
          <w:p>
            <w:pPr>
              <w:pStyle w:val="TableContents"/>
              <w:spacing w:before="0" w:after="20"/>
              <w:jc w:val="center"/>
              <w:rPr>
                <w:rFonts w:ascii="Times New Roman" w:hAnsi="Times New Roman"/>
                <w:b/>
                <w:sz w:val="20"/>
              </w:rPr>
            </w:pPr>
            <w:r>
              <w:rPr>
                <w:rFonts w:ascii="Times New Roman" w:hAnsi="Times New Roman"/>
                <w:b/>
                <w:sz w:val="20"/>
              </w:rPr>
              <w:t>Sir David Wright</w:t>
            </w:r>
          </w:p>
        </w:tc>
        <w:tc>
          <w:tcPr>
            <w:tcW w:w="121" w:type="dxa"/>
            <w:tcBorders/>
            <w:shd w:fill="auto" w:val="clear"/>
            <w:vAlign w:val="bottom"/>
          </w:tcPr>
          <w:p>
            <w:pPr>
              <w:pStyle w:val="TableContents"/>
              <w:spacing w:before="0" w:after="283"/>
              <w:rPr/>
            </w:pPr>
            <w:r>
              <w:rPr/>
              <w:t>  </w:t>
            </w:r>
          </w:p>
        </w:tc>
        <w:tc>
          <w:tcPr>
            <w:tcW w:w="3969" w:type="dxa"/>
            <w:tcBorders/>
            <w:shd w:fill="auto" w:val="clear"/>
          </w:tcPr>
          <w:p>
            <w:pPr>
              <w:pStyle w:val="TableContents"/>
              <w:spacing w:before="0" w:after="283"/>
              <w:rPr/>
            </w:pPr>
            <w:r>
              <w:rPr/>
              <w:t>Director</w:t>
            </w:r>
          </w:p>
        </w:tc>
        <w:tc>
          <w:tcPr>
            <w:tcW w:w="199" w:type="dxa"/>
            <w:tcBorders/>
            <w:shd w:fill="auto" w:val="clear"/>
            <w:vAlign w:val="bottom"/>
          </w:tcPr>
          <w:p>
            <w:pPr>
              <w:pStyle w:val="TableContents"/>
              <w:spacing w:before="0" w:after="283"/>
              <w:rPr/>
            </w:pPr>
            <w:r>
              <w:rPr/>
              <w:t> </w:t>
            </w:r>
          </w:p>
        </w:tc>
        <w:tc>
          <w:tcPr>
            <w:tcW w:w="1906" w:type="dxa"/>
            <w:tcBorders/>
            <w:shd w:fill="auto" w:val="clear"/>
          </w:tcPr>
          <w:p>
            <w:pPr>
              <w:pStyle w:val="TableContents"/>
              <w:spacing w:before="0" w:after="283"/>
              <w:jc w:val="center"/>
              <w:rPr/>
            </w:pPr>
            <w:r>
              <w:rPr/>
              <w:t>June 16, 2023</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628"/>
        <w:gridCol w:w="120"/>
        <w:gridCol w:w="3646"/>
        <w:gridCol w:w="210"/>
        <w:gridCol w:w="1935"/>
      </w:tblGrid>
      <w:tr>
        <w:trPr/>
        <w:tc>
          <w:tcPr>
            <w:tcW w:w="46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r>
      <w:tr>
        <w:trPr/>
        <w:tc>
          <w:tcPr>
            <w:tcW w:w="462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Name</w:t>
            </w:r>
          </w:p>
        </w:tc>
        <w:tc>
          <w:tcPr>
            <w:tcW w:w="120" w:type="dxa"/>
            <w:tcBorders/>
            <w:shd w:fill="auto" w:val="clear"/>
            <w:vAlign w:val="bottom"/>
          </w:tcPr>
          <w:p>
            <w:pPr>
              <w:pStyle w:val="TableContents"/>
              <w:spacing w:before="0" w:after="283"/>
              <w:rPr/>
            </w:pPr>
            <w:r>
              <w:rPr/>
              <w:t>  </w:t>
            </w:r>
          </w:p>
        </w:tc>
        <w:tc>
          <w:tcPr>
            <w:tcW w:w="36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c>
          <w:tcPr>
            <w:tcW w:w="210" w:type="dxa"/>
            <w:tcBorders/>
            <w:shd w:fill="auto" w:val="clear"/>
            <w:vAlign w:val="bottom"/>
          </w:tcPr>
          <w:p>
            <w:pPr>
              <w:pStyle w:val="TableContents"/>
              <w:spacing w:before="0" w:after="283"/>
              <w:rPr/>
            </w:pPr>
            <w:r>
              <w:rPr/>
              <w:t> </w:t>
            </w:r>
          </w:p>
        </w:tc>
        <w:tc>
          <w:tcPr>
            <w:tcW w:w="193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4628" w:type="dxa"/>
            <w:tcBorders/>
            <w:shd w:fill="auto" w:val="clear"/>
            <w:vAlign w:val="center"/>
          </w:tcPr>
          <w:p>
            <w:pPr>
              <w:pStyle w:val="TableContents"/>
              <w:spacing w:before="0" w:after="283"/>
              <w:rPr>
                <w:sz w:val="4"/>
                <w:szCs w:val="4"/>
              </w:rPr>
            </w:pPr>
            <w:r>
              <w:rPr>
                <w:sz w:val="4"/>
                <w:szCs w:val="4"/>
              </w:rPr>
            </w:r>
          </w:p>
        </w:tc>
        <w:tc>
          <w:tcPr>
            <w:tcW w:w="3766" w:type="dxa"/>
            <w:gridSpan w:val="2"/>
            <w:tcBorders/>
            <w:shd w:fill="auto" w:val="clear"/>
            <w:vAlign w:val="center"/>
          </w:tcPr>
          <w:p>
            <w:pPr>
              <w:pStyle w:val="TableContents"/>
              <w:spacing w:before="0" w:after="283"/>
              <w:rPr>
                <w:sz w:val="4"/>
                <w:szCs w:val="4"/>
              </w:rPr>
            </w:pPr>
            <w:r>
              <w:rPr>
                <w:sz w:val="4"/>
                <w:szCs w:val="4"/>
              </w:rPr>
            </w:r>
          </w:p>
        </w:tc>
        <w:tc>
          <w:tcPr>
            <w:tcW w:w="2145" w:type="dxa"/>
            <w:gridSpan w:val="2"/>
            <w:tcBorders/>
            <w:shd w:fill="auto" w:val="clear"/>
            <w:vAlign w:val="center"/>
          </w:tcPr>
          <w:p>
            <w:pPr>
              <w:pStyle w:val="TableContents"/>
              <w:spacing w:before="0" w:after="283"/>
              <w:rPr>
                <w:sz w:val="4"/>
                <w:szCs w:val="4"/>
              </w:rPr>
            </w:pPr>
            <w:r>
              <w:rPr>
                <w:sz w:val="4"/>
                <w:szCs w:val="4"/>
              </w:rPr>
            </w:r>
          </w:p>
        </w:tc>
      </w:tr>
      <w:tr>
        <w:trPr/>
        <w:tc>
          <w:tcPr>
            <w:tcW w:w="4628"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Stephen Perry</w:t>
            </w:r>
          </w:p>
          <w:p>
            <w:pPr>
              <w:pStyle w:val="TableContents"/>
              <w:spacing w:before="0" w:after="20"/>
              <w:jc w:val="center"/>
              <w:rPr>
                <w:rFonts w:ascii="Times New Roman" w:hAnsi="Times New Roman"/>
                <w:b/>
                <w:sz w:val="20"/>
              </w:rPr>
            </w:pPr>
            <w:r>
              <w:rPr>
                <w:rFonts w:ascii="Times New Roman" w:hAnsi="Times New Roman"/>
                <w:b/>
                <w:sz w:val="20"/>
              </w:rPr>
              <w:t>Stephen Perry</w:t>
            </w:r>
          </w:p>
        </w:tc>
        <w:tc>
          <w:tcPr>
            <w:tcW w:w="120"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Director</w:t>
            </w:r>
          </w:p>
        </w:tc>
        <w:tc>
          <w:tcPr>
            <w:tcW w:w="210" w:type="dxa"/>
            <w:tcBorders/>
            <w:shd w:fill="auto" w:val="clear"/>
            <w:vAlign w:val="bottom"/>
          </w:tcPr>
          <w:p>
            <w:pPr>
              <w:pStyle w:val="TableContents"/>
              <w:spacing w:before="0" w:after="283"/>
              <w:rPr/>
            </w:pPr>
            <w:r>
              <w:rPr/>
              <w:t> </w:t>
            </w:r>
          </w:p>
        </w:tc>
        <w:tc>
          <w:tcPr>
            <w:tcW w:w="1935" w:type="dxa"/>
            <w:tcBorders/>
            <w:shd w:fill="auto" w:val="clear"/>
          </w:tcPr>
          <w:p>
            <w:pPr>
              <w:pStyle w:val="TableContents"/>
              <w:spacing w:before="0" w:after="283"/>
              <w:jc w:val="center"/>
              <w:rPr/>
            </w:pPr>
            <w:r>
              <w:rPr/>
              <w:t>June 16, 2023</w:t>
            </w:r>
          </w:p>
        </w:tc>
      </w:tr>
      <w:tr>
        <w:trPr>
          <w:trHeight w:val="240" w:hRule="atLeast"/>
        </w:trPr>
        <w:tc>
          <w:tcPr>
            <w:tcW w:w="4628" w:type="dxa"/>
            <w:tcBorders/>
            <w:shd w:fill="auto" w:val="clear"/>
            <w:vAlign w:val="center"/>
          </w:tcPr>
          <w:p>
            <w:pPr>
              <w:pStyle w:val="TableContents"/>
              <w:spacing w:before="0" w:after="283"/>
              <w:rPr>
                <w:sz w:val="4"/>
                <w:szCs w:val="4"/>
              </w:rPr>
            </w:pPr>
            <w:r>
              <w:rPr>
                <w:sz w:val="4"/>
                <w:szCs w:val="4"/>
              </w:rPr>
            </w:r>
          </w:p>
        </w:tc>
        <w:tc>
          <w:tcPr>
            <w:tcW w:w="3766" w:type="dxa"/>
            <w:gridSpan w:val="2"/>
            <w:tcBorders/>
            <w:shd w:fill="auto" w:val="clear"/>
            <w:vAlign w:val="center"/>
          </w:tcPr>
          <w:p>
            <w:pPr>
              <w:pStyle w:val="TableContents"/>
              <w:spacing w:before="0" w:after="283"/>
              <w:rPr>
                <w:sz w:val="4"/>
                <w:szCs w:val="4"/>
              </w:rPr>
            </w:pPr>
            <w:r>
              <w:rPr>
                <w:sz w:val="4"/>
                <w:szCs w:val="4"/>
              </w:rPr>
            </w:r>
          </w:p>
        </w:tc>
        <w:tc>
          <w:tcPr>
            <w:tcW w:w="2145" w:type="dxa"/>
            <w:gridSpan w:val="2"/>
            <w:tcBorders/>
            <w:shd w:fill="auto" w:val="clear"/>
            <w:vAlign w:val="center"/>
          </w:tcPr>
          <w:p>
            <w:pPr>
              <w:pStyle w:val="TableContents"/>
              <w:spacing w:before="0" w:after="283"/>
              <w:rPr>
                <w:sz w:val="4"/>
                <w:szCs w:val="4"/>
              </w:rPr>
            </w:pPr>
            <w:r>
              <w:rPr>
                <w:sz w:val="4"/>
                <w:szCs w:val="4"/>
              </w:rPr>
            </w:r>
          </w:p>
        </w:tc>
      </w:tr>
      <w:tr>
        <w:trPr/>
        <w:tc>
          <w:tcPr>
            <w:tcW w:w="4628" w:type="dxa"/>
            <w:tcBorders/>
            <w:shd w:fill="auto" w:val="clear"/>
          </w:tcPr>
          <w:p>
            <w:pPr>
              <w:pStyle w:val="TableContents"/>
              <w:pBdr>
                <w:bottom w:val="single" w:sz="2" w:space="1" w:color="000000"/>
              </w:pBdr>
              <w:spacing w:before="0" w:after="0"/>
              <w:jc w:val="center"/>
              <w:rPr>
                <w:rFonts w:ascii="Times New Roman" w:hAnsi="Times New Roman"/>
                <w:b/>
                <w:sz w:val="20"/>
              </w:rPr>
            </w:pPr>
            <w:r>
              <w:rPr>
                <w:rFonts w:ascii="Times New Roman" w:hAnsi="Times New Roman"/>
                <w:b/>
                <w:sz w:val="20"/>
              </w:rPr>
              <w:t>/s/ Derek Smith</w:t>
            </w:r>
          </w:p>
          <w:p>
            <w:pPr>
              <w:pStyle w:val="TableContents"/>
              <w:spacing w:before="0" w:after="20"/>
              <w:jc w:val="center"/>
              <w:rPr>
                <w:rFonts w:ascii="Times New Roman" w:hAnsi="Times New Roman"/>
                <w:b/>
                <w:sz w:val="20"/>
              </w:rPr>
            </w:pPr>
            <w:r>
              <w:rPr>
                <w:rFonts w:ascii="Times New Roman" w:hAnsi="Times New Roman"/>
                <w:b/>
                <w:sz w:val="20"/>
              </w:rPr>
              <w:t>Derek Smith</w:t>
            </w:r>
          </w:p>
        </w:tc>
        <w:tc>
          <w:tcPr>
            <w:tcW w:w="120" w:type="dxa"/>
            <w:tcBorders/>
            <w:shd w:fill="auto" w:val="clear"/>
            <w:vAlign w:val="bottom"/>
          </w:tcPr>
          <w:p>
            <w:pPr>
              <w:pStyle w:val="TableContents"/>
              <w:spacing w:before="0" w:after="283"/>
              <w:rPr/>
            </w:pPr>
            <w:r>
              <w:rPr/>
              <w:t>  </w:t>
            </w:r>
          </w:p>
        </w:tc>
        <w:tc>
          <w:tcPr>
            <w:tcW w:w="3646" w:type="dxa"/>
            <w:tcBorders/>
            <w:shd w:fill="auto" w:val="clear"/>
          </w:tcPr>
          <w:p>
            <w:pPr>
              <w:pStyle w:val="TableContents"/>
              <w:spacing w:before="0" w:after="283"/>
              <w:rPr/>
            </w:pPr>
            <w:r>
              <w:rPr/>
              <w:t>Director</w:t>
            </w:r>
          </w:p>
        </w:tc>
        <w:tc>
          <w:tcPr>
            <w:tcW w:w="210" w:type="dxa"/>
            <w:tcBorders/>
            <w:shd w:fill="auto" w:val="clear"/>
            <w:vAlign w:val="bottom"/>
          </w:tcPr>
          <w:p>
            <w:pPr>
              <w:pStyle w:val="TableContents"/>
              <w:spacing w:before="0" w:after="283"/>
              <w:rPr/>
            </w:pPr>
            <w:r>
              <w:rPr/>
              <w:t> </w:t>
            </w:r>
          </w:p>
        </w:tc>
        <w:tc>
          <w:tcPr>
            <w:tcW w:w="1935" w:type="dxa"/>
            <w:tcBorders/>
            <w:shd w:fill="auto" w:val="clear"/>
          </w:tcPr>
          <w:p>
            <w:pPr>
              <w:pStyle w:val="TableContents"/>
              <w:spacing w:before="0" w:after="283"/>
              <w:jc w:val="center"/>
              <w:rPr/>
            </w:pPr>
            <w:r>
              <w:rPr/>
              <w:t>June 16, 2023</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 OF AUTHORIZED U.S. REPRESENTATIVE OF THE REGISTRANT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on Form F-4 to be signed on its behalf by the undersigned, thereunto duly authorized, in the city of New York, New York, on the 16th day of June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7"/>
        <w:gridCol w:w="60"/>
        <w:gridCol w:w="3798"/>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98"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Cogency Global Inc. </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858"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98" w:type="dxa"/>
            <w:tcBorders>
              <w:bottom w:val="single" w:sz="2" w:space="0" w:color="000000"/>
            </w:tcBorders>
            <w:shd w:fill="auto" w:val="clear"/>
            <w:tcMar>
              <w:bottom w:w="28" w:type="dxa"/>
            </w:tcMar>
            <w:vAlign w:val="bottom"/>
          </w:tcPr>
          <w:p>
            <w:pPr>
              <w:pStyle w:val="TableContents"/>
              <w:spacing w:before="0" w:after="283"/>
              <w:rPr/>
            </w:pPr>
            <w:r>
              <w:rPr/>
              <w:t>/s/ Colleen A. De Vries</w:t>
            </w:r>
          </w:p>
        </w:tc>
      </w:tr>
      <w:tr>
        <w:trPr/>
        <w:tc>
          <w:tcPr>
            <w:tcW w:w="3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98"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Colleen A. De Vries</w:t>
            </w:r>
          </w:p>
        </w:tc>
      </w:tr>
      <w:tr>
        <w:trPr/>
        <w:tc>
          <w:tcPr>
            <w:tcW w:w="3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98" w:type="dxa"/>
            <w:tcBorders/>
            <w:shd w:fill="auto" w:val="clear"/>
            <w:vAlign w:val="bottom"/>
          </w:tcPr>
          <w:p>
            <w:pPr>
              <w:pStyle w:val="TableContents"/>
              <w:spacing w:before="0" w:after="20"/>
              <w:rPr>
                <w:rFonts w:ascii="Times New Roman" w:hAnsi="Times New Roman"/>
                <w:sz w:val="20"/>
              </w:rPr>
            </w:pPr>
            <w:r>
              <w:rPr>
                <w:rFonts w:ascii="Times New Roman" w:hAnsi="Times New Roman"/>
                <w:sz w:val="20"/>
              </w:rPr>
              <w:t>Senior Vice-President on behalf of Cogency Global Inc.</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TextBody"/>
        <w:spacing w:before="0" w:after="0"/>
        <w:jc w:val="right"/>
        <w:rPr>
          <w:rFonts w:ascii="Times New Roman" w:hAnsi="Times New Roman"/>
          <w:b/>
          <w:sz w:val="20"/>
        </w:rPr>
      </w:pPr>
      <w:bookmarkStart w:id="62" w:name="d309194dex231.htm"/>
      <w:bookmarkStart w:id="63" w:name="ksd309194dex231"/>
      <w:bookmarkEnd w:id="62"/>
      <w:bookmarkEnd w:id="63"/>
      <w:r>
        <w:rPr>
          <w:rFonts w:ascii="Times New Roman" w:hAnsi="Times New Roman"/>
          <w:b/>
          <w:sz w:val="20"/>
        </w:rPr>
        <w:t xml:space="preserve">Exhibit 23.1 </w:t>
      </w:r>
    </w:p>
    <w:p>
      <w:pPr>
        <w:pStyle w:val="TextBody"/>
        <w:spacing w:before="0" w:after="0"/>
        <w:jc w:val="left"/>
        <w:rPr/>
      </w:pPr>
      <w:r>
        <w:rPr/>
        <w:t> </w:t>
      </w:r>
    </w:p>
    <w:p>
      <w:pPr>
        <w:pStyle w:val="TextBody"/>
        <w:spacing w:before="0" w:after="0"/>
        <w:jc w:val="left"/>
        <w:rPr/>
      </w:pPr>
      <w:r>
        <w:rPr/>
        <w:drawing>
          <wp:inline distT="0" distB="0" distL="0" distR="0">
            <wp:extent cx="7058025" cy="933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58025" cy="933450"/>
                    </a:xfrm>
                    <a:prstGeom prst="rect">
                      <a:avLst/>
                    </a:prstGeom>
                  </pic:spPr>
                </pic:pic>
              </a:graphicData>
            </a:graphic>
          </wp:inline>
        </w:drawing>
      </w:r>
      <w:r>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use in this Registration Statement on Form F-4 of Rezolve AI Limited of our report dated June 13, 2023, relating to the carve-out consolidated financial statements of Rezolve AI Limited. We also consent to the reference to us under the heading Experts in such Registration Statement. </w:t>
      </w:r>
    </w:p>
    <w:p>
      <w:pPr>
        <w:pStyle w:val="TextBody"/>
        <w:spacing w:before="0" w:after="0"/>
        <w:jc w:val="left"/>
        <w:rPr/>
      </w:pPr>
      <w:r>
        <w:rPr/>
        <w:t> </w:t>
      </w:r>
    </w:p>
    <w:p>
      <w:pPr>
        <w:pStyle w:val="TextBody"/>
        <w:spacing w:before="0" w:after="0"/>
        <w:jc w:val="left"/>
        <w:rPr/>
      </w:pPr>
      <w:r>
        <w:rPr/>
        <w:drawing>
          <wp:inline distT="0" distB="0" distL="0" distR="0">
            <wp:extent cx="3095625" cy="1333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95625" cy="1333500"/>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22"/>
        <w:gridCol w:w="106"/>
        <w:gridCol w:w="5111"/>
      </w:tblGrid>
      <w:tr>
        <w:trPr/>
        <w:tc>
          <w:tcPr>
            <w:tcW w:w="532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111" w:type="dxa"/>
            <w:tcBorders/>
            <w:shd w:fill="auto" w:val="clear"/>
            <w:vAlign w:val="center"/>
          </w:tcPr>
          <w:p>
            <w:pPr>
              <w:pStyle w:val="TableContents"/>
              <w:spacing w:before="0" w:after="283"/>
              <w:rPr>
                <w:sz w:val="4"/>
                <w:szCs w:val="4"/>
              </w:rPr>
            </w:pPr>
            <w:r>
              <w:rPr>
                <w:sz w:val="4"/>
                <w:szCs w:val="4"/>
              </w:rPr>
            </w:r>
          </w:p>
        </w:tc>
      </w:tr>
      <w:tr>
        <w:trPr/>
        <w:tc>
          <w:tcPr>
            <w:tcW w:w="5322" w:type="dxa"/>
            <w:tcBorders/>
            <w:shd w:fill="auto" w:val="clear"/>
          </w:tcPr>
          <w:p>
            <w:pPr>
              <w:pStyle w:val="TableContents"/>
              <w:spacing w:before="0" w:after="0"/>
              <w:rPr>
                <w:rFonts w:ascii="Times New Roman" w:hAnsi="Times New Roman"/>
                <w:sz w:val="20"/>
              </w:rPr>
            </w:pPr>
            <w:r>
              <w:rPr>
                <w:rFonts w:ascii="Times New Roman" w:hAnsi="Times New Roman"/>
                <w:sz w:val="20"/>
              </w:rPr>
              <w:t>New York, New York</w:t>
            </w:r>
          </w:p>
          <w:p>
            <w:pPr>
              <w:pStyle w:val="TableContents"/>
              <w:spacing w:before="0" w:after="20"/>
              <w:rPr>
                <w:rFonts w:ascii="Times New Roman" w:hAnsi="Times New Roman"/>
                <w:sz w:val="20"/>
              </w:rPr>
            </w:pPr>
            <w:r>
              <w:rPr>
                <w:rFonts w:ascii="Times New Roman" w:hAnsi="Times New Roman"/>
                <w:sz w:val="20"/>
              </w:rPr>
              <w:t>June 16, 2023</w:t>
            </w:r>
          </w:p>
        </w:tc>
        <w:tc>
          <w:tcPr>
            <w:tcW w:w="106" w:type="dxa"/>
            <w:tcBorders/>
            <w:shd w:fill="auto" w:val="clear"/>
            <w:vAlign w:val="bottom"/>
          </w:tcPr>
          <w:p>
            <w:pPr>
              <w:pStyle w:val="TableContents"/>
              <w:spacing w:before="0" w:after="283"/>
              <w:rPr/>
            </w:pPr>
            <w:r>
              <w:rPr/>
              <w:t> </w:t>
            </w:r>
          </w:p>
        </w:tc>
        <w:tc>
          <w:tcPr>
            <w:tcW w:w="5111" w:type="dxa"/>
            <w:tcBorders/>
            <w:shd w:fill="auto" w:val="clear"/>
            <w:vAlign w:val="bottom"/>
          </w:tcPr>
          <w:p>
            <w:pPr>
              <w:pStyle w:val="TableContents"/>
              <w:spacing w:before="0" w:after="0"/>
              <w:rPr/>
            </w:pPr>
            <w:r>
              <w:rPr/>
              <w:drawing>
                <wp:inline distT="0" distB="0" distL="0" distR="0">
                  <wp:extent cx="2619375" cy="1076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619375" cy="1076325"/>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left"/>
        <w:rPr/>
      </w:pPr>
      <w:r>
        <w:rPr/>
        <w:drawing>
          <wp:inline distT="0" distB="0" distL="0" distR="0">
            <wp:extent cx="6772275" cy="885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772275" cy="885825"/>
                    </a:xfrm>
                    <a:prstGeom prst="rect">
                      <a:avLst/>
                    </a:prstGeom>
                  </pic:spPr>
                </pic:pic>
              </a:graphicData>
            </a:graphic>
          </wp:inline>
        </w:drawing>
      </w:r>
      <w:r>
        <w:rPr/>
        <w:t xml:space="preserve"> </w:t>
      </w:r>
      <w:r>
        <w:br w:type="page"/>
      </w:r>
    </w:p>
    <w:p>
      <w:pPr>
        <w:pStyle w:val="TextBody"/>
        <w:spacing w:before="0" w:after="0"/>
        <w:jc w:val="right"/>
        <w:rPr>
          <w:rFonts w:ascii="Times New Roman" w:hAnsi="Times New Roman"/>
          <w:b/>
          <w:sz w:val="20"/>
        </w:rPr>
      </w:pPr>
      <w:bookmarkStart w:id="64" w:name="d309194dex232.htm"/>
      <w:bookmarkStart w:id="65" w:name="ksd309194dex232"/>
      <w:bookmarkEnd w:id="64"/>
      <w:bookmarkEnd w:id="65"/>
      <w:r>
        <w:rPr>
          <w:rFonts w:ascii="Times New Roman" w:hAnsi="Times New Roman"/>
          <w:b/>
          <w:sz w:val="20"/>
        </w:rPr>
        <w:t xml:space="preserve">EXHIBIT 23.2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INDEPENDENT REGISTERED PUBLIC ACCOUNTING FIRMS CONSENT </w:t>
      </w:r>
    </w:p>
    <w:p>
      <w:pPr>
        <w:pStyle w:val="TextBody"/>
        <w:spacing w:before="240" w:after="0"/>
        <w:jc w:val="left"/>
        <w:rPr>
          <w:rFonts w:ascii="Times New Roman" w:hAnsi="Times New Roman"/>
          <w:sz w:val="20"/>
        </w:rPr>
      </w:pPr>
      <w:r>
        <w:rPr>
          <w:rFonts w:ascii="Times New Roman" w:hAnsi="Times New Roman"/>
          <w:sz w:val="20"/>
        </w:rPr>
        <w:t xml:space="preserve">We consent to the inclusion in this Registration Statement of Armada Acquisition Corp. I on Form F-4 of our report dated December 21, 2022, which includes an explanatory paragraph as to the Armada Acquisition Corp. Is ability to continue as a going concern, with respect to our audits of the financial statements of Armada Acquisition Corp. I as of September 30, 2022 and 2021 and for the year ended September 30, 2022 and for the period from November 5, 2020 (inception) through September 30, 2021, which report appears in the Prospectus, which is part of this Registration Statement. We also consent to the reference to our Firm under the heading Experts in such Prospectus. </w:t>
      </w:r>
    </w:p>
    <w:p>
      <w:pPr>
        <w:pStyle w:val="TextBody"/>
        <w:spacing w:before="240" w:after="0"/>
        <w:jc w:val="left"/>
        <w:rPr>
          <w:rFonts w:ascii="Times New Roman" w:hAnsi="Times New Roman"/>
          <w:sz w:val="20"/>
        </w:rPr>
      </w:pPr>
      <w:r>
        <w:rPr>
          <w:rFonts w:ascii="Times New Roman" w:hAnsi="Times New Roman"/>
          <w:sz w:val="20"/>
        </w:rPr>
        <w:t xml:space="preserve">/s/ Marcum LLP </w:t>
      </w:r>
    </w:p>
    <w:p>
      <w:pPr>
        <w:pStyle w:val="TextBody"/>
        <w:spacing w:before="240" w:after="0"/>
        <w:jc w:val="left"/>
        <w:rPr>
          <w:rFonts w:ascii="Times New Roman" w:hAnsi="Times New Roman"/>
          <w:sz w:val="20"/>
        </w:rPr>
      </w:pPr>
      <w:r>
        <w:rPr>
          <w:rFonts w:ascii="Times New Roman" w:hAnsi="Times New Roman"/>
          <w:sz w:val="20"/>
        </w:rPr>
        <w:t xml:space="preserve">Marcum LLP </w:t>
      </w:r>
    </w:p>
    <w:p>
      <w:pPr>
        <w:pStyle w:val="TextBody"/>
        <w:spacing w:before="0" w:after="0"/>
        <w:jc w:val="left"/>
        <w:rPr>
          <w:rFonts w:ascii="Times New Roman" w:hAnsi="Times New Roman"/>
          <w:sz w:val="20"/>
        </w:rPr>
      </w:pPr>
      <w:r>
        <w:rPr>
          <w:rFonts w:ascii="Times New Roman" w:hAnsi="Times New Roman"/>
          <w:sz w:val="20"/>
        </w:rPr>
        <w:t xml:space="preserve">New York, NY </w:t>
      </w:r>
    </w:p>
    <w:p>
      <w:pPr>
        <w:pStyle w:val="TextBody"/>
        <w:spacing w:before="0" w:after="0"/>
        <w:jc w:val="left"/>
        <w:rPr>
          <w:rFonts w:ascii="Times New Roman" w:hAnsi="Times New Roman"/>
          <w:sz w:val="20"/>
        </w:rPr>
      </w:pPr>
      <w:r>
        <w:rPr>
          <w:rFonts w:ascii="Times New Roman" w:hAnsi="Times New Roman"/>
          <w:sz w:val="20"/>
        </w:rPr>
        <w:t xml:space="preserve">June 16, 2023 </w:t>
      </w:r>
      <w:r>
        <w:br w:type="page"/>
      </w:r>
    </w:p>
    <w:p>
      <w:pPr>
        <w:pStyle w:val="TextBody"/>
        <w:spacing w:before="0" w:after="0"/>
        <w:jc w:val="right"/>
        <w:rPr>
          <w:rFonts w:ascii="Times New Roman" w:hAnsi="Times New Roman"/>
          <w:b/>
          <w:sz w:val="20"/>
        </w:rPr>
      </w:pPr>
      <w:bookmarkStart w:id="66" w:name="d309194dex233.htm"/>
      <w:bookmarkStart w:id="67" w:name="ksd309194dex233"/>
      <w:bookmarkEnd w:id="66"/>
      <w:bookmarkEnd w:id="67"/>
      <w:r>
        <w:rPr>
          <w:rFonts w:ascii="Times New Roman" w:hAnsi="Times New Roman"/>
          <w:b/>
          <w:sz w:val="20"/>
        </w:rPr>
        <w:t xml:space="preserve">EXHIBIT 23.3 </w:t>
      </w:r>
    </w:p>
    <w:p>
      <w:pPr>
        <w:pStyle w:val="TextBody"/>
        <w:spacing w:before="240" w:after="0"/>
        <w:jc w:val="left"/>
        <w:rPr>
          <w:rFonts w:ascii="Times New Roman" w:hAnsi="Times New Roman"/>
          <w:sz w:val="20"/>
        </w:rPr>
      </w:pPr>
      <w:r>
        <w:rPr>
          <w:rFonts w:ascii="Times New Roman" w:hAnsi="Times New Roman"/>
          <w:sz w:val="20"/>
        </w:rPr>
        <w:t xml:space="preserve">Consent of Marshall &amp; Stevens Transaction Advisory Services LLC </w:t>
      </w:r>
    </w:p>
    <w:p>
      <w:pPr>
        <w:pStyle w:val="TextBody"/>
        <w:spacing w:before="120" w:after="0"/>
        <w:jc w:val="left"/>
        <w:rPr>
          <w:rFonts w:ascii="Times New Roman" w:hAnsi="Times New Roman"/>
          <w:sz w:val="20"/>
        </w:rPr>
      </w:pPr>
      <w:r>
        <w:rPr>
          <w:rFonts w:ascii="Times New Roman" w:hAnsi="Times New Roman"/>
          <w:sz w:val="20"/>
        </w:rPr>
        <w:t xml:space="preserve">We hereby consent to the quotation and summarization of our opinion letter to the Board of Directors of Armada Acquisition Corp. I (Armada) in the proxy statement/prospectus contained in the registration statement on Form F-4 relating to the proposed business combination between Armada, Rezolve AI Limited and Rezolve Limited (the Registration Statement), as well as to the references to our firm and such opinion letter contained therein. In giving this consent, we do not admit, and we understand that does not contend,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It is understood that we will not be held out by Armada in the Registration Statement or in any other disclosure document, filing or communication as such an expert. </w:t>
      </w:r>
    </w:p>
    <w:p>
      <w:pPr>
        <w:pStyle w:val="TextBody"/>
        <w:spacing w:before="0" w:after="0"/>
        <w:jc w:val="left"/>
        <w:rPr/>
      </w:pPr>
      <w:r>
        <w:rPr/>
        <w:t> </w:t>
      </w:r>
    </w:p>
    <w:p>
      <w:pPr>
        <w:pStyle w:val="TextBody"/>
        <w:spacing w:before="0" w:after="0"/>
        <w:jc w:val="left"/>
        <w:rPr/>
      </w:pPr>
      <w:r>
        <w:rPr/>
        <w:drawing>
          <wp:inline distT="0" distB="0" distL="0" distR="0">
            <wp:extent cx="2286000" cy="514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286000" cy="514350"/>
                    </a:xfrm>
                    <a:prstGeom prst="rect">
                      <a:avLst/>
                    </a:prstGeom>
                  </pic:spPr>
                </pic:pic>
              </a:graphicData>
            </a:graphic>
          </wp:inline>
        </w:drawing>
      </w:r>
      <w:r>
        <w:rPr/>
        <w:t xml:space="preserve"> </w:t>
      </w:r>
    </w:p>
    <w:p>
      <w:pPr>
        <w:pStyle w:val="TextBody"/>
        <w:spacing w:before="360" w:after="0"/>
        <w:jc w:val="left"/>
        <w:rPr>
          <w:rFonts w:ascii="Times New Roman" w:hAnsi="Times New Roman"/>
          <w:sz w:val="20"/>
        </w:rPr>
      </w:pPr>
      <w:r>
        <w:rPr>
          <w:rFonts w:ascii="Times New Roman" w:hAnsi="Times New Roman"/>
          <w:sz w:val="20"/>
        </w:rPr>
        <w:t xml:space="preserve">/s/ Marshall &amp; Stevens Transaction Advisory Services LLC </w:t>
      </w:r>
    </w:p>
    <w:p>
      <w:pPr>
        <w:pStyle w:val="TextBody"/>
        <w:spacing w:before="0" w:after="0"/>
        <w:jc w:val="left"/>
        <w:rPr>
          <w:rFonts w:ascii="Times New Roman" w:hAnsi="Times New Roman"/>
          <w:sz w:val="20"/>
        </w:rPr>
      </w:pPr>
      <w:r>
        <w:rPr>
          <w:rFonts w:ascii="Times New Roman" w:hAnsi="Times New Roman"/>
          <w:sz w:val="20"/>
        </w:rPr>
        <w:t xml:space="preserve">New York, New York </w:t>
      </w:r>
    </w:p>
    <w:p>
      <w:pPr>
        <w:pStyle w:val="TextBody"/>
        <w:spacing w:before="0" w:after="0"/>
        <w:jc w:val="left"/>
        <w:rPr>
          <w:rFonts w:ascii="Times New Roman" w:hAnsi="Times New Roman"/>
          <w:sz w:val="20"/>
        </w:rPr>
      </w:pPr>
      <w:r>
        <w:rPr>
          <w:rFonts w:ascii="Times New Roman" w:hAnsi="Times New Roman"/>
          <w:sz w:val="20"/>
        </w:rPr>
        <w:t xml:space="preserve">June 16, 2023 </w:t>
      </w:r>
      <w:r>
        <w:br w:type="page"/>
      </w:r>
    </w:p>
    <w:p>
      <w:pPr>
        <w:pStyle w:val="TextBody"/>
        <w:spacing w:before="0" w:after="0"/>
        <w:jc w:val="right"/>
        <w:rPr>
          <w:rFonts w:ascii="Times New Roman" w:hAnsi="Times New Roman"/>
          <w:b/>
          <w:sz w:val="20"/>
        </w:rPr>
      </w:pPr>
      <w:bookmarkStart w:id="68" w:name="d309194dex234.htm"/>
      <w:bookmarkStart w:id="69" w:name="ksd309194dex234"/>
      <w:bookmarkEnd w:id="68"/>
      <w:bookmarkEnd w:id="69"/>
      <w:r>
        <w:rPr>
          <w:rFonts w:ascii="Times New Roman" w:hAnsi="Times New Roman"/>
          <w:b/>
          <w:sz w:val="20"/>
        </w:rPr>
        <w:t xml:space="preserve">Exhibit 23.4 </w:t>
      </w:r>
    </w:p>
    <w:p>
      <w:pPr>
        <w:pStyle w:val="TextBody"/>
        <w:spacing w:before="240" w:after="0"/>
        <w:jc w:val="center"/>
        <w:rPr>
          <w:rFonts w:ascii="Times New Roman" w:hAnsi="Times New Roman"/>
          <w:b/>
          <w:sz w:val="20"/>
        </w:rPr>
      </w:pPr>
      <w:r>
        <w:rPr>
          <w:rFonts w:ascii="Times New Roman" w:hAnsi="Times New Roman"/>
          <w:b/>
          <w:sz w:val="20"/>
        </w:rPr>
        <w:t xml:space="preserve">CONSENT OF NORTHLAND CAPITAL MARKETS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inclusion of our opinion letter, dated March 31, 2022, to the Board of Directors of Armada Acquisition Corp. I as Annex                  to the Proxy Statement/Prospectus which forms a part of the Registration Statement on Form F-4 relating to the proposed business combination between Armada Acquisition Corp. I and Rezolve Limited and to the references to such opinion therein. </w:t>
      </w:r>
    </w:p>
    <w:p>
      <w:pPr>
        <w:pStyle w:val="TextBody"/>
        <w:spacing w:before="240" w:after="0"/>
        <w:jc w:val="left"/>
        <w:rPr>
          <w:rFonts w:ascii="Times New Roman" w:hAnsi="Times New Roman"/>
          <w:sz w:val="20"/>
        </w:rPr>
      </w:pPr>
      <w:r>
        <w:rPr>
          <w:rFonts w:ascii="Times New Roman" w:hAnsi="Times New Roman"/>
          <w:sz w:val="20"/>
        </w:rPr>
        <w:t xml:space="preserve">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or the rules and regulations of the Securities and Exchange Commission thereunder. </w:t>
      </w:r>
    </w:p>
    <w:p>
      <w:pPr>
        <w:pStyle w:val="TextBody"/>
        <w:spacing w:before="240" w:after="0"/>
        <w:jc w:val="left"/>
        <w:rPr>
          <w:rFonts w:ascii="Times New Roman" w:hAnsi="Times New Roman"/>
          <w:sz w:val="20"/>
        </w:rPr>
      </w:pPr>
      <w:r>
        <w:rPr>
          <w:rFonts w:ascii="Times New Roman" w:hAnsi="Times New Roman"/>
          <w:sz w:val="20"/>
        </w:rPr>
        <w:t xml:space="preserve">Northland Capital Markets is the trade name for certain capital markets and investment banking activities of Northland Securities, Inc., member FINRA/SIPC.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pBdr>
                <w:bottom w:val="single" w:sz="2" w:space="1" w:color="000000"/>
              </w:pBdr>
              <w:spacing w:before="0" w:after="20"/>
              <w:rPr>
                <w:rFonts w:ascii="Times New Roman" w:hAnsi="Times New Roman"/>
                <w:i/>
                <w:sz w:val="20"/>
              </w:rPr>
            </w:pPr>
            <w:r>
              <w:rPr>
                <w:rFonts w:ascii="Times New Roman" w:hAnsi="Times New Roman"/>
                <w:i/>
                <w:sz w:val="20"/>
              </w:rPr>
              <w:t>/s/ Jeff Peterson</w:t>
            </w:r>
          </w:p>
        </w:tc>
      </w:tr>
      <w:tr>
        <w:trPr/>
        <w:tc>
          <w:tcPr>
            <w:tcW w:w="4215" w:type="dxa"/>
            <w:tcBorders/>
            <w:shd w:fill="auto" w:val="clear"/>
          </w:tcPr>
          <w:p>
            <w:pPr>
              <w:pStyle w:val="TableContents"/>
              <w:spacing w:before="0" w:after="283"/>
              <w:rPr/>
            </w:pPr>
            <w:r>
              <w:rPr/>
              <w:t>NORTHLAND SECURITIES, INC.</w:t>
            </w:r>
          </w:p>
        </w:tc>
      </w:tr>
      <w:tr>
        <w:trPr/>
        <w:tc>
          <w:tcPr>
            <w:tcW w:w="4215" w:type="dxa"/>
            <w:tcBorders/>
            <w:shd w:fill="auto" w:val="clear"/>
          </w:tcPr>
          <w:p>
            <w:pPr>
              <w:pStyle w:val="TableContents"/>
              <w:spacing w:before="0" w:after="283"/>
              <w:rPr/>
            </w:pPr>
            <w:r>
              <w:rPr/>
              <w:t>Dated: June 16, 2023</w:t>
            </w:r>
          </w:p>
        </w:tc>
      </w:tr>
    </w:tbl>
    <w:p>
      <w:pPr>
        <w:pStyle w:val="TextBody"/>
        <w:spacing w:before="0" w:after="0"/>
        <w:jc w:val="right"/>
        <w:rPr>
          <w:rFonts w:ascii="Times New Roman" w:hAnsi="Times New Roman"/>
          <w:b/>
          <w:sz w:val="20"/>
        </w:rPr>
      </w:pPr>
      <w:r>
        <w:br w:type="page"/>
      </w:r>
      <w:bookmarkStart w:id="70" w:name="d309194dex992.htm"/>
      <w:bookmarkStart w:id="71" w:name="ksd309194dex992"/>
      <w:bookmarkEnd w:id="70"/>
      <w:bookmarkEnd w:id="71"/>
      <w:r>
        <w:rPr>
          <w:rFonts w:ascii="Times New Roman" w:hAnsi="Times New Roman"/>
          <w:b/>
          <w:sz w:val="20"/>
        </w:rPr>
        <w:t xml:space="preserve">Exhibit 99.2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Nominee </w:t>
      </w:r>
    </w:p>
    <w:p>
      <w:pPr>
        <w:pStyle w:val="TextBody"/>
        <w:spacing w:before="240" w:after="0"/>
        <w:jc w:val="left"/>
        <w:rPr>
          <w:rFonts w:ascii="Times New Roman" w:hAnsi="Times New Roman"/>
          <w:sz w:val="20"/>
        </w:rPr>
      </w:pPr>
      <w:r>
        <w:rPr>
          <w:rFonts w:ascii="Times New Roman" w:hAnsi="Times New Roman"/>
          <w:sz w:val="20"/>
        </w:rPr>
        <w:t xml:space="preserve">In connection with the filing by Rezolve AI Limited of the Registration Statement on Form F-4 with the Securities and Exchange Commission under the Securities Act of 1933, as amended (the Securities Act), I hereby consent, pursuant to Rule 438 of the Securities Act, to being named in the Registration Statement and any and all amendments and supplements thereto as a nominee to the board of directors of Rezolve AI Limited following the consummation of the business combination.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June 15,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283"/>
              <w:rPr/>
            </w:pPr>
            <w:r>
              <w:rPr/>
              <w:t>Name: Stephen Herbert</w:t>
            </w:r>
          </w:p>
        </w:tc>
      </w:tr>
      <w:tr>
        <w:trPr>
          <w:trHeight w:val="24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bottom w:val="single" w:sz="2" w:space="0" w:color="000000"/>
            </w:tcBorders>
            <w:shd w:fill="auto" w:val="clear"/>
            <w:tcMar>
              <w:bottom w:w="28" w:type="dxa"/>
            </w:tcMar>
          </w:tcPr>
          <w:p>
            <w:pPr>
              <w:pStyle w:val="TableContents"/>
              <w:spacing w:before="0" w:after="283"/>
              <w:rPr/>
            </w:pPr>
            <w:r>
              <w:rPr/>
              <w:t>/s/ Stephen Herbert</w:t>
            </w:r>
          </w:p>
        </w:tc>
      </w:tr>
      <w:tr>
        <w:trPr/>
        <w:tc>
          <w:tcPr>
            <w:tcW w:w="4215" w:type="dxa"/>
            <w:tcBorders/>
            <w:shd w:fill="auto" w:val="clear"/>
            <w:vAlign w:val="bottom"/>
          </w:tcPr>
          <w:p>
            <w:pPr>
              <w:pStyle w:val="TableContents"/>
              <w:spacing w:before="0" w:after="283"/>
              <w:rPr/>
            </w:pPr>
            <w:r>
              <w:rPr/>
              <w:t>Signature</w:t>
            </w:r>
          </w:p>
        </w:tc>
      </w:tr>
    </w:tbl>
    <w:p>
      <w:pPr>
        <w:pStyle w:val="TextBody"/>
        <w:spacing w:before="0" w:after="0"/>
        <w:jc w:val="right"/>
        <w:rPr>
          <w:rFonts w:ascii="Times New Roman" w:hAnsi="Times New Roman"/>
          <w:b/>
          <w:sz w:val="20"/>
        </w:rPr>
      </w:pPr>
      <w:r>
        <w:br w:type="page"/>
      </w:r>
      <w:bookmarkStart w:id="72" w:name="d309194dex993.htm"/>
      <w:bookmarkStart w:id="73" w:name="ksd309194dex993"/>
      <w:bookmarkEnd w:id="72"/>
      <w:bookmarkEnd w:id="73"/>
      <w:r>
        <w:rPr>
          <w:rFonts w:ascii="Times New Roman" w:hAnsi="Times New Roman"/>
          <w:b/>
          <w:sz w:val="20"/>
        </w:rPr>
        <w:t xml:space="preserve">Exhibit 99.3 </w:t>
      </w:r>
    </w:p>
    <w:p>
      <w:pPr>
        <w:pStyle w:val="TextBody"/>
        <w:spacing w:before="240" w:after="0"/>
        <w:jc w:val="center"/>
        <w:rPr>
          <w:rFonts w:ascii="Times New Roman" w:hAnsi="Times New Roman"/>
          <w:b/>
          <w:sz w:val="20"/>
        </w:rPr>
      </w:pPr>
      <w:r>
        <w:rPr>
          <w:rFonts w:ascii="Times New Roman" w:hAnsi="Times New Roman"/>
          <w:b/>
          <w:sz w:val="20"/>
        </w:rPr>
        <w:t xml:space="preserve">Consent to be Named as a Director Nominee </w:t>
      </w:r>
    </w:p>
    <w:p>
      <w:pPr>
        <w:pStyle w:val="TextBody"/>
        <w:spacing w:before="240" w:after="0"/>
        <w:jc w:val="left"/>
        <w:rPr>
          <w:rFonts w:ascii="Times New Roman" w:hAnsi="Times New Roman"/>
          <w:sz w:val="20"/>
        </w:rPr>
      </w:pPr>
      <w:r>
        <w:rPr>
          <w:rFonts w:ascii="Times New Roman" w:hAnsi="Times New Roman"/>
          <w:sz w:val="20"/>
        </w:rPr>
        <w:t xml:space="preserve">In connection with the filing by Rezolve AI Limited of the Registration Statement on Form F-4 with the Securities and Exchange Commission under the Securities Act of 1933, as amended (the Securities Act), I hereby consent, pursuant to Rule 438 of the Securities Act, to being named in the Registration Statement and any and all amendments and supplements thereto as a nominee to the board of directors of Rezolve AI Limited following the consummation of the business combination. I also consent to the filing of this consent as an exhibit to such Registration Statement and any amendments thereto. </w:t>
      </w:r>
    </w:p>
    <w:p>
      <w:pPr>
        <w:pStyle w:val="TextBody"/>
        <w:spacing w:before="240" w:after="0"/>
        <w:jc w:val="left"/>
        <w:rPr>
          <w:rFonts w:ascii="Times New Roman" w:hAnsi="Times New Roman"/>
          <w:sz w:val="20"/>
        </w:rPr>
      </w:pPr>
      <w:r>
        <w:rPr>
          <w:rFonts w:ascii="Times New Roman" w:hAnsi="Times New Roman"/>
          <w:sz w:val="20"/>
        </w:rPr>
        <w:t xml:space="preserve">Dated: June 15,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215"/>
      </w:tblGrid>
      <w:tr>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shd w:fill="auto" w:val="clear"/>
          </w:tcPr>
          <w:p>
            <w:pPr>
              <w:pStyle w:val="TableContents"/>
              <w:spacing w:before="0" w:after="283"/>
              <w:rPr/>
            </w:pPr>
            <w:r>
              <w:rPr/>
              <w:t>Name: Douglas Lurio</w:t>
            </w:r>
          </w:p>
        </w:tc>
      </w:tr>
      <w:tr>
        <w:trPr>
          <w:trHeight w:val="240" w:hRule="atLeast"/>
        </w:trPr>
        <w:tc>
          <w:tcPr>
            <w:tcW w:w="4215" w:type="dxa"/>
            <w:tcBorders/>
            <w:shd w:fill="auto" w:val="clear"/>
            <w:vAlign w:val="center"/>
          </w:tcPr>
          <w:p>
            <w:pPr>
              <w:pStyle w:val="TableContents"/>
              <w:spacing w:before="0" w:after="283"/>
              <w:rPr>
                <w:sz w:val="4"/>
                <w:szCs w:val="4"/>
              </w:rPr>
            </w:pPr>
            <w:r>
              <w:rPr>
                <w:sz w:val="4"/>
                <w:szCs w:val="4"/>
              </w:rPr>
            </w:r>
          </w:p>
        </w:tc>
      </w:tr>
      <w:tr>
        <w:trPr/>
        <w:tc>
          <w:tcPr>
            <w:tcW w:w="4215" w:type="dxa"/>
            <w:tcBorders>
              <w:bottom w:val="single" w:sz="2" w:space="0" w:color="000000"/>
            </w:tcBorders>
            <w:shd w:fill="auto" w:val="clear"/>
            <w:tcMar>
              <w:bottom w:w="28" w:type="dxa"/>
            </w:tcMar>
          </w:tcPr>
          <w:p>
            <w:pPr>
              <w:pStyle w:val="TableContents"/>
              <w:spacing w:before="0" w:after="283"/>
              <w:rPr/>
            </w:pPr>
            <w:r>
              <w:rPr/>
              <w:t>/s/ Douglas Lurio</w:t>
            </w:r>
          </w:p>
        </w:tc>
      </w:tr>
      <w:tr>
        <w:trPr/>
        <w:tc>
          <w:tcPr>
            <w:tcW w:w="4215" w:type="dxa"/>
            <w:tcBorders/>
            <w:shd w:fill="auto" w:val="clear"/>
            <w:vAlign w:val="bottom"/>
          </w:tcPr>
          <w:p>
            <w:pPr>
              <w:pStyle w:val="TableContents"/>
              <w:spacing w:before="0" w:after="283"/>
              <w:rPr/>
            </w:pPr>
            <w:r>
              <w:rPr/>
              <w:t>Signature</w:t>
            </w:r>
          </w:p>
        </w:tc>
      </w:tr>
    </w:tbl>
    <w:p>
      <w:pPr>
        <w:pStyle w:val="TextBody"/>
        <w:spacing w:before="0" w:after="0"/>
        <w:jc w:val="right"/>
        <w:rPr>
          <w:rFonts w:ascii="Times New Roman" w:hAnsi="Times New Roman"/>
          <w:b/>
          <w:sz w:val="20"/>
        </w:rPr>
      </w:pPr>
      <w:r>
        <w:br w:type="page"/>
      </w:r>
      <w:bookmarkStart w:id="74" w:name="d309194dexfilingfees.htm"/>
      <w:bookmarkStart w:id="75" w:name="ksd309194dexfilingfees"/>
      <w:bookmarkEnd w:id="74"/>
      <w:bookmarkEnd w:id="75"/>
      <w:r>
        <w:rPr>
          <w:rFonts w:ascii="Times New Roman" w:hAnsi="Times New Roman"/>
          <w:b/>
          <w:sz w:val="20"/>
        </w:rPr>
        <w:t xml:space="preserve">Exhibit 107 </w:t>
      </w:r>
    </w:p>
    <w:p>
      <w:pPr>
        <w:pStyle w:val="TextBody"/>
        <w:spacing w:before="24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jc w:val="center"/>
        <w:rPr>
          <w:rFonts w:ascii="Times New Roman" w:hAnsi="Times New Roman"/>
          <w:b/>
          <w:sz w:val="20"/>
        </w:rPr>
      </w:pPr>
      <w:r>
        <w:rPr>
          <w:rFonts w:ascii="Times New Roman" w:hAnsi="Times New Roman"/>
          <w:b/>
          <w:sz w:val="20"/>
        </w:rPr>
        <w:t xml:space="preserve">Form F-4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b/>
          <w:sz w:val="20"/>
        </w:rPr>
      </w:pPr>
      <w:r>
        <w:rPr>
          <w:rFonts w:ascii="Times New Roman" w:hAnsi="Times New Roman"/>
          <w:b/>
          <w:sz w:val="20"/>
        </w:rPr>
        <w:t xml:space="preserve">REZOLVE AI LIMITED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87"/>
        <w:gridCol w:w="101"/>
        <w:gridCol w:w="1578"/>
        <w:gridCol w:w="101"/>
        <w:gridCol w:w="1481"/>
        <w:gridCol w:w="101"/>
        <w:gridCol w:w="1626"/>
        <w:gridCol w:w="101"/>
        <w:gridCol w:w="1963"/>
      </w:tblGrid>
      <w:tr>
        <w:trPr/>
        <w:tc>
          <w:tcPr>
            <w:tcW w:w="348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63" w:type="dxa"/>
            <w:tcBorders/>
            <w:shd w:fill="auto" w:val="clear"/>
            <w:vAlign w:val="center"/>
          </w:tcPr>
          <w:p>
            <w:pPr>
              <w:pStyle w:val="TableContents"/>
              <w:spacing w:before="0" w:after="283"/>
              <w:rPr>
                <w:sz w:val="4"/>
                <w:szCs w:val="4"/>
              </w:rPr>
            </w:pPr>
            <w:r>
              <w:rPr>
                <w:sz w:val="4"/>
                <w:szCs w:val="4"/>
              </w:rPr>
            </w:r>
          </w:p>
        </w:tc>
      </w:tr>
      <w:tr>
        <w:trPr/>
        <w:tc>
          <w:tcPr>
            <w:tcW w:w="10539" w:type="dxa"/>
            <w:gridSpan w:val="9"/>
            <w:tcBorders/>
            <w:shd w:fill="auto" w:val="clear"/>
            <w:vAlign w:val="bottom"/>
          </w:tcPr>
          <w:p>
            <w:pPr>
              <w:pStyle w:val="TableContents"/>
              <w:pBdr>
                <w:top w:val="single" w:sz="2" w:space="1" w:color="000000"/>
              </w:pBdr>
              <w:spacing w:before="0" w:after="0"/>
              <w:rPr/>
            </w:pPr>
            <w:r>
              <w:rPr/>
              <w:t> </w:t>
            </w:r>
          </w:p>
        </w:tc>
      </w:tr>
      <w:tr>
        <w:trPr/>
        <w:tc>
          <w:tcPr>
            <w:tcW w:w="3487"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Title of Each Class of</w:t>
            </w:r>
          </w:p>
          <w:p>
            <w:pPr>
              <w:pStyle w:val="TableContents"/>
              <w:spacing w:before="0" w:after="20"/>
              <w:jc w:val="center"/>
              <w:rPr>
                <w:rFonts w:ascii="Times New Roman" w:hAnsi="Times New Roman"/>
                <w:b/>
                <w:sz w:val="16"/>
              </w:rPr>
            </w:pPr>
            <w:r>
              <w:rPr>
                <w:rFonts w:ascii="Times New Roman" w:hAnsi="Times New Roman"/>
                <w:b/>
                <w:sz w:val="16"/>
              </w:rP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78"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Amount</w:t>
            </w:r>
          </w:p>
          <w:p>
            <w:pPr>
              <w:pStyle w:val="TableContents"/>
              <w:spacing w:before="0" w:after="0"/>
              <w:jc w:val="center"/>
              <w:rPr>
                <w:rFonts w:ascii="Times New Roman" w:hAnsi="Times New Roman"/>
                <w:b/>
                <w:sz w:val="16"/>
              </w:rPr>
            </w:pPr>
            <w:r>
              <w:rPr>
                <w:rFonts w:ascii="Times New Roman" w:hAnsi="Times New Roman"/>
                <w:b/>
                <w:sz w:val="16"/>
              </w:rPr>
              <w:t>to be</w:t>
            </w:r>
          </w:p>
          <w:p>
            <w:pPr>
              <w:pStyle w:val="TableContents"/>
              <w:spacing w:before="0" w:after="20"/>
              <w:jc w:val="center"/>
              <w:rPr>
                <w:rFonts w:ascii="Times New Roman" w:hAnsi="Times New Roman"/>
                <w:b/>
                <w:sz w:val="16"/>
              </w:rPr>
            </w:pPr>
            <w:r>
              <w:rPr>
                <w:rFonts w:ascii="Times New Roman" w:hAnsi="Times New Roman"/>
                <w:b/>
                <w:sz w:val="16"/>
              </w:rPr>
              <w:t>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1"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Proposed</w:t>
            </w:r>
          </w:p>
          <w:p>
            <w:pPr>
              <w:pStyle w:val="TableContents"/>
              <w:spacing w:before="0" w:after="0"/>
              <w:jc w:val="center"/>
              <w:rPr>
                <w:rFonts w:ascii="Times New Roman" w:hAnsi="Times New Roman"/>
                <w:b/>
                <w:sz w:val="16"/>
              </w:rPr>
            </w:pPr>
            <w:r>
              <w:rPr>
                <w:rFonts w:ascii="Times New Roman" w:hAnsi="Times New Roman"/>
                <w:b/>
                <w:sz w:val="16"/>
              </w:rPr>
              <w:t>Maximum</w:t>
            </w:r>
          </w:p>
          <w:p>
            <w:pPr>
              <w:pStyle w:val="TableContents"/>
              <w:spacing w:before="0" w:after="0"/>
              <w:jc w:val="center"/>
              <w:rPr>
                <w:rFonts w:ascii="Times New Roman" w:hAnsi="Times New Roman"/>
                <w:b/>
                <w:sz w:val="16"/>
              </w:rPr>
            </w:pPr>
            <w:r>
              <w:rPr>
                <w:rFonts w:ascii="Times New Roman" w:hAnsi="Times New Roman"/>
                <w:b/>
                <w:sz w:val="16"/>
              </w:rPr>
              <w:t>Offering Price</w:t>
            </w:r>
          </w:p>
          <w:p>
            <w:pPr>
              <w:pStyle w:val="TableContents"/>
              <w:spacing w:before="0" w:after="20"/>
              <w:jc w:val="center"/>
              <w:rPr>
                <w:rFonts w:ascii="Times New Roman" w:hAnsi="Times New Roman"/>
                <w:b/>
                <w:sz w:val="16"/>
              </w:rPr>
            </w:pPr>
            <w:r>
              <w:rPr>
                <w:rFonts w:ascii="Times New Roman" w:hAnsi="Times New Roman"/>
                <w:b/>
                <w:sz w:val="16"/>
              </w:rPr>
              <w:t>per Security</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Proposed</w:t>
            </w:r>
          </w:p>
          <w:p>
            <w:pPr>
              <w:pStyle w:val="TableContents"/>
              <w:spacing w:before="0" w:after="0"/>
              <w:jc w:val="center"/>
              <w:rPr>
                <w:rFonts w:ascii="Times New Roman" w:hAnsi="Times New Roman"/>
                <w:b/>
                <w:sz w:val="16"/>
              </w:rPr>
            </w:pPr>
            <w:r>
              <w:rPr>
                <w:rFonts w:ascii="Times New Roman" w:hAnsi="Times New Roman"/>
                <w:b/>
                <w:sz w:val="16"/>
              </w:rPr>
              <w:t>Maximum</w:t>
            </w:r>
          </w:p>
          <w:p>
            <w:pPr>
              <w:pStyle w:val="TableContents"/>
              <w:spacing w:before="0" w:after="0"/>
              <w:jc w:val="center"/>
              <w:rPr>
                <w:rFonts w:ascii="Times New Roman" w:hAnsi="Times New Roman"/>
                <w:b/>
                <w:sz w:val="16"/>
              </w:rPr>
            </w:pPr>
            <w:r>
              <w:rPr>
                <w:rFonts w:ascii="Times New Roman" w:hAnsi="Times New Roman"/>
                <w:b/>
                <w:sz w:val="16"/>
              </w:rPr>
              <w:t>Aggregate</w:t>
            </w:r>
          </w:p>
          <w:p>
            <w:pPr>
              <w:pStyle w:val="TableContents"/>
              <w:spacing w:before="0" w:after="20"/>
              <w:jc w:val="center"/>
              <w:rPr>
                <w:rFonts w:ascii="Times New Roman" w:hAnsi="Times New Roman"/>
                <w:b/>
                <w:sz w:val="16"/>
              </w:rPr>
            </w:pPr>
            <w:r>
              <w:rPr>
                <w:rFonts w:ascii="Times New Roman" w:hAnsi="Times New Roman"/>
                <w:b/>
                <w:sz w:val="16"/>
              </w:rPr>
              <w:t>Offering Price(2)</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963" w:type="dxa"/>
            <w:tcBorders>
              <w:top w:val="single" w:sz="2" w:space="0" w:color="000000"/>
            </w:tcBorders>
            <w:shd w:fill="auto" w:val="clear"/>
            <w:tcMar>
              <w:top w:w="28" w:type="dxa"/>
            </w:tcMar>
            <w:vAlign w:val="bottom"/>
          </w:tcPr>
          <w:p>
            <w:pPr>
              <w:pStyle w:val="TableContents"/>
              <w:spacing w:before="0" w:after="283"/>
              <w:jc w:val="center"/>
              <w:rPr>
                <w:b/>
              </w:rPr>
            </w:pPr>
            <w:r>
              <w:rPr>
                <w:b/>
              </w:rPr>
              <w:t>Amount of</w:t>
              <w:br/>
              <w:t>Registration Fee(3)</w:t>
            </w:r>
          </w:p>
        </w:tc>
      </w:tr>
      <w:tr>
        <w:trPr/>
        <w:tc>
          <w:tcPr>
            <w:tcW w:w="3487"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Rezolve Ordinary Shares</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78" w:type="dxa"/>
            <w:tcBorders>
              <w:top w:val="single" w:sz="2" w:space="0" w:color="000000"/>
            </w:tcBorders>
            <w:shd w:fill="auto" w:val="clear"/>
            <w:tcMar>
              <w:top w:w="28" w:type="dxa"/>
            </w:tcMar>
            <w:vAlign w:val="bottom"/>
          </w:tcPr>
          <w:p>
            <w:pPr>
              <w:pStyle w:val="TableContents"/>
              <w:spacing w:before="0" w:after="283"/>
              <w:jc w:val="center"/>
              <w:rPr/>
            </w:pPr>
            <w:r>
              <w:rPr/>
              <w:t>9,218,352(1)</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1" w:type="dxa"/>
            <w:tcBorders>
              <w:top w:val="single" w:sz="2" w:space="0" w:color="000000"/>
            </w:tcBorders>
            <w:shd w:fill="auto" w:val="clear"/>
            <w:tcMar>
              <w:top w:w="28" w:type="dxa"/>
            </w:tcMar>
            <w:vAlign w:val="bottom"/>
          </w:tcPr>
          <w:p>
            <w:pPr>
              <w:pStyle w:val="TableContents"/>
              <w:spacing w:before="0" w:after="283"/>
              <w:jc w:val="center"/>
              <w:rPr/>
            </w:pPr>
            <w:r>
              <w:rPr/>
              <w:t>$10.20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6" w:type="dxa"/>
            <w:tcBorders>
              <w:top w:val="single" w:sz="2" w:space="0" w:color="000000"/>
            </w:tcBorders>
            <w:shd w:fill="auto" w:val="clear"/>
            <w:tcMar>
              <w:top w:w="28" w:type="dxa"/>
            </w:tcMar>
            <w:vAlign w:val="bottom"/>
          </w:tcPr>
          <w:p>
            <w:pPr>
              <w:pStyle w:val="TableContents"/>
              <w:spacing w:before="0" w:after="283"/>
              <w:jc w:val="center"/>
              <w:rPr/>
            </w:pPr>
            <w:r>
              <w:rPr/>
              <w:t>$94,027,191</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963" w:type="dxa"/>
            <w:tcBorders>
              <w:top w:val="single" w:sz="2" w:space="0" w:color="000000"/>
            </w:tcBorders>
            <w:shd w:fill="auto" w:val="clear"/>
            <w:tcMar>
              <w:top w:w="28" w:type="dxa"/>
            </w:tcMar>
            <w:vAlign w:val="bottom"/>
          </w:tcPr>
          <w:p>
            <w:pPr>
              <w:pStyle w:val="TableContents"/>
              <w:spacing w:before="0" w:after="283"/>
              <w:jc w:val="center"/>
              <w:rPr/>
            </w:pPr>
            <w:r>
              <w:rPr/>
              <w:t>$10,361.80</w:t>
            </w:r>
          </w:p>
        </w:tc>
      </w:tr>
      <w:tr>
        <w:trPr/>
        <w:tc>
          <w:tcPr>
            <w:tcW w:w="3487" w:type="dxa"/>
            <w:tcBorders>
              <w:top w:val="single" w:sz="2" w:space="0" w:color="000000"/>
            </w:tcBorders>
            <w:shd w:fill="auto" w:val="clear"/>
            <w:tcMar>
              <w:top w:w="28" w:type="dxa"/>
            </w:tcMar>
          </w:tcPr>
          <w:p>
            <w:pPr>
              <w:pStyle w:val="TableContents"/>
              <w:spacing w:before="0" w:after="0"/>
              <w:rPr>
                <w:rFonts w:ascii="Times New Roman" w:hAnsi="Times New Roman"/>
                <w:sz w:val="20"/>
              </w:rPr>
            </w:pPr>
            <w:r>
              <w:rPr>
                <w:rFonts w:ascii="Times New Roman" w:hAnsi="Times New Roman"/>
                <w:sz w:val="20"/>
              </w:rPr>
              <w:t>Rezolve Warrants</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78" w:type="dxa"/>
            <w:tcBorders>
              <w:top w:val="single" w:sz="2" w:space="0" w:color="000000"/>
            </w:tcBorders>
            <w:shd w:fill="auto" w:val="clear"/>
            <w:tcMar>
              <w:top w:w="28" w:type="dxa"/>
            </w:tcMar>
            <w:vAlign w:val="bottom"/>
          </w:tcPr>
          <w:p>
            <w:pPr>
              <w:pStyle w:val="TableContents"/>
              <w:spacing w:before="0" w:after="283"/>
              <w:jc w:val="center"/>
              <w:rPr/>
            </w:pPr>
            <w:r>
              <w:rPr/>
              <w:t>7,499,994(4)</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1" w:type="dxa"/>
            <w:tcBorders>
              <w:top w:val="single" w:sz="2" w:space="0" w:color="000000"/>
            </w:tcBorders>
            <w:shd w:fill="auto" w:val="clear"/>
            <w:tcMar>
              <w:top w:w="28" w:type="dxa"/>
            </w:tcMar>
            <w:vAlign w:val="bottom"/>
          </w:tcPr>
          <w:p>
            <w:pPr>
              <w:pStyle w:val="TableContents"/>
              <w:spacing w:before="0" w:after="283"/>
              <w:jc w:val="center"/>
              <w:rPr/>
            </w:pPr>
            <w:r>
              <w:rPr/>
              <w:t>$10.20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6" w:type="dxa"/>
            <w:tcBorders>
              <w:top w:val="single" w:sz="2" w:space="0" w:color="000000"/>
            </w:tcBorders>
            <w:shd w:fill="auto" w:val="clear"/>
            <w:tcMar>
              <w:top w:w="28" w:type="dxa"/>
            </w:tcMar>
            <w:vAlign w:val="bottom"/>
          </w:tcPr>
          <w:p>
            <w:pPr>
              <w:pStyle w:val="TableContents"/>
              <w:spacing w:before="0" w:after="283"/>
              <w:jc w:val="center"/>
              <w:rPr/>
            </w:pPr>
            <w:r>
              <w:rPr/>
              <w:t>$76,499,939</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963" w:type="dxa"/>
            <w:tcBorders>
              <w:top w:val="single" w:sz="2" w:space="0" w:color="000000"/>
            </w:tcBorders>
            <w:shd w:fill="auto" w:val="clear"/>
            <w:tcMar>
              <w:top w:w="28" w:type="dxa"/>
            </w:tcMar>
            <w:vAlign w:val="bottom"/>
          </w:tcPr>
          <w:p>
            <w:pPr>
              <w:pStyle w:val="TableContents"/>
              <w:spacing w:before="0" w:after="283"/>
              <w:jc w:val="center"/>
              <w:rPr/>
            </w:pPr>
            <w:r>
              <w:rPr/>
              <w:t>$8,430.30</w:t>
            </w:r>
          </w:p>
        </w:tc>
      </w:tr>
      <w:tr>
        <w:trPr/>
        <w:tc>
          <w:tcPr>
            <w:tcW w:w="3487" w:type="dxa"/>
            <w:tcBorders>
              <w:top w:val="single" w:sz="2" w:space="0" w:color="000000"/>
            </w:tcBorders>
            <w:shd w:fill="auto" w:val="clear"/>
            <w:tcMar>
              <w:top w:w="28" w:type="dxa"/>
            </w:tcMar>
          </w:tcPr>
          <w:p>
            <w:pPr>
              <w:pStyle w:val="TableContents"/>
              <w:spacing w:before="0" w:after="0"/>
              <w:rPr>
                <w:rFonts w:ascii="Times New Roman" w:hAnsi="Times New Roman"/>
                <w:b/>
                <w:sz w:val="20"/>
              </w:rPr>
            </w:pPr>
            <w:r>
              <w:rPr>
                <w:rFonts w:ascii="Times New Roman" w:hAnsi="Times New Roman"/>
                <w:b/>
                <w:sz w:val="20"/>
              </w:rPr>
              <w:t>Total</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78" w:type="dxa"/>
            <w:tcBorders>
              <w:top w:val="single" w:sz="2" w:space="0" w:color="000000"/>
            </w:tcBorders>
            <w:shd w:fill="auto" w:val="clear"/>
            <w:tcMar>
              <w:top w:w="28" w:type="dxa"/>
            </w:tcMar>
            <w:vAlign w:val="bottom"/>
          </w:tcPr>
          <w:p>
            <w:pPr>
              <w:pStyle w:val="TableContents"/>
              <w:spacing w:before="0" w:after="283"/>
              <w:jc w:val="center"/>
              <w:rPr>
                <w:b/>
              </w:rPr>
            </w:pPr>
            <w:r>
              <w:rPr>
                <w:b/>
              </w:rPr>
              <w:t>16,718,346</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81"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6" w:type="dxa"/>
            <w:tcBorders>
              <w:top w:val="single" w:sz="2" w:space="0" w:color="000000"/>
            </w:tcBorders>
            <w:shd w:fill="auto" w:val="clear"/>
            <w:tcMar>
              <w:top w:w="28" w:type="dxa"/>
            </w:tcMar>
            <w:vAlign w:val="bottom"/>
          </w:tcPr>
          <w:p>
            <w:pPr>
              <w:pStyle w:val="TableContents"/>
              <w:spacing w:before="0" w:after="283"/>
              <w:jc w:val="center"/>
              <w:rPr>
                <w:b/>
              </w:rPr>
            </w:pPr>
            <w:r>
              <w:rPr>
                <w:b/>
              </w:rPr>
              <w:t>$170,527,130</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963" w:type="dxa"/>
            <w:tcBorders>
              <w:top w:val="single" w:sz="2" w:space="0" w:color="000000"/>
            </w:tcBorders>
            <w:shd w:fill="auto" w:val="clear"/>
            <w:tcMar>
              <w:top w:w="28" w:type="dxa"/>
            </w:tcMar>
            <w:vAlign w:val="bottom"/>
          </w:tcPr>
          <w:p>
            <w:pPr>
              <w:pStyle w:val="TableContents"/>
              <w:spacing w:before="0" w:after="283"/>
              <w:jc w:val="center"/>
              <w:rPr>
                <w:b/>
              </w:rPr>
            </w:pPr>
            <w:r>
              <w:rPr>
                <w:b/>
              </w:rPr>
              <w:t>$18,792.10</w:t>
            </w:r>
          </w:p>
        </w:tc>
      </w:tr>
      <w:tr>
        <w:trPr/>
        <w:tc>
          <w:tcPr>
            <w:tcW w:w="10539" w:type="dxa"/>
            <w:gridSpan w:val="9"/>
            <w:tcBorders/>
            <w:shd w:fill="auto" w:val="clear"/>
            <w:vAlign w:val="bottom"/>
          </w:tcPr>
          <w:p>
            <w:pPr>
              <w:pStyle w:val="TableContents"/>
              <w:pBdr>
                <w:top w:val="single" w:sz="2" w:space="1" w:color="000000"/>
              </w:pBdr>
              <w:spacing w:before="0" w:after="0"/>
              <w:rPr/>
            </w:pPr>
            <w:r>
              <w:rPr/>
              <w:t> </w:t>
            </w:r>
          </w:p>
        </w:tc>
      </w:tr>
      <w:tr>
        <w:trPr/>
        <w:tc>
          <w:tcPr>
            <w:tcW w:w="10539" w:type="dxa"/>
            <w:gridSpan w:val="9"/>
            <w:tcBorders/>
            <w:shd w:fill="auto" w:val="clear"/>
            <w:vAlign w:val="bottom"/>
          </w:tcPr>
          <w:p>
            <w:pPr>
              <w:pStyle w:val="TableContents"/>
              <w:pBdr>
                <w:top w:val="single" w:sz="2" w:space="1" w:color="000000"/>
              </w:pBdr>
              <w:spacing w:before="0" w:after="0"/>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(1)</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ordinary shares, nominal value £0.0001 per share (Rezolve Ordinary Shares), of Rezolve AI Limited being registered is based upon an estimate of the sum of (a) 4,335,852 shares of common stock, par value $0.0001 per share (Armada Common Stock), of Armada Acquisition Corp. I (Armada) that will be outstanding immediately prior to the Business Combination (as defined herein) and exchanged for one Rezolve Ordinary Share for each such share of Armada Common Stock and (b) 4,882,500 shares of common stock, par value $0.0001 per share (the Founder Shares) held by the Sponsor (as defined herein) that will be outstanding immediately prior to the Business Combination and exchanged for one Rezolve Ordinary Share for each such Founder Share.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(2)</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Rules 457(f)(1) and 457(c) under the Securities Act and solely for the purpose of calculating the registration fee, the proposed maximum aggregate offering price is equal to the aggregate market value of the approximate number of shares of Armada Common Stock to be exchanged for Rezolve Ordinary Shares in the Business Combination based upon a market value of $10.20 per share of Armada Common Stock, the average of the high and low sale prices per share of Armada Common Stock on The Nasdaq Capital Markets on June 14, 2023. </w:t>
            </w:r>
          </w:p>
        </w:tc>
      </w:tr>
    </w:tbl>
    <w:tbl>
      <w:tblPr>
        <w:tblW w:w="5000" w:type="pct"/>
        <w:jc w:val="left"/>
        <w:tblInd w:w="0" w:type="dxa"/>
        <w:tblCellMar>
          <w:top w:w="0" w:type="dxa"/>
          <w:left w:w="0" w:type="dxa"/>
          <w:bottom w:w="0" w:type="dxa"/>
          <w:right w:w="0" w:type="dxa"/>
        </w:tblCellMar>
      </w:tblPr>
      <w:tblGrid>
        <w:gridCol w:w="421"/>
        <w:gridCol w:w="10118"/>
      </w:tblGrid>
      <w:tr>
        <w:trPr/>
        <w:tc>
          <w:tcPr>
            <w:tcW w:w="421" w:type="dxa"/>
            <w:tcBorders/>
            <w:shd w:fill="auto" w:val="clear"/>
          </w:tcPr>
          <w:p>
            <w:pPr>
              <w:pStyle w:val="TableContents"/>
              <w:spacing w:before="0" w:after="283"/>
              <w:jc w:val="left"/>
              <w:rPr/>
            </w:pPr>
            <w:r>
              <w:rPr/>
              <w:t>(3)</w:t>
            </w:r>
          </w:p>
        </w:tc>
        <w:tc>
          <w:tcPr>
            <w:tcW w:w="101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by multiplying the proposed maximum aggregate offering price by 0.0001102. </w:t>
            </w:r>
          </w:p>
        </w:tc>
      </w:tr>
    </w:tbl>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(4)</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warrants (exercisable for shares of Armada Common Stock at a price of $11.50 per whole share that will become, upon the Closing (as defined herein) of the Business Combination, exercisable for Rezolve Ordinary Shares on the basis that each warrant will give the holder the right to purchase one Rezolve Ordinary Share for a warrant price of $11.50 per whole share) being registered is based on 7,499,994 warrants that were issued by Armada in connection with its initial public offering pursuant to the Registration Statement on Form S-1 (333-257692) (the Armada Warrants). Pursuant to the Business Combination and the terms of the Armada Warrants, upon the Closing, Rezolve will assume the Armada Warrants and the obligations thereunder. </w:t>
            </w:r>
          </w:p>
        </w:tc>
      </w:tr>
    </w:tbl>
    <w:p>
      <w:pPr>
        <w:pStyle w:val="TextBody"/>
        <w:spacing w:before="0" w:after="283"/>
        <w:rPr/>
      </w:pPr>
      <w:r>
        <w:br w:type="page"/>
      </w: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386</Pages>
  <Words>219435</Words>
  <CharactersWithSpaces>1393226</CharactersWithSpaces>
  <Paragraphs>25099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