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333-292302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Up to 11,127,780 Ordinary Shares </w:t>
      </w:r>
      <w:r>
        <w:rPr>
          <w:rFonts w:ascii="Times New Roman" w:cs="Times New Roman" w:eastAsia="Times New Roman" w:hAnsi="Times New Roman"/>
          <w:sz w:val="18"/>
          <w:szCs w:val="18"/>
          <w:b w:val="1"/>
          <w:bCs w:val="1"/>
          <w:i w:val="1"/>
          <w:iCs w:val="1"/>
          <w:color w:val="auto"/>
        </w:rPr>
        <w:t>(for resale)</w:t>
      </w:r>
    </w:p>
    <w:p>
      <w:pPr>
        <w:spacing w:after="0" w:line="22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 holder named herein (the “Selling Holder”) of an aggregate of up to 11,127,780 Ordinary Shares issued to the Selling Holder in connection with the CrownPeak Acquisition (as defined herein).</w:t>
      </w:r>
    </w:p>
    <w:p>
      <w:pPr>
        <w:spacing w:after="0" w:line="162" w:lineRule="exact"/>
        <w:rPr>
          <w:sz w:val="24"/>
          <w:szCs w:val="24"/>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Selling Holder may have acquired the securities registered hereunder at prices substantially below current market prices and may therefore have incentive to sell their securities in this offering. Public securityholders who purchased their Rezolve securities at higher prices than the Selling Holder may experience lower rates of return (if any) than the Selling Holder, due to differences in purchase prices and the potential trading price at which they may be able to sell (see “</w:t>
      </w:r>
      <w:r>
        <w:rPr>
          <w:rFonts w:ascii="Times New Roman" w:cs="Times New Roman" w:eastAsia="Times New Roman" w:hAnsi="Times New Roman"/>
          <w:sz w:val="18"/>
          <w:szCs w:val="18"/>
          <w:i w:val="1"/>
          <w:iCs w:val="1"/>
          <w:color w:val="auto"/>
        </w:rPr>
        <w:t>Risk Factors —  Risks Related to Ownership of Ordinary Shares and Rezolve Operating as a Public Company —  The trading price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Ordinary Shares could be volatile, and the value of Ordinary Shares may decline.</w:t>
      </w:r>
      <w:r>
        <w:rPr>
          <w:rFonts w:ascii="Times New Roman" w:cs="Times New Roman" w:eastAsia="Times New Roman" w:hAnsi="Times New Roman"/>
          <w:sz w:val="18"/>
          <w:szCs w:val="18"/>
          <w:color w:val="auto"/>
        </w:rPr>
        <w:t>”). The Ordinary Shares being offered for resale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by the Selling Holder represent approximately 3.3% of the outstanding Ordinary Shares as of the date of this prospectus. Given the substantial number of Ordinary Shares being registered for potential resale by the Selling Holder pursuant to this prospectus, the sale of shares by the Selling Holder, or the perception in the market that the Selling Holder intends to sell shares, could increase the volatility of the market price of the Ordinary Shares or result in a significant decline in the public trading price of the Ordinary Shares.</w:t>
      </w:r>
    </w:p>
    <w:p>
      <w:pPr>
        <w:spacing w:after="0" w:line="188"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the Selling Holder may offer or sell the securities. More specific terms of any securities that the Selling Holder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180" w:lineRule="exact"/>
        <w:rPr>
          <w:sz w:val="24"/>
          <w:szCs w:val="24"/>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We will not receive any proceeds from the sale of the Ordinary Shares by the Selling Holder pursuant to this prospectus. We will pay the expenses in connection with the preparation of this prospectus and associated with the sale of securities pursuant to this prospectus. Our registration of the securities covered by this prospectus does not mean that either the Selling Holder will issue, offer or sell, as applicable, any of the securities. The Selling Holder may offer and sell the securities covered by this prospectus in a number of different ways and at varying prices. We provide more information in the section entitled </w:t>
      </w:r>
      <w:r>
        <w:rPr>
          <w:rFonts w:ascii="Times New Roman" w:cs="Times New Roman" w:eastAsia="Times New Roman" w:hAnsi="Times New Roman"/>
          <w:sz w:val="18"/>
          <w:szCs w:val="18"/>
          <w:i w:val="1"/>
          <w:iCs w:val="1"/>
          <w:color w:val="auto"/>
        </w:rPr>
        <w:t>“Plan of Distribution.”</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Ordinary Shares are traded on The Nasdaq Stock Market LLC (“Nasdaq”) under the symbols “RZLV." On December 26, 2025, the closing price of the Ordinary Shares was $2.85 per share.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refer to Rezolve AI plc, including its subsidiaries.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7 and in any applicable prospectus supplement.</w:t>
      </w:r>
    </w:p>
    <w:p>
      <w:pPr>
        <w:spacing w:after="0" w:line="225" w:lineRule="exact"/>
        <w:rPr>
          <w:sz w:val="24"/>
          <w:szCs w:val="24"/>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0"/>
                <w:szCs w:val="20"/>
                <w:color w:val="auto"/>
              </w:rPr>
            </w:pPr>
          </w:p>
        </w:tc>
      </w:tr>
      <w:tr>
        <w:trPr>
          <w:trHeight w:val="391"/>
        </w:trPr>
        <w:tc>
          <w:tcPr>
            <w:tcW w:w="22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6580" w:type="dxa"/>
            <w:vAlign w:val="bottom"/>
            <w:gridSpan w:val="8"/>
          </w:tcPr>
          <w:p>
            <w:pPr>
              <w:spacing w:after="0"/>
              <w:rPr>
                <w:sz w:val="24"/>
                <w:szCs w:val="24"/>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88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270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AND INDUSTRY DATA</w:t>
            </w:r>
          </w:p>
        </w:tc>
        <w:tc>
          <w:tcPr>
            <w:tcW w:w="6120" w:type="dxa"/>
            <w:vAlign w:val="bottom"/>
            <w:gridSpan w:val="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88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58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2960" w:type="dxa"/>
            <w:vAlign w:val="bottom"/>
            <w:gridSpan w:val="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vi</w:t>
            </w:r>
          </w:p>
        </w:tc>
      </w:tr>
      <w:tr>
        <w:trPr>
          <w:trHeight w:val="196"/>
        </w:trPr>
        <w:tc>
          <w:tcPr>
            <w:tcW w:w="21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6720" w:type="dxa"/>
            <w:vAlign w:val="bottom"/>
            <w:gridSpan w:val="9"/>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THE OFFERING</w:t>
            </w:r>
          </w:p>
        </w:tc>
        <w:tc>
          <w:tcPr>
            <w:tcW w:w="7540" w:type="dxa"/>
            <w:vAlign w:val="bottom"/>
            <w:gridSpan w:val="1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88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6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7220" w:type="dxa"/>
            <w:vAlign w:val="bottom"/>
            <w:gridSpan w:val="1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5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DIVIDEND POLICY</w:t>
            </w:r>
          </w:p>
        </w:tc>
        <w:tc>
          <w:tcPr>
            <w:tcW w:w="7240" w:type="dxa"/>
            <w:vAlign w:val="bottom"/>
            <w:gridSpan w:val="1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5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CAPITALIZATION</w:t>
            </w:r>
          </w:p>
        </w:tc>
        <w:tc>
          <w:tcPr>
            <w:tcW w:w="7320" w:type="dxa"/>
            <w:vAlign w:val="bottom"/>
            <w:gridSpan w:val="1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660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FINANCIAL INFORMATION</w:t>
            </w:r>
          </w:p>
        </w:tc>
        <w:tc>
          <w:tcPr>
            <w:tcW w:w="2220" w:type="dxa"/>
            <w:vAlign w:val="bottom"/>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88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2500" w:type="dxa"/>
            <w:vAlign w:val="bottom"/>
            <w:tcBorders>
              <w:top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SELLING HOLDERS</w:t>
            </w:r>
          </w:p>
        </w:tc>
        <w:tc>
          <w:tcPr>
            <w:tcW w:w="6320" w:type="dxa"/>
            <w:vAlign w:val="bottom"/>
            <w:gridSpan w:val="7"/>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88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EXPENSES</w:t>
            </w:r>
          </w:p>
        </w:tc>
        <w:tc>
          <w:tcPr>
            <w:tcW w:w="1160" w:type="dxa"/>
            <w:vAlign w:val="bottom"/>
            <w:tcBorders>
              <w:top w:val="single" w:sz="8" w:color="0000FF"/>
            </w:tcBorders>
            <w:gridSpan w:val="9"/>
          </w:tcPr>
          <w:p>
            <w:pPr>
              <w:spacing w:after="0"/>
              <w:rPr>
                <w:sz w:val="17"/>
                <w:szCs w:val="17"/>
                <w:color w:val="auto"/>
              </w:rPr>
            </w:pPr>
          </w:p>
        </w:tc>
        <w:tc>
          <w:tcPr>
            <w:tcW w:w="6760" w:type="dxa"/>
            <w:vAlign w:val="bottom"/>
            <w:gridSpan w:val="1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r>
        <w:trPr>
          <w:trHeight w:val="196"/>
        </w:trPr>
        <w:tc>
          <w:tcPr>
            <w:tcW w:w="32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5540" w:type="dxa"/>
            <w:vAlign w:val="bottom"/>
            <w:gridSpan w:val="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r>
      <w:tr>
        <w:trPr>
          <w:trHeight w:val="196"/>
        </w:trPr>
        <w:tc>
          <w:tcPr>
            <w:tcW w:w="14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MATTERS</w:t>
            </w:r>
          </w:p>
        </w:tc>
        <w:tc>
          <w:tcPr>
            <w:tcW w:w="7340" w:type="dxa"/>
            <w:vAlign w:val="bottom"/>
            <w:gridSpan w:val="15"/>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88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780" w:type="dxa"/>
            <w:vAlign w:val="bottom"/>
            <w:shd w:val="clear" w:color="auto" w:fill="0000FF"/>
          </w:tcPr>
          <w:p>
            <w:pPr>
              <w:spacing w:after="0" w:line="20" w:lineRule="exact"/>
              <w:rPr>
                <w:sz w:val="1"/>
                <w:szCs w:val="1"/>
                <w:color w:val="auto"/>
              </w:rPr>
            </w:pPr>
          </w:p>
        </w:tc>
        <w:tc>
          <w:tcPr>
            <w:tcW w:w="3060" w:type="dxa"/>
            <w:vAlign w:val="bottom"/>
            <w:gridSpan w:val="1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38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4980" w:type="dxa"/>
            <w:vAlign w:val="bottom"/>
            <w:gridSpan w:val="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88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F-3 that we filed with the U.S. Securities and Exchange Commission (the "SEC") using a “shelf’ registration process. Under this shelf registration process, the Selling Holder may, from time to time, issue, offer and sell, as applicable, any combination of the securities described in this prospectus in one or more offerings. The Selling Holder may use the shelf registration statement to sell up to an aggregate of 11,127,780 Ordinary Shares from time to time through any means described in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More specific terms of any securities that the Selling Holder offer and sell may be provided in a prospectus supplement that describes, among other things, the specific amounts and prices of the Ordinary Shares being offered and the terms of the offering the Selling Holder may, from time to time, issue, offer and sell, as applicable, any combination of the securities described in this prospectus in one or more offerings.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Any document incorporated by reference in this prospectus and any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or incorporated by reference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or incorporated by reference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Neither we nor the Selling Holder have authorized anyone to provide any information or to make any representations other than those contained in this prospectus, any accompanying prospectus supplement or any free writing prospectus we have prepared. We and the Selling Holder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or facts or of opinion. The directors accept responsibility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jc w:val="center"/>
        <w:ind w:right="60"/>
        <w:spacing w:after="0" w:line="407" w:lineRule="auto"/>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7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008" w:right="69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4" w:right="419" w:bottom="1440" w:gutter="0" w:footer="0" w:header="0"/>
        </w:sectPr>
      </w:pPr>
    </w:p>
    <w:bookmarkStart w:id="5" w:name="page6"/>
    <w:bookmarkEnd w:id="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0" w:lineRule="exact"/>
        <w:rPr>
          <w:sz w:val="20"/>
          <w:szCs w:val="20"/>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117" w:lineRule="exact"/>
        <w:rPr>
          <w:rFonts w:ascii="Times New Roman" w:cs="Times New Roman" w:eastAsia="Times New Roman" w:hAnsi="Times New Roman"/>
          <w:sz w:val="18"/>
          <w:szCs w:val="18"/>
          <w:color w:val="auto"/>
        </w:rPr>
      </w:pPr>
    </w:p>
    <w:p>
      <w:pPr>
        <w:ind w:left="1020" w:right="460" w:hanging="503"/>
        <w:spacing w:after="0" w:line="286"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plc, a public limited company registered under the laws of England and Wales with registration number 14573691;</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w:t>
      </w:r>
      <w:r>
        <w:rPr>
          <w:rFonts w:ascii="Times New Roman" w:cs="Times New Roman" w:eastAsia="Times New Roman" w:hAnsi="Times New Roman"/>
          <w:sz w:val="18"/>
          <w:szCs w:val="18"/>
          <w:color w:val="auto"/>
        </w:rPr>
        <w:t>” means the selling security holder named in this Registration Statement on Form F-3;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08" w:right="47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6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72"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political and economic uncertainties, including public health crises, geopolitical conflicts and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the Middle East, or other hostilities;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7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our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artificial intelligence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 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in 2017 (which was developed prior to our de-merger in connection with the closing of business combination with Armada Acquisition Corp. I).</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expect to commercialize the Rezolve platform by the end of Q4 2025, initially in Europe and the U.S.A. Revenues from brain commerce began in Q3 2025, and we expect them to increase significantly in Q4 2025. We also expect to generate revenues in South America and Asia during Q4 2025. We expect revenues to increase in 2026 through our signed partner agreements with Microsoft, Google and others. For additional information regarding the partner agreements see “</w:t>
      </w:r>
      <w:r>
        <w:rPr>
          <w:rFonts w:ascii="Times New Roman" w:cs="Times New Roman" w:eastAsia="Times New Roman" w:hAnsi="Times New Roman"/>
          <w:sz w:val="18"/>
          <w:szCs w:val="18"/>
          <w:i w:val="1"/>
          <w:iCs w:val="1"/>
          <w:color w:val="auto"/>
        </w:rPr>
        <w:t>Business of Rezolve-Partner Agreements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CrownPeak Acquisition</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December 1, 2025, Rezolve entered into a Sale and Purchase Agreement (the “CrownPeak Purchase Agreement”), by and between the Company and CrownPeak Technology Holdings, Inc, a Delaware corporation (CrownPeak), pursuant to which the Company agreed to purchase, and CrownPeak agreed to sell, the entire issued share capital of CrownPeak (the “CrownPeak Acquisition”). The CrownPeak Acquisition closed on December 5, 2025.</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initial purchase price for the CrownPeak Acquisition was $90.0 million, subject to certain adjustments as described in the Purchase Agreement. The consideration under the Purchase Agreement is composed of the following to be issued by Rezolve to CrownPeak: (i) a promissory note in the initial principal amount of $50,000,000, made up of a $20,000,000 tranche (the “</w:t>
      </w:r>
      <w:r>
        <w:rPr>
          <w:rFonts w:ascii="Times New Roman" w:cs="Times New Roman" w:eastAsia="Times New Roman" w:hAnsi="Times New Roman"/>
          <w:sz w:val="18"/>
          <w:szCs w:val="18"/>
          <w:u w:val="single" w:color="auto"/>
          <w:color w:val="auto"/>
        </w:rPr>
        <w:t>First Loan Note</w:t>
      </w:r>
      <w:r>
        <w:rPr>
          <w:rFonts w:ascii="Times New Roman" w:cs="Times New Roman" w:eastAsia="Times New Roman" w:hAnsi="Times New Roman"/>
          <w:sz w:val="18"/>
          <w:szCs w:val="18"/>
          <w:color w:val="auto"/>
        </w:rPr>
        <w:t>”) and a $30,000,000 tranche (the “</w:t>
      </w:r>
      <w:r>
        <w:rPr>
          <w:rFonts w:ascii="Times New Roman" w:cs="Times New Roman" w:eastAsia="Times New Roman" w:hAnsi="Times New Roman"/>
          <w:sz w:val="18"/>
          <w:szCs w:val="18"/>
          <w:u w:val="single" w:color="auto"/>
          <w:color w:val="auto"/>
        </w:rPr>
        <w:t>Second Loan Note</w:t>
      </w:r>
      <w:r>
        <w:rPr>
          <w:rFonts w:ascii="Times New Roman" w:cs="Times New Roman" w:eastAsia="Times New Roman" w:hAnsi="Times New Roman"/>
          <w:sz w:val="18"/>
          <w:szCs w:val="18"/>
          <w:color w:val="auto"/>
        </w:rPr>
        <w:t>” and together with the First Loan Note, the “</w:t>
      </w:r>
      <w:r>
        <w:rPr>
          <w:rFonts w:ascii="Times New Roman" w:cs="Times New Roman" w:eastAsia="Times New Roman" w:hAnsi="Times New Roman"/>
          <w:sz w:val="18"/>
          <w:szCs w:val="18"/>
          <w:u w:val="single" w:color="auto"/>
          <w:color w:val="auto"/>
        </w:rPr>
        <w:t>Loan Notes</w:t>
      </w:r>
      <w:r>
        <w:rPr>
          <w:rFonts w:ascii="Times New Roman" w:cs="Times New Roman" w:eastAsia="Times New Roman" w:hAnsi="Times New Roman"/>
          <w:sz w:val="18"/>
          <w:szCs w:val="18"/>
          <w:color w:val="auto"/>
        </w:rPr>
        <w:t>”); and (ii) 11,127,780 ordinary shares, nominal value £0.0001 per share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the Company (such shares issued as consideration, the “</w:t>
      </w:r>
      <w:r>
        <w:rPr>
          <w:rFonts w:ascii="Times New Roman" w:cs="Times New Roman" w:eastAsia="Times New Roman" w:hAnsi="Times New Roman"/>
          <w:sz w:val="18"/>
          <w:szCs w:val="18"/>
          <w:u w:val="single" w:color="auto"/>
          <w:color w:val="auto"/>
        </w:rPr>
        <w:t>Consideration Shares</w:t>
      </w:r>
      <w:r>
        <w:rPr>
          <w:rFonts w:ascii="Times New Roman" w:cs="Times New Roman" w:eastAsia="Times New Roman" w:hAnsi="Times New Roman"/>
          <w:sz w:val="18"/>
          <w:szCs w:val="18"/>
          <w:color w:val="auto"/>
        </w:rPr>
        <w:t>”), or approximately $33.7 million in Ordinary Shares based on the 5-day VWAP for the Ordinary Shares.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Loan Notes will accrue interest at a rate of 10% per annum and are payable in kind or in cash. The First Loan Note matures on April 1, 2027 and the Second Loan Note matures on December 31, 2027. Additionally, the Company assumed approximately $151.9 million of the aggregate principal amount of outstanding term loans and revolving loans and approximately $1.8 million of accrued and unpaid exit and amendment fees, of which, $50.0 million was paid by the Company at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168846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4" w:lineRule="exact"/>
        <w:rPr>
          <w:sz w:val="20"/>
          <w:szCs w:val="20"/>
          <w:color w:val="auto"/>
        </w:rPr>
      </w:pPr>
    </w:p>
    <w:p>
      <w:pPr>
        <w:ind w:right="420" w:firstLine="8"/>
        <w:spacing w:after="0" w:line="223" w:lineRule="auto"/>
        <w:tabs>
          <w:tab w:leader="none" w:pos="105"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(company number 14573691) and changed its name to Rezolve AI Limited on June 5, 2023. Rezolve Limited was incorporated in England and Wales as a private limited company on September 11, 2015 under the name Soul Seeker Limited with company number 09773823.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U.S. Securities Act, as amended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U.S.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Acquisition Corp. I,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9" w:name="page10"/>
    <w:bookmarkEnd w:id="9"/>
    <w:p>
      <w:pPr>
        <w:ind w:right="320"/>
        <w:spacing w:after="0" w:line="282" w:lineRule="auto"/>
        <w:rPr>
          <w:sz w:val="20"/>
          <w:szCs w:val="20"/>
          <w:color w:val="auto"/>
        </w:rPr>
      </w:pPr>
      <w:r>
        <w:rPr>
          <w:rFonts w:ascii="Times New Roman" w:cs="Times New Roman" w:eastAsia="Times New Roman" w:hAnsi="Times New Roman"/>
          <w:sz w:val="18"/>
          <w:szCs w:val="18"/>
          <w:color w:val="auto"/>
        </w:rPr>
        <w:t>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1020" w:right="3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0" w:name="page11"/>
    <w:bookmarkEnd w:id="10"/>
    <w:p>
      <w:pPr>
        <w:ind w:left="503" w:right="8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7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such as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2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00" w:hanging="503"/>
        <w:spacing w:after="0" w:line="266"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0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11" w:name="page12"/>
    <w:bookmarkEnd w:id="11"/>
    <w:p>
      <w:pPr>
        <w:ind w:left="503" w:right="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right="260" w:hanging="503"/>
        <w:spacing w:after="0" w:line="266"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shutdown of the U.S. federal government, we have determined to rely on Section 8(a) of the Securities Act to cause the registration statement of which this prospectus forms a part to become effective automatically, which could result in a number of potential adverse consequences.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Ordinary Shares could be volatile, and the value of our Ordinary Shares may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6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4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80" w:hanging="503"/>
        <w:spacing w:after="0" w:line="282" w:lineRule="auto"/>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60" w:hanging="5063"/>
        <w:spacing w:after="0" w:line="407" w:lineRule="auto"/>
        <w:tabs>
          <w:tab w:leader="none" w:pos="5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We are registering the resale by the Selling Holder or their permitted transferees of up to 11,127,780 Ordinary Shares. Any investment in the securities offered hereby is speculative and involves a high degree of risk. You should carefully consider the information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on page 7 of this prospectus.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as of December 19, 2025 and does not give effect to issuances of Ordinary Shares after such date.</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Resale of Ordinary Shares</w:t>
            </w:r>
          </w:p>
        </w:tc>
        <w:tc>
          <w:tcPr>
            <w:tcW w:w="8300" w:type="dxa"/>
            <w:vAlign w:val="bottom"/>
          </w:tcPr>
          <w:p>
            <w:pPr>
              <w:spacing w:after="0"/>
              <w:rPr>
                <w:sz w:val="20"/>
                <w:szCs w:val="20"/>
                <w:color w:val="auto"/>
              </w:rPr>
            </w:pPr>
          </w:p>
        </w:tc>
      </w:tr>
      <w:tr>
        <w:trPr>
          <w:trHeight w:val="41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Shares offered by the Selling</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11,127,780 Ordinary Shares issued in connection with the CrownPeak Acquisition</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Holder</w:t>
            </w:r>
          </w:p>
        </w:tc>
        <w:tc>
          <w:tcPr>
            <w:tcW w:w="8300" w:type="dxa"/>
            <w:vAlign w:val="bottom"/>
          </w:tcPr>
          <w:p>
            <w:pPr>
              <w:spacing w:after="0"/>
              <w:rPr>
                <w:sz w:val="20"/>
                <w:szCs w:val="20"/>
                <w:color w:val="auto"/>
              </w:rPr>
            </w:pPr>
          </w:p>
        </w:tc>
      </w:tr>
      <w:tr>
        <w:trPr>
          <w:trHeight w:val="432"/>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 will not receive any proceeds from the sale of the Ordinary Shares to be offered by the Selling Holder</w:t>
            </w:r>
          </w:p>
        </w:tc>
      </w:tr>
      <w:tr>
        <w:trPr>
          <w:trHeight w:val="41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7 of this prospectus and other information included in</w:t>
            </w:r>
          </w:p>
        </w:tc>
      </w:tr>
      <w:tr>
        <w:trPr>
          <w:trHeight w:val="216"/>
        </w:trPr>
        <w:tc>
          <w:tcPr>
            <w:tcW w:w="2940" w:type="dxa"/>
            <w:vAlign w:val="bottom"/>
          </w:tcPr>
          <w:p>
            <w:pPr>
              <w:spacing w:after="0"/>
              <w:rPr>
                <w:sz w:val="18"/>
                <w:szCs w:val="18"/>
                <w:color w:val="auto"/>
              </w:rPr>
            </w:pP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this prospectus for a discussion of factors that you should consider carefully before deciding to invest in our</w:t>
            </w:r>
          </w:p>
        </w:tc>
      </w:tr>
      <w:tr>
        <w:trPr>
          <w:trHeight w:val="234"/>
        </w:trPr>
        <w:tc>
          <w:tcPr>
            <w:tcW w:w="2940" w:type="dxa"/>
            <w:vAlign w:val="bottom"/>
          </w:tcPr>
          <w:p>
            <w:pPr>
              <w:spacing w:after="0"/>
              <w:rPr>
                <w:sz w:val="20"/>
                <w:szCs w:val="20"/>
                <w:color w:val="auto"/>
              </w:rPr>
            </w:pP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Ordinary Shares and Warrants.</w:t>
            </w:r>
          </w:p>
        </w:tc>
      </w:tr>
      <w:tr>
        <w:trPr>
          <w:trHeight w:val="6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symbol for our Ordinary</w:t>
            </w:r>
          </w:p>
        </w:tc>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“RZLV.”</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8300" w:type="dxa"/>
            <w:vAlign w:val="bottom"/>
          </w:tcPr>
          <w:p>
            <w:pPr>
              <w:spacing w:after="0"/>
              <w:rPr>
                <w:sz w:val="20"/>
                <w:szCs w:val="20"/>
                <w:color w:val="auto"/>
              </w:rPr>
            </w:pPr>
          </w:p>
        </w:tc>
      </w:tr>
      <w:tr>
        <w:trPr>
          <w:trHeight w:val="540"/>
        </w:trPr>
        <w:tc>
          <w:tcPr>
            <w:tcW w:w="2940" w:type="dxa"/>
            <w:vAlign w:val="bottom"/>
          </w:tcPr>
          <w:p>
            <w:pPr>
              <w:spacing w:after="0"/>
              <w:rPr>
                <w:sz w:val="24"/>
                <w:szCs w:val="24"/>
                <w:color w:val="auto"/>
              </w:rPr>
            </w:pPr>
          </w:p>
        </w:tc>
        <w:tc>
          <w:tcPr>
            <w:tcW w:w="83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6</w:t>
            </w:r>
          </w:p>
        </w:tc>
      </w:tr>
      <w:tr>
        <w:trPr>
          <w:trHeight w:val="763"/>
        </w:trPr>
        <w:tc>
          <w:tcPr>
            <w:tcW w:w="294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You should consider carefully the following risks, as revised or supplemented by our reports subsequently filed after the date hereof with the SEC and incorporated by reference in this prospectus, together with the financial and other information we include or incorporate by reference in this prospectus, before you decide to purchase our securities. If any of the following risks actually occur, our business, financial condition and operating results could be materially and adversely affected. In that case, the market price of our securities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Microsoft, Google and ACI in North America and Europe,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1020" w:right="7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Rezolve incurred a net loss of $172.6 million in the year ended December 31, 2024 and $30.7 million in the year ended December 31, 2023, respectively. At December 31, 2024, Rezolve had a total shareholders’ deficit of $38.0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4" w:name="page15"/>
    <w:bookmarkEnd w:id="14"/>
    <w:p>
      <w:pPr>
        <w:spacing w:after="0" w:line="258" w:lineRule="auto"/>
        <w:rPr>
          <w:sz w:val="20"/>
          <w:szCs w:val="20"/>
          <w:color w:val="auto"/>
        </w:rPr>
      </w:pPr>
      <w:r>
        <w:rPr>
          <w:rFonts w:ascii="Times New Roman" w:cs="Times New Roman" w:eastAsia="Times New Roman" w:hAnsi="Times New Roman"/>
          <w:sz w:val="18"/>
          <w:szCs w:val="18"/>
          <w:color w:val="auto"/>
        </w:rPr>
        <w:t>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8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 business. Uncertain and adverse economic conditions may also lead to increased refunds and chargebacks or reduced transaction fees, any of which could adversely affect Rezolve’s business.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Uneven economic growth or downturns or international trade and other global disruptions, geopolitical tensions, or disputes could adversely affect our business and operating results.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Trade and other global disputes and interruptions, including related to tariffs, trade protection measures, import or export licensing requirements, the imposition of trade sanctions or similar restrictions by the U.S. or other governments, international tension and conflicts, as well as economic stagnation, cost inflation, strains on global transportation, manufacturing, and labor markets, and public health outbreaks, epidemics, or pandemics affect our ability to do business. Among other risks, the use of tariffs and other trade restrictions increase costs and may impact or otherwise complicate aspects of our business.</w:t>
      </w:r>
    </w:p>
    <w:p>
      <w:pPr>
        <w:spacing w:after="0" w:line="28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 partners to meet their settlement obligations and/or Rezolve’s inability to find new business partners in a timely manner could have a material adverse effect on Rezolve’s financial condition and/or results of operations.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the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660 employees at December 1, 2025.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1020" w:right="3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7" w:name="page18"/>
    <w:bookmarkEnd w:id="17"/>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global pandemics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4"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8" w:name="page19"/>
    <w:bookmarkEnd w:id="18"/>
    <w:p>
      <w:pPr>
        <w:ind w:right="80"/>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19" w:name="page20"/>
    <w:bookmarkEnd w:id="19"/>
    <w:p>
      <w:pPr>
        <w:spacing w:after="0" w:line="254"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29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our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0" w:name="page21"/>
    <w:bookmarkEnd w:id="20"/>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 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1" w:name="page22"/>
    <w:bookmarkEnd w:id="21"/>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global pandemics, may adversely impact Rezolve’s business, results of operations and financial performance.</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 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Operating and Financial Officer, Arthur Yao, Chief Scientist, Salman Ahmad, and President, Global Professional Services and Chief Digital Officer,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 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geopolitical conflicts,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 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24" w:name="page25"/>
    <w:bookmarkEnd w:id="24"/>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“European Data Protection Laws”).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2" w:right="379" w:bottom="1440" w:gutter="0" w:footer="0" w:header="0"/>
        </w:sectPr>
      </w:pPr>
    </w:p>
    <w:bookmarkStart w:id="25" w:name="page26"/>
    <w:bookmarkEnd w:id="25"/>
    <w:p>
      <w:pPr>
        <w:spacing w:after="0" w:line="253" w:lineRule="auto"/>
        <w:rPr>
          <w:sz w:val="20"/>
          <w:szCs w:val="20"/>
          <w:color w:val="auto"/>
        </w:rPr>
      </w:pPr>
      <w:r>
        <w:rPr>
          <w:rFonts w:ascii="Times New Roman" w:cs="Times New Roman" w:eastAsia="Times New Roman" w:hAnsi="Times New Roman"/>
          <w:sz w:val="18"/>
          <w:szCs w:val="18"/>
          <w:color w:val="auto"/>
        </w:rPr>
        <w:t>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 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 Furthermore, many of Rezolve’s current and potential competitors have the ability to dedicate substantially greater resources to developing and protecting their technology or intellectual property rights than Rezolve does.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8" w:name="page29"/>
    <w:bookmarkEnd w:id="28"/>
    <w:p>
      <w:pPr>
        <w:ind w:right="160"/>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9" w:name="page30"/>
    <w:bookmarkEnd w:id="29"/>
    <w:p>
      <w:pPr>
        <w:ind w:right="120"/>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For example, Rezolve has been notified that a civil complaint was filed against the Company and Daniel Wagner in the Supreme Court of the State of New York, New York County, by JBAAM Special Opportunities Fund II LLC and YA II PN, Ltd., in connection with the parties’ securities purchase agreement dated February 21, 2025. Efforts to defend against such claims may entail significant costs and harm Rezolve’s reputation, all of which could adversely affect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our Ordinary Shares may decline.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cannot predict the prices at which our Ordinary Shares will trade. The price of our Ordinary Shares s is likely to be volatile and could be subject to fluctuations in response to various factors, some of which are beyond our control. These fluctuations could cause you to lose all or part of your investment in our Ordinary Shares as you might be unable to sell your shares at or above the price you paid. Factors that could cause fluctuations in the trading price of our Ordinary Shares include the following:</w:t>
      </w:r>
    </w:p>
    <w:p>
      <w:pPr>
        <w:spacing w:after="0" w:line="72"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0" w:name="page31"/>
    <w:bookmarkEnd w:id="30"/>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be sustained, which would adversely affect the liquidity and price of our Ordinary Shares.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Nasdaq and are quoted on the OTC Bulletin Board (an inter-dealer automated quotation system for equity securities that is not a national securities exchange) or Rezolve’s securities are not listed on Nasdaq and are quoted on the OTC Bulletin Board,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Rezolve will be able to comply with the continued listing standards of Nasdaq.</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Nasdaq delists Rezolve’s securities from trading on its exchange for failure to continue to comply with its listing standards, Rezolve and its stockholders could face significant material adverse consequences including:</w:t>
      </w:r>
    </w:p>
    <w:p>
      <w:pPr>
        <w:spacing w:after="0" w:line="54" w:lineRule="exact"/>
        <w:rPr>
          <w:sz w:val="20"/>
          <w:szCs w:val="20"/>
          <w:color w:val="auto"/>
        </w:rPr>
      </w:pPr>
    </w:p>
    <w:p>
      <w:pPr>
        <w:jc w:val="right"/>
        <w:ind w:left="5540" w:right="5440" w:hanging="5023"/>
        <w:spacing w:after="0" w:line="342" w:lineRule="auto"/>
        <w:tabs>
          <w:tab w:leader="none" w:pos="103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availability of market quotations for Rezolve’s securities;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31" w:name="page32"/>
    <w:bookmarkEnd w:id="31"/>
    <w:p>
      <w:pPr>
        <w:ind w:left="1020" w:right="3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Ordinary Shares are a “penny stock” which will require brokers trading in our Ordinary Shares to adhere to more stringent rules, possibly resulting in a reduced level of trading activity in the secondary trading market for our Ordinary Shares;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32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 (i) the last day of the fiscal year (A) following the fifth anniversary of the closing of the IPO of Armada Acquisition Corp. I,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are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Rule 5635 requiring that a listed company obtain shareholder approval prior to an issuance of securities, including for acquisitions, equity-based compensation, changes of control, and private placements.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semi-yearly basis as press releases, distributed pursuant to the Nasdaq rules.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As a result, you may not be afforded the same protections or information that would be made available to you were you investing in a U.S. domestic issuer.</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as a foreign private issuer we will be exempt from the provisions of Regulation Fair Disclosure (“Regulation FD”),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 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9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and pursuant to the Standby Purchase Agreement and other convertible securities.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are required to devote a substantial amount of time to compliance with these requirements. Moreover, these rules and regulations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29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“CFC”),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(including, for taxable years beginning before January 1, 2026, as a result of the application of certain constructive ownership rules which treat Rezolve’s U.S. subsidiaries as owning the equity of those non-U.S. subsidiaries), and it is possible that we may be</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3" w:name="page34"/>
    <w:bookmarkEnd w:id="33"/>
    <w:p>
      <w:pPr>
        <w:spacing w:after="0" w:line="252" w:lineRule="auto"/>
        <w:rPr>
          <w:sz w:val="20"/>
          <w:szCs w:val="20"/>
          <w:color w:val="auto"/>
        </w:rPr>
      </w:pPr>
      <w:r>
        <w:rPr>
          <w:rFonts w:ascii="Times New Roman" w:cs="Times New Roman" w:eastAsia="Times New Roman" w:hAnsi="Times New Roman"/>
          <w:sz w:val="18"/>
          <w:szCs w:val="18"/>
          <w:color w:val="auto"/>
        </w:rPr>
        <w:t>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 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(“PFIC”),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2025.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holds our Ordinary Shares, certain adverse U.S. federal income tax consequences could apply to such U.S. holder (as defined in “Material Tax Considerations - Material U.S. Federal Income Tax Considerations”). Prospective U.S. holders should consult their tax advisors regarding the potential application of the PFIC rules to them.</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(“IRS”)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4" w:name="page35"/>
    <w:bookmarkEnd w:id="3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Holder pursuant to this prospectus will be sold by the Selling Holder for their account. We will not receive any of the proceeds from these sales.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Selling Holder will pay any underwriting commissions and discounts, and expenses incurred by the Selling Holder for brokerage, marketing costs, or legal services (other than those detailed below). We will bear the costs, fees and expenses incurred in effecting the registration of the securities covered by this prospectus, including all registration and filing fees, securities or blue sky law compliance fees, Nasdaq listing fees and expenses of our counsel and our independent registered public accounting firm, and fees and expenses of one legal counsel.</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08" w:right="45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of directors. Further, our ability to declare dividends may be limited by the terms of financing or other agreements we or our subsidiaries enter into from time to time.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181818"/>
        </w:rPr>
        <w:t>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June 30, 2025:</w:t>
      </w:r>
    </w:p>
    <w:p>
      <w:pPr>
        <w:spacing w:after="0" w:line="117"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private placement in July 2025 of 20,000,000 Ordinary Shares for aggregate gross proceeds of approximately $50 million, before deducting placement agent fees and other offering expenses and (ii) the private placement in September 2025 of 37,000,000 Ordinary Shares for aggregate gross proceeds of approximately $200 million, before deducting placement agent fees and other offering expenses, as if such events had occurred on June 30, 2025 and the (iii) Crownpeak Acquisition.</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our financial statements and related notes that are incorporated by reference into this prospectus and the other financial information included or incorporated by reference into this prospectus. Our historical results do not necessarily indicate our expected results for any future periods.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Actual (Unaudited)</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PIPE funding</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ATM</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205"/>
              <w:spacing w:after="0" w:line="118" w:lineRule="exact"/>
              <w:rPr>
                <w:sz w:val="20"/>
                <w:szCs w:val="20"/>
                <w:color w:val="auto"/>
              </w:rPr>
            </w:pPr>
            <w:r>
              <w:rPr>
                <w:rFonts w:ascii="Times New Roman" w:cs="Times New Roman" w:eastAsia="Times New Roman" w:hAnsi="Times New Roman"/>
                <w:sz w:val="13"/>
                <w:szCs w:val="13"/>
                <w:b w:val="1"/>
                <w:bCs w:val="1"/>
                <w:color w:val="auto"/>
              </w:rPr>
              <w:t>Crownpeak</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205"/>
              <w:spacing w:after="0" w:line="118" w:lineRule="exact"/>
              <w:rPr>
                <w:sz w:val="20"/>
                <w:szCs w:val="20"/>
                <w:color w:val="auto"/>
              </w:rPr>
            </w:pPr>
            <w:r>
              <w:rPr>
                <w:rFonts w:ascii="Times New Roman" w:cs="Times New Roman" w:eastAsia="Times New Roman" w:hAnsi="Times New Roman"/>
                <w:sz w:val="13"/>
                <w:szCs w:val="13"/>
                <w:b w:val="1"/>
                <w:bCs w:val="1"/>
                <w:color w:val="auto"/>
              </w:rPr>
              <w:t>Proforma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Cash and cash equivalents</w:t>
            </w:r>
          </w:p>
        </w:tc>
        <w:tc>
          <w:tcPr>
            <w:tcW w:w="160" w:type="dxa"/>
            <w:vAlign w:val="bottom"/>
            <w:gridSpan w:val="2"/>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9,857,390</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237,927,000</w:t>
            </w:r>
          </w:p>
        </w:tc>
        <w:tc>
          <w:tcPr>
            <w:tcW w:w="340" w:type="dxa"/>
            <w:vAlign w:val="bottom"/>
            <w:gridSpan w:val="2"/>
            <w:shd w:val="clear" w:color="auto" w:fill="CFF0FC"/>
          </w:tcPr>
          <w:p>
            <w:pPr>
              <w:jc w:val="right"/>
              <w:ind w:right="105"/>
              <w:spacing w:after="0" w:line="156"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138,849,566</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FF0FC"/>
          </w:tcPr>
          <w:p>
            <w:pPr>
              <w:jc w:val="right"/>
              <w:ind w:right="5"/>
              <w:spacing w:after="0" w:line="156" w:lineRule="exact"/>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386,633,956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Stockholders' Equity: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4440" w:type="dxa"/>
            <w:vAlign w:val="bottom"/>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Ordinary shares, £0.0001 nominal value 259,066,638 shares issued and</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outstanding as of June 30, 2025; 341,476,136 shares authorized as of</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June 30, 2025</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33,394</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7,638</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6,437</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1,480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48,949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Additional paid-in 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302,123,036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237,919,362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138,843,130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39,998,520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718,884,048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Stock subscription receivable</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(2,108)</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(2,108)</w:t>
            </w:r>
          </w:p>
        </w:tc>
        <w:tc>
          <w:tcPr>
            <w:tcW w:w="0" w:type="dxa"/>
            <w:vAlign w:val="bottom"/>
          </w:tcPr>
          <w:p>
            <w:pPr>
              <w:spacing w:after="0"/>
              <w:rPr>
                <w:sz w:val="1"/>
                <w:szCs w:val="1"/>
                <w:color w:val="auto"/>
              </w:rPr>
            </w:pPr>
          </w:p>
        </w:tc>
      </w:tr>
      <w:tr>
        <w:trPr>
          <w:trHeight w:val="162"/>
        </w:trPr>
        <w:tc>
          <w:tcPr>
            <w:tcW w:w="4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Accumulated 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(316,062,263)</w:t>
            </w:r>
          </w:p>
        </w:tc>
        <w:tc>
          <w:tcPr>
            <w:tcW w:w="16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(316,062,263)</w:t>
            </w:r>
          </w:p>
        </w:tc>
        <w:tc>
          <w:tcPr>
            <w:tcW w:w="0" w:type="dxa"/>
            <w:vAlign w:val="bottom"/>
          </w:tcPr>
          <w:p>
            <w:pPr>
              <w:spacing w:after="0"/>
              <w:rPr>
                <w:sz w:val="1"/>
                <w:szCs w:val="1"/>
                <w:color w:val="auto"/>
              </w:rPr>
            </w:pPr>
          </w:p>
        </w:tc>
      </w:tr>
      <w:tr>
        <w:trPr>
          <w:trHeight w:val="162"/>
        </w:trPr>
        <w:tc>
          <w:tcPr>
            <w:tcW w:w="44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Accumulated other comprehensive loss</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(381,878)</w:t>
            </w: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(381,878)</w:t>
            </w:r>
          </w:p>
        </w:tc>
        <w:tc>
          <w:tcPr>
            <w:tcW w:w="0" w:type="dxa"/>
            <w:vAlign w:val="bottom"/>
          </w:tcPr>
          <w:p>
            <w:pPr>
              <w:spacing w:after="0"/>
              <w:rPr>
                <w:sz w:val="1"/>
                <w:szCs w:val="1"/>
                <w:color w:val="auto"/>
              </w:rPr>
            </w:pPr>
          </w:p>
        </w:tc>
      </w:tr>
      <w:tr>
        <w:trPr>
          <w:trHeight w:val="20"/>
        </w:trPr>
        <w:tc>
          <w:tcPr>
            <w:tcW w:w="44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40" w:type="dxa"/>
            <w:vAlign w:val="bottom"/>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shareholders' (deficit) equity</w:t>
            </w:r>
          </w:p>
        </w:tc>
        <w:tc>
          <w:tcPr>
            <w:tcW w:w="1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b w:val="1"/>
                <w:bCs w:val="1"/>
                <w:color w:val="auto"/>
              </w:rPr>
              <w:t>(14,289,819)</w:t>
            </w:r>
          </w:p>
        </w:tc>
        <w:tc>
          <w:tcPr>
            <w:tcW w:w="16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237,927,000</w:t>
            </w:r>
          </w:p>
        </w:tc>
        <w:tc>
          <w:tcPr>
            <w:tcW w:w="340" w:type="dxa"/>
            <w:vAlign w:val="bottom"/>
            <w:gridSpan w:val="2"/>
          </w:tcPr>
          <w:p>
            <w:pPr>
              <w:jc w:val="right"/>
              <w:ind w:right="105"/>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138,849,566</w:t>
            </w:r>
          </w:p>
        </w:tc>
        <w:tc>
          <w:tcPr>
            <w:tcW w:w="260" w:type="dxa"/>
            <w:vAlign w:val="bottom"/>
            <w:gridSpan w:val="2"/>
          </w:tcPr>
          <w:p>
            <w:pPr>
              <w:jc w:val="right"/>
              <w:ind w:right="4"/>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10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40,000,000</w:t>
            </w:r>
          </w:p>
        </w:tc>
        <w:tc>
          <w:tcPr>
            <w:tcW w:w="240" w:type="dxa"/>
            <w:vAlign w:val="bottom"/>
            <w:gridSpan w:val="2"/>
          </w:tcPr>
          <w:p>
            <w:pPr>
              <w:jc w:val="right"/>
              <w:ind w:right="5"/>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96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402,486,747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44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Total capitalization</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(14,289,819)</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237,927,000</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138,849,566</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40,000,000</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5"/>
                <w:szCs w:val="15"/>
                <w:b w:val="1"/>
                <w:bCs w:val="1"/>
                <w:color w:val="auto"/>
              </w:rPr>
              <w:t>402,486,747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-248285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-248285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-248285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-248285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7" w:name="page38"/>
    <w:bookmarkEnd w:id="37"/>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3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REZOLVE AI plc and subsidiaries</w:t>
      </w:r>
    </w:p>
    <w:p>
      <w:pPr>
        <w:spacing w:after="0" w:line="20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previously disclosed in its Current Reports on Form 6-K furnished with the Securities and Exchange Commission (“SEC”) on March 31, 2025, February 21, 2025, December 1, 2025 and December 5, 2025, Rezolve AI plc (“Rezolve” or “the Company”) completed two acquisitions, as discussed below.</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Crownpeak Acquisition</w:t>
      </w:r>
    </w:p>
    <w:p>
      <w:pPr>
        <w:spacing w:after="0" w:line="119" w:lineRule="exact"/>
        <w:rPr>
          <w:sz w:val="20"/>
          <w:szCs w:val="20"/>
          <w:color w:val="auto"/>
        </w:rPr>
      </w:pPr>
    </w:p>
    <w:p>
      <w:pPr>
        <w:ind w:right="760" w:firstLine="509"/>
        <w:spacing w:after="0" w:line="266" w:lineRule="auto"/>
        <w:rPr>
          <w:sz w:val="20"/>
          <w:szCs w:val="20"/>
          <w:color w:val="auto"/>
        </w:rPr>
      </w:pPr>
      <w:r>
        <w:rPr>
          <w:rFonts w:ascii="Times New Roman" w:cs="Times New Roman" w:eastAsia="Times New Roman" w:hAnsi="Times New Roman"/>
          <w:sz w:val="18"/>
          <w:szCs w:val="18"/>
          <w:color w:val="auto"/>
        </w:rPr>
        <w:t>On December 1, 2025, the Company announced the acquisition (the “Crownpeak Acquisition”) of the issued share capital of Crownpeak Intermediate Holdings, Inc.,(“Crownpeak”), pursuant to a sale and purchase agreement (the “Crownpeak Purchase Agreement”) with Crownpeak Technology Holdings, Inc, (the “Crownpeak Seller”).</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Crownpeak offers an AI-driven product discovery engine, Fredhopper, and an enterprise content management system, FirstSpirit, to help businesses stay in control, scale fast, and deliver inclusive, accessible digital experiences for their customers.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December 5, 2025, Rezolve closed the Crownpeak Acquisition.</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initial purchase price for the Crownpeak Acquisition was $90.0 million, subject to certain adjustments as described in the Crownpeak Purchase Agreement. The consideration under the Crownpeak Purchase Agreement is composed of the following to be issued by the Company to the Crownpeak Seller: (i) a promissory note in the initial principal amount of $50,000,000, made up of a $20,000,000 tranche (the “First Loan Note”) and a $30,000,000 tranche (the “Second Loan Note” and together with the First Loan Note, the “Loan Notes”); and (ii) 11,127,780 ordinary shares, nominal value £0.0001 per share (“Ordinary Shares”), of the Company (such shares issued as consideration, the “Consideration Shares”), with an approximate value of $40.0 million ($33.7 million net of cash acquired, completion indebtedness and transaction costs) based on the 5-day VWAP for the Ordinary Shares.</w:t>
      </w:r>
    </w:p>
    <w:p>
      <w:pPr>
        <w:spacing w:after="0" w:line="7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Loan Notes will accrue interest at a rate of 10% per annum and are payable in kind or in cash. The First Loan Note matures on April 1, 2027 and the Second Loan Note matures on December 31, 2027. The Company assumed approximately $151.9 million of the aggregate principal amount of outstanding term loans and revolving loans and approximately $1.8 million of accrued and unpaid exit and amendment fees, of which, $50.0 million was paid by the Company at the closing.</w:t>
      </w:r>
    </w:p>
    <w:p>
      <w:pPr>
        <w:spacing w:after="0" w:line="72"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Crownpeak was deemed significant under Rule 3-05 and the following separate financial statements for Crownpeak are incorporated by reference from the Company's Form 6-K (Exhibits 99-1 and 99-2), furnished with the SEC on December 15, 2025:</w:t>
      </w:r>
    </w:p>
    <w:p>
      <w:pPr>
        <w:spacing w:after="0" w:line="162" w:lineRule="exact"/>
        <w:rPr>
          <w:sz w:val="20"/>
          <w:szCs w:val="20"/>
          <w:color w:val="auto"/>
        </w:rPr>
      </w:pPr>
    </w:p>
    <w:p>
      <w:pPr>
        <w:ind w:left="1260" w:right="540" w:hanging="368"/>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of Crownpeak Intermediate Holdings, Inc. and subsidiaries as of and for the years ended January 31, 2025 and 2024</w:t>
      </w:r>
    </w:p>
    <w:p>
      <w:pPr>
        <w:spacing w:after="0" w:line="161" w:lineRule="exact"/>
        <w:rPr>
          <w:rFonts w:ascii="Times New Roman" w:cs="Times New Roman" w:eastAsia="Times New Roman" w:hAnsi="Times New Roman"/>
          <w:sz w:val="18"/>
          <w:szCs w:val="18"/>
          <w:color w:val="auto"/>
        </w:rPr>
      </w:pPr>
    </w:p>
    <w:p>
      <w:pPr>
        <w:ind w:left="1260" w:right="360" w:hanging="368"/>
        <w:spacing w:after="0" w:line="282" w:lineRule="auto"/>
        <w:tabs>
          <w:tab w:leader="none" w:pos="1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financial statements Crownpeak Intermediate Holdings, Inc. and subsidiaries as of, and for the six months ended July 31, 2025 and 2024</w:t>
      </w:r>
    </w:p>
    <w:p>
      <w:pPr>
        <w:spacing w:after="0" w:line="5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audited consolidated financial statements of Crownpeak Intermediate Holdings, Inc. and subsidiaries as of and for the years ended January 31, 2025 and 2024 and the unaudited condensed consolidated financial statements Crownpeak Intermediate Holdings, Inc. and subsidiaries as of, and for the six months ended July 31, 2025 and 2024 have been prepared in accordance with United States Generally Accepted Accounting Principles (“US GAAP”).</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GroupBy Acquisition</w:t>
      </w:r>
    </w:p>
    <w:p>
      <w:pPr>
        <w:spacing w:after="0" w:line="11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On February 11, 2025, the Company entered into a purchase agreement with GroupBy Inc., GroupBy International Ltd., and Fortis Advisors LLC, as the representative of the sellers party thereto (“the GroupBy Sellers”), to acquire the entire issued share capital (the “GroupBy acquisition”) of each of GroupBy Inc., GroupBy International Ltd., GroupBy USA Inc., and GroupBy UK Ltd (together “GroupBy”).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GroupBy is an eCommerce Search and Product Discovery SaaS technology provider that powers some of the largest B2B and B2C brands.</w:t>
      </w:r>
    </w:p>
    <w:p>
      <w:pPr>
        <w:spacing w:after="0" w:line="11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March 25, 2025, Rezolve closed the GroupBy acquisition. As consideration for the GroupBy acquisition, the Company issued an aggregate of 3,999,902 of its ordinary shares of the Company to the GroupBy Sellers.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8" w:name="page39"/>
    <w:bookmarkEnd w:id="38"/>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acquisition of GroupBy was deemed significant under Rule 3-05 and the following separate financial statements for GroupBy are incorporated by reference, as noted below:</w:t>
      </w:r>
    </w:p>
    <w:p>
      <w:pPr>
        <w:spacing w:after="0" w:line="162" w:lineRule="exact"/>
        <w:rPr>
          <w:sz w:val="20"/>
          <w:szCs w:val="20"/>
          <w:color w:val="auto"/>
        </w:rPr>
      </w:pPr>
    </w:p>
    <w:p>
      <w:pPr>
        <w:ind w:left="1260" w:right="160" w:hanging="368"/>
        <w:spacing w:after="0" w:line="282"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combined consolidated financial statements of GroupBy Group of Companies as of and for the years ended December 31, 2024 and 2023 are incorporated by reference from the Company's Form 20-F (Item 18), filed with the SEC on April 24, 2025</w:t>
      </w:r>
    </w:p>
    <w:p>
      <w:pPr>
        <w:spacing w:after="0" w:line="161" w:lineRule="exact"/>
        <w:rPr>
          <w:rFonts w:ascii="Times New Roman" w:cs="Times New Roman" w:eastAsia="Times New Roman" w:hAnsi="Times New Roman"/>
          <w:sz w:val="18"/>
          <w:szCs w:val="18"/>
          <w:color w:val="auto"/>
        </w:rPr>
      </w:pPr>
    </w:p>
    <w:p>
      <w:pPr>
        <w:ind w:left="1260" w:right="100" w:hanging="368"/>
        <w:spacing w:after="0" w:line="266" w:lineRule="auto"/>
        <w:tabs>
          <w:tab w:leader="none" w:pos="1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interim combined consolidated financial statements of GroupBy Group of Companies as of, and for the six months ended June 30, 2025 and 2024 are incorporated by reference from the Company's Form 6-K (Exhibit 99-3), furnished with the SEC on October 1, 2025</w:t>
      </w:r>
    </w:p>
    <w:p>
      <w:pPr>
        <w:spacing w:after="0" w:line="17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audited combined consolidated financial statements of GroupBy Group of Companies as of and for the years ended December 31, 2024 and 2023 and the unaudited condensed interim combined consolidated financial statements for GroupBy as of and for six months ended June 30, 2025 have been prepared in accordance with International Financial Reporting Standards (“IFRS”) and interpretations adopted by the International Accounting Standards Board (“IASB”).</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227" w:lineRule="exact"/>
        <w:rPr>
          <w:sz w:val="20"/>
          <w:szCs w:val="20"/>
          <w:color w:val="auto"/>
        </w:rPr>
      </w:pPr>
    </w:p>
    <w:p>
      <w:pPr>
        <w:ind w:right="360" w:firstLine="554"/>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2024 and the Unaudited Pro Forma Condensed Combined Statement of Operations for the six months ended June 30, 2025 give effect to the Crownpeak acquisition and the GroupBy acquisition as if both acquisitions had been completed on January 1, 2024.</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2025 gives effect to the Crownpeak acquisition as if it had been completed on June 30, 2025. The assets and liabilities of GroupBy are included in the Company's Unaudited Condensed Combined Consolidated Balance Sheet as of June 30, 2025.</w:t>
      </w:r>
    </w:p>
    <w:p>
      <w:pPr>
        <w:spacing w:after="0" w:line="176"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such, the adjustments reflected in the Unaudited Pro Forma Condensed Combined Balance Sheet will not necessarily reconcile with the adjustments in the Unaudited Pro Forma Condensed Combined Statements of Operations.</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Assumptions and estimates underlying the pro forma adjustments are described in the accompanying notes, which should be read in conjunction with the unaudited pro forma condensed combined financial statements. The unaudited pro forma condensed combined financial information is provided for illustrative purposes only and does not purport to represent what the actual consolidated results of operations of Rezolve would have been had the Crownpeak acquisition and the GroupBy acquisition occurred on the date noted above, nor are they necessarily indicative of future consolidated results of operations. Future results may vary significantly from the results reflected because of various factors.</w:t>
      </w:r>
    </w:p>
    <w:p>
      <w:pPr>
        <w:spacing w:after="0" w:line="183"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reflect the benefits of potential cost savings or the costs that may be necessary to achieve such savings, opportunities to increase revenue generation or other factors that may result from the Crownpeak acquisition and the GroupBy acquisition and does not attempt to predict or suggest future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financial statements have been developed from and should be read in conjunction with the:</w:t>
      </w:r>
    </w:p>
    <w:p>
      <w:pPr>
        <w:spacing w:after="0" w:line="117" w:lineRule="exact"/>
        <w:rPr>
          <w:sz w:val="20"/>
          <w:szCs w:val="20"/>
          <w:color w:val="auto"/>
        </w:rPr>
      </w:pPr>
    </w:p>
    <w:p>
      <w:pPr>
        <w:ind w:left="1020" w:right="4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of Rezolve as of, and for the years ended, December 31, 2024 and 2023; incorporated by reference from the Company's Form 20-F (Item 18), filed with the SEC on April 24, 2025;</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combined consolidated financial statements of Rezolve as of, and for the six months ended June 30, 2025; incorporated by reference from the Company's Form 6-K (Exhibit 99-3), furnished with the SEC on October 1, 2025;</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financial statements of Crownpeak Intermediate Holdings, Inc. and subsidiaries as of and for the years ended January 31, 2025 and 2024, incorporated by reference from the Company's Form 6-K (Exhibits 99-1 and 99-2), furnished with the SEC on December 15, 2025;</w:t>
      </w:r>
    </w:p>
    <w:p>
      <w:pPr>
        <w:spacing w:after="0" w:line="6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consolidated financial statements Crownpeak Intermediate Holdings, Inc. and subsidiaries as of, and for the six months ended July 31, 2025 and 2024, incorporated by reference from the Company's Form 6-K (Exhibits 99-1 and 99-2), furnished with the SEC on December 15, 2025;</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combined consolidated financial statements of GroupBy Group of Companies as of and for the years ended December 31, 2024 and 2023; incorporated by reference from the Company's Form 20-F (Item 18), filed with the SEC on April 24, 2025;</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39" w:name="page40"/>
    <w:bookmarkEnd w:id="39"/>
    <w:p>
      <w:pPr>
        <w:ind w:left="503" w:hanging="503"/>
        <w:spacing w:after="0" w:line="26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condensed interim combined consolidated financial statements of GroupBy Group of Companies as of, and for the six months ended June 30, 2025 and 2024; incorporated by reference from the Company's Form 6-K (Exhibit 99-3), furnished with the SEC on October 1, 2025;</w:t>
      </w:r>
    </w:p>
    <w:p>
      <w:pPr>
        <w:spacing w:after="0" w:line="65" w:lineRule="exact"/>
        <w:rPr>
          <w:rFonts w:ascii="Times New Roman" w:cs="Times New Roman" w:eastAsia="Times New Roman" w:hAnsi="Times New Roman"/>
          <w:sz w:val="18"/>
          <w:szCs w:val="18"/>
          <w:color w:val="auto"/>
        </w:rPr>
      </w:pPr>
    </w:p>
    <w:p>
      <w:pPr>
        <w:ind w:left="503" w:right="26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incorporated by reference from the Company's Form 20-F (Item 5), filed with the SEC on April 24, 2025;</w:t>
      </w:r>
    </w:p>
    <w:p>
      <w:pPr>
        <w:spacing w:after="0" w:line="50" w:lineRule="exact"/>
        <w:rPr>
          <w:rFonts w:ascii="Times New Roman" w:cs="Times New Roman" w:eastAsia="Times New Roman" w:hAnsi="Times New Roman"/>
          <w:sz w:val="18"/>
          <w:szCs w:val="18"/>
          <w:color w:val="auto"/>
        </w:rPr>
      </w:pPr>
    </w:p>
    <w:p>
      <w:pPr>
        <w:ind w:left="503" w:right="260" w:hanging="503"/>
        <w:spacing w:after="0" w:line="284"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incorporated by reference from the Company's Form 6-K (Exhibit 99-2), furnished with the SEC on October 1, 2025;</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3"/>
          </w:cols>
          <w:pgMar w:left="837" w:top="1120" w:right="4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Transaction adjustments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500"/>
              <w:spacing w:after="0" w:line="135" w:lineRule="exact"/>
              <w:rPr>
                <w:sz w:val="20"/>
                <w:szCs w:val="20"/>
                <w:color w:val="auto"/>
              </w:rPr>
            </w:pPr>
            <w:r>
              <w:rPr>
                <w:rFonts w:ascii="Times New Roman" w:cs="Times New Roman" w:eastAsia="Times New Roman" w:hAnsi="Times New Roman"/>
                <w:sz w:val="13"/>
                <w:szCs w:val="13"/>
                <w:b w:val="1"/>
                <w:bCs w:val="1"/>
                <w:color w:val="auto"/>
              </w:rPr>
              <w:t>GroupBy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Crownpeak</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(Historical Year ended</w:t>
            </w:r>
          </w:p>
        </w:tc>
        <w:tc>
          <w:tcPr>
            <w:tcW w:w="1560" w:type="dxa"/>
            <w:vAlign w:val="bottom"/>
            <w:gridSpan w:val="4"/>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Year ended</w:t>
            </w:r>
          </w:p>
        </w:tc>
        <w:tc>
          <w:tcPr>
            <w:tcW w:w="100" w:type="dxa"/>
            <w:vAlign w:val="bottom"/>
          </w:tcPr>
          <w:p>
            <w:pPr>
              <w:spacing w:after="0"/>
              <w:rPr>
                <w:sz w:val="11"/>
                <w:szCs w:val="11"/>
                <w:color w:val="auto"/>
              </w:rPr>
            </w:pPr>
          </w:p>
        </w:tc>
        <w:tc>
          <w:tcPr>
            <w:tcW w:w="13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(Historical Year ended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tcPr>
          <w:p>
            <w:pPr>
              <w:jc w:val="right"/>
              <w:ind w:right="60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December 31, 2024)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5"/>
              </w:rPr>
              <w:t>December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January 31, 2025)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GroupBy</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Crownpeak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35"/>
        </w:trPr>
        <w:tc>
          <w:tcPr>
            <w:tcW w:w="2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2,013,567</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18,890,934</w:t>
            </w:r>
          </w:p>
        </w:tc>
        <w:tc>
          <w:tcPr>
            <w:tcW w:w="100" w:type="dxa"/>
            <w:vAlign w:val="bottom"/>
            <w:shd w:val="clear" w:color="auto" w:fill="CFF0FC"/>
          </w:tcPr>
          <w:p>
            <w:pPr>
              <w:spacing w:after="0"/>
              <w:rPr>
                <w:sz w:val="11"/>
                <w:szCs w:val="11"/>
                <w:color w:val="auto"/>
              </w:rPr>
            </w:pPr>
          </w:p>
        </w:tc>
        <w:tc>
          <w:tcPr>
            <w:tcW w:w="22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73,903,575</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94,808,076</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192,829</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11,874,137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26,202,562</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38,269,528</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Sales and marketing expense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6,684,870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4,906,824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14,233,367</w:t>
            </w:r>
          </w:p>
        </w:tc>
        <w:tc>
          <w:tcPr>
            <w:tcW w:w="100" w:type="dxa"/>
            <w:vAlign w:val="bottom"/>
          </w:tcPr>
          <w:p>
            <w:pPr>
              <w:spacing w:after="0"/>
              <w:rPr>
                <w:sz w:val="11"/>
                <w:szCs w:val="11"/>
                <w:color w:val="auto"/>
              </w:rPr>
            </w:pPr>
          </w:p>
        </w:tc>
        <w:tc>
          <w:tcPr>
            <w:tcW w:w="3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O</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25,825,061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General and administrative expenses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133,174,891</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9,625,178</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35,585,653</w:t>
            </w:r>
          </w:p>
        </w:tc>
        <w:tc>
          <w:tcPr>
            <w:tcW w:w="100" w:type="dxa"/>
            <w:vAlign w:val="bottom"/>
            <w:shd w:val="clear" w:color="auto" w:fill="CFF0FC"/>
          </w:tcPr>
          <w:p>
            <w:pPr>
              <w:spacing w:after="0"/>
              <w:rPr>
                <w:sz w:val="11"/>
                <w:szCs w:val="11"/>
                <w:color w:val="auto"/>
              </w:rPr>
            </w:pPr>
          </w:p>
        </w:tc>
        <w:tc>
          <w:tcPr>
            <w:tcW w:w="34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O</w:t>
            </w: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112,554</w:t>
            </w:r>
          </w:p>
        </w:tc>
        <w:tc>
          <w:tcPr>
            <w:tcW w:w="10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center"/>
              <w:ind w:right="88"/>
              <w:spacing w:after="0" w:line="135" w:lineRule="exact"/>
              <w:rPr>
                <w:sz w:val="20"/>
                <w:szCs w:val="20"/>
                <w:color w:val="auto"/>
              </w:rPr>
            </w:pPr>
            <w:r>
              <w:rPr>
                <w:rFonts w:ascii="Times New Roman" w:cs="Times New Roman" w:eastAsia="Times New Roman" w:hAnsi="Times New Roman"/>
                <w:sz w:val="13"/>
                <w:szCs w:val="13"/>
                <w:b w:val="1"/>
                <w:bCs w:val="1"/>
                <w:color w:val="auto"/>
                <w:w w:val="84"/>
              </w:rPr>
              <w:t>A</w:t>
            </w: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178,498,276</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255,412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226,305</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200,370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6,704,020</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5,029,614</w:t>
            </w:r>
          </w:p>
        </w:tc>
        <w:tc>
          <w:tcPr>
            <w:tcW w:w="10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center"/>
              <w:ind w:right="88"/>
              <w:spacing w:after="0" w:line="135" w:lineRule="exact"/>
              <w:rPr>
                <w:sz w:val="20"/>
                <w:szCs w:val="20"/>
                <w:color w:val="auto"/>
              </w:rPr>
            </w:pPr>
            <w:r>
              <w:rPr>
                <w:rFonts w:ascii="Times New Roman" w:cs="Times New Roman" w:eastAsia="Times New Roman" w:hAnsi="Times New Roman"/>
                <w:sz w:val="13"/>
                <w:szCs w:val="13"/>
                <w:b w:val="1"/>
                <w:bCs w:val="1"/>
                <w:color w:val="auto"/>
                <w:w w:val="93"/>
              </w:rPr>
              <w:t>A,B</w:t>
            </w:r>
          </w:p>
        </w:tc>
        <w:tc>
          <w:tcPr>
            <w:tcW w:w="9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9,057,687</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78"/>
              </w:rPr>
              <w:t>H</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21,217,996</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140,534,307</w:t>
            </w: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26,606,509</w:t>
            </w: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82,725,602</w:t>
            </w:r>
          </w:p>
        </w:tc>
        <w:tc>
          <w:tcPr>
            <w:tcW w:w="10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5,142,168</w:t>
            </w:r>
          </w:p>
        </w:tc>
        <w:tc>
          <w:tcPr>
            <w:tcW w:w="100" w:type="dxa"/>
            <w:vAlign w:val="bottom"/>
            <w:tcBorders>
              <w:top w:val="single" w:sz="8" w:color="CFF0FC"/>
            </w:tcBorders>
          </w:tcPr>
          <w:p>
            <w:pPr>
              <w:spacing w:after="0"/>
              <w:rPr>
                <w:sz w:val="11"/>
                <w:szCs w:val="11"/>
                <w:color w:val="auto"/>
              </w:rPr>
            </w:pPr>
          </w:p>
        </w:tc>
        <w:tc>
          <w:tcPr>
            <w:tcW w:w="30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9,057,687</w:t>
            </w: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264,066,273</w:t>
            </w:r>
          </w:p>
        </w:tc>
        <w:tc>
          <w:tcPr>
            <w:tcW w:w="120" w:type="dxa"/>
            <w:vAlign w:val="bottom"/>
            <w:tcBorders>
              <w:top w:val="single" w:sz="8" w:color="CFF0FC"/>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(138,520,740)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(7,715,575)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rPr>
              <w:t>(8,822,027)</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(5,142,168)</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(9,057,687)</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(169,258,197)</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(expense)/income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(10,645,464)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(1,152,396)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(16,744,512)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1,173,596</w:t>
            </w:r>
          </w:p>
        </w:tc>
        <w:tc>
          <w:tcPr>
            <w:tcW w:w="100" w:type="dxa"/>
            <w:vAlign w:val="bottom"/>
          </w:tcPr>
          <w:p>
            <w:pPr>
              <w:spacing w:after="0"/>
              <w:rPr>
                <w:sz w:val="11"/>
                <w:szCs w:val="11"/>
                <w:color w:val="auto"/>
              </w:rPr>
            </w:pPr>
          </w:p>
        </w:tc>
        <w:tc>
          <w:tcPr>
            <w:tcW w:w="420" w:type="dxa"/>
            <w:vAlign w:val="bottom"/>
            <w:gridSpan w:val="2"/>
          </w:tcPr>
          <w:p>
            <w:pPr>
              <w:jc w:val="center"/>
              <w:ind w:right="88"/>
              <w:spacing w:after="0" w:line="135" w:lineRule="exact"/>
              <w:rPr>
                <w:sz w:val="20"/>
                <w:szCs w:val="20"/>
                <w:color w:val="auto"/>
              </w:rPr>
            </w:pPr>
            <w:r>
              <w:rPr>
                <w:rFonts w:ascii="Times New Roman" w:cs="Times New Roman" w:eastAsia="Times New Roman" w:hAnsi="Times New Roman"/>
                <w:sz w:val="13"/>
                <w:szCs w:val="13"/>
                <w:b w:val="1"/>
                <w:bCs w:val="1"/>
                <w:color w:val="auto"/>
                <w:w w:val="90"/>
              </w:rPr>
              <w:t>A,C</w:t>
            </w: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1,881,491</w:t>
            </w:r>
          </w:p>
        </w:tc>
        <w:tc>
          <w:tcPr>
            <w:tcW w:w="120" w:type="dxa"/>
            <w:vAlign w:val="bottom"/>
          </w:tcPr>
          <w:p>
            <w:pPr>
              <w:spacing w:after="0"/>
              <w:rPr>
                <w:sz w:val="11"/>
                <w:szCs w:val="11"/>
                <w:color w:val="auto"/>
              </w:rPr>
            </w:pPr>
          </w:p>
        </w:tc>
        <w:tc>
          <w:tcPr>
            <w:tcW w:w="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I,J</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(25,487,285)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Gain/(loss) on derivatives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19,001,681</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center"/>
              <w:ind w:right="88"/>
              <w:spacing w:after="0" w:line="115" w:lineRule="exact"/>
              <w:rPr>
                <w:sz w:val="20"/>
                <w:szCs w:val="20"/>
                <w:color w:val="auto"/>
              </w:rPr>
            </w:pPr>
            <w:r>
              <w:rPr>
                <w:rFonts w:ascii="Times New Roman" w:cs="Times New Roman" w:eastAsia="Times New Roman" w:hAnsi="Times New Roman"/>
                <w:sz w:val="13"/>
                <w:szCs w:val="13"/>
                <w:b w:val="1"/>
                <w:bCs w:val="1"/>
                <w:color w:val="auto"/>
              </w:rPr>
              <w:t>D,F,</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120" w:type="dxa"/>
            <w:vAlign w:val="bottom"/>
          </w:tcPr>
          <w:p>
            <w:pPr>
              <w:spacing w:after="0"/>
              <w:rPr>
                <w:sz w:val="20"/>
                <w:szCs w:val="20"/>
                <w:color w:val="auto"/>
              </w:rPr>
            </w:pPr>
            <w:r>
              <w:rPr>
                <w:rFonts w:ascii="Times New Roman" w:cs="Times New Roman" w:eastAsia="Times New Roman" w:hAnsi="Times New Roman"/>
                <w:sz w:val="13"/>
                <w:szCs w:val="13"/>
                <w:color w:val="auto"/>
              </w:rPr>
              <w:t>Gain/(loss) on extinguishment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(44,332,819)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(5,072,086)</w:t>
            </w:r>
          </w:p>
        </w:tc>
        <w:tc>
          <w:tcPr>
            <w:tcW w:w="420" w:type="dxa"/>
            <w:vAlign w:val="bottom"/>
            <w:gridSpan w:val="2"/>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8"/>
              </w:rPr>
              <w:t>G</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(49,404,905)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1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Other non-operating income (expense),</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1,289,944</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(31,362)</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1,044,564</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(1,661,844)</w:t>
            </w:r>
          </w:p>
        </w:tc>
        <w:tc>
          <w:tcPr>
            <w:tcW w:w="420" w:type="dxa"/>
            <w:vAlign w:val="bottom"/>
            <w:gridSpan w:val="2"/>
            <w:vMerge w:val="restart"/>
            <w:shd w:val="clear" w:color="auto" w:fill="CFF0FC"/>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w w:val="93"/>
              </w:rPr>
              <w:t>D,E</w:t>
            </w:r>
          </w:p>
        </w:tc>
        <w:tc>
          <w:tcPr>
            <w:tcW w:w="10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(9,329,566)</w:t>
            </w:r>
          </w:p>
        </w:tc>
        <w:tc>
          <w:tcPr>
            <w:tcW w:w="26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K,L</w:t>
            </w: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(8,688,264)</w:t>
            </w:r>
          </w:p>
        </w:tc>
        <w:tc>
          <w:tcPr>
            <w:tcW w:w="2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12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3"/>
                <w:szCs w:val="13"/>
                <w:color w:val="auto"/>
              </w:rPr>
              <w:t>net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420" w:type="dxa"/>
            <w:vAlign w:val="bottom"/>
            <w:gridSpan w:val="2"/>
            <w:vMerge w:val="continue"/>
            <w:shd w:val="clear" w:color="auto" w:fill="CFF0FC"/>
          </w:tcPr>
          <w:p>
            <w:pPr>
              <w:spacing w:after="0"/>
              <w:rPr>
                <w:sz w:val="12"/>
                <w:szCs w:val="12"/>
                <w:color w:val="auto"/>
              </w:rPr>
            </w:pPr>
          </w:p>
        </w:tc>
        <w:tc>
          <w:tcPr>
            <w:tcW w:w="1020" w:type="dxa"/>
            <w:vAlign w:val="bottom"/>
            <w:gridSpan w:val="2"/>
            <w:vMerge w:val="continue"/>
            <w:shd w:val="clear" w:color="auto" w:fill="CFF0FC"/>
          </w:tcPr>
          <w:p>
            <w:pPr>
              <w:spacing w:after="0"/>
              <w:rPr>
                <w:sz w:val="12"/>
                <w:szCs w:val="12"/>
                <w:color w:val="auto"/>
              </w:rPr>
            </w:pPr>
          </w:p>
        </w:tc>
        <w:tc>
          <w:tcPr>
            <w:tcW w:w="26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80" w:type="dxa"/>
            <w:vAlign w:val="bottom"/>
            <w:gridSpan w:val="2"/>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(expenses) / income, net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(34,686,658)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(1,183,758)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(15,699,948)</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(5,560,334)</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(7,448,075)</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(64,578,773)</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1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(173,207,398)</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(8,899,333)</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(24,521,975)</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(10,702,502)</w:t>
            </w: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(16,505,762)</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(233,836,970)</w:t>
            </w: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(243,735)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(33,524)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(655,014)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(13,707,369)</w:t>
            </w:r>
          </w:p>
        </w:tc>
        <w:tc>
          <w:tcPr>
            <w:tcW w:w="2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M</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(14,639,642)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120" w:type="dxa"/>
            <w:vAlign w:val="bottom"/>
            <w:tcBorders>
              <w:top w:val="single" w:sz="8" w:color="CFF0FC"/>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8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(173,451,133)</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(8,932,857)</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(25,176,989)</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(10,702,502)</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30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(30,213,131)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jc w:val="right"/>
              <w:ind w:right="17"/>
              <w:spacing w:after="0" w:line="11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(248,476,612)</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12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rPr>
              <w:t>(1.1)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1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3"/>
                <w:szCs w:val="13"/>
                <w:color w:val="auto"/>
              </w:rPr>
              <w:t>(1.4)</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1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shares</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outstanding</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162,855,146</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80" w:type="dxa"/>
            <w:vAlign w:val="bottom"/>
            <w:gridSpan w:val="3"/>
            <w:shd w:val="clear" w:color="auto" w:fill="CFF0FC"/>
          </w:tcPr>
          <w:p>
            <w:pPr>
              <w:ind w:left="380"/>
              <w:spacing w:after="0"/>
              <w:rPr>
                <w:sz w:val="20"/>
                <w:szCs w:val="20"/>
                <w:color w:val="auto"/>
              </w:rPr>
            </w:pPr>
            <w:r>
              <w:rPr>
                <w:rFonts w:ascii="Times New Roman" w:cs="Times New Roman" w:eastAsia="Times New Roman" w:hAnsi="Times New Roman"/>
                <w:sz w:val="12"/>
                <w:szCs w:val="12"/>
                <w:color w:val="auto"/>
              </w:rPr>
              <w:t xml:space="preserve">183,839,971   </w:t>
            </w:r>
            <w:r>
              <w:rPr>
                <w:rFonts w:ascii="Times New Roman" w:cs="Times New Roman" w:eastAsia="Times New Roman" w:hAnsi="Times New Roman"/>
                <w:sz w:val="12"/>
                <w:szCs w:val="12"/>
                <w:b w:val="1"/>
                <w:bCs w:val="1"/>
                <w:color w:val="auto"/>
              </w:rPr>
              <w:t>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-1602105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-1602105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-1602105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-1602105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-1602105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-1602105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-736600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-736600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-736600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-736600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-736600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-736600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-368300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-350520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-462280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-368300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-350520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-462280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-368300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-350520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-462280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-368300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-350520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-462280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-368300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-350520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-462280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-368300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-350520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-462280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t>REZOLVE AI plc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PRO FORMA CONDENSED COMBINED BALANCE SHEET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gridSpan w:val="6"/>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Transaction Accounting Adjustments</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tcPr>
          <w:p>
            <w:pPr>
              <w:jc w:val="center"/>
              <w:ind w:right="26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Subsidiaries</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500"/>
              <w:spacing w:after="0" w:line="135" w:lineRule="exact"/>
              <w:rPr>
                <w:sz w:val="20"/>
                <w:szCs w:val="20"/>
                <w:color w:val="auto"/>
              </w:rPr>
            </w:pPr>
            <w:r>
              <w:rPr>
                <w:rFonts w:ascii="Times New Roman" w:cs="Times New Roman" w:eastAsia="Times New Roman" w:hAnsi="Times New Roman"/>
                <w:sz w:val="13"/>
                <w:szCs w:val="13"/>
                <w:b w:val="1"/>
                <w:bCs w:val="1"/>
                <w:color w:val="auto"/>
              </w:rPr>
              <w:t>Crown Peak</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620" w:type="dxa"/>
            <w:vAlign w:val="bottom"/>
          </w:tcPr>
          <w:p>
            <w:pPr>
              <w:spacing w:after="0"/>
              <w:rPr>
                <w:sz w:val="8"/>
                <w:szCs w:val="8"/>
                <w:color w:val="auto"/>
              </w:rPr>
            </w:pPr>
          </w:p>
        </w:tc>
        <w:tc>
          <w:tcPr>
            <w:tcW w:w="1360" w:type="dxa"/>
            <w:vAlign w:val="bottom"/>
            <w:gridSpan w:val="3"/>
            <w:vMerge w:val="restart"/>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(Historical as of June</w:t>
            </w:r>
          </w:p>
        </w:tc>
        <w:tc>
          <w:tcPr>
            <w:tcW w:w="180" w:type="dxa"/>
            <w:vAlign w:val="bottom"/>
          </w:tcPr>
          <w:p>
            <w:pPr>
              <w:spacing w:after="0"/>
              <w:rPr>
                <w:sz w:val="8"/>
                <w:szCs w:val="8"/>
                <w:color w:val="auto"/>
              </w:rPr>
            </w:pPr>
          </w:p>
        </w:tc>
        <w:tc>
          <w:tcPr>
            <w:tcW w:w="138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(Historical as of July</w:t>
            </w:r>
          </w:p>
        </w:tc>
        <w:tc>
          <w:tcPr>
            <w:tcW w:w="120" w:type="dxa"/>
            <w:vAlign w:val="bottom"/>
          </w:tcPr>
          <w:p>
            <w:pPr>
              <w:spacing w:after="0"/>
              <w:rPr>
                <w:sz w:val="8"/>
                <w:szCs w:val="8"/>
                <w:color w:val="auto"/>
              </w:rPr>
            </w:pPr>
          </w:p>
        </w:tc>
        <w:tc>
          <w:tcPr>
            <w:tcW w:w="1180" w:type="dxa"/>
            <w:vAlign w:val="bottom"/>
            <w:gridSpan w:val="2"/>
            <w:vMerge w:val="restart"/>
          </w:tcPr>
          <w:p>
            <w:pPr>
              <w:jc w:val="right"/>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Purchase Price</w:t>
            </w: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restart"/>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36"/>
        </w:trPr>
        <w:tc>
          <w:tcPr>
            <w:tcW w:w="3620" w:type="dxa"/>
            <w:vAlign w:val="bottom"/>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30, 2025)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31, 2025)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Allocation</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35"/>
        </w:trPr>
        <w:tc>
          <w:tcPr>
            <w:tcW w:w="3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assets</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9,857,390</w:t>
            </w:r>
          </w:p>
        </w:tc>
        <w:tc>
          <w:tcPr>
            <w:tcW w:w="12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7,342,732</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14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(58,048,925)</w:t>
            </w:r>
          </w:p>
        </w:tc>
        <w:tc>
          <w:tcPr>
            <w:tcW w:w="30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R,S</w:t>
            </w:r>
          </w:p>
        </w:tc>
        <w:tc>
          <w:tcPr>
            <w:tcW w:w="3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(40,848,803)</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Accounts receivable, net</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1,591,806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6,387,693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7,979,499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5,424,280</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3,281,475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8,705,755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receivable</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5,710,714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5,710,714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commissions, current</w:t>
            </w:r>
          </w:p>
        </w:tc>
        <w:tc>
          <w:tcPr>
            <w:tcW w:w="8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1,559,813</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1,559,813</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8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22,584,190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18,571,713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(58,048,925)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(16,893,022)</w:t>
            </w:r>
          </w:p>
        </w:tc>
        <w:tc>
          <w:tcPr>
            <w:tcW w:w="0" w:type="dxa"/>
            <w:vAlign w:val="bottom"/>
          </w:tcPr>
          <w:p>
            <w:pPr>
              <w:spacing w:after="0"/>
              <w:rPr>
                <w:sz w:val="1"/>
                <w:szCs w:val="1"/>
                <w:color w:val="auto"/>
              </w:rPr>
            </w:pPr>
          </w:p>
        </w:tc>
      </w:tr>
      <w:tr>
        <w:trPr>
          <w:trHeight w:val="128"/>
        </w:trPr>
        <w:tc>
          <w:tcPr>
            <w:tcW w:w="3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assets</w:t>
            </w:r>
          </w:p>
        </w:tc>
        <w:tc>
          <w:tcPr>
            <w:tcW w:w="8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0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117,975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189,364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1,057,576</w:t>
            </w:r>
          </w:p>
        </w:tc>
        <w:tc>
          <w:tcPr>
            <w:tcW w:w="120" w:type="dxa"/>
            <w:vAlign w:val="bottom"/>
          </w:tcPr>
          <w:p>
            <w:pPr>
              <w:spacing w:after="0"/>
              <w:rPr>
                <w:sz w:val="11"/>
                <w:szCs w:val="11"/>
                <w:color w:val="auto"/>
              </w:rPr>
            </w:pPr>
          </w:p>
        </w:tc>
        <w:tc>
          <w:tcPr>
            <w:tcW w:w="700" w:type="dxa"/>
            <w:vAlign w:val="bottom"/>
            <w:gridSpan w:val="2"/>
          </w:tcPr>
          <w:p>
            <w:pPr>
              <w:jc w:val="center"/>
              <w:ind w:right="208"/>
              <w:spacing w:after="0" w:line="135" w:lineRule="exact"/>
              <w:rPr>
                <w:sz w:val="20"/>
                <w:szCs w:val="20"/>
                <w:color w:val="auto"/>
              </w:rPr>
            </w:pPr>
            <w:r>
              <w:rPr>
                <w:rFonts w:ascii="Times New Roman" w:cs="Times New Roman" w:eastAsia="Times New Roman" w:hAnsi="Times New Roman"/>
                <w:sz w:val="13"/>
                <w:szCs w:val="13"/>
                <w:b w:val="1"/>
                <w:bCs w:val="1"/>
                <w:color w:val="auto"/>
              </w:rPr>
              <w:t>P</w:t>
            </w: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1,364,915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Intangible assets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47,104,816</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48,079,888</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43,033,011</w:t>
            </w:r>
          </w:p>
        </w:tc>
        <w:tc>
          <w:tcPr>
            <w:tcW w:w="1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center"/>
              <w:ind w:right="208"/>
              <w:spacing w:after="0" w:line="135" w:lineRule="exact"/>
              <w:rPr>
                <w:sz w:val="20"/>
                <w:szCs w:val="20"/>
                <w:color w:val="auto"/>
              </w:rPr>
            </w:pPr>
            <w:r>
              <w:rPr>
                <w:rFonts w:ascii="Times New Roman" w:cs="Times New Roman" w:eastAsia="Times New Roman" w:hAnsi="Times New Roman"/>
                <w:sz w:val="13"/>
                <w:szCs w:val="13"/>
                <w:b w:val="1"/>
                <w:bCs w:val="1"/>
                <w:color w:val="auto"/>
              </w:rPr>
              <w:t>P</w:t>
            </w: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138,217,715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6,189,901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109,549,108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76,270,436</w:t>
            </w:r>
          </w:p>
        </w:tc>
        <w:tc>
          <w:tcPr>
            <w:tcW w:w="120" w:type="dxa"/>
            <w:vAlign w:val="bottom"/>
          </w:tcPr>
          <w:p>
            <w:pPr>
              <w:spacing w:after="0"/>
              <w:rPr>
                <w:sz w:val="11"/>
                <w:szCs w:val="11"/>
                <w:color w:val="auto"/>
              </w:rPr>
            </w:pPr>
          </w:p>
        </w:tc>
        <w:tc>
          <w:tcPr>
            <w:tcW w:w="700" w:type="dxa"/>
            <w:vAlign w:val="bottom"/>
            <w:gridSpan w:val="2"/>
          </w:tcPr>
          <w:p>
            <w:pPr>
              <w:jc w:val="center"/>
              <w:ind w:right="228"/>
              <w:spacing w:after="0" w:line="135" w:lineRule="exact"/>
              <w:rPr>
                <w:sz w:val="20"/>
                <w:szCs w:val="20"/>
                <w:color w:val="auto"/>
              </w:rPr>
            </w:pPr>
            <w:r>
              <w:rPr>
                <w:rFonts w:ascii="Times New Roman" w:cs="Times New Roman" w:eastAsia="Times New Roman" w:hAnsi="Times New Roman"/>
                <w:sz w:val="13"/>
                <w:szCs w:val="13"/>
                <w:b w:val="1"/>
                <w:bCs w:val="1"/>
                <w:color w:val="auto"/>
                <w:w w:val="98"/>
              </w:rPr>
              <w:t>Q</w:t>
            </w: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192,009,445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Right of use assets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2,294,862</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1,427,106</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3,721,968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Deferred tax asset</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412,569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412,569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commissions, current</w:t>
            </w: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3,667,953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3,667,953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1,397,679</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204,365</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1,602,044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2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8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57,517,802</w:t>
            </w:r>
          </w:p>
        </w:tc>
        <w:tc>
          <w:tcPr>
            <w:tcW w:w="1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163,117,784</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120,361,023</w:t>
            </w: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340,996,609</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80,101,992</w:t>
            </w:r>
          </w:p>
        </w:tc>
        <w:tc>
          <w:tcPr>
            <w:tcW w:w="120" w:type="dxa"/>
            <w:vAlign w:val="bottom"/>
          </w:tcPr>
          <w:p>
            <w:pPr>
              <w:spacing w:after="0"/>
              <w:rPr>
                <w:sz w:val="11"/>
                <w:szCs w:val="11"/>
                <w:color w:val="auto"/>
              </w:rPr>
            </w:pPr>
          </w:p>
        </w:tc>
        <w:tc>
          <w:tcPr>
            <w:tcW w:w="32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181,689,497</w:t>
            </w:r>
          </w:p>
        </w:tc>
        <w:tc>
          <w:tcPr>
            <w:tcW w:w="240" w:type="dxa"/>
            <w:vAlign w:val="bottom"/>
          </w:tcPr>
          <w:p>
            <w:pPr>
              <w:spacing w:after="0"/>
              <w:rPr>
                <w:sz w:val="11"/>
                <w:szCs w:val="11"/>
                <w:color w:val="auto"/>
              </w:rPr>
            </w:pP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120,361,023</w:t>
            </w:r>
          </w:p>
        </w:tc>
        <w:tc>
          <w:tcPr>
            <w:tcW w:w="120" w:type="dxa"/>
            <w:vAlign w:val="bottom"/>
          </w:tcPr>
          <w:p>
            <w:pPr>
              <w:spacing w:after="0"/>
              <w:rPr>
                <w:sz w:val="11"/>
                <w:szCs w:val="11"/>
                <w:color w:val="auto"/>
              </w:rPr>
            </w:pPr>
          </w:p>
        </w:tc>
        <w:tc>
          <w:tcPr>
            <w:tcW w:w="70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(58,048,925)</w:t>
            </w:r>
          </w:p>
        </w:tc>
        <w:tc>
          <w:tcPr>
            <w:tcW w:w="300" w:type="dxa"/>
            <w:vAlign w:val="bottom"/>
          </w:tcPr>
          <w:p>
            <w:pPr>
              <w:spacing w:after="0"/>
              <w:rPr>
                <w:sz w:val="11"/>
                <w:szCs w:val="11"/>
                <w:color w:val="auto"/>
              </w:rPr>
            </w:pPr>
          </w:p>
        </w:tc>
        <w:tc>
          <w:tcPr>
            <w:tcW w:w="3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324,103,587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62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Liabilities and Equity</w:t>
            </w:r>
          </w:p>
        </w:tc>
        <w:tc>
          <w:tcPr>
            <w:tcW w:w="8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Current liabilities</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23,035,142</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6,270,347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29,305,489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Accrued expenses and other payables</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15,680,098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14,791,658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30,471,756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debt, net of issuance costs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28,745,993</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135,804,243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(48,242,525)</w:t>
            </w:r>
          </w:p>
        </w:tc>
        <w:tc>
          <w:tcPr>
            <w:tcW w:w="30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4"/>
              </w:rPr>
              <w:t>R</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116,307,711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Revolving line of credit</w:t>
            </w:r>
          </w:p>
        </w:tc>
        <w:tc>
          <w:tcPr>
            <w:tcW w:w="80" w:type="dxa"/>
            <w:vAlign w:val="bottom"/>
          </w:tcPr>
          <w:p>
            <w:pPr>
              <w:spacing w:after="0"/>
              <w:rPr>
                <w:sz w:val="11"/>
                <w:szCs w:val="11"/>
                <w:color w:val="auto"/>
              </w:rPr>
            </w:pPr>
          </w:p>
        </w:tc>
        <w:tc>
          <w:tcPr>
            <w:tcW w:w="12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(7,500,000)</w:t>
            </w:r>
          </w:p>
        </w:tc>
        <w:tc>
          <w:tcPr>
            <w:tcW w:w="3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111,837</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111,837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Short term convertible debt to related party</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108,047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108,047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Convertible promissory notes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538,524</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538,524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payment liability</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Advisors loans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3,865,447</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3,865,447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Derivative liabilities</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1,513,430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1,513,430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16,016,292</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24,909,265</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40,925,557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Lease liabilities, current portion</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1,452,755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580,923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2,033,678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taxes payable</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482,882</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482,882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current liabilities</w:t>
            </w: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695,517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695,517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93,645,964</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189,856,436</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(55,742,525)</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227,759,875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Non-current liabilities</w:t>
            </w: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44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30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Long term debt</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121,140</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121,140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Lease liabilities, non-current portion</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610,146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846,139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1,456,285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tax liabilities</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7,640,576</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13,707,369</w:t>
            </w:r>
          </w:p>
        </w:tc>
        <w:tc>
          <w:tcPr>
            <w:tcW w:w="1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center"/>
              <w:ind w:right="228"/>
              <w:spacing w:after="0" w:line="135" w:lineRule="exact"/>
              <w:rPr>
                <w:sz w:val="20"/>
                <w:szCs w:val="20"/>
                <w:color w:val="auto"/>
              </w:rPr>
            </w:pPr>
            <w:r>
              <w:rPr>
                <w:rFonts w:ascii="Times New Roman" w:cs="Times New Roman" w:eastAsia="Times New Roman" w:hAnsi="Times New Roman"/>
                <w:sz w:val="13"/>
                <w:szCs w:val="13"/>
                <w:b w:val="1"/>
                <w:bCs w:val="1"/>
                <w:color w:val="auto"/>
              </w:rPr>
              <w:t>U</w:t>
            </w: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21,347,945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14,561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Loan notes</w:t>
            </w:r>
          </w:p>
        </w:tc>
        <w:tc>
          <w:tcPr>
            <w:tcW w:w="80" w:type="dxa"/>
            <w:vAlign w:val="bottom"/>
            <w:tcBorders>
              <w:bottom w:val="single" w:sz="8" w:color="auto"/>
            </w:tcBorders>
            <w:shd w:val="clear" w:color="auto" w:fill="CFF0FC"/>
          </w:tcPr>
          <w:p>
            <w:pPr>
              <w:spacing w:after="0"/>
              <w:rPr>
                <w:sz w:val="11"/>
                <w:szCs w:val="11"/>
                <w:color w:val="auto"/>
              </w:rPr>
            </w:pPr>
          </w:p>
        </w:tc>
        <w:tc>
          <w:tcPr>
            <w:tcW w:w="11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10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50,000,000</w:t>
            </w:r>
          </w:p>
        </w:tc>
        <w:tc>
          <w:tcPr>
            <w:tcW w:w="120" w:type="dxa"/>
            <w:vAlign w:val="bottom"/>
            <w:tcBorders>
              <w:bottom w:val="single" w:sz="8" w:color="CFF0FC"/>
            </w:tcBorders>
            <w:shd w:val="clear" w:color="auto" w:fill="CFF0FC"/>
          </w:tcPr>
          <w:p>
            <w:pPr>
              <w:spacing w:after="0"/>
              <w:rPr>
                <w:sz w:val="11"/>
                <w:szCs w:val="11"/>
                <w:color w:val="auto"/>
              </w:rPr>
            </w:pPr>
          </w:p>
        </w:tc>
        <w:tc>
          <w:tcPr>
            <w:tcW w:w="440" w:type="dxa"/>
            <w:vAlign w:val="bottom"/>
            <w:tcBorders>
              <w:bottom w:val="single" w:sz="8" w:color="CFF0FC"/>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T</w:t>
            </w:r>
          </w:p>
        </w:tc>
        <w:tc>
          <w:tcPr>
            <w:tcW w:w="26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3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50,000,000</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745,847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8,486,715</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63,707,369</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72,939,931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94,391,811</w:t>
            </w:r>
          </w:p>
        </w:tc>
        <w:tc>
          <w:tcPr>
            <w:tcW w:w="1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198,343,151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63,707,369</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4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(55,742,525)</w:t>
            </w:r>
          </w:p>
        </w:tc>
        <w:tc>
          <w:tcPr>
            <w:tcW w:w="300" w:type="dxa"/>
            <w:vAlign w:val="bottom"/>
            <w:shd w:val="clear" w:color="auto" w:fill="CFF0FC"/>
          </w:tcPr>
          <w:p>
            <w:pPr>
              <w:spacing w:after="0"/>
              <w:rPr>
                <w:sz w:val="14"/>
                <w:szCs w:val="14"/>
                <w:color w:val="auto"/>
              </w:rPr>
            </w:pPr>
          </w:p>
        </w:tc>
        <w:tc>
          <w:tcPr>
            <w:tcW w:w="3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300,699,806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6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44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£0.0001 nominal value 259,066,638 shares issued</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restart"/>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V</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6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and outstanding as of June 30, 2025 (Rezolve)</w:t>
            </w:r>
          </w:p>
        </w:tc>
        <w:tc>
          <w:tcPr>
            <w:tcW w:w="80" w:type="dxa"/>
            <w:vAlign w:val="bottom"/>
          </w:tcPr>
          <w:p>
            <w:pPr>
              <w:spacing w:after="0"/>
              <w:rPr>
                <w:sz w:val="8"/>
                <w:szCs w:val="8"/>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33,394</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8"/>
                <w:szCs w:val="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34,874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36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Ordinary shares, $0.001 par value 100 shares issued and outstanding</w:t>
            </w:r>
          </w:p>
        </w:tc>
        <w:tc>
          <w:tcPr>
            <w:tcW w:w="8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as of July 31, 2025 (CrownPeak)</w:t>
            </w:r>
          </w:p>
        </w:tc>
        <w:tc>
          <w:tcPr>
            <w:tcW w:w="8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Additional paid-in capital (Rezolve)</w:t>
            </w: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302,123,036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39,998,520</w:t>
            </w:r>
          </w:p>
        </w:tc>
        <w:tc>
          <w:tcPr>
            <w:tcW w:w="120" w:type="dxa"/>
            <w:vAlign w:val="bottom"/>
          </w:tcPr>
          <w:p>
            <w:pPr>
              <w:spacing w:after="0"/>
              <w:rPr>
                <w:sz w:val="11"/>
                <w:szCs w:val="11"/>
                <w:color w:val="auto"/>
              </w:rPr>
            </w:pPr>
          </w:p>
        </w:tc>
        <w:tc>
          <w:tcPr>
            <w:tcW w:w="700" w:type="dxa"/>
            <w:vAlign w:val="bottom"/>
            <w:gridSpan w:val="2"/>
          </w:tcPr>
          <w:p>
            <w:pPr>
              <w:jc w:val="center"/>
              <w:ind w:right="228"/>
              <w:spacing w:after="0" w:line="135" w:lineRule="exact"/>
              <w:rPr>
                <w:sz w:val="20"/>
                <w:szCs w:val="20"/>
                <w:color w:val="auto"/>
              </w:rPr>
            </w:pPr>
            <w:r>
              <w:rPr>
                <w:rFonts w:ascii="Times New Roman" w:cs="Times New Roman" w:eastAsia="Times New Roman" w:hAnsi="Times New Roman"/>
                <w:sz w:val="13"/>
                <w:szCs w:val="13"/>
                <w:b w:val="1"/>
                <w:bCs w:val="1"/>
                <w:color w:val="auto"/>
              </w:rPr>
              <w:t>V</w:t>
            </w: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342,121,556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Additional paid-in capital (CrownPeak)</w:t>
            </w: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135,641,000</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(135,641,000)</w:t>
            </w:r>
          </w:p>
        </w:tc>
        <w:tc>
          <w:tcPr>
            <w:tcW w:w="700" w:type="dxa"/>
            <w:vAlign w:val="bottom"/>
            <w:gridSpan w:val="2"/>
            <w:shd w:val="clear" w:color="auto" w:fill="CFF0FC"/>
          </w:tcPr>
          <w:p>
            <w:pPr>
              <w:jc w:val="center"/>
              <w:ind w:right="208"/>
              <w:spacing w:after="0" w:line="135" w:lineRule="exact"/>
              <w:rPr>
                <w:sz w:val="20"/>
                <w:szCs w:val="20"/>
                <w:color w:val="auto"/>
              </w:rPr>
            </w:pPr>
            <w:r>
              <w:rPr>
                <w:rFonts w:ascii="Times New Roman" w:cs="Times New Roman" w:eastAsia="Times New Roman" w:hAnsi="Times New Roman"/>
                <w:sz w:val="13"/>
                <w:szCs w:val="13"/>
                <w:b w:val="1"/>
                <w:bCs w:val="1"/>
                <w:color w:val="auto"/>
                <w:w w:val="91"/>
              </w:rPr>
              <w:t>W</w:t>
            </w: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 subscription receivable</w:t>
            </w:r>
          </w:p>
        </w:tc>
        <w:tc>
          <w:tcPr>
            <w:tcW w:w="80" w:type="dxa"/>
            <w:vAlign w:val="bottom"/>
          </w:tcPr>
          <w:p>
            <w:pPr>
              <w:spacing w:after="0"/>
              <w:rPr>
                <w:sz w:val="11"/>
                <w:szCs w:val="11"/>
                <w:color w:val="auto"/>
              </w:rPr>
            </w:pPr>
          </w:p>
        </w:tc>
        <w:tc>
          <w:tcPr>
            <w:tcW w:w="12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(2,108)</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1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(2,108)</w:t>
            </w: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Accumulated deficit (Rezolve)</w:t>
            </w: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(316,062,263)</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40" w:type="dxa"/>
            <w:vAlign w:val="bottom"/>
            <w:gridSpan w:val="2"/>
            <w:shd w:val="clear" w:color="auto" w:fill="CFF0FC"/>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(316,062,263)</w:t>
            </w:r>
          </w:p>
        </w:tc>
        <w:tc>
          <w:tcPr>
            <w:tcW w:w="0" w:type="dxa"/>
            <w:vAlign w:val="bottom"/>
          </w:tcPr>
          <w:p>
            <w:pPr>
              <w:spacing w:after="0"/>
              <w:rPr>
                <w:sz w:val="1"/>
                <w:szCs w:val="1"/>
                <w:color w:val="auto"/>
              </w:rPr>
            </w:pPr>
          </w:p>
        </w:tc>
      </w:tr>
      <w:tr>
        <w:trPr>
          <w:trHeight w:val="135"/>
        </w:trPr>
        <w:tc>
          <w:tcPr>
            <w:tcW w:w="3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Accumulated deficit (CrownPeak)</w:t>
            </w:r>
          </w:p>
        </w:tc>
        <w:tc>
          <w:tcPr>
            <w:tcW w:w="80" w:type="dxa"/>
            <w:vAlign w:val="bottom"/>
          </w:tcPr>
          <w:p>
            <w:pPr>
              <w:spacing w:after="0"/>
              <w:rPr>
                <w:sz w:val="11"/>
                <w:szCs w:val="11"/>
                <w:color w:val="auto"/>
              </w:rPr>
            </w:pPr>
          </w:p>
        </w:tc>
        <w:tc>
          <w:tcPr>
            <w:tcW w:w="12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(155,321,017)</w:t>
            </w:r>
          </w:p>
        </w:tc>
        <w:tc>
          <w:tcPr>
            <w:tcW w:w="1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155,321,017</w:t>
            </w:r>
          </w:p>
        </w:tc>
        <w:tc>
          <w:tcPr>
            <w:tcW w:w="120" w:type="dxa"/>
            <w:vAlign w:val="bottom"/>
          </w:tcPr>
          <w:p>
            <w:pPr>
              <w:spacing w:after="0"/>
              <w:rPr>
                <w:sz w:val="11"/>
                <w:szCs w:val="11"/>
                <w:color w:val="auto"/>
              </w:rPr>
            </w:pPr>
          </w:p>
        </w:tc>
        <w:tc>
          <w:tcPr>
            <w:tcW w:w="700" w:type="dxa"/>
            <w:vAlign w:val="bottom"/>
            <w:gridSpan w:val="2"/>
          </w:tcPr>
          <w:p>
            <w:pPr>
              <w:jc w:val="center"/>
              <w:ind w:right="208"/>
              <w:spacing w:after="0" w:line="135" w:lineRule="exact"/>
              <w:rPr>
                <w:sz w:val="20"/>
                <w:szCs w:val="20"/>
                <w:color w:val="auto"/>
              </w:rPr>
            </w:pPr>
            <w:r>
              <w:rPr>
                <w:rFonts w:ascii="Times New Roman" w:cs="Times New Roman" w:eastAsia="Times New Roman" w:hAnsi="Times New Roman"/>
                <w:sz w:val="13"/>
                <w:szCs w:val="13"/>
                <w:b w:val="1"/>
                <w:bCs w:val="1"/>
                <w:color w:val="auto"/>
                <w:w w:val="91"/>
              </w:rPr>
              <w:t>W</w:t>
            </w:r>
          </w:p>
        </w:tc>
        <w:tc>
          <w:tcPr>
            <w:tcW w:w="10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(2,306,400)</w:t>
            </w:r>
          </w:p>
        </w:tc>
        <w:tc>
          <w:tcPr>
            <w:tcW w:w="3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K</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(2,306,400)</w:t>
            </w:r>
          </w:p>
        </w:tc>
        <w:tc>
          <w:tcPr>
            <w:tcW w:w="0" w:type="dxa"/>
            <w:vAlign w:val="bottom"/>
          </w:tcPr>
          <w:p>
            <w:pPr>
              <w:spacing w:after="0"/>
              <w:rPr>
                <w:sz w:val="1"/>
                <w:szCs w:val="1"/>
                <w:color w:val="auto"/>
              </w:rPr>
            </w:pPr>
          </w:p>
        </w:tc>
      </w:tr>
      <w:tr>
        <w:trPr>
          <w:trHeight w:val="135"/>
        </w:trPr>
        <w:tc>
          <w:tcPr>
            <w:tcW w:w="36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(381,878)</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3,026,363</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(3,026,363)</w:t>
            </w:r>
          </w:p>
        </w:tc>
        <w:tc>
          <w:tcPr>
            <w:tcW w:w="700" w:type="dxa"/>
            <w:vAlign w:val="bottom"/>
            <w:gridSpan w:val="2"/>
            <w:shd w:val="clear" w:color="auto" w:fill="CFF0FC"/>
          </w:tcPr>
          <w:p>
            <w:pPr>
              <w:jc w:val="center"/>
              <w:ind w:right="208"/>
              <w:spacing w:after="0" w:line="135" w:lineRule="exact"/>
              <w:rPr>
                <w:sz w:val="20"/>
                <w:szCs w:val="20"/>
                <w:color w:val="auto"/>
              </w:rPr>
            </w:pPr>
            <w:r>
              <w:rPr>
                <w:rFonts w:ascii="Times New Roman" w:cs="Times New Roman" w:eastAsia="Times New Roman" w:hAnsi="Times New Roman"/>
                <w:sz w:val="13"/>
                <w:szCs w:val="13"/>
                <w:b w:val="1"/>
                <w:bCs w:val="1"/>
                <w:color w:val="auto"/>
                <w:w w:val="91"/>
              </w:rPr>
              <w:t>W</w:t>
            </w:r>
          </w:p>
        </w:tc>
        <w:tc>
          <w:tcPr>
            <w:tcW w:w="10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(381,878)</w:t>
            </w:r>
          </w:p>
        </w:tc>
        <w:tc>
          <w:tcPr>
            <w:tcW w:w="0" w:type="dxa"/>
            <w:vAlign w:val="bottom"/>
          </w:tcPr>
          <w:p>
            <w:pPr>
              <w:spacing w:after="0"/>
              <w:rPr>
                <w:sz w:val="1"/>
                <w:szCs w:val="1"/>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62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(14,289,819)</w:t>
            </w:r>
          </w:p>
        </w:tc>
        <w:tc>
          <w:tcPr>
            <w:tcW w:w="32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gridSpan w:val="2"/>
          </w:tcPr>
          <w:p>
            <w:pPr>
              <w:jc w:val="right"/>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(16,653,654)</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56,653,654</w:t>
            </w:r>
          </w:p>
        </w:tc>
        <w:tc>
          <w:tcPr>
            <w:tcW w:w="120" w:type="dxa"/>
            <w:vAlign w:val="bottom"/>
          </w:tcPr>
          <w:p>
            <w:pPr>
              <w:spacing w:after="0"/>
              <w:rPr>
                <w:sz w:val="11"/>
                <w:szCs w:val="11"/>
                <w:color w:val="auto"/>
              </w:rPr>
            </w:pPr>
          </w:p>
        </w:tc>
        <w:tc>
          <w:tcPr>
            <w:tcW w:w="700" w:type="dxa"/>
            <w:vAlign w:val="bottom"/>
            <w:gridSpan w:val="2"/>
          </w:tcPr>
          <w:p>
            <w:pPr>
              <w:jc w:val="right"/>
              <w:ind w:right="14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(2,306,400)</w:t>
            </w:r>
          </w:p>
        </w:tc>
        <w:tc>
          <w:tcPr>
            <w:tcW w:w="300" w:type="dxa"/>
            <w:vAlign w:val="bottom"/>
          </w:tcPr>
          <w:p>
            <w:pPr>
              <w:spacing w:after="0"/>
              <w:rPr>
                <w:sz w:val="11"/>
                <w:szCs w:val="11"/>
                <w:color w:val="auto"/>
              </w:rPr>
            </w:pPr>
          </w:p>
        </w:tc>
        <w:tc>
          <w:tcPr>
            <w:tcW w:w="3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23,403,781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6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liabilities and stockholders’ deficit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80,101,992</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181,689,497</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120,361,023</w:t>
            </w:r>
          </w:p>
        </w:tc>
        <w:tc>
          <w:tcPr>
            <w:tcW w:w="1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6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(58,048,925)</w:t>
            </w:r>
          </w:p>
        </w:tc>
        <w:tc>
          <w:tcPr>
            <w:tcW w:w="300" w:type="dxa"/>
            <w:vAlign w:val="bottom"/>
            <w:shd w:val="clear" w:color="auto" w:fill="CFF0FC"/>
          </w:tcPr>
          <w:p>
            <w:pPr>
              <w:spacing w:after="0"/>
              <w:rPr>
                <w:sz w:val="11"/>
                <w:szCs w:val="11"/>
                <w:color w:val="auto"/>
              </w:rPr>
            </w:pPr>
          </w:p>
        </w:tc>
        <w:tc>
          <w:tcPr>
            <w:tcW w:w="3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324,103,587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-4431030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-4431030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-4431030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-4431030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-3548380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-3548380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-3548380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-3548380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-1962150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-1962150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-1962150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-1962150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-1439545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-1439545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-1439545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-1439545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-1250950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-1233805</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-1250950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-1233805</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-1250950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-1233805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-1250950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-1233805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-196215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-196215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-196215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-196215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-8255</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-8255</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t>REZOLVE AI plc AND SUBSIDIARIES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Transaction adjustments</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w w:val="97"/>
              </w:rPr>
              <w:t>Rezolve AI plc and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Subsidiaries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GroupBy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Crownpeak</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(Six months ended</w:t>
            </w:r>
          </w:p>
        </w:tc>
        <w:tc>
          <w:tcPr>
            <w:tcW w:w="100" w:type="dxa"/>
            <w:vAlign w:val="bottom"/>
          </w:tcPr>
          <w:p>
            <w:pPr>
              <w:spacing w:after="0"/>
              <w:rPr>
                <w:sz w:val="11"/>
                <w:szCs w:val="11"/>
                <w:color w:val="auto"/>
              </w:rPr>
            </w:pPr>
          </w:p>
        </w:tc>
        <w:tc>
          <w:tcPr>
            <w:tcW w:w="12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(January 1, 2025 to</w:t>
            </w:r>
          </w:p>
        </w:tc>
        <w:tc>
          <w:tcPr>
            <w:tcW w:w="10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(Six months ended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tcPr>
          <w:p>
            <w:pPr>
              <w:jc w:val="right"/>
              <w:ind w:right="700"/>
              <w:spacing w:after="0" w:line="135"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6"/>
        </w:trPr>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June 30, 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March 25, 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July 31, 2025)</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GroupBy</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Crownpeak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35"/>
        </w:trPr>
        <w:tc>
          <w:tcPr>
            <w:tcW w:w="2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2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6,316,950</w:t>
            </w:r>
          </w:p>
        </w:tc>
        <w:tc>
          <w:tcPr>
            <w:tcW w:w="1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4,373,387</w:t>
            </w:r>
          </w:p>
        </w:tc>
        <w:tc>
          <w:tcPr>
            <w:tcW w:w="12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2"/>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35,852,639</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FF0FC"/>
          </w:tcPr>
          <w:p>
            <w:pPr>
              <w:jc w:val="right"/>
              <w:ind w:right="2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46,542,976</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Cost of revenue</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276,049</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12,245,638</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12,521,837</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 expense</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3,619,675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778,133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6,063,323</w:t>
            </w:r>
          </w:p>
        </w:tc>
        <w:tc>
          <w:tcPr>
            <w:tcW w:w="80" w:type="dxa"/>
            <w:vAlign w:val="bottom"/>
          </w:tcPr>
          <w:p>
            <w:pPr>
              <w:spacing w:after="0"/>
              <w:rPr>
                <w:sz w:val="23"/>
                <w:szCs w:val="23"/>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O</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10,461,131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33,263,730</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5,219,022</w:t>
            </w: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13,616,750</w:t>
            </w:r>
          </w:p>
        </w:tc>
        <w:tc>
          <w:tcPr>
            <w:tcW w:w="80" w:type="dxa"/>
            <w:vAlign w:val="bottom"/>
            <w:shd w:val="clear" w:color="auto" w:fill="CFF0FC"/>
          </w:tcPr>
          <w:p>
            <w:pPr>
              <w:spacing w:after="0"/>
              <w:rPr>
                <w:sz w:val="23"/>
                <w:szCs w:val="23"/>
                <w:color w:val="auto"/>
              </w:rPr>
            </w:pPr>
          </w:p>
        </w:tc>
        <w:tc>
          <w:tcPr>
            <w:tcW w:w="30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2"/>
                <w:szCs w:val="12"/>
                <w:b w:val="1"/>
                <w:bCs w:val="1"/>
                <w:color w:val="auto"/>
              </w:rPr>
              <w:t>O</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52,099,502</w:t>
            </w:r>
          </w:p>
        </w:tc>
        <w:tc>
          <w:tcPr>
            <w:tcW w:w="12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operating expenses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31,236</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Depreciation and amortization expenses</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1,550,777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3,452,370</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1,178,257</w:t>
            </w:r>
          </w:p>
        </w:tc>
        <w:tc>
          <w:tcPr>
            <w:tcW w:w="100" w:type="dxa"/>
            <w:vAlign w:val="bottom"/>
            <w:shd w:val="clear" w:color="auto" w:fill="CFF0FC"/>
          </w:tcPr>
          <w:p>
            <w:pPr>
              <w:spacing w:after="0"/>
              <w:rPr>
                <w:sz w:val="11"/>
                <w:szCs w:val="11"/>
                <w:color w:val="auto"/>
              </w:rPr>
            </w:pPr>
          </w:p>
        </w:tc>
        <w:tc>
          <w:tcPr>
            <w:tcW w:w="460" w:type="dxa"/>
            <w:vAlign w:val="bottom"/>
            <w:gridSpan w:val="2"/>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X</w:t>
            </w: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4,372,548</w:t>
            </w:r>
          </w:p>
        </w:tc>
        <w:tc>
          <w:tcPr>
            <w:tcW w:w="120" w:type="dxa"/>
            <w:vAlign w:val="bottom"/>
            <w:shd w:val="clear" w:color="auto" w:fill="CFF0FC"/>
          </w:tcPr>
          <w:p>
            <w:pPr>
              <w:spacing w:after="0"/>
              <w:rPr>
                <w:sz w:val="11"/>
                <w:szCs w:val="11"/>
                <w:color w:val="auto"/>
              </w:rPr>
            </w:pPr>
          </w:p>
        </w:tc>
        <w:tc>
          <w:tcPr>
            <w:tcW w:w="500" w:type="dxa"/>
            <w:vAlign w:val="bottom"/>
            <w:gridSpan w:val="3"/>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AA</w:t>
            </w: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10,553,952</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6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1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38,741,467</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5,997,305</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35,378,081</w:t>
            </w:r>
          </w:p>
        </w:tc>
        <w:tc>
          <w:tcPr>
            <w:tcW w:w="8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1,178,257</w:t>
            </w:r>
          </w:p>
        </w:tc>
        <w:tc>
          <w:tcPr>
            <w:tcW w:w="100" w:type="dxa"/>
            <w:vAlign w:val="bottom"/>
            <w:tcBorders>
              <w:top w:val="single" w:sz="8" w:color="CFF0FC"/>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4,372,548</w:t>
            </w:r>
          </w:p>
        </w:tc>
        <w:tc>
          <w:tcPr>
            <w:tcW w:w="120" w:type="dxa"/>
            <w:vAlign w:val="bottom"/>
            <w:tcBorders>
              <w:top w:val="single" w:sz="8" w:color="CFF0FC"/>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85,667,658</w:t>
            </w:r>
          </w:p>
        </w:tc>
        <w:tc>
          <w:tcPr>
            <w:tcW w:w="120" w:type="dxa"/>
            <w:vAlign w:val="bottom"/>
            <w:tcBorders>
              <w:top w:val="single" w:sz="8" w:color="CFF0FC"/>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loss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(32,424,517)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(1,623,918)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474,558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(1,178,257)</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(4,372,548)</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(39,124,682)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 income</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360" w:type="dxa"/>
            <w:vAlign w:val="bottom"/>
            <w:gridSpan w:val="3"/>
            <w:shd w:val="clear" w:color="auto" w:fill="CFF0FC"/>
          </w:tcPr>
          <w:p>
            <w:pPr>
              <w:jc w:val="right"/>
              <w:ind w:right="4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5"/>
        </w:trPr>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Y</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1,094,992</w:t>
            </w:r>
          </w:p>
        </w:tc>
        <w:tc>
          <w:tcPr>
            <w:tcW w:w="120" w:type="dxa"/>
            <w:vAlign w:val="bottom"/>
          </w:tcPr>
          <w:p>
            <w:pPr>
              <w:spacing w:after="0"/>
              <w:rPr>
                <w:sz w:val="9"/>
                <w:szCs w:val="9"/>
                <w:color w:val="auto"/>
              </w:rPr>
            </w:pPr>
          </w:p>
        </w:tc>
        <w:tc>
          <w:tcPr>
            <w:tcW w:w="50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BB,</w:t>
            </w: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3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(2,109,570)</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(264,509)</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(9,200,968)</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262,333</w:t>
            </w:r>
          </w:p>
        </w:tc>
        <w:tc>
          <w:tcPr>
            <w:tcW w:w="1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CC</w:t>
            </w: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(10,217,722)</w:t>
            </w: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3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Loss on derivatives</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(1,521,136)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(1,521,136)</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(Loss)/gain on extinguishment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(27,183,375)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719,526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(719,526)</w:t>
            </w:r>
          </w:p>
        </w:tc>
        <w:tc>
          <w:tcPr>
            <w:tcW w:w="4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Z</w:t>
            </w:r>
          </w:p>
        </w:tc>
        <w:tc>
          <w:tcPr>
            <w:tcW w:w="12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(27,183,375)</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Gain on revaluation of financial asset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5,710,714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5,710,714</w:t>
            </w:r>
          </w:p>
        </w:tc>
        <w:tc>
          <w:tcPr>
            <w:tcW w:w="1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non-operating income (expense), net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169,613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(3,312,303)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(3,142,690)</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4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other (expenses) / income, net</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(24,933,754)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455,017</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(12,513,271)</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(457,193)</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1,094,992</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(36,354,209)</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4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before taxes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(57,358,271)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(1,168,901)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(12,038,713)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(1,635,450)</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(3,277,556)</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(75,478,891)</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1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(494,247)</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(740,304)</w:t>
            </w: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(1,234,551)</w:t>
            </w:r>
          </w:p>
        </w:tc>
        <w:tc>
          <w:tcPr>
            <w:tcW w:w="3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4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Net (loss) income</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(57,852,518)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(1,168,901)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(12,779,017)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(1,635,450)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1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(3,277,556)</w:t>
            </w:r>
          </w:p>
        </w:tc>
        <w:tc>
          <w:tcPr>
            <w:tcW w:w="12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(76,713,442)</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4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3"/>
                <w:szCs w:val="13"/>
                <w:color w:val="auto"/>
              </w:rPr>
              <w:t>Earnings Per Share</w:t>
            </w:r>
          </w:p>
        </w:tc>
        <w:tc>
          <w:tcPr>
            <w:tcW w:w="1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8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gridSpan w:val="2"/>
            <w:shd w:val="clear" w:color="auto" w:fill="CFF0FC"/>
          </w:tcPr>
          <w:p>
            <w:pPr>
              <w:jc w:val="right"/>
              <w:ind w:right="12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60" w:type="dxa"/>
            <w:vAlign w:val="bottom"/>
            <w:gridSpan w:val="3"/>
            <w:shd w:val="clear" w:color="auto" w:fill="CFF0FC"/>
          </w:tcPr>
          <w:p>
            <w:pPr>
              <w:ind w:left="720"/>
              <w:spacing w:after="0" w:line="116" w:lineRule="exact"/>
              <w:rPr>
                <w:sz w:val="20"/>
                <w:szCs w:val="20"/>
                <w:color w:val="auto"/>
              </w:rPr>
            </w:pPr>
            <w:r>
              <w:rPr>
                <w:rFonts w:ascii="Times New Roman" w:cs="Times New Roman" w:eastAsia="Times New Roman" w:hAnsi="Times New Roman"/>
                <w:sz w:val="13"/>
                <w:szCs w:val="13"/>
                <w:color w:val="auto"/>
              </w:rPr>
              <w:t xml:space="preserve">(0.3)  </w:t>
            </w:r>
            <w:r>
              <w:rPr>
                <w:rFonts w:ascii="Times New Roman" w:cs="Times New Roman" w:eastAsia="Times New Roman" w:hAnsi="Times New Roman"/>
                <w:sz w:val="13"/>
                <w:szCs w:val="13"/>
                <w:b w:val="1"/>
                <w:bCs w:val="1"/>
                <w:color w:val="auto"/>
              </w:rPr>
              <w:t>DD</w:t>
            </w:r>
          </w:p>
        </w:tc>
        <w:tc>
          <w:tcPr>
            <w:tcW w:w="0" w:type="dxa"/>
            <w:vAlign w:val="bottom"/>
          </w:tcPr>
          <w:p>
            <w:pPr>
              <w:spacing w:after="0"/>
              <w:rPr>
                <w:sz w:val="1"/>
                <w:szCs w:val="1"/>
                <w:color w:val="auto"/>
              </w:rPr>
            </w:pPr>
          </w:p>
        </w:tc>
      </w:tr>
      <w:tr>
        <w:trPr>
          <w:trHeight w:val="117"/>
        </w:trPr>
        <w:tc>
          <w:tcPr>
            <w:tcW w:w="23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Basic and diluted weighted average shares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outstanding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233,521,905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244,649,685</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-1532255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-1532255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-1532255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-1532255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-1532255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-1532255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-563880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-563880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-563880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-563880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-563880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-563880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unaudited pro forma condensed combined financial information.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43" w:name="page44"/>
    <w:bookmarkEnd w:id="43"/>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22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w:t>
      </w:r>
    </w:p>
    <w:p>
      <w:pPr>
        <w:spacing w:after="0" w:line="5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previously disclosed in its unaudited condensed combined consolidated financial statements as of and for the six months ended June 30, 2025 included in its Current Report on Form 6-K furnished with the SEC on October 1, 2025, on February 4, 2025, the Company entered into a purchase agreement with DBLP Sea Cow Ltd (“DBLP”), to acquire the entire issued and to be issued share capital of each of Bluedot Industries, Inc. and Bluedot Industries Pty. Ltd, together “Bluedot Industries”. DBLP is a related party and is wholly legally owned by Daniel Wagner, a director of DBLP and the Company. Prior to his death, DBLP was beneficially owned by John Wagner, a former director of Rezolve. On February 20, 2025, the Company closed the Bluedot Industries acquisition and issued ordinary shares as consideration to DBLP. The Bluedot Industries acquisition was accounted for as a transfer of entities under common control and all periods presented reflect the financial position and results of operations of these entities as if they had been combined as of the beginning of the period. Therefore, the Company’s historical consolidated statements of operations for the year ended December 31, 2024 and for the six months ended June 30, 2025, used in the pro forma condensed combined financial information, have been retrospectively adjusted to furnish information as if the two companies (Rezolve and Bluedot Industries) had been combined from the beginning of the comparative period, as the entities were under common control for the entire comparative period.</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accounted for both the Crownpeak Acquisition and the GroupBy Acquisition using the acquisition method of accounting under ASC</w:t>
      </w:r>
    </w:p>
    <w:p>
      <w:pPr>
        <w:spacing w:after="0" w:line="27" w:lineRule="exact"/>
        <w:rPr>
          <w:sz w:val="20"/>
          <w:szCs w:val="20"/>
          <w:color w:val="auto"/>
        </w:rPr>
      </w:pPr>
    </w:p>
    <w:p>
      <w:pPr>
        <w:ind w:right="380" w:firstLine="8"/>
        <w:spacing w:after="0" w:line="255" w:lineRule="auto"/>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method of accounting requires that the purchase price of the acquisition be allocated to the assets acquired and liabilities assumed using the fair values determined by management as of the acquisition date, with any excess of the purchase price over the estimated fair value of the identifiable net assets acquired recorded to goodwill.</w:t>
      </w:r>
    </w:p>
    <w:p>
      <w:pPr>
        <w:spacing w:after="0" w:line="18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preliminary estimates of fair values of the net assets acquired are based on the information that was available at the dates of the Crownpeak Acquisition and the GroupBy Acquisition, and the Company is continuing to evaluate the underlying inputs and assumptions used in its valuations. Accordingly, these preliminary estimates are subject to change during the measurement period, which is up to one year from the date of the acquisition. A decrease in the fair value of assets acquired or an increase in the fair value of liabilities assumed in the acquisition from those valuations would result in a corresponding increase in the amount of goodwill from the acquisition. The acquisition-related transaction costs incurred by the Company were accounted for as expenses in the periods in which the costs were incurred and the services were received.</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Unaudited Pro Forma financial information</w:t>
      </w:r>
    </w:p>
    <w:p>
      <w:pPr>
        <w:spacing w:after="0" w:line="227"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2024 and the Unaudited Pro Forma Condensed Combined Statement of Operations for the six months ended June 30, 2025 give effect to the Crownpeak Acquisition and the GroupBy Acquisition as if both acquisitions had been completed on January 1, 2024.</w:t>
      </w:r>
    </w:p>
    <w:p>
      <w:pPr>
        <w:spacing w:after="0" w:line="17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June 30, 2025 gives effect to the Crownpeak Acquisition as if it had been completed on June 30, 2025. The assets and liabilities of GroupBy are included in the Company's Unaudited Condensed Interim Combined Consolidated Balance Sheet as of June 30, 2025.</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reflects transaction related adjustments management believes are necessary to present fairly Rezolve’s pro forma results of operations and financial position following the closing of the Crownpeak Acquisition and the GroupBy Acquisition and related transactions as of and for the periods indicated above.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Crownpeak Acquisition and the GroupBy Acquisition were completed on the date mentioned above. Therefore, the unaudited pro forma condensed combined financial information and related notes are presented for illustrative purposes only. If the Crownpeak Acquisition and the GroupBy Acquisition and other transactions contemplated herein had occurred in the past, Rezolve's operating results might have been materially different from those presented in this unaudited pro forma condensed combined financial information.</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not be relied upon as an indication of operating results that Rezolve would have achieved if the Crownpeak Acquisition and the GroupBy Acquisition had taken place on the specified date. In addition, future results may vary significantly from the results reflected in the unaudited pro forma condensed combined financial statement of operations and should not be relied upon as an indication of the future results Rezolve will have after the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contemplation of the Crownpeak Acquisition and the GroupBy Acquisition. The unaudited pro forma condensed combined financial information does not give effect to any anticipated synergies, operating efficiencies, tax savings, or cost savings that may be associated with the Crownpeak Acquisition and the GroupBy Acquisition.</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 The unaudited pro forma condensed combined financial information should be read in conjunction with the separate financial statements and notes thereto of each of Crownpeak, GroupBy and Rezolve as listed in the Introduction, above.</w:t>
      </w:r>
    </w:p>
    <w:p>
      <w:pPr>
        <w:spacing w:after="0" w:line="176"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As the difference between Crownpeak’s fiscal year end and Rezolve’s fiscal year end is less than one quarter, the historical consolidated statement of operations of Crownpeak as of, and for the year ended, January 31, 2025, is being combined with the historical combined consolidated statement of operations of Rezolve as of, and for the year ended, December 31, 2024.</w:t>
      </w:r>
    </w:p>
    <w:p>
      <w:pPr>
        <w:spacing w:after="0" w:line="176"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Similarly, the historical condensed consolidated financial statements Crownpeak Intermediate Holdings, Inc. and subsidiaries as of, and for the six months ended July 31, 2025 is being combined with the historical condensed combined consolidated financial statements of Rezolve as of, and for the six months ended June 30, 2025.</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audited combined consolidated financial statements of GroupBy Group of Companies as of and for the years ended December 31, 2024 and 2023 and the unaudited condensed interim combined consolidated financial statements for GroupBy as of and for six months ended June 30, 2025 and have been prepared in accordance with International Financial Reporting Standards (“IFRS”) and interpretations adopted by the International Accounting Standards Board (“IASB”). See Notes 3 and 5 for more information on adjustments resulting from material differences between IFRS and US GAAP.</w:t>
      </w:r>
    </w:p>
    <w:p>
      <w:pPr>
        <w:spacing w:after="0" w:line="180"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At this time, Rezolve is not aware of any material differences in accounting policies and financial statement classifications that would have a material impact on the pro forma financial information with the exception of the transaction accounting adjustments discussed in Notes 3, 4 and 5.</w:t>
      </w:r>
    </w:p>
    <w:p>
      <w:pPr>
        <w:spacing w:after="0" w:line="374"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auto"/>
        </w:rPr>
        <w:t>Note 2—Purchase Price and Preliminary Fair Value Estimate of Assets to be Acquired and Liabilities to be Assumed for the Crownpeak acquisition</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table below represents an initial allocation of the preliminary consideration to Crownpeak’s tangible and intangible assets to be acquired and liabilities to be assumed based on the preliminary estimate of their respective fair values derived using a benchmarking approach. Upon the completion of the acquisition date valuation procedures, the estimated fair value of the assets and liabilities will be updated, including the estimated fair value and useful lives of the identifiable intangible assets and allocation of the excess purchase price to goodwill. The calculation of goodwill and other identified assets and liabilities could be materially impacted by changing fair value measurements.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9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11,127,780 ordinary shares of Rezolve (1)</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First Loan Note</w:t>
            </w:r>
          </w:p>
        </w:tc>
        <w:tc>
          <w:tcPr>
            <w:tcW w:w="19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Loan Note</w:t>
            </w:r>
          </w:p>
        </w:tc>
        <w:tc>
          <w:tcPr>
            <w:tcW w:w="190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100" w:type="dxa"/>
            <w:vAlign w:val="bottom"/>
          </w:tcPr>
          <w:p>
            <w:pPr>
              <w:spacing w:after="0"/>
              <w:rPr>
                <w:sz w:val="18"/>
                <w:szCs w:val="18"/>
                <w:color w:val="auto"/>
              </w:rPr>
            </w:pPr>
          </w:p>
        </w:tc>
      </w:tr>
      <w:tr>
        <w:trPr>
          <w:trHeight w:val="210"/>
        </w:trPr>
        <w:tc>
          <w:tcPr>
            <w:tcW w:w="74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190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1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assets (2)</w:t>
            </w:r>
          </w:p>
        </w:tc>
        <w:tc>
          <w:tcPr>
            <w:tcW w:w="19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13,023,806</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9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1,246,940</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9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3,820,143</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9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36,473,203</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9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50,819,554</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 (3)</w:t>
            </w:r>
          </w:p>
        </w:tc>
        <w:tc>
          <w:tcPr>
            <w:tcW w:w="19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5,243,258</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Debt under the Amended and Restated Credit Agreement</w:t>
            </w:r>
          </w:p>
        </w:tc>
        <w:tc>
          <w:tcPr>
            <w:tcW w:w="19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(151,921,625)</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0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(13,707,369)</w:t>
            </w:r>
          </w:p>
        </w:tc>
      </w:tr>
      <w:tr>
        <w:trPr>
          <w:trHeight w:val="216"/>
        </w:trPr>
        <w:tc>
          <w:tcPr>
            <w:tcW w:w="74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liabilities (4)</w:t>
            </w:r>
          </w:p>
        </w:tc>
        <w:tc>
          <w:tcPr>
            <w:tcW w:w="19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(40,817,453)</w:t>
            </w:r>
          </w:p>
        </w:tc>
      </w:tr>
      <w:tr>
        <w:trPr>
          <w:trHeight w:val="20"/>
        </w:trPr>
        <w:tc>
          <w:tcPr>
            <w:tcW w:w="7440" w:type="dxa"/>
            <w:vAlign w:val="bottom"/>
            <w:shd w:val="clear" w:color="auto" w:fill="CFF0FC"/>
          </w:tcPr>
          <w:p>
            <w:pPr>
              <w:spacing w:after="0" w:line="20" w:lineRule="exact"/>
              <w:rPr>
                <w:sz w:val="1"/>
                <w:szCs w:val="1"/>
                <w:color w:val="auto"/>
              </w:rPr>
            </w:pPr>
          </w:p>
        </w:tc>
        <w:tc>
          <w:tcPr>
            <w:tcW w:w="1900" w:type="dxa"/>
            <w:vAlign w:val="bottom"/>
            <w:shd w:val="clear" w:color="auto" w:fill="CFF0FC"/>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(95,819,543)</w:t>
            </w:r>
          </w:p>
        </w:tc>
      </w:tr>
      <w:tr>
        <w:trPr>
          <w:trHeight w:val="209"/>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90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185,819,543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estimated preliminary purchase price allocation</w:t>
            </w: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90,000,000</w:t>
            </w:r>
          </w:p>
        </w:tc>
        <w:tc>
          <w:tcPr>
            <w:tcW w:w="10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540" w:right="5100" w:hanging="5532"/>
        <w:spacing w:after="0" w:line="407"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 million net of cash acquired, completion indebtedness and transaction costs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5" w:name="page46"/>
    <w:bookmarkEnd w:id="45"/>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accounts receivable, deferred commissions and prepaid expenses and other current assets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right-of-use assets, deferred commissions and other non-current assets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accounts payable, deferred revenue, accrued expenses, deferred tax liabilities and other liabilities</w:t>
      </w:r>
    </w:p>
    <w:p>
      <w:pPr>
        <w:spacing w:after="0" w:line="200" w:lineRule="exact"/>
        <w:rPr>
          <w:sz w:val="20"/>
          <w:szCs w:val="20"/>
          <w:color w:val="auto"/>
        </w:rPr>
      </w:pPr>
    </w:p>
    <w:p>
      <w:pPr>
        <w:spacing w:after="0" w:line="21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 3— Transaction Accounting Adjustments to the unaudited pro forma condensed combined statements of operations for the year ended December 31, 2024</w:t>
      </w:r>
    </w:p>
    <w:p>
      <w:pPr>
        <w:spacing w:after="0" w:line="15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year ended December 31, 2024 also include adjustments to reclassify Crownpeak’s and GroupBy’s historical presentation of certain line items to the presentation of those line items by Rezolve.</w:t>
      </w:r>
    </w:p>
    <w:p>
      <w:pPr>
        <w:spacing w:after="0" w:line="68" w:lineRule="exact"/>
        <w:rPr>
          <w:sz w:val="20"/>
          <w:szCs w:val="20"/>
          <w:color w:val="auto"/>
        </w:rPr>
      </w:pPr>
    </w:p>
    <w:p>
      <w:pPr>
        <w:ind w:left="1020" w:right="40" w:hanging="503"/>
        <w:spacing w:after="0" w:line="258"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lease expense for the difference between IFRS and US GAAP. There is only a single accounting model for leases under IFRS, i.e., all leases are effectively equivalent to finance leases under ASC 842, therefore lease classification is unnecessary under IFRS. The leases of GroupBy were classified as operating leases under ASC 842 which resulted in the recognition of a straight-line rent expense in the income statement under ASC 842 rather than the recognition of an amortization expense and interest expense under IFRS 16, for the year ended December 31, 2024.</w:t>
      </w:r>
    </w:p>
    <w:p>
      <w:pPr>
        <w:spacing w:after="0" w:line="75" w:lineRule="exact"/>
        <w:rPr>
          <w:rFonts w:ascii="Times New Roman" w:cs="Times New Roman" w:eastAsia="Times New Roman" w:hAnsi="Times New Roman"/>
          <w:sz w:val="18"/>
          <w:szCs w:val="18"/>
          <w:b w:val="1"/>
          <w:bCs w:val="1"/>
          <w:color w:val="auto"/>
        </w:rPr>
      </w:pPr>
    </w:p>
    <w:p>
      <w:pPr>
        <w:ind w:left="1020" w:right="420" w:hanging="503"/>
        <w:spacing w:after="0" w:line="282"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incremental amortization expense for GroupBy of based on the fair values assigned in the preliminary purchase price allocation to (i) technology intellectual property and (ii) customer contract and related relationships.</w:t>
      </w:r>
    </w:p>
    <w:p>
      <w:pPr>
        <w:spacing w:after="0" w:line="53" w:lineRule="exact"/>
        <w:rPr>
          <w:rFonts w:ascii="Times New Roman" w:cs="Times New Roman" w:eastAsia="Times New Roman" w:hAnsi="Times New Roman"/>
          <w:sz w:val="18"/>
          <w:szCs w:val="18"/>
          <w:b w:val="1"/>
          <w:bCs w:val="1"/>
          <w:color w:val="auto"/>
        </w:rPr>
      </w:pPr>
    </w:p>
    <w:p>
      <w:pPr>
        <w:ind w:left="1020" w:right="480" w:hanging="503"/>
        <w:spacing w:after="0" w:line="282"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remove GroupBy’s historical interest expense for the year ended December 31, 2024, as a result of the settlement of $12 million of outstanding debt due to Western Alliance Bank.</w:t>
      </w:r>
    </w:p>
    <w:p>
      <w:pPr>
        <w:spacing w:after="0" w:line="53" w:lineRule="exact"/>
        <w:rPr>
          <w:rFonts w:ascii="Times New Roman" w:cs="Times New Roman" w:eastAsia="Times New Roman" w:hAnsi="Times New Roman"/>
          <w:sz w:val="18"/>
          <w:szCs w:val="18"/>
          <w:b w:val="1"/>
          <w:bCs w:val="1"/>
          <w:color w:val="auto"/>
        </w:rPr>
      </w:pPr>
    </w:p>
    <w:p>
      <w:pPr>
        <w:ind w:left="1020" w:right="260" w:hanging="503"/>
        <w:spacing w:after="0" w:line="256"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closing of the GroupBy Acquisition, the Company entered into a subscription letter with Western Alliance Bank (“WAB”) pursuant to which the Company agreed to issue to WAB a number of its Ordinary Shares which is equal to $12,300,000 ($12,000,000 debt and $300,000 forbearance fees) in order to settle debt owed by Groupby to WAB. In consideration for the allotment of these Ordinary Shares, WAB irrevocably and unconditionally released and discharged the Company from the obligations owed by the Company to WAB. This proforma adjustment assumes that this settlement occurred during fiscal year 2024 rather than in June 2025 when the actual settlement occurred.</w:t>
      </w:r>
    </w:p>
    <w:p>
      <w:pPr>
        <w:spacing w:after="0" w:line="187" w:lineRule="exact"/>
        <w:rPr>
          <w:rFonts w:ascii="Times New Roman" w:cs="Times New Roman" w:eastAsia="Times New Roman" w:hAnsi="Times New Roman"/>
          <w:sz w:val="18"/>
          <w:szCs w:val="18"/>
          <w:b w:val="1"/>
          <w:bCs w:val="1"/>
          <w:color w:val="auto"/>
        </w:rPr>
      </w:pPr>
    </w:p>
    <w:p>
      <w:pPr>
        <w:jc w:val="both"/>
        <w:ind w:left="102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issued 5,857,143 Ordinary shares to WAB to settle the debt. The debt was settled in June 2025 upon issuance of 5,857,143 Ordinary shares at $2.10 per share, and a loss on extinguishment of $4,392,858 was recognized in the Company's Combined Consolidated Statement of Operations.</w:t>
      </w:r>
    </w:p>
    <w:p>
      <w:pPr>
        <w:spacing w:after="0" w:line="175" w:lineRule="exact"/>
        <w:rPr>
          <w:rFonts w:ascii="Times New Roman" w:cs="Times New Roman" w:eastAsia="Times New Roman" w:hAnsi="Times New Roman"/>
          <w:sz w:val="18"/>
          <w:szCs w:val="18"/>
          <w:b w:val="1"/>
          <w:bCs w:val="1"/>
          <w:color w:val="auto"/>
        </w:rPr>
      </w:pPr>
    </w:p>
    <w:p>
      <w:pPr>
        <w:ind w:left="102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terms of the subscription letter, WAB is to return any money received in excess of $12,300,000 from the subsequent sale of the 5,857,143 Ordinary shares. The receivable (financial asset) due from WAB involve returns that may vary in amount, such that the ultimate payout will depend on the price per Ordinary Share on the day that WAB sells all or part of the 5,857,143 Ordinary Shares. The Company elected to recognize this hybrid financial instrument at fair value with changes in fair value recognized currently in earnings, therefore no bifurcation of any embedded derivatives were required. As of June 30, 2025, the Company's market price per Ordinary share was $3.08, which resulted in a financial asset carried at fair value of $5,710,714 and a gain on revaluation of financial asset of $5,710,714 recognized in the Company's Combined Consolidated combined Statement of Operations.</w:t>
      </w:r>
    </w:p>
    <w:p>
      <w:pPr>
        <w:spacing w:after="0" w:line="80" w:lineRule="exact"/>
        <w:rPr>
          <w:rFonts w:ascii="Times New Roman" w:cs="Times New Roman" w:eastAsia="Times New Roman" w:hAnsi="Times New Roman"/>
          <w:sz w:val="18"/>
          <w:szCs w:val="18"/>
          <w:b w:val="1"/>
          <w:bCs w:val="1"/>
          <w:color w:val="auto"/>
        </w:rPr>
      </w:pPr>
    </w:p>
    <w:p>
      <w:pPr>
        <w:ind w:left="1020" w:right="180" w:hanging="503"/>
        <w:spacing w:after="0" w:line="282"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recognize the transactions costs directly associated with the acquisition of GroupBy including, but not limited to advisory fees and legal fees.</w:t>
      </w:r>
    </w:p>
    <w:p>
      <w:pPr>
        <w:spacing w:after="0" w:line="53" w:lineRule="exact"/>
        <w:rPr>
          <w:rFonts w:ascii="Times New Roman" w:cs="Times New Roman" w:eastAsia="Times New Roman" w:hAnsi="Times New Roman"/>
          <w:sz w:val="18"/>
          <w:szCs w:val="18"/>
          <w:b w:val="1"/>
          <w:bCs w:val="1"/>
          <w:color w:val="auto"/>
        </w:rPr>
      </w:pPr>
    </w:p>
    <w:p>
      <w:pPr>
        <w:ind w:left="1020" w:right="220" w:hanging="503"/>
        <w:spacing w:after="0" w:line="282"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an adjustment for the cancellation all warrant liabilities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b w:val="1"/>
          <w:bCs w:val="1"/>
          <w:color w:val="auto"/>
        </w:rPr>
      </w:pPr>
    </w:p>
    <w:p>
      <w:pPr>
        <w:ind w:left="1020" w:right="100" w:hanging="503"/>
        <w:spacing w:after="0" w:line="282"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an adjustment for the cancellation all equity classified warrants to which GroupBy is a party as one of the conditions for the closing of the GroupBy acquisition.</w:t>
      </w:r>
    </w:p>
    <w:p>
      <w:pPr>
        <w:spacing w:after="0" w:line="53" w:lineRule="exact"/>
        <w:rPr>
          <w:rFonts w:ascii="Times New Roman" w:cs="Times New Roman" w:eastAsia="Times New Roman" w:hAnsi="Times New Roman"/>
          <w:sz w:val="18"/>
          <w:szCs w:val="18"/>
          <w:b w:val="1"/>
          <w:bCs w:val="1"/>
          <w:color w:val="auto"/>
        </w:rPr>
      </w:pPr>
    </w:p>
    <w:p>
      <w:pPr>
        <w:ind w:left="1020" w:right="20" w:hanging="503"/>
        <w:spacing w:after="0" w:line="266"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incremental amortization and depreciation expense for Crownpeak of based on the fair values assigned in the preliminary purchase price allocation to (i) trade names and trademarks, (ii) developed technology, (ii) customer relationships and (iv) property, plant and equipment .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1020" w:hanging="503"/>
        <w:spacing w:after="0" w:line="256" w:lineRule="auto"/>
        <w:tabs>
          <w:tab w:leader="none" w:pos="10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remove Crownpeak's historical interest expense of $6.8 million for the year ended January 31, 2025, as a result of amendments to the credit agreement. In connection with the Crownpeak Acquisition, on December 1, 2025, Crownpeak entered into an amended and restated credit agreement (the “A&amp;R Credit Agreement”) with the lenders party thereto and Monroe Capital Management Advisors, LLC, as administrative and collateral agent, which amended and restated in its entirety the original credit agreement, dated as of February 28, 2019. Under the A&amp;R Credit Agreement, Crownpeak's prior credit agreement was amended and restated in full as of December 1, 2025 (the “Restatement Date”). In connection with the Crownpeak Acquisition, (i) $50,000,000 of the outstanding term loans and $7,500,000.00 of</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6" w:name="page47"/>
    <w:bookmarkEnd w:id="46"/>
    <w:p>
      <w:pPr>
        <w:ind w:left="1020" w:right="100"/>
        <w:spacing w:after="0" w:line="261" w:lineRule="auto"/>
        <w:rPr>
          <w:sz w:val="20"/>
          <w:szCs w:val="20"/>
          <w:color w:val="auto"/>
        </w:rPr>
      </w:pPr>
      <w:r>
        <w:rPr>
          <w:rFonts w:ascii="Times New Roman" w:cs="Times New Roman" w:eastAsia="Times New Roman" w:hAnsi="Times New Roman"/>
          <w:sz w:val="18"/>
          <w:szCs w:val="18"/>
          <w:color w:val="auto"/>
        </w:rPr>
        <w:t>revolving loans were repaid in full including accrued interest and fees, (ii) all revolving commitments were terminated, and (iii) accrued exit and amendment fees were paid. After giving effect to these transactions, the remaining outstanding term loans under the prior facility continued as term loans under the A&amp;R Credit Agreement (the “Term Loans”) with an outstanding principal amount of the Term Loans of $103,679,099.79.</w:t>
      </w:r>
    </w:p>
    <w:p>
      <w:pPr>
        <w:spacing w:after="0" w:line="72" w:lineRule="exact"/>
        <w:rPr>
          <w:sz w:val="20"/>
          <w:szCs w:val="20"/>
          <w:color w:val="auto"/>
        </w:rPr>
      </w:pPr>
    </w:p>
    <w:p>
      <w:pPr>
        <w:ind w:left="1020" w:right="220" w:hanging="503"/>
        <w:spacing w:after="0" w:line="266"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interest expense of $5 million for interest payable on the First Loan Note (10% fixed rate per year loan note due 1 April 2027) and the Second Loan Note (10% fixed rate per year secured loan note due 31 December 2027), both issued as consideration in connection with the Crownpeak acquisition.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1020" w:right="340" w:hanging="503"/>
        <w:spacing w:after="0" w:line="282"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 fees incurred in connection with the Amended and Restatement Credit Agreement with the lenders party thereto and Monroe Capital Management Advisors, LLC, as administrative and collateral agent. See pro forma adjustment (J) for more information.</w:t>
      </w:r>
    </w:p>
    <w:p>
      <w:pPr>
        <w:spacing w:after="0" w:line="53" w:lineRule="exact"/>
        <w:rPr>
          <w:rFonts w:ascii="Times New Roman" w:cs="Times New Roman" w:eastAsia="Times New Roman" w:hAnsi="Times New Roman"/>
          <w:sz w:val="18"/>
          <w:szCs w:val="18"/>
          <w:b w:val="1"/>
          <w:bCs w:val="1"/>
          <w:color w:val="auto"/>
        </w:rPr>
      </w:pPr>
    </w:p>
    <w:p>
      <w:pPr>
        <w:ind w:left="1020" w:right="220" w:hanging="503"/>
        <w:spacing w:after="0" w:line="282"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recognize the transactions costs directly associated with the Crownpeak acquisition including, but not limited to advisory fees and legal fees.</w:t>
      </w:r>
    </w:p>
    <w:p>
      <w:pPr>
        <w:spacing w:after="0" w:line="53" w:lineRule="exact"/>
        <w:rPr>
          <w:rFonts w:ascii="Times New Roman" w:cs="Times New Roman" w:eastAsia="Times New Roman" w:hAnsi="Times New Roman"/>
          <w:sz w:val="18"/>
          <w:szCs w:val="18"/>
          <w:b w:val="1"/>
          <w:bCs w:val="1"/>
          <w:color w:val="auto"/>
        </w:rPr>
      </w:pPr>
    </w:p>
    <w:p>
      <w:pPr>
        <w:ind w:left="1020" w:right="40" w:hanging="503"/>
        <w:spacing w:after="0" w:line="282"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recognize estimated deferred tax liabilities for Crownpeak resulting from differences in the book and tax basis of intangible assets remeasured to fair value as a result of business combination accounting under ASC 805.</w:t>
      </w:r>
    </w:p>
    <w:p>
      <w:pPr>
        <w:spacing w:after="0" w:line="53" w:lineRule="exact"/>
        <w:rPr>
          <w:rFonts w:ascii="Times New Roman" w:cs="Times New Roman" w:eastAsia="Times New Roman" w:hAnsi="Times New Roman"/>
          <w:sz w:val="18"/>
          <w:szCs w:val="18"/>
          <w:b w:val="1"/>
          <w:bCs w:val="1"/>
          <w:color w:val="auto"/>
        </w:rPr>
      </w:pPr>
    </w:p>
    <w:p>
      <w:pPr>
        <w:ind w:left="1020" w:right="80" w:hanging="503"/>
        <w:spacing w:after="0" w:line="256"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GroupBy Acquisition and the Crownpeak Acquisition, assuming the shares were outstanding since January 1, 2024. As the GroupBy Acquisition and the Crownpeak Acquisition are both being reflected in the unaudited pro forma condensed combined statement of operations as if it had occurred on January 1, 2024, the calculation of weighted average shares outstanding for basic and diluted net loss per share assumes that the shares issuable in connection with the GroupBy and Crownpeak acquisitions have been outstanding for the entire period presented.</w:t>
      </w:r>
    </w:p>
    <w:p>
      <w:pPr>
        <w:spacing w:after="0" w:line="79" w:lineRule="exact"/>
        <w:rPr>
          <w:rFonts w:ascii="Times New Roman" w:cs="Times New Roman" w:eastAsia="Times New Roman" w:hAnsi="Times New Roman"/>
          <w:sz w:val="18"/>
          <w:szCs w:val="18"/>
          <w:b w:val="1"/>
          <w:bCs w:val="1"/>
          <w:color w:val="auto"/>
        </w:rPr>
      </w:pPr>
    </w:p>
    <w:p>
      <w:pPr>
        <w:ind w:left="1020" w:right="540" w:hanging="503"/>
        <w:spacing w:after="0" w:line="282" w:lineRule="auto"/>
        <w:tabs>
          <w:tab w:leader="none" w:pos="10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Compensation and benefits expense have been categorized to general and administrative expenses and marketing expenses to conform Crownpeak's historical presentation of certain line items to the presentation of those line items by Rezolve.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Transaction Accounting Adjustments to the unaudited pro forma condensed combined balance sheet as of June 30, 2025</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balance sheet as of June 30, 2025 presented also include adjustments to reclassify Crownpeak’s historical presentation of certain line items to the presentation of those line items by Rezolve.</w:t>
      </w:r>
    </w:p>
    <w:p>
      <w:pPr>
        <w:spacing w:after="0" w:line="270" w:lineRule="exact"/>
        <w:rPr>
          <w:sz w:val="20"/>
          <w:szCs w:val="20"/>
          <w:color w:val="auto"/>
        </w:rPr>
      </w:pPr>
    </w:p>
    <w:p>
      <w:pPr>
        <w:ind w:left="1020" w:right="180" w:hanging="503"/>
        <w:spacing w:after="0" w:line="266"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following: (1) Removal of Crownpeak's historical intangible assets and property, plant and equipment of and (2) Preliminary fair value and other related adjustments to (i) trade names and trademarks, (ii) developed technology, (ii) customer relationships (iv) property, plant and equipment and (v) other assets acquired and liabilities assumed.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1020" w:right="160" w:hanging="503"/>
        <w:spacing w:after="0" w:line="266"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following: (1) Removal of Crownpeak's historical goodwill of and (2) Goodwill representing the estimated excess of the preliminary consideration over the preliminary fair value of the assets to be acquired and liabilities to be assumed. Goodwill is not expected to be deductible for U.S. federal income tax purposes.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1020" w:right="180" w:hanging="503"/>
        <w:spacing w:after="0" w:line="261" w:lineRule="auto"/>
        <w:tabs>
          <w:tab w:leader="none" w:pos="10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payment of $50 million of the outstanding term loan and $0.6 million of exit and amendment fees and the recognition of $1.8 million of exit and amendment fees incurred (not yet paid) in connection with the transaction described below:</w:t>
      </w:r>
    </w:p>
    <w:p>
      <w:pPr>
        <w:ind w:left="1020" w:right="4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Crownpeak Acquisition, on December 1, 2025, Crownpeak entered into an amended and restated credit agreement (the “A&amp;R Credit Agreement”) with the lenders party thereto and Monroe Capital Management Advisors, LLC, as administrative and collateral agent, which amended and restated in its entirety the original credit agreement, dated as of February 28, 2019. Under the A&amp;R Credit Agreement, Crownpeak's prior credit agreement was amended and restated in full as of December 1, 2025 (the “Restatement Date”). In connection with the Crownpeak Acquisition, (i) $50,000,000 of the outstanding term loans and $7,500,000.00 of revolving loans were repaid in full including accrued interest and fees, (ii) all revolving commitments were terminated, and (iii) $0.6 million of accrued exit and amendment fees were paid. After giving effect to these transactions, the remaining outstanding term loans under the prior facility, all paid-in-kind interest thereon and the accrued exit fees continued as term loans under the A&amp;R Credit Agreement (the “Term Loans”) with an outstanding principal amount of the Term Loans of $103,679,099.79. The maturity date for all outstanding term loans plus accrued interest is December 31, 2026.</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payment of $7.5 million of revolving loans in connection with the transaction described in pro forma adjustment (T) above.</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following loan notes plus accrued interest for the six months: The consideration under the Crownpeak Purchase Agreement</w:t>
      </w:r>
    </w:p>
    <w:p>
      <w:pPr>
        <w:spacing w:after="0" w:line="27" w:lineRule="exact"/>
        <w:rPr>
          <w:rFonts w:ascii="Times New Roman" w:cs="Times New Roman" w:eastAsia="Times New Roman" w:hAnsi="Times New Roman"/>
          <w:sz w:val="18"/>
          <w:szCs w:val="18"/>
          <w:b w:val="1"/>
          <w:bCs w:val="1"/>
          <w:color w:val="auto"/>
        </w:rPr>
      </w:pPr>
    </w:p>
    <w:p>
      <w:pPr>
        <w:ind w:left="10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include the following loan notes to be issued by the Company to the Crownpeak Seller: (i) a promissory note in the initial principal amount of $50,000,000, made up of a $20,000,000 tranche (the “First Loan Note” which is a 10% fixed rate loan note due 1 April 2027) and a $30,000,000 tranche (the “Second Loan Note” which is a 10% fixed rate secured loan note due 31 December 2027, and together with the First Loan Note, the “Loan Notes”).</w:t>
      </w:r>
    </w:p>
    <w:p>
      <w:pPr>
        <w:spacing w:after="0" w:line="80" w:lineRule="exact"/>
        <w:rPr>
          <w:rFonts w:ascii="Times New Roman" w:cs="Times New Roman" w:eastAsia="Times New Roman" w:hAnsi="Times New Roman"/>
          <w:sz w:val="18"/>
          <w:szCs w:val="18"/>
          <w:b w:val="1"/>
          <w:bCs w:val="1"/>
          <w:color w:val="auto"/>
        </w:rPr>
      </w:pPr>
    </w:p>
    <w:p>
      <w:pPr>
        <w:ind w:left="1020" w:right="120" w:hanging="503"/>
        <w:spacing w:after="0" w:line="266"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adjustment to recognize deferred tax liabilities for Crownpeak resulting from (1) goodwill identified in the purchase price allocation that is not deductible for tax purposes and (2) differences in the book and tax basis of intangible assets remeasured to fair value as a result of business combination accounting under ASC 805.</w:t>
      </w:r>
    </w:p>
    <w:p>
      <w:pPr>
        <w:spacing w:after="0" w:line="67" w:lineRule="exact"/>
        <w:rPr>
          <w:rFonts w:ascii="Times New Roman" w:cs="Times New Roman" w:eastAsia="Times New Roman" w:hAnsi="Times New Roman"/>
          <w:sz w:val="18"/>
          <w:szCs w:val="18"/>
          <w:b w:val="1"/>
          <w:bCs w:val="1"/>
          <w:color w:val="auto"/>
        </w:rPr>
      </w:pPr>
    </w:p>
    <w:p>
      <w:pPr>
        <w:ind w:left="1020" w:right="260" w:hanging="503"/>
        <w:spacing w:after="0" w:line="282" w:lineRule="auto"/>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issuance of ordinary shares as consideration for the acquisition of Crownpeak: the Company issued 11,127,780 of its ordinary shares to the Crownpeak Sellers. The pro forma adjustment assumes a price of $3.0488 per share.</w:t>
      </w:r>
    </w:p>
    <w:p>
      <w:pPr>
        <w:spacing w:after="0" w:line="53"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the elimination of Crownpeak's historical equity as a result of acquisition accounting and other consolidation adjustments</w:t>
      </w:r>
    </w:p>
    <w:p>
      <w:pPr>
        <w:spacing w:after="0" w:line="200" w:lineRule="exact"/>
        <w:rPr>
          <w:sz w:val="20"/>
          <w:szCs w:val="20"/>
          <w:color w:val="auto"/>
        </w:rPr>
      </w:pPr>
    </w:p>
    <w:p>
      <w:pPr>
        <w:spacing w:after="0" w:line="23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Note 5— Transaction Accounting Adjustments to the unaudited pro forma condensed combined statements of operations for the six months ended June 30, 2025</w:t>
      </w:r>
    </w:p>
    <w:p>
      <w:pPr>
        <w:spacing w:after="0" w:line="15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pro forma adjustments listed below, the unaudited pro forma condensed combined statement of operations for the six months ended June 30, 2025 also include adjustments to reclassify Crownpeak’s and GroupBy's historical presentation of certain line items to the presentation of those line items by Rezolve.</w:t>
      </w:r>
    </w:p>
    <w:p>
      <w:pPr>
        <w:spacing w:after="0" w:line="284" w:lineRule="exact"/>
        <w:rPr>
          <w:sz w:val="20"/>
          <w:szCs w:val="20"/>
          <w:color w:val="auto"/>
        </w:rPr>
      </w:pPr>
    </w:p>
    <w:p>
      <w:pPr>
        <w:ind w:left="1020" w:right="420" w:hanging="503"/>
        <w:spacing w:after="0" w:line="282"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incremental amortization expense for GroupBy of based on the fair values assigned in the preliminary purchase price allocation to (i) technology intellectual property and (ii) customer contract and related relationships.</w:t>
      </w:r>
    </w:p>
    <w:p>
      <w:pPr>
        <w:spacing w:after="0" w:line="53" w:lineRule="exact"/>
        <w:rPr>
          <w:rFonts w:ascii="Times New Roman" w:cs="Times New Roman" w:eastAsia="Times New Roman" w:hAnsi="Times New Roman"/>
          <w:sz w:val="18"/>
          <w:szCs w:val="18"/>
          <w:b w:val="1"/>
          <w:bCs w:val="1"/>
          <w:color w:val="auto"/>
        </w:rPr>
      </w:pPr>
    </w:p>
    <w:p>
      <w:pPr>
        <w:ind w:left="1020" w:right="40" w:hanging="503"/>
        <w:spacing w:after="0" w:line="258"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remove GroupBy's historical interest expense for the period January 1, 2025 to March 25, 2025, as a result of the settlement of $12,300,000 of outstanding debt due to Western Alliance Bank (“WAB”). In connection with the closing of the GroupBy acquisition, the Company entered into a subscription letter with WAB pursuant to which the Company agreed to issue to WAB a number of its Ordinary Shares which is equal to $12,300,000. In consideration for the allotment of these Ordinary Shares, WAB irrevocably and unconditionally released and discharged the Company from the obligations owed by the Company to WAB.</w:t>
      </w:r>
    </w:p>
    <w:p>
      <w:pPr>
        <w:spacing w:after="0" w:line="75" w:lineRule="exact"/>
        <w:rPr>
          <w:rFonts w:ascii="Times New Roman" w:cs="Times New Roman" w:eastAsia="Times New Roman" w:hAnsi="Times New Roman"/>
          <w:sz w:val="18"/>
          <w:szCs w:val="18"/>
          <w:b w:val="1"/>
          <w:bCs w:val="1"/>
          <w:color w:val="auto"/>
        </w:rPr>
      </w:pPr>
    </w:p>
    <w:p>
      <w:pPr>
        <w:ind w:left="1020" w:right="300" w:hanging="503"/>
        <w:spacing w:after="0" w:line="266" w:lineRule="auto"/>
        <w:tabs>
          <w:tab w:leader="none" w:pos="10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Reflects an adjustment for the cancellation of all warrants, on acquisition date, to which GroupBy was a party which was one of the conditions for the closing of the GroupBy acquisition. The cancellation of all warrants are reflected in the pro forma condensed combined statement of operations for the year ended December 31, 2024. See pro forma adjustments (D), (F) and (G) above.</w:t>
      </w:r>
    </w:p>
    <w:p>
      <w:pPr>
        <w:spacing w:after="0" w:line="68" w:lineRule="exact"/>
        <w:rPr>
          <w:sz w:val="20"/>
          <w:szCs w:val="20"/>
          <w:color w:val="auto"/>
        </w:rPr>
      </w:pPr>
    </w:p>
    <w:p>
      <w:pPr>
        <w:ind w:left="1020" w:right="20" w:hanging="503"/>
        <w:spacing w:after="0" w:line="266" w:lineRule="auto"/>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add incremental amortization and depreciation expense for Crownpeak of based on the fair values assigned in the preliminary purchase price allocation to (i) trade names and trademarks, (ii) developed technology, (ii) customer relationships and (iv) property, plant and equipment . See Note 2 for more information.</w:t>
      </w:r>
    </w:p>
    <w:p>
      <w:pPr>
        <w:spacing w:after="0" w:line="67" w:lineRule="exact"/>
        <w:rPr>
          <w:rFonts w:ascii="Times New Roman" w:cs="Times New Roman" w:eastAsia="Times New Roman" w:hAnsi="Times New Roman"/>
          <w:sz w:val="18"/>
          <w:szCs w:val="18"/>
          <w:b w:val="1"/>
          <w:bCs w:val="1"/>
          <w:color w:val="auto"/>
        </w:rPr>
      </w:pPr>
    </w:p>
    <w:p>
      <w:pPr>
        <w:ind w:left="1020" w:right="60" w:hanging="503"/>
        <w:spacing w:after="0" w:line="253" w:lineRule="auto"/>
        <w:tabs>
          <w:tab w:leader="none" w:pos="10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Adjustment to remove Crownpeak's historical interest expense of $3.6 million for the six months ended July 31, 2025, as a result of amendments to the credit agreement: In connection with the Crownpeak Acquisition, on December 1, 2025, Crownpeak entered into an amended and restated credit agreement (the “A&amp;R Credit Agreement”) with the lenders party thereto and Monroe Capital Management Advisors, LLC, as administrative and collateral agent, which amended and restated in its entirety the original credit agreement, dated as of February 28, 2019. Under the A&amp;R Credit Agreement, Crownpeak's prior credit agreement was amended and restated in full as of December 1, 2025 (the “Restatement Date”). In connection with the Crownpeak Acquisition, (i) $50,000,000 of the outstanding term loans and $7,500,000.00 of revolving loans were repaid in full including accrued interest and fees, (ii) all revolving commitments were terminated, and (iii) accrued exit and amendment fees were paid. After giving effect to these transactions, the remaining outstanding term loans under the prior facility continued as term loans under the A&amp;R Credit Agreement (the “Term Loans”) with an outstanding principal amount of the Term Loans of $103,679,099.79.</w:t>
      </w:r>
    </w:p>
    <w:p>
      <w:pPr>
        <w:spacing w:after="0" w:line="86" w:lineRule="exact"/>
        <w:rPr>
          <w:rFonts w:ascii="Times New Roman" w:cs="Times New Roman" w:eastAsia="Times New Roman" w:hAnsi="Times New Roman"/>
          <w:sz w:val="18"/>
          <w:szCs w:val="18"/>
          <w:b w:val="1"/>
          <w:bCs w:val="1"/>
          <w:color w:val="auto"/>
        </w:rPr>
      </w:pPr>
    </w:p>
    <w:p>
      <w:pPr>
        <w:ind w:left="1020" w:right="100" w:hanging="503"/>
        <w:spacing w:after="0" w:line="312" w:lineRule="auto"/>
        <w:tabs>
          <w:tab w:leader="none" w:pos="102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Adjustment to add interest expense of $2.5 million for interest payable on the First Loan Note (10% fixed rate per year loan note due 1 April 2027) and the Second Loan Note (10% fixed rate per year secured loan note due 31 December 2027). See pro forma adjustment (V) above.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8" w:name="page49"/>
    <w:bookmarkEnd w:id="48"/>
    <w:p>
      <w:pPr>
        <w:ind w:left="503" w:hanging="503"/>
        <w:spacing w:after="0" w:line="256" w:lineRule="auto"/>
        <w:tabs>
          <w:tab w:leader="none" w:pos="50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Represents the net loss per share calculated using the historical weighted average shares outstanding, and the issuance of additional shares in connection with GroupBy Acquisition and the Crownpeak Acquisition, assuming the shares were outstanding since January 1, 2024. As the GroupBy Acquisition and the Crownpeak Acquisition are both being reflected in the unaudited pro forma condensed combined statement of operations as if it had occurred on January 1, 2024, the calculation of weighted average shares outstanding for basic and diluted net loss per share assumes that the shares issuable in connection with the GroupBy and Crownpeak acquisitions have been outstanding for the entire period presented.</w:t>
      </w:r>
    </w:p>
    <w:p>
      <w:pPr>
        <w:spacing w:after="0" w:line="295" w:lineRule="exact"/>
        <w:rPr>
          <w:sz w:val="20"/>
          <w:szCs w:val="20"/>
          <w:color w:val="auto"/>
        </w:rPr>
      </w:pPr>
    </w:p>
    <w:p>
      <w:pPr>
        <w:jc w:val="center"/>
        <w:ind w:right="417"/>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1120" w:right="41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ARTICLES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0" w:name="page51"/>
    <w:bookmarkEnd w:id="50"/>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became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have filed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 redeem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warrants (subject to any restrictions under the UK Companies Act):</w:t>
      </w:r>
    </w:p>
    <w:p>
      <w:pPr>
        <w:spacing w:after="0" w:line="52"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1" w:name="page52"/>
    <w:bookmarkEnd w:id="51"/>
    <w:p>
      <w:pPr>
        <w:ind w:right="20"/>
        <w:spacing w:after="0" w:line="258"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8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 holder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 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3" w:name="page54"/>
    <w:bookmarkEnd w:id="53"/>
    <w:p>
      <w:pPr>
        <w:ind w:right="20"/>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680"/>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of directors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As of the date of this prospectus, there is currently no Class I director, four Class II directors and one Class III director.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5" w:name="page56"/>
    <w:bookmarkEnd w:id="55"/>
    <w:p>
      <w:pPr>
        <w:ind w:right="6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of directors may remove any of the two directors nominated by the Sponsor group and the independent director mutually determined by the nomination committee of the board of directors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17" w:lineRule="exact"/>
        <w:rPr>
          <w:sz w:val="20"/>
          <w:szCs w:val="20"/>
          <w:color w:val="auto"/>
        </w:rPr>
      </w:pPr>
    </w:p>
    <w:p>
      <w:pPr>
        <w:ind w:left="1020" w:right="1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67"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53" w:lineRule="exact"/>
        <w:rPr>
          <w:rFonts w:ascii="Times New Roman" w:cs="Times New Roman" w:eastAsia="Times New Roman" w:hAnsi="Times New Roman"/>
          <w:sz w:val="18"/>
          <w:szCs w:val="18"/>
          <w:color w:val="auto"/>
        </w:rPr>
      </w:pPr>
    </w:p>
    <w:p>
      <w:pPr>
        <w:jc w:val="both"/>
        <w:ind w:left="1020" w:right="6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67" w:lineRule="exact"/>
        <w:rPr>
          <w:rFonts w:ascii="Times New Roman" w:cs="Times New Roman" w:eastAsia="Times New Roman" w:hAnsi="Times New Roman"/>
          <w:sz w:val="18"/>
          <w:szCs w:val="18"/>
          <w:color w:val="auto"/>
        </w:rPr>
      </w:pPr>
    </w:p>
    <w:p>
      <w:pPr>
        <w:ind w:left="1020" w:right="90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6" w:name="page57"/>
    <w:bookmarkEnd w:id="56"/>
    <w:p>
      <w:pPr>
        <w:ind w:right="20"/>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54" w:lineRule="exact"/>
        <w:rPr>
          <w:sz w:val="20"/>
          <w:szCs w:val="20"/>
          <w:color w:val="auto"/>
        </w:rPr>
      </w:pPr>
    </w:p>
    <w:p>
      <w:pPr>
        <w:ind w:left="1020" w:right="16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79"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58" w:name="page59"/>
    <w:bookmarkEnd w:id="58"/>
    <w:p>
      <w:pPr>
        <w:ind w:right="280"/>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ind w:left="1020" w:right="2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59" w:name="page60"/>
    <w:bookmarkEnd w:id="59"/>
    <w:p>
      <w:pPr>
        <w:ind w:right="80"/>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2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SELLING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Holder of up to 11,127,780 Ordinary Shares issued in connection with the CrownPeak Acquisition.</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Ordinary Shares being offered by the Selling Holder are those previously issued to the Selling Holder.When we refer to the “Selling Holder” in this prospectus, we mean the person listed in the table and in the footnotes to the table below (as such table may be amended from time to time by means of an amendment to the registration statement of which this prospectus is a part or by supplement to this prospectus), and any pledgees, donees, transferees, assignees, successors and others who later come to hold any of the Selling Holder’s interest in the Ordinary Shares after the date of this prospectus such that registration rights shall apply to those securities.</w:t>
      </w:r>
    </w:p>
    <w:p>
      <w:pPr>
        <w:spacing w:after="0" w:line="181"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color w:val="auto"/>
        </w:rPr>
        <w:t>For additional information regarding the issuances of those shares of Common Stock, see “</w:t>
      </w:r>
      <w:r>
        <w:rPr>
          <w:rFonts w:ascii="Times New Roman" w:cs="Times New Roman" w:eastAsia="Times New Roman" w:hAnsi="Times New Roman"/>
          <w:sz w:val="18"/>
          <w:szCs w:val="18"/>
          <w:i w:val="1"/>
          <w:iCs w:val="1"/>
          <w:color w:val="auto"/>
        </w:rPr>
        <w:t>--Prospectus Summary--CrownPeak Acquisition</w:t>
      </w:r>
      <w:r>
        <w:rPr>
          <w:rFonts w:ascii="Times New Roman" w:cs="Times New Roman" w:eastAsia="Times New Roman" w:hAnsi="Times New Roman"/>
          <w:sz w:val="18"/>
          <w:szCs w:val="18"/>
          <w:color w:val="auto"/>
        </w:rPr>
        <w:t>”. We are registering the Ordinary Shares in order to permit the Selling Holder to offer the shares for resale from time to time. Except for the ownership of the Ordinary Shares, the Selling Holder has not had any material relationship with us within the past three years.</w:t>
      </w:r>
    </w:p>
    <w:p>
      <w:pPr>
        <w:spacing w:after="0" w:line="17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Holder and other information regarding the beneficial ownership of the Ordinary Shares and is based on information provided to us by the Selling Holder. The second column lists the number of Ordinary Shares beneficially owned by the Selling Holder, based on its ownership of the Ordinary Shares, as of December 18, 2025. The third column lists the Ordinary Shares being offered by this prospectus by the Selling Holder. Unless otherwise indicated in the table below, the Selling Holder is not a broker-dealer or an affiliate of a broker-dealer.</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Holder, this prospectus generally covers the resale of the Ordinary Shares issued to the Selling Holder in the CrownPeak Acquisition described in the Purchase Agreement. The fourth column assumes the sale of all of the shares offered by the selling stockholders pursuant to this prospectus.</w:t>
      </w:r>
    </w:p>
    <w:p>
      <w:pPr>
        <w:spacing w:after="0" w:line="17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We cannot advise you as to whether the Selling Holder will in fact sell any or all of such Ordinary Shares. In addition, the Selling Holder may sell, transfer or otherwise dispose of, at any time and from time to time, the Ordinary Shares in transactions exempt from the registration requirements of the Securities Act after the date of this prospectus. For purposes of this table, we have assumed that the Selling Holder will have sold all of the securities covered by this prospectus upon the completion of the offering.</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Shares(1)</w:t>
            </w:r>
          </w:p>
        </w:tc>
        <w:tc>
          <w:tcPr>
            <w:tcW w:w="202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right w:val="single" w:sz="8" w:color="auto"/>
            </w:tcBorders>
          </w:tcPr>
          <w:p>
            <w:pPr>
              <w:spacing w:after="0"/>
              <w:rPr>
                <w:sz w:val="21"/>
                <w:szCs w:val="21"/>
                <w:color w:val="auto"/>
              </w:rPr>
            </w:pPr>
          </w:p>
        </w:tc>
      </w:tr>
      <w:tr>
        <w:trPr>
          <w:trHeight w:val="170"/>
        </w:trPr>
        <w:tc>
          <w:tcPr>
            <w:tcW w:w="3740" w:type="dxa"/>
            <w:vAlign w:val="bottom"/>
            <w:tcBorders>
              <w:left w:val="single" w:sz="8" w:color="auto"/>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Name</w:t>
            </w:r>
          </w:p>
        </w:tc>
        <w:tc>
          <w:tcPr>
            <w:tcW w:w="1980" w:type="dxa"/>
            <w:vAlign w:val="bottom"/>
            <w:tcBorders>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202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Maximum Number</w:t>
            </w:r>
          </w:p>
        </w:tc>
        <w:tc>
          <w:tcPr>
            <w:tcW w:w="20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Number Beneficially</w:t>
            </w:r>
          </w:p>
        </w:tc>
        <w:tc>
          <w:tcPr>
            <w:tcW w:w="150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Percent Owned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Owned Prior to</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Registered for Sale</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Owned After the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After the Offered</w:t>
            </w:r>
          </w:p>
        </w:tc>
      </w:tr>
      <w:tr>
        <w:trPr>
          <w:trHeight w:val="216"/>
        </w:trPr>
        <w:tc>
          <w:tcPr>
            <w:tcW w:w="3740" w:type="dxa"/>
            <w:vAlign w:val="bottom"/>
            <w:tcBorders>
              <w:left w:val="single" w:sz="8" w:color="auto"/>
              <w:right w:val="single" w:sz="8" w:color="auto"/>
            </w:tcBorders>
          </w:tcPr>
          <w:p>
            <w:pPr>
              <w:spacing w:after="0"/>
              <w:rPr>
                <w:sz w:val="18"/>
                <w:szCs w:val="18"/>
                <w:color w:val="auto"/>
              </w:rPr>
            </w:pPr>
          </w:p>
        </w:tc>
        <w:tc>
          <w:tcPr>
            <w:tcW w:w="19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Offering</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Hereby</w:t>
            </w:r>
          </w:p>
        </w:tc>
        <w:tc>
          <w:tcPr>
            <w:tcW w:w="20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Offered Shares are</w:t>
            </w:r>
          </w:p>
        </w:tc>
        <w:tc>
          <w:tcPr>
            <w:tcW w:w="1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Shares are Sold</w:t>
            </w:r>
          </w:p>
        </w:tc>
      </w:tr>
      <w:tr>
        <w:trPr>
          <w:trHeight w:val="238"/>
        </w:trPr>
        <w:tc>
          <w:tcPr>
            <w:tcW w:w="3740" w:type="dxa"/>
            <w:vAlign w:val="bottom"/>
            <w:tcBorders>
              <w:left w:val="single" w:sz="8" w:color="auto"/>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Sold(2)</w:t>
            </w:r>
          </w:p>
        </w:tc>
        <w:tc>
          <w:tcPr>
            <w:tcW w:w="1500" w:type="dxa"/>
            <w:vAlign w:val="bottom"/>
            <w:tcBorders>
              <w:bottom w:val="single" w:sz="8" w:color="auto"/>
              <w:right w:val="single" w:sz="8" w:color="auto"/>
            </w:tcBorders>
          </w:tcPr>
          <w:p>
            <w:pPr>
              <w:spacing w:after="0"/>
              <w:rPr>
                <w:sz w:val="20"/>
                <w:szCs w:val="20"/>
                <w:color w:val="auto"/>
              </w:rPr>
            </w:pPr>
          </w:p>
        </w:tc>
      </w:tr>
      <w:tr>
        <w:trPr>
          <w:trHeight w:val="209"/>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K2 Capital Advisors, L.P.</w:t>
            </w:r>
            <w:r>
              <w:rPr>
                <w:rFonts w:ascii="Times New Roman" w:cs="Times New Roman" w:eastAsia="Times New Roman" w:hAnsi="Times New Roman"/>
                <w:sz w:val="24"/>
                <w:szCs w:val="24"/>
                <w:color w:val="auto"/>
                <w:vertAlign w:val="superscript"/>
              </w:rPr>
              <w:t>(2)</w:t>
            </w:r>
          </w:p>
        </w:tc>
        <w:tc>
          <w:tcPr>
            <w:tcW w:w="19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11,127,780</w:t>
            </w:r>
          </w:p>
        </w:tc>
        <w:tc>
          <w:tcPr>
            <w:tcW w:w="20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11,127,780</w:t>
            </w:r>
          </w:p>
        </w:tc>
        <w:tc>
          <w:tcPr>
            <w:tcW w:w="20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1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140" w:hanging="132"/>
        <w:spacing w:after="0"/>
        <w:tabs>
          <w:tab w:leader="none" w:pos="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84"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Ordinary Shares to be beneficially owned after completion of this offering is calculated on the basis of 334,934,054 Ordinary Shares outstanding, which includes the sale of all securities offered hereby by that particular Selling Holder and does not assume the sale by any other Selling Holder.</w:t>
      </w:r>
    </w:p>
    <w:p>
      <w:pPr>
        <w:spacing w:after="0" w:line="68" w:lineRule="exact"/>
        <w:rPr>
          <w:sz w:val="20"/>
          <w:szCs w:val="20"/>
          <w:color w:val="auto"/>
        </w:rPr>
      </w:pPr>
    </w:p>
    <w:p>
      <w:pPr>
        <w:ind w:left="520" w:right="160" w:hanging="512"/>
        <w:spacing w:after="0" w:line="261"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registered hereby consist of 11,127,780 Ordinary Shares issued in connection with the CrownPeak Acquisition. K2 Capital Advisors, L.P. is the beneficial owner of the Ordinary Shares, which are directly held by CrownPeak Technology Holdings, LLC, an indirect subsidiary. R. Neil Malik is a Managing member of K2 Capital Advisors, L.P., with the power to vote or dispose of the Ordinary Shares registered hereby. The address of the Selling Holder is: 1209 Orange Street, City of Wilmington, County of New Castle, Delaware, 19801.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are registering the resale, from time to time, by the Selling Holder or their permitted transferees of up to 11,127,780 Ordinary Shares issued to the Selling Holder in connection with the CrownPeak Acquisition.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Selling Holder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72"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market transactions, including transactions on a national securities exchange;</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members, limited partners or stockholders of the Selling Holder;</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Holder to sell a specified number of such securities at a stipulated price per security;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Holder may also sell securities under Rule 144 or any other exemption from registration under the Securities Act, if available, rather than under this prospectus.</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 Selling Holder that is an entity may elect to make an in-kind distribution of shares to its members, partners, stockholders or other equityholders pursuant to the registration statement of which this prospectus forms a part by delivering a prospectus. To the extent that such members, partners, stockholders or other equityholders are not affiliates of ours, such members, partners, stockholders or other equityholders would thereby receive freely tradable shares pursuant to a distribution pursuant to the registration statement of which this prospectus forms a part.</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Holder may arrange for other brokers-dealers to participate in sales. Broker-dealers may receive commissions or discounts from the Selling 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Holder may enter into hedging transactions with broker-dealers or other financial institutions, which may in turn engage in short sales of the securities in the course of hedging the positions they assume. The Selling Holder may also sell securities short and deliver these securities to close out their short positions, or loan or pledge the securities to broker-dealers that in turn may sell these securities. The Selling 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Selling 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commissions or discounts under the Securities Act. Each Selling Holder has informed the Company that it does not have any written or oral agreement or understanding, directly or indirectly, with any person to distribute the securities.</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Holder against certain losses, claims, damages and liabilities, including liabilities under the Securities Act.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Holder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shares of Common Stock for the applicable restricted period, as defined in Regulation M, prior to the commencement of the distribution. In addition, the Selling Holder will be subject to applicable provisions of the Exchange Act and the rules and regulations thereunder, including Regulation M, which may limit the timing of purchases and sales of the shares of Common Stock by the Selling Holder or any other person. We will make copies of this prospectus available to the Selling Holder and have informed them of the need to deliver a copy of this prospectus to each purchaser at or prior to the time of the sale (including by compliance with Rule 172 under the Securities Act).</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4" w:name="page65"/>
    <w:bookmarkEnd w:id="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16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9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940" w:type="dxa"/>
            <w:vAlign w:val="bottom"/>
            <w:shd w:val="clear" w:color="auto" w:fill="CFF0FC"/>
          </w:tcPr>
          <w:p>
            <w:pPr>
              <w:jc w:val="right"/>
              <w:ind w:right="973"/>
              <w:spacing w:after="0"/>
              <w:rPr>
                <w:sz w:val="20"/>
                <w:szCs w:val="20"/>
                <w:color w:val="auto"/>
              </w:rPr>
            </w:pPr>
            <w:r>
              <w:rPr>
                <w:rFonts w:ascii="Times New Roman" w:cs="Times New Roman" w:eastAsia="Times New Roman" w:hAnsi="Times New Roman"/>
                <w:sz w:val="18"/>
                <w:szCs w:val="18"/>
                <w:color w:val="auto"/>
              </w:rPr>
              <w:t>$  3,711.25</w:t>
            </w:r>
          </w:p>
        </w:tc>
        <w:tc>
          <w:tcPr>
            <w:tcW w:w="220" w:type="dxa"/>
            <w:vAlign w:val="bottom"/>
            <w:shd w:val="clear" w:color="auto" w:fill="CFF0FC"/>
          </w:tcPr>
          <w:p>
            <w:pPr>
              <w:spacing w:after="0"/>
              <w:rPr>
                <w:sz w:val="18"/>
                <w:szCs w:val="18"/>
                <w:color w:val="auto"/>
              </w:rPr>
            </w:pPr>
          </w:p>
        </w:tc>
      </w:tr>
      <w:tr>
        <w:trPr>
          <w:trHeight w:val="216"/>
        </w:trPr>
        <w:tc>
          <w:tcPr>
            <w:tcW w:w="9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Legal fees and expenses</w:t>
            </w:r>
          </w:p>
        </w:tc>
        <w:tc>
          <w:tcPr>
            <w:tcW w:w="194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rPr>
              <w:t>50,000.00</w:t>
            </w:r>
          </w:p>
        </w:tc>
        <w:tc>
          <w:tcPr>
            <w:tcW w:w="220" w:type="dxa"/>
            <w:vAlign w:val="bottom"/>
          </w:tcPr>
          <w:p>
            <w:pPr>
              <w:spacing w:after="0"/>
              <w:rPr>
                <w:sz w:val="18"/>
                <w:szCs w:val="18"/>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940" w:type="dxa"/>
            <w:vAlign w:val="bottom"/>
            <w:shd w:val="clear" w:color="auto" w:fill="CFF0FC"/>
          </w:tcPr>
          <w:p>
            <w:pPr>
              <w:jc w:val="right"/>
              <w:ind w:right="993"/>
              <w:spacing w:after="0"/>
              <w:rPr>
                <w:sz w:val="20"/>
                <w:szCs w:val="20"/>
                <w:color w:val="auto"/>
              </w:rPr>
            </w:pPr>
            <w:r>
              <w:rPr>
                <w:rFonts w:ascii="Times New Roman" w:cs="Times New Roman" w:eastAsia="Times New Roman" w:hAnsi="Times New Roman"/>
                <w:sz w:val="18"/>
                <w:szCs w:val="18"/>
                <w:color w:val="auto"/>
              </w:rPr>
              <w:t>32,500.00</w:t>
            </w:r>
          </w:p>
        </w:tc>
        <w:tc>
          <w:tcPr>
            <w:tcW w:w="220" w:type="dxa"/>
            <w:vAlign w:val="bottom"/>
          </w:tcPr>
          <w:p>
            <w:pPr>
              <w:spacing w:after="0"/>
              <w:rPr>
                <w:sz w:val="18"/>
                <w:szCs w:val="18"/>
                <w:color w:val="auto"/>
              </w:rPr>
            </w:pPr>
          </w:p>
        </w:tc>
      </w:tr>
      <w:tr>
        <w:trPr>
          <w:trHeight w:val="216"/>
        </w:trPr>
        <w:tc>
          <w:tcPr>
            <w:tcW w:w="9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194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rPr>
              <w:t>10,000.00</w:t>
            </w:r>
          </w:p>
        </w:tc>
        <w:tc>
          <w:tcPr>
            <w:tcW w:w="220" w:type="dxa"/>
            <w:vAlign w:val="bottom"/>
          </w:tcPr>
          <w:p>
            <w:pPr>
              <w:spacing w:after="0"/>
              <w:rPr>
                <w:sz w:val="18"/>
                <w:szCs w:val="18"/>
                <w:color w:val="auto"/>
              </w:rPr>
            </w:pPr>
          </w:p>
        </w:tc>
      </w:tr>
      <w:tr>
        <w:trPr>
          <w:trHeight w:val="216"/>
        </w:trPr>
        <w:tc>
          <w:tcPr>
            <w:tcW w:w="90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1940" w:type="dxa"/>
            <w:vAlign w:val="bottom"/>
            <w:shd w:val="clear" w:color="auto" w:fill="CFF0FC"/>
          </w:tcPr>
          <w:p>
            <w:pPr>
              <w:jc w:val="right"/>
              <w:ind w:right="993"/>
              <w:spacing w:after="0"/>
              <w:rPr>
                <w:sz w:val="20"/>
                <w:szCs w:val="20"/>
                <w:color w:val="auto"/>
              </w:rPr>
            </w:pPr>
            <w:r>
              <w:rPr>
                <w:rFonts w:ascii="Times New Roman" w:cs="Times New Roman" w:eastAsia="Times New Roman" w:hAnsi="Times New Roman"/>
                <w:sz w:val="18"/>
                <w:szCs w:val="18"/>
                <w:color w:val="auto"/>
              </w:rPr>
              <w:t>4,532.00</w:t>
            </w:r>
          </w:p>
        </w:tc>
        <w:tc>
          <w:tcPr>
            <w:tcW w:w="220" w:type="dxa"/>
            <w:vAlign w:val="bottom"/>
          </w:tcPr>
          <w:p>
            <w:pPr>
              <w:spacing w:after="0"/>
              <w:rPr>
                <w:sz w:val="18"/>
                <w:szCs w:val="18"/>
                <w:color w:val="auto"/>
              </w:rPr>
            </w:pPr>
          </w:p>
        </w:tc>
      </w:tr>
      <w:tr>
        <w:trPr>
          <w:trHeight w:val="216"/>
        </w:trPr>
        <w:tc>
          <w:tcPr>
            <w:tcW w:w="9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rPr>
              <w:t>100,743.25</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140" w:hanging="132"/>
        <w:spacing w:after="0"/>
        <w:tabs>
          <w:tab w:leader="none" w:pos="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members of its board of directors,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Taylor Wessing LLP, have passed upon the validity of the issue of the securities of Rezolve AI plc (formerly Rezolve AI Limited) which are offered by this prospectus.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incorporated by reference herein from Rezolve's Annual Report on Form 20-F for the year ended December 31, 2024,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Group of Companies, are incorporated by reference herein from Rezolve's Annual Report on Form 20-F for the year ended December 31, 2024, have been audited by MNP, LLP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CrownPeak Intermediate Holdings, Inc. and Subsidiaries as of January 31, 2025 and 2024 and for the years then ended have been audited by SingerLewak LLP, an independent auditor, as stated in their report thereon which report expresses an unqualified opinion and includes an explanatory paragraph relating to substantial doubt about the Company’s ability to continue as a going concern, and is based in part on the reports of ba audit gmbh Wirtschaftsprüfungsgesellschaft, an independent auditor, and incorporated by reference in this Prospectus and Registration Statement in reliance upon such reports and upon the authority of such firms as experts in accounting and auditing.</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F-3, including exhibits, under the Securities Act of 1933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and any future filings we make with the SEC until the offering of the securities under the registration statement of which this prospectus forms a part is terminated or completed:</w:t>
      </w:r>
    </w:p>
    <w:p>
      <w:pPr>
        <w:spacing w:after="0" w:line="54"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77">
        <w:r>
          <w:rPr>
            <w:rFonts w:ascii="Times New Roman" w:cs="Times New Roman" w:eastAsia="Times New Roman" w:hAnsi="Times New Roman"/>
            <w:sz w:val="18"/>
            <w:szCs w:val="18"/>
            <w:u w:val="single" w:color="auto"/>
            <w:color w:val="0000FF"/>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24, 2025;</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7"/>
        </w:numPr>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auto"/>
          </w:rPr>
          <w:t xml:space="preserve">our Report of Foreign Private Issuer on Form 6-K filed with the SEC on </w:t>
        </w:r>
        <w:r>
          <w:rPr>
            <w:rFonts w:ascii="Times New Roman" w:cs="Times New Roman" w:eastAsia="Times New Roman" w:hAnsi="Times New Roman"/>
            <w:sz w:val="18"/>
            <w:szCs w:val="18"/>
            <w:u w:val="single" w:color="auto"/>
            <w:color w:val="0000FF"/>
          </w:rPr>
          <w:t>October 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10, 2025</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22,</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FF"/>
          </w:rPr>
          <w:t xml:space="preserve">, </w:t>
        </w:r>
      </w:hyperlink>
      <w:hyperlink r:id="rId179">
        <w:r>
          <w:rPr>
            <w:rFonts w:ascii="Times New Roman" w:cs="Times New Roman" w:eastAsia="Times New Roman" w:hAnsi="Times New Roman"/>
            <w:sz w:val="18"/>
            <w:szCs w:val="18"/>
            <w:u w:val="single" w:color="auto"/>
            <w:color w:val="0000FF"/>
          </w:rPr>
          <w:t>December 1, 2025</w:t>
        </w:r>
      </w:hyperlink>
      <w:hyperlink r:id="rId178">
        <w:r>
          <w:rPr>
            <w:rFonts w:ascii="Times New Roman" w:cs="Times New Roman" w:eastAsia="Times New Roman" w:hAnsi="Times New Roman"/>
            <w:sz w:val="18"/>
            <w:szCs w:val="18"/>
            <w:color w:val="0000FF"/>
          </w:rPr>
          <w:t xml:space="preserve">, </w:t>
        </w:r>
      </w:hyperlink>
      <w:hyperlink r:id="rId180">
        <w:r>
          <w:rPr>
            <w:rFonts w:ascii="Times New Roman" w:cs="Times New Roman" w:eastAsia="Times New Roman" w:hAnsi="Times New Roman"/>
            <w:sz w:val="18"/>
            <w:szCs w:val="18"/>
            <w:u w:val="single" w:color="auto"/>
            <w:color w:val="0000FF"/>
          </w:rPr>
          <w:t xml:space="preserve">December 5, 2025 </w:t>
        </w:r>
      </w:hyperlink>
      <w:hyperlink r:id="rId178">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179">
        <w:r>
          <w:rPr>
            <w:rFonts w:ascii="Times New Roman" w:cs="Times New Roman" w:eastAsia="Times New Roman" w:hAnsi="Times New Roman"/>
            <w:sz w:val="18"/>
            <w:szCs w:val="18"/>
            <w:u w:val="single" w:color="auto"/>
            <w:color w:val="0000FF"/>
          </w:rPr>
          <w:t>December 15, 2025</w:t>
        </w:r>
      </w:hyperlink>
      <w:hyperlink r:id="rId178">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FF"/>
        </w:rPr>
      </w:pPr>
    </w:p>
    <w:p>
      <w:pPr>
        <w:ind w:left="1020" w:right="20" w:hanging="503"/>
        <w:spacing w:after="0" w:line="256"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on Form 6-K which was furnished to the SEC on December 1, 2025, which includes respectively as exhibits 99.1 and 99.2 (i) the Audited Consolidated Financial Statements of CrownPeak Intermediate Holdings, Inc. and subsidiaries as of and for the years ended January 31, 2025 and 2024 and the accompanying notes thereto, and (ii) the Unaudited Condensed Consolidated Financial Statements of CrownPeak Intermediate Holdings, Inc. and subsidiaries as of and for the six months ended July 31, 2025 and 2024 the unaudited condensed consolidated interim financial statements as of September 30, 2025 and for the nine months ended September 30, 2025 and 2024 and the accompanying notes thereto;</w:t>
      </w:r>
    </w:p>
    <w:p>
      <w:pPr>
        <w:spacing w:after="0" w:line="79"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on Form 6-K which was furnished to the SEC on October 1, 2025, which includes, respectively, as exhibits 99.2 and 99.3 (i) the section captioned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and (ii) the Unaudited condensed interim combined consolidated financial statements of GroupBy Group of Companies as of, and for the six months ended June 30, 2025 and 2024 ;and</w:t>
      </w:r>
    </w:p>
    <w:p>
      <w:pPr>
        <w:spacing w:after="0" w:line="71"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181">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001-42254) filed with the SEC on August 15, 2024.</w:t>
      </w:r>
    </w:p>
    <w:p>
      <w:pPr>
        <w:spacing w:after="0" w:line="378" w:lineRule="exact"/>
        <w:rPr>
          <w:rFonts w:ascii="Times New Roman" w:cs="Times New Roman" w:eastAsia="Times New Roman" w:hAnsi="Times New Roman"/>
          <w:sz w:val="18"/>
          <w:szCs w:val="18"/>
          <w:color w:val="0000FF"/>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pursuant to Section 13(a), 13(c), 14 or 15(d) of the Exchange Act that are filed after the effective date of the registration statement of which this prospectus is a part and prior to the termination of the offering of securities offered pursuant to this prospectus. We also incorporate by reference all additional documents that we file with the SEC pursuant to Section 13(a), 13(c),</w:t>
      </w:r>
    </w:p>
    <w:p>
      <w:pPr>
        <w:spacing w:after="0" w:line="1" w:lineRule="exact"/>
        <w:rPr>
          <w:rFonts w:ascii="Times New Roman" w:cs="Times New Roman" w:eastAsia="Times New Roman" w:hAnsi="Times New Roman"/>
          <w:sz w:val="18"/>
          <w:szCs w:val="18"/>
          <w:color w:val="0000FF"/>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14 or 15(d) of the Exchange Act that are filed after the filing date of the registration statement of which this prospectus is a part and </w:t>
      </w:r>
      <w:r>
        <w:rPr>
          <w:rFonts w:ascii="Times New Roman" w:cs="Times New Roman" w:eastAsia="Times New Roman" w:hAnsi="Times New Roman"/>
          <w:sz w:val="18"/>
          <w:szCs w:val="18"/>
          <w:i w:val="1"/>
          <w:iCs w:val="1"/>
          <w:color w:val="auto"/>
        </w:rPr>
        <w:t>prior to effectiveness</w:t>
      </w:r>
      <w:r>
        <w:rPr>
          <w:rFonts w:ascii="Times New Roman" w:cs="Times New Roman" w:eastAsia="Times New Roman" w:hAnsi="Times New Roman"/>
          <w:sz w:val="18"/>
          <w:szCs w:val="18"/>
          <w:color w:val="auto"/>
        </w:rPr>
        <w:t xml:space="preserve"> of that registration statement. We are not, however, incorporating, in each case, any documents or information that we are deemed to “furnish” and not file in accordance with SEC rules.</w:t>
      </w:r>
    </w:p>
    <w:p>
      <w:pPr>
        <w:spacing w:after="0" w:line="186" w:lineRule="exact"/>
        <w:rPr>
          <w:rFonts w:ascii="Times New Roman" w:cs="Times New Roman" w:eastAsia="Times New Roman" w:hAnsi="Times New Roman"/>
          <w:sz w:val="18"/>
          <w:szCs w:val="18"/>
          <w:color w:val="0000FF"/>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Tel:+44 204 625 9700</w:t>
      </w:r>
    </w:p>
    <w:p>
      <w:pPr>
        <w:spacing w:after="0" w:line="200" w:lineRule="exact"/>
        <w:rPr>
          <w:rFonts w:ascii="Times New Roman" w:cs="Times New Roman" w:eastAsia="Times New Roman" w:hAnsi="Times New Roman"/>
          <w:sz w:val="18"/>
          <w:szCs w:val="18"/>
          <w:color w:val="0000FF"/>
        </w:rPr>
      </w:pPr>
    </w:p>
    <w:p>
      <w:pPr>
        <w:spacing w:after="0" w:line="331"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805"/>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2"/>
    </w:lvl>
  </w:abstractNum>
  <w:abstractNum w:abstractNumId="25">
    <w:nsid w:val="3804823E"/>
    <w:multiLevelType w:val="hybridMultilevel"/>
    <w:lvl w:ilvl="0">
      <w:lvlJc w:val="left"/>
      <w:lvlText w:val="(%1)"/>
      <w:numFmt w:val="decimal"/>
      <w:start w:val="2"/>
    </w:lvl>
  </w:abstractNum>
  <w:abstractNum w:abstractNumId="26">
    <w:nsid w:val="77465F01"/>
    <w:multiLevelType w:val="hybridMultilevel"/>
    <w:lvl w:ilvl="0">
      <w:lvlJc w:val="left"/>
      <w:lvlText w:val="(%1)"/>
      <w:numFmt w:val="upperLetter"/>
      <w:start w:val="1"/>
    </w:lvl>
  </w:abstractNum>
  <w:abstractNum w:abstractNumId="27">
    <w:nsid w:val="7724C67E"/>
    <w:multiLevelType w:val="hybridMultilevel"/>
    <w:lvl w:ilvl="0">
      <w:lvlJc w:val="left"/>
      <w:lvlText w:val="(%1)"/>
      <w:numFmt w:val="upperLetter"/>
      <w:start w:val="10"/>
    </w:lvl>
  </w:abstractNum>
  <w:abstractNum w:abstractNumId="28">
    <w:nsid w:val="5C482A97"/>
    <w:multiLevelType w:val="hybridMultilevel"/>
    <w:lvl w:ilvl="0">
      <w:lvlJc w:val="left"/>
      <w:lvlText w:val="(%1)"/>
      <w:numFmt w:val="upperLetter"/>
      <w:start w:val="16"/>
    </w:lvl>
  </w:abstractNum>
  <w:abstractNum w:abstractNumId="29">
    <w:nsid w:val="2463B9EA"/>
    <w:multiLevelType w:val="hybridMultilevel"/>
    <w:lvl w:ilvl="0">
      <w:lvlJc w:val="left"/>
      <w:lvlText w:val="(%1)"/>
      <w:numFmt w:val="upperLetter"/>
      <w:start w:val="19"/>
    </w:lvl>
  </w:abstractNum>
  <w:abstractNum w:abstractNumId="30">
    <w:nsid w:val="5E884ADC"/>
    <w:multiLevelType w:val="hybridMultilevel"/>
    <w:lvl w:ilvl="0">
      <w:lvlJc w:val="left"/>
      <w:lvlText w:val="(%1)"/>
      <w:numFmt w:val="upperLetter"/>
      <w:start w:val="24"/>
    </w:lvl>
  </w:abstractNum>
  <w:abstractNum w:abstractNumId="31">
    <w:nsid w:val="51EAD36B"/>
    <w:multiLevelType w:val="hybridMultilevel"/>
    <w:lvl w:ilvl="0">
      <w:lvlJc w:val="left"/>
      <w:lvlText w:val="(%1)"/>
      <w:numFmt w:val="upperLetter"/>
      <w:start w:val="27"/>
    </w:lvl>
  </w:abstractNum>
  <w:abstractNum w:abstractNumId="32">
    <w:nsid w:val="2D517796"/>
    <w:multiLevelType w:val="hybridMultilevel"/>
    <w:lvl w:ilvl="0">
      <w:lvlJc w:val="left"/>
      <w:lvlText w:val="(%1)"/>
      <w:numFmt w:val="upperLetter"/>
      <w:start w:val="30"/>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lowerRoman"/>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lvl w:ilvl="1">
      <w:lvlJc w:val="left"/>
      <w:lvlText w:val="(%2)"/>
      <w:numFmt w:val="decimal"/>
      <w:start w:val="1"/>
    </w:lvl>
  </w:abstractNum>
  <w:abstractNum w:abstractNumId="43">
    <w:nsid w:val="7A6D8D3C"/>
    <w:multiLevelType w:val="hybridMultilevel"/>
    <w:lvl w:ilvl="0">
      <w:lvlJc w:val="left"/>
      <w:lvlText w:val="(%1)"/>
      <w:numFmt w:val="decimal"/>
      <w:start w:val="2"/>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82" Type="http://schemas.openxmlformats.org/officeDocument/2006/relationships/image" Target="media/image170.png"/><Relationship Id="rId177" Type="http://schemas.openxmlformats.org/officeDocument/2006/relationships/hyperlink" Target="https://www.sec.gov/Archives/edgar/data/1920294/000095017025057622/rzlv-20241231.htm" TargetMode="External"/><Relationship Id="rId178" Type="http://schemas.openxmlformats.org/officeDocument/2006/relationships/hyperlink" Target="https://www.sec.gov/Archives/edgar/data/1920294/000119312525245776/cfo_change_6-k.htm" TargetMode="External"/><Relationship Id="rId179" Type="http://schemas.openxmlformats.org/officeDocument/2006/relationships/hyperlink" Target="https://www.sec.gov/Archives/edgar/data/1920294/000119312525303269/atmcrown_6-k.htm" TargetMode="External"/><Relationship Id="rId180" Type="http://schemas.openxmlformats.org/officeDocument/2006/relationships/hyperlink" Target="https://www.sec.gov/Archives/edgar/data/1920294/000119312525309752/0001193125-25-309752-index.htm" TargetMode="External"/><Relationship Id="rId181" Type="http://schemas.openxmlformats.org/officeDocument/2006/relationships/hyperlink" Target="https://www.sec.gov/Archives/edgar/data/1920294/000119312524201396/d87344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2025-12-30T06:28:07Z</dcterms:created>
  <dcterms:modified xsi:type="dcterms:W3CDTF">2025-12-30T06:28:07Z</dcterms:modified>
</cp:coreProperties>
</file>