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1005205</wp:posOffset>
            </wp:positionV>
            <wp:extent cx="714946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260985</wp:posOffset>
            </wp:positionV>
            <wp:extent cx="714946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280670</wp:posOffset>
            </wp:positionV>
            <wp:extent cx="714946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OF THE SECURITIES EXCHANGE ACT OF 1934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For the month of January 2025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Commission File Number 001-42254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254000</wp:posOffset>
            </wp:positionV>
            <wp:extent cx="714946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b w:val="1"/>
          <w:bCs w:val="1"/>
          <w:color w:val="auto"/>
        </w:rPr>
        <w:t>Rezolve AI Limited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257810</wp:posOffset>
            </wp:positionV>
            <wp:extent cx="714946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3rd Floor, 80 New Bond Street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London, W1S 1SB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United Kingdom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254000</wp:posOffset>
            </wp:positionV>
            <wp:extent cx="714946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jc w:val="center"/>
        <w:ind w:left="760" w:right="819"/>
        <w:spacing w:after="0" w:line="28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whether the registrant files or will file annual reports under cover of Form 20-F or Form 40-F. Form 20-F 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Form 40-F 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239395</wp:posOffset>
            </wp:positionV>
            <wp:extent cx="71494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-726440</wp:posOffset>
            </wp:positionH>
            <wp:positionV relativeFrom="paragraph">
              <wp:posOffset>1015365</wp:posOffset>
            </wp:positionV>
            <wp:extent cx="7174865" cy="406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1170305</wp:posOffset>
            </wp:positionV>
            <wp:extent cx="714946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Explanatory Note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This Amendment No. 1 to Form 6-K amends the Report on Form 6-K furnished to the Securities and Exchange Commission on January 21, 2025. The amendment is being furnished to correct the formatting of certain slides in the investor presentation.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229870</wp:posOffset>
            </wp:positionV>
            <wp:extent cx="714946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Exhibit</w: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Description</w: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0000FF"/>
        </w:rPr>
        <w:t>Investor Presentation.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1010920</wp:posOffset>
            </wp:positionV>
            <wp:extent cx="7174865" cy="406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1185545</wp:posOffset>
            </wp:positionV>
            <wp:extent cx="7149465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SIGNATURE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40" w:firstLine="510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Dated: January 22,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By:</w:t>
            </w:r>
          </w:p>
        </w:tc>
        <w:tc>
          <w:tcPr>
            <w:tcW w:w="9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/s/ Daniel Wagner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6"/>
        </w:trPr>
        <w:tc>
          <w:tcPr>
            <w:tcW w:w="180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944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Daniel Wagner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9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Chief Executive Officer and Chairman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422"/>
        </w:trPr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7125970</wp:posOffset>
            </wp:positionH>
            <wp:positionV relativeFrom="paragraph">
              <wp:posOffset>-27305</wp:posOffset>
            </wp:positionV>
            <wp:extent cx="33020" cy="406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-27305</wp:posOffset>
            </wp:positionV>
            <wp:extent cx="33020" cy="406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3307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535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5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05511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05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2025-01-22T15:52:09Z</dcterms:created>
  <dcterms:modified xsi:type="dcterms:W3CDTF">2025-01-22T15:52:09Z</dcterms:modified>
</cp:coreProperties>
</file>