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Rezolve AI Limited</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21 Sackville Street</w:t>
      </w:r>
    </w:p>
    <w:p>
      <w:pPr>
        <w:spacing w:after="0"/>
        <w:rPr>
          <w:sz w:val="20"/>
          <w:szCs w:val="20"/>
          <w:color w:val="auto"/>
        </w:rPr>
      </w:pPr>
      <w:r>
        <w:rPr>
          <w:rFonts w:ascii="Times New Roman" w:cs="Times New Roman" w:eastAsia="Times New Roman" w:hAnsi="Times New Roman"/>
          <w:sz w:val="20"/>
          <w:szCs w:val="20"/>
          <w:color w:val="auto"/>
        </w:rPr>
        <w:t>London, W1S 3DN</w:t>
      </w:r>
    </w:p>
    <w:p>
      <w:pPr>
        <w:spacing w:after="0"/>
        <w:rPr>
          <w:sz w:val="20"/>
          <w:szCs w:val="20"/>
          <w:color w:val="auto"/>
        </w:rPr>
      </w:pPr>
      <w:r>
        <w:rPr>
          <w:rFonts w:ascii="Times New Roman" w:cs="Times New Roman" w:eastAsia="Times New Roman" w:hAnsi="Times New Roman"/>
          <w:sz w:val="20"/>
          <w:szCs w:val="20"/>
          <w:color w:val="auto"/>
        </w:rPr>
        <w:t>United Kingdom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January 28, 2025</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rPr>
          <w:sz w:val="20"/>
          <w:szCs w:val="20"/>
          <w:color w:val="auto"/>
        </w:rPr>
      </w:pPr>
      <w:r>
        <w:rPr>
          <w:rFonts w:ascii="Times New Roman" w:cs="Times New Roman" w:eastAsia="Times New Roman" w:hAnsi="Times New Roman"/>
          <w:sz w:val="20"/>
          <w:szCs w:val="20"/>
          <w:color w:val="auto"/>
        </w:rPr>
        <w:t>Office of Technology</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20549-3628</w:t>
      </w:r>
    </w:p>
    <w:p>
      <w:pPr>
        <w:spacing w:after="0" w:line="207" w:lineRule="exact"/>
        <w:rPr>
          <w:sz w:val="24"/>
          <w:szCs w:val="24"/>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Mitchell Austin</w:t>
      </w:r>
    </w:p>
    <w:p>
      <w:pPr>
        <w:spacing w:after="0" w:line="2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20"/>
          <w:szCs w:val="20"/>
          <w:color w:val="auto"/>
        </w:rPr>
        <w:t>Jan Woo</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Rezolve AI Limited</w:t>
      </w:r>
    </w:p>
    <w:p>
      <w:pPr>
        <w:spacing w:after="0" w:line="2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Registration Statement on Form F-1</w:t>
      </w:r>
    </w:p>
    <w:p>
      <w:pPr>
        <w:ind w:left="760"/>
        <w:spacing w:after="0"/>
        <w:rPr>
          <w:sz w:val="20"/>
          <w:szCs w:val="20"/>
          <w:color w:val="auto"/>
        </w:rPr>
      </w:pPr>
      <w:r>
        <w:rPr>
          <w:rFonts w:ascii="Times New Roman" w:cs="Times New Roman" w:eastAsia="Times New Roman" w:hAnsi="Times New Roman"/>
          <w:sz w:val="20"/>
          <w:szCs w:val="20"/>
          <w:b w:val="1"/>
          <w:bCs w:val="1"/>
          <w:color w:val="auto"/>
        </w:rPr>
        <w:t>Filed January 13, 2025</w:t>
      </w:r>
    </w:p>
    <w:p>
      <w:pPr>
        <w:ind w:left="760"/>
        <w:spacing w:after="0"/>
        <w:rPr>
          <w:sz w:val="20"/>
          <w:szCs w:val="20"/>
          <w:color w:val="auto"/>
        </w:rPr>
      </w:pPr>
      <w:r>
        <w:rPr>
          <w:rFonts w:ascii="Times New Roman" w:cs="Times New Roman" w:eastAsia="Times New Roman" w:hAnsi="Times New Roman"/>
          <w:sz w:val="20"/>
          <w:szCs w:val="20"/>
          <w:b w:val="1"/>
          <w:bCs w:val="1"/>
          <w:color w:val="auto"/>
        </w:rPr>
        <w:t>File No. 333-284240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is submitted in response to the comments of the staff of the Division of Corporation Finance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as set forth in the Staff’s comment letter dated January 23, 2025 (the “</w:t>
      </w:r>
      <w:r>
        <w:rPr>
          <w:rFonts w:ascii="Times New Roman" w:cs="Times New Roman" w:eastAsia="Times New Roman" w:hAnsi="Times New Roman"/>
          <w:sz w:val="20"/>
          <w:szCs w:val="20"/>
          <w:u w:val="single" w:color="auto"/>
          <w:color w:val="auto"/>
        </w:rPr>
        <w:t>Comment Letter</w:t>
      </w:r>
      <w:r>
        <w:rPr>
          <w:rFonts w:ascii="Times New Roman" w:cs="Times New Roman" w:eastAsia="Times New Roman" w:hAnsi="Times New Roman"/>
          <w:sz w:val="20"/>
          <w:szCs w:val="20"/>
          <w:color w:val="auto"/>
        </w:rPr>
        <w:t>”), in respect of Rezolve AI Limited’s (the “</w:t>
      </w:r>
      <w:r>
        <w:rPr>
          <w:rFonts w:ascii="Times New Roman" w:cs="Times New Roman" w:eastAsia="Times New Roman" w:hAnsi="Times New Roman"/>
          <w:sz w:val="20"/>
          <w:szCs w:val="20"/>
          <w:u w:val="single" w:color="auto"/>
          <w:color w:val="auto"/>
        </w:rPr>
        <w:t>Registrant</w:t>
      </w:r>
      <w:r>
        <w:rPr>
          <w:rFonts w:ascii="Times New Roman" w:cs="Times New Roman" w:eastAsia="Times New Roman" w:hAnsi="Times New Roman"/>
          <w:sz w:val="20"/>
          <w:szCs w:val="20"/>
          <w:color w:val="auto"/>
        </w:rPr>
        <w:t>”) Registration Statement on Form F-1, filed with the Commission on January 13, 2025 (the “Registration Statement”).</w:t>
      </w:r>
    </w:p>
    <w:p>
      <w:pPr>
        <w:spacing w:after="0" w:line="188" w:lineRule="exact"/>
        <w:rPr>
          <w:sz w:val="24"/>
          <w:szCs w:val="24"/>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order to facilitate your review, we have restated the Staff’s comments in this letter, and we have set forth the Registrant’s responses immediately below the Staff’s comments.</w:t>
      </w:r>
    </w:p>
    <w:p>
      <w:pPr>
        <w:spacing w:after="0" w:line="173"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Registration Statement on Form F-1</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225" w:lineRule="exact"/>
        <w:rPr>
          <w:sz w:val="24"/>
          <w:szCs w:val="24"/>
          <w:color w:val="auto"/>
        </w:rPr>
      </w:pPr>
    </w:p>
    <w:p>
      <w:pPr>
        <w:jc w:val="both"/>
        <w:ind w:left="380" w:hanging="372"/>
        <w:spacing w:after="0" w:line="256" w:lineRule="auto"/>
        <w:tabs>
          <w:tab w:leader="none" w:pos="3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Staff’s comment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note that the registration statement covers the resale of shares to be issued pursuant to an equity line financing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with YA II PN, LTD. Please revise to identify this transaction as an equity line transaction and to ensure the following is disclosed:</w:t>
      </w:r>
    </w:p>
    <w:p>
      <w:pPr>
        <w:spacing w:after="0" w:line="17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line investor is identified in the prospectus as an underwriter, as well as a selling shareholder;</w:t>
      </w:r>
    </w:p>
    <w:p>
      <w:pPr>
        <w:spacing w:after="0" w:line="21" w:lineRule="exact"/>
        <w:rPr>
          <w:rFonts w:ascii="Times New Roman" w:cs="Times New Roman" w:eastAsia="Times New Roman" w:hAnsi="Times New Roman"/>
          <w:sz w:val="20"/>
          <w:szCs w:val="20"/>
          <w:color w:val="auto"/>
        </w:rPr>
      </w:pPr>
    </w:p>
    <w:p>
      <w:pPr>
        <w:ind w:left="760" w:right="20" w:hanging="378"/>
        <w:spacing w:after="0" w:line="246" w:lineRule="auto"/>
        <w:tabs>
          <w:tab w:leader="none" w:pos="76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terms of the equity line agreement, including the material conditions under which the company may access the funds available under it, are described. These material terms include (i)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28, 2025</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20"/>
          <w:szCs w:val="20"/>
          <w:color w:val="auto"/>
        </w:rPr>
        <w:t>the number of shares registered for resale; (ii) the maximum principal amount available under the agreement; (iii) the term of the agreement; and (iv) the full discounted price (or formula for determining it) at which the investor will receive the shares;</w:t>
      </w:r>
    </w:p>
    <w:p>
      <w:pPr>
        <w:spacing w:after="0" w:line="2" w:lineRule="exact"/>
        <w:rPr>
          <w:sz w:val="20"/>
          <w:szCs w:val="20"/>
          <w:color w:val="auto"/>
        </w:rPr>
      </w:pPr>
    </w:p>
    <w:p>
      <w:pPr>
        <w:jc w:val="both"/>
        <w:ind w:left="76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risks of an investment in the company and in the offering, including: (i) the dilutive effect of the formula or pricing mechanism on the company’s share price; (ii) the possibility that the company may not have access to the full amount available to it under the equity line; and (iii) whether an investor can engage in short-selling activities and, if so, how any sales activities after announcement of a put may negatively affect the company’s share price;</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market activities of the investor, including: (i) any short selling of the company’s securities or other hedging activities that the investor may or has engaged in, including prior to entering into the agreement and prior to the receipt of any shares pursuant to the terms of the agreement; and (ii) how the investor intends to distribute the securities it owns or will acquire; and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41"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 the provisions of Regulation M may prohibit the investor and any other distribution participants that are participating in the distribution of the company’s securities from: (i) engaging in market making activities (e.g., placing bids or making purchases to stabilize the price of the common stock) while the equity line is in effect; and (ii) purchasing shares in the open market while the equity line is in effect.</w:t>
      </w:r>
    </w:p>
    <w:p>
      <w:pPr>
        <w:spacing w:after="0" w:line="198" w:lineRule="exact"/>
        <w:rPr>
          <w:sz w:val="20"/>
          <w:szCs w:val="20"/>
          <w:color w:val="auto"/>
        </w:rPr>
      </w:pPr>
    </w:p>
    <w:p>
      <w:pPr>
        <w:ind w:left="3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Response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Registrant respectfully acknowledges the Staff’s comment and has revised the disclosure on pages 3–5, 10–11, 57–58,</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71–72, 103 and 123 of the Amendment.</w:t>
      </w:r>
    </w:p>
    <w:p>
      <w:pPr>
        <w:spacing w:after="0" w:line="395" w:lineRule="exact"/>
        <w:rPr>
          <w:sz w:val="20"/>
          <w:szCs w:val="20"/>
          <w:color w:val="auto"/>
        </w:rPr>
      </w:pPr>
    </w:p>
    <w:p>
      <w:pPr>
        <w:jc w:val="both"/>
        <w:ind w:left="380" w:hanging="372"/>
        <w:spacing w:after="0" w:line="256" w:lineRule="auto"/>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Staff’s comment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note that certain disclosures appear to have not been updated following the consummation of the de-SPAC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combination, such as the last paragraph on page 91. Please revise throughout your prospectus to reflect that this business combination has been consummated and ensure that your disclosures are current.</w:t>
      </w:r>
    </w:p>
    <w:p>
      <w:pPr>
        <w:spacing w:after="0" w:line="200" w:lineRule="exact"/>
        <w:rPr>
          <w:sz w:val="20"/>
          <w:szCs w:val="20"/>
          <w:color w:val="auto"/>
        </w:rPr>
      </w:pPr>
    </w:p>
    <w:p>
      <w:pPr>
        <w:spacing w:after="0" w:line="212" w:lineRule="exact"/>
        <w:rPr>
          <w:sz w:val="20"/>
          <w:szCs w:val="20"/>
          <w:color w:val="auto"/>
        </w:rPr>
      </w:pPr>
    </w:p>
    <w:p>
      <w:pPr>
        <w:ind w:left="3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Response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Registrant respectfully acknowledges the Staff’s comment and has revised the disclosure on pages 53, 55, 67, 69, 95,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97 of the Amendment.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Management and Compensation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Rezolve Executive Officer and Director Compensation, page 91</w:t>
      </w:r>
    </w:p>
    <w:p>
      <w:pPr>
        <w:spacing w:after="0" w:line="203" w:lineRule="exact"/>
        <w:rPr>
          <w:sz w:val="20"/>
          <w:szCs w:val="20"/>
          <w:color w:val="auto"/>
        </w:rPr>
      </w:pPr>
    </w:p>
    <w:p>
      <w:pPr>
        <w:jc w:val="both"/>
        <w:ind w:left="380" w:hanging="372"/>
        <w:spacing w:after="0" w:line="256" w:lineRule="auto"/>
        <w:tabs>
          <w:tab w:leader="none" w:pos="3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Staff’s comment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 disclose here the aggregate cash compensation paid by Rezolve and its subsidiaries to its executive officers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directors for the year ended December 31, 2022. Please ensure you update this disclosure to provide disclosure for the last full financial year. See Item 6.B of Form 20-F.</w:t>
      </w:r>
    </w:p>
    <w:p>
      <w:pPr>
        <w:spacing w:after="0" w:line="200" w:lineRule="exact"/>
        <w:rPr>
          <w:rFonts w:ascii="Times New Roman" w:cs="Times New Roman" w:eastAsia="Times New Roman" w:hAnsi="Times New Roman"/>
          <w:sz w:val="20"/>
          <w:szCs w:val="20"/>
          <w:color w:val="auto"/>
        </w:rPr>
      </w:pPr>
    </w:p>
    <w:p>
      <w:pPr>
        <w:spacing w:after="0" w:line="21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i w:val="1"/>
          <w:iCs w:val="1"/>
          <w:color w:val="auto"/>
        </w:rPr>
        <w:t>Response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Registrant respectfully acknowledges the Staff’s comment and has revised the disclosure on page 95 of the Amendment.</w:t>
      </w:r>
    </w:p>
    <w:p>
      <w:pPr>
        <w:spacing w:after="0" w:line="200" w:lineRule="exact"/>
        <w:rPr>
          <w:rFonts w:ascii="Times New Roman" w:cs="Times New Roman" w:eastAsia="Times New Roman" w:hAnsi="Times New Roman"/>
          <w:sz w:val="20"/>
          <w:szCs w:val="20"/>
          <w:color w:val="auto"/>
        </w:rPr>
      </w:pPr>
    </w:p>
    <w:p>
      <w:pPr>
        <w:spacing w:after="0" w:line="274" w:lineRule="exact"/>
        <w:rPr>
          <w:rFonts w:ascii="Times New Roman" w:cs="Times New Roman" w:eastAsia="Times New Roman" w:hAnsi="Times New Roman"/>
          <w:sz w:val="20"/>
          <w:szCs w:val="20"/>
          <w:color w:val="auto"/>
        </w:rPr>
      </w:pPr>
    </w:p>
    <w:p>
      <w:pPr>
        <w:ind w:left="54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28, 2025</w:t>
      </w: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Thank you for your attention to this matter. We hope that the foregoing responses address the issues raised in the Comment Letter and would be happy to discuss with you any remaining questions or concerns that you may have. Please contact Penny Minna at (410) 580-4228 should you have any questions concerning this letter or require further information.</w:t>
      </w:r>
    </w:p>
    <w:p>
      <w:pPr>
        <w:spacing w:after="0" w:line="18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/s/ Daniel Wagner</w:t>
      </w:r>
    </w:p>
    <w:p>
      <w:pPr>
        <w:spacing w:after="0" w:line="2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-140335</wp:posOffset>
            </wp:positionV>
            <wp:extent cx="3326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7" w:lineRule="exact"/>
        <w:rPr>
          <w:sz w:val="20"/>
          <w:szCs w:val="20"/>
          <w:color w:val="auto"/>
        </w:rPr>
      </w:pPr>
    </w:p>
    <w:p>
      <w:pPr>
        <w:ind w:left="400" w:right="9140" w:hanging="392"/>
        <w:spacing w:after="0" w:line="295" w:lineRule="auto"/>
        <w:tabs>
          <w:tab w:leader="none" w:pos="4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Penny Minna, Esq. </w:t>
      </w:r>
      <w:r>
        <w:rPr>
          <w:rFonts w:ascii="Times New Roman" w:cs="Times New Roman" w:eastAsia="Times New Roman" w:hAnsi="Times New Roman"/>
          <w:sz w:val="19"/>
          <w:szCs w:val="19"/>
          <w:i w:val="1"/>
          <w:i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7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lvl w:ilvl="1">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2025-03-03T23:11:29Z</dcterms:created>
  <dcterms:modified xsi:type="dcterms:W3CDTF">2025-03-03T23:11:29Z</dcterms:modified>
</cp:coreProperties>
</file>