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(Amendment No. ________)*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G75398100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Igor Lychagov,</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LakeShore International Management AG, Obergrundstrasse 44, 6003 Luzern, Switzerland, +41 41 368 10 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August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99" w:lineRule="exact"/>
        <w:rPr>
          <w:sz w:val="24"/>
          <w:szCs w:val="24"/>
          <w:color w:val="auto"/>
        </w:rPr>
      </w:pPr>
    </w:p>
    <w:p>
      <w:pPr>
        <w:ind w:right="60" w:firstLine="8"/>
        <w:spacing w:after="0" w:line="195"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903605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2 of 5 Pages</w:t>
      </w:r>
    </w:p>
    <w:p>
      <w:pPr>
        <w:spacing w:after="0" w:line="200" w:lineRule="exact"/>
        <w:rPr>
          <w:sz w:val="20"/>
          <w:szCs w:val="20"/>
          <w:color w:val="auto"/>
        </w:rPr>
      </w:pPr>
    </w:p>
    <w:p>
      <w:pPr>
        <w:spacing w:after="0" w:line="255" w:lineRule="exact"/>
        <w:rPr>
          <w:sz w:val="20"/>
          <w:szCs w:val="20"/>
          <w:color w:val="auto"/>
        </w:rPr>
      </w:pPr>
    </w:p>
    <w:p>
      <w:pPr>
        <w:ind w:left="580" w:right="2260" w:hanging="369"/>
        <w:spacing w:after="0" w:line="391"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I.R.S. IDENTIFICATION NOS. OF ABOVE PERSONS (ENTITIES ONLY) Igor Lychagov</w:t>
      </w:r>
    </w:p>
    <w:p>
      <w:pPr>
        <w:ind w:left="580" w:right="5700" w:hanging="369"/>
        <w:spacing w:after="0" w:line="261"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580" w:hanging="36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580" w:hanging="36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220"/>
        <w:spacing w:after="0" w:line="207" w:lineRule="exact"/>
        <w:tabs>
          <w:tab w:leader="none" w:pos="560" w:val="left"/>
          <w:tab w:leader="none" w:pos="9260" w:val="left"/>
        </w:tabs>
        <w:rPr>
          <w:sz w:val="20"/>
          <w:szCs w:val="20"/>
          <w:color w:val="auto"/>
        </w:rPr>
      </w:pPr>
      <w:r>
        <w:rPr>
          <w:rFonts w:ascii="Times New Roman" w:cs="Times New Roman" w:eastAsia="Times New Roman" w:hAnsi="Times New Roman"/>
          <w:sz w:val="18"/>
          <w:szCs w:val="18"/>
          <w:color w:val="auto"/>
        </w:rPr>
        <w:t>5.</w:t>
        <w:tab/>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34" w:lineRule="exact"/>
        <w:rPr>
          <w:sz w:val="20"/>
          <w:szCs w:val="20"/>
          <w:color w:val="auto"/>
        </w:rPr>
      </w:pPr>
    </w:p>
    <w:p>
      <w:pPr>
        <w:ind w:left="580" w:right="7000" w:hanging="369"/>
        <w:spacing w:after="0" w:line="508"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Cyprus</w:t>
      </w:r>
    </w:p>
    <w:p>
      <w:pPr>
        <w:spacing w:after="0" w:line="1" w:lineRule="exact"/>
        <w:rPr>
          <w:rFonts w:ascii="Times New Roman" w:cs="Times New Roman" w:eastAsia="Times New Roman" w:hAnsi="Times New Roman"/>
          <w:sz w:val="18"/>
          <w:szCs w:val="18"/>
          <w:color w:val="auto"/>
        </w:rPr>
      </w:pPr>
    </w:p>
    <w:p>
      <w:pPr>
        <w:ind w:left="2600" w:hanging="351"/>
        <w:spacing w:after="0"/>
        <w:tabs>
          <w:tab w:leader="none" w:pos="2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36,403,653</w:t>
            </w:r>
          </w:p>
        </w:tc>
        <w:tc>
          <w:tcPr>
            <w:tcW w:w="0" w:type="dxa"/>
            <w:vAlign w:val="bottom"/>
          </w:tcPr>
          <w:p>
            <w:pPr>
              <w:spacing w:after="0"/>
              <w:rPr>
                <w:sz w:val="1"/>
                <w:szCs w:val="1"/>
                <w:color w:val="auto"/>
              </w:rPr>
            </w:pPr>
          </w:p>
        </w:tc>
      </w:tr>
      <w:tr>
        <w:trPr>
          <w:trHeight w:val="228"/>
        </w:trPr>
        <w:tc>
          <w:tcPr>
            <w:tcW w:w="20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1"/>
        </w:trPr>
        <w:tc>
          <w:tcPr>
            <w:tcW w:w="20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OWNED BY EACH</w:t>
            </w:r>
          </w:p>
        </w:tc>
        <w:tc>
          <w:tcPr>
            <w:tcW w:w="340" w:type="dxa"/>
            <w:vAlign w:val="bottom"/>
            <w:tcBorders>
              <w:bottom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vMerge w:val="continue"/>
          </w:tcPr>
          <w:p>
            <w:pPr>
              <w:spacing w:after="0"/>
              <w:rPr>
                <w:sz w:val="6"/>
                <w:szCs w:val="6"/>
                <w:color w:val="auto"/>
              </w:rPr>
            </w:pP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0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340" w:type="dxa"/>
            <w:vAlign w:val="bottom"/>
            <w:vMerge w:val="continue"/>
          </w:tcPr>
          <w:p>
            <w:pPr>
              <w:spacing w:after="0"/>
              <w:rPr>
                <w:sz w:val="13"/>
                <w:szCs w:val="13"/>
                <w:color w:val="auto"/>
              </w:rPr>
            </w:pP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36,403,653</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0</wp:posOffset>
            </wp:positionV>
            <wp:extent cx="5768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ind w:left="2600" w:hanging="441"/>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80" w:right="4120" w:hanging="453"/>
        <w:spacing w:after="0" w:line="38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36,403,653</w:t>
      </w:r>
    </w:p>
    <w:p>
      <w:pPr>
        <w:ind w:left="580" w:right="3520" w:hanging="459"/>
        <w:spacing w:after="0" w:line="237" w:lineRule="exact"/>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4" w:lineRule="exact"/>
        <w:rPr>
          <w:rFonts w:ascii="Times New Roman" w:cs="Times New Roman" w:eastAsia="Times New Roman" w:hAnsi="Times New Roman"/>
          <w:sz w:val="18"/>
          <w:szCs w:val="18"/>
          <w:color w:val="auto"/>
        </w:rPr>
      </w:pPr>
    </w:p>
    <w:p>
      <w:pPr>
        <w:ind w:left="580" w:right="5520" w:hanging="459"/>
        <w:spacing w:after="0" w:line="38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21.14%</w:t>
      </w:r>
    </w:p>
    <w:p>
      <w:pPr>
        <w:ind w:left="580" w:hanging="45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3 of 5 Pages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statement on Schedule 13D relates to the Series A shares, Ordinary shares as well as convertible loan notes that can be converted into ordinary shares held by the Reporting Person of Rezolve AI Limited (the "Issuer"). The principal executive offices of the Issuer are located at Rezolve AI Limited, 5 New Street Square London EC4A 3TW, United Kingdom.</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class of equity securities to which this statement relates are the Series A shares, Ordinary shares as well as the convertible loan notes that can be converted into ordinary shares of the Issuer.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par value of the Series A shares as well as the Ordinary shares is $ 0.0001. The Reporting Person beneficially owns 1,907,089 Series A shares and 32,863,911 Ordinary shares of the Issuer. In addition, the Reporting Person holds convertible loan notes amounting to $8,000,000. As of August 15, 2024, these loan notes may be converted into ordinary shares of the Issuer at the request of the Reporting Person. The conversion price will be the lower of a 30% discount to the IPO price or the last 12 months’ weighted average price. As of the IPO date of August 15, 2024, if fully converted, the loan notes would be converted into 1,632,653 ordinary shares of the Issuer at a conversion price of $7 per share, in accordance with the terms of the loan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Igor Lychagov</w:t>
      </w:r>
    </w:p>
    <w:p>
      <w:pPr>
        <w:spacing w:after="0" w:line="225" w:lineRule="exact"/>
        <w:rPr>
          <w:rFonts w:ascii="Times New Roman" w:cs="Times New Roman" w:eastAsia="Times New Roman" w:hAnsi="Times New Roman"/>
          <w:sz w:val="18"/>
          <w:szCs w:val="18"/>
          <w:color w:val="auto"/>
        </w:rPr>
      </w:pPr>
    </w:p>
    <w:p>
      <w:pPr>
        <w:ind w:left="660" w:right="60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LakeShore International Management AG Obergrundstrasse 44 6003 Luzern, Switzerland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+41 41 368 10 90</w:t>
      </w:r>
    </w:p>
    <w:p>
      <w:pPr>
        <w:spacing w:after="0" w:line="206"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currently co-founder and member of the board of Ornament Health AG, a healthcare technology company headquartered at Obergrundstrasse 44, 6003 Luzern, Switzerland. He was formerly a co-founder of Exness Group, a financial services firm with offices located at 1, Siafi Street, Porto Bello Business Center, Office 301, Limassol, 3042, Cyprus.</w:t>
      </w:r>
    </w:p>
    <w:p>
      <w:pPr>
        <w:spacing w:after="0" w:line="17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was not a party to a civil proceeding of a judicial or administrative body of competent jurisdiction, as a result of which Reporting Person became or is subject to a judgment, decree or final order enjoining future violations of, or prohibiting or mandating activities subject to, federal or state securities laws or finding any violation with respect to such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or Amount of Funds or Other Consideration.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total amount of funds used by the Reporting Person to acquire the securities reported herein is $25,833,079. These funds were obtained through the Reporting Person's professional activities, including earnings and dividends received. No loans or other forms of borrowed funds were used to finance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4 of 5 Pages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Reporting Person acquired the securities reported herein for investment purposes, specifically to gain exposure to the technology sector as part of his personal investment strategy, for passive investment purposes and without the intent to effect any change in management or control of the Issuer.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in this Item 4 or would occur upon completion of any of the transactions discussed herein, as of the date of this statement the Reporting Person has no present plan or proposal that relates to or would result in any of the matters set forth in subsections (a) through (j) of Item 4 of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right="28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beneficially owns, together with loan notes that when fully converted translates into 1,632,653 ordinary shares, a total of 36,403,653 Ordinary shares of the Issuer, representing approximately 21.14% of the Issuer’s outstanding Ordinary shares. These include the previously held Series A shares, which have been reclassified as Ordinary shares, as well as ordinary shares and the loan notes that when fully converted translate into 1,632,653 ordinary shares. The percentage of 21.14% is based on 172,182,179 Ordinary shares outstanding as of 08/22/2024.</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sole voting power and sole dispositive power with respect to all of the shares reported herein.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engaged in any transactions involving the Issuer’s securities within the past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does not beneficially own any other securities of the Issuer.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not a member of any group that has filed this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Reporting Person served on the board of the Issuer from August 2019 until May 19, 2023, at which time he resigned from the board. Since his resignation in May 2023, the Reporting Person’s relationship with the Issuer has been solely as a shareholder and for passive investment purposes and without the intent to effect any change in management or control of the Issuer. He does not have any other contracts, arrangements, understandings, or relationships (legal or otherwise) concerning any securities of the Issuer, including but not limited to the transfer or voting of any of the securities, finder’s fees, joint ventures, loan or option arrangements, puts or calls, guarantees of profits, division of profits or loss, or the giving or withholding of proxies, nor does he receive any material non-public information from the Issuer.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Reporting Person does not have any oversight, information, or control over the Issuer’s decisions and operations.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stated earlier, the Reporting Person holds convertible loan notes amounting to $8,000,000. These loan notes are convertible into shares of the Issuer at the request of the Reporting Person. The conversion price will be the lower of a 30% discount to the IPO price or the last 12 months’ weighted average price. As of the IPO date, if fully converted, the loan notes would be converted into 1,632,653 ordinary shares of the Issuer at a conversion price of $7 per share, in accordance with the terms of the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5 of 5 Pages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 Igor Lychagov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Igor Lychagov</w:t>
      </w:r>
    </w:p>
    <w:p>
      <w:pPr>
        <w:spacing w:after="0" w:line="200" w:lineRule="exact"/>
        <w:rPr>
          <w:sz w:val="20"/>
          <w:szCs w:val="20"/>
          <w:color w:val="auto"/>
        </w:rPr>
      </w:pPr>
    </w:p>
    <w:p>
      <w:pPr>
        <w:spacing w:after="0" w:line="2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6"/>
    </w:lvl>
    <w:lvl w:ilvl="1">
      <w:lvlJc w:val="left"/>
      <w:lvlText w:val="%2."/>
      <w:numFmt w:val="decimal"/>
      <w:start w:val="7"/>
    </w:lvl>
  </w:abstractNum>
  <w:abstractNum w:abstractNumId="3">
    <w:nsid w:val="3D1B58BA"/>
    <w:multiLevelType w:val="hybridMultilevel"/>
    <w:lvl w:ilvl="0">
      <w:lvlJc w:val="left"/>
      <w:lvlText w:val="%1"/>
      <w:numFmt w:val="decimal"/>
      <w:start w:val="1"/>
    </w:lvl>
    <w:lvl w:ilvl="1">
      <w:lvlJc w:val="left"/>
      <w:lvlText w:val="%2."/>
      <w:numFmt w:val="decimal"/>
      <w:start w:val="10"/>
    </w:lvl>
  </w:abstractNum>
  <w:abstractNum w:abstractNumId="4">
    <w:nsid w:val="507ED7AB"/>
    <w:multiLevelType w:val="hybridMultilevel"/>
    <w:lvl w:ilvl="0">
      <w:lvlJc w:val="left"/>
      <w:lvlText w:val="%1."/>
      <w:numFmt w:val="decimal"/>
      <w:start w:val="11"/>
    </w:lvl>
    <w:lvl w:ilvl="1">
      <w:lvlJc w:val="left"/>
      <w:lvlText w:val="%2"/>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2024-08-22T16:10:04Z</dcterms:created>
  <dcterms:modified xsi:type="dcterms:W3CDTF">2024-08-22T16:10:04Z</dcterms:modified>
</cp:coreProperties>
</file>