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1238250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-490855</wp:posOffset>
            </wp:positionH>
            <wp:positionV relativeFrom="paragraph">
              <wp:posOffset>259715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-490855</wp:posOffset>
            </wp:positionH>
            <wp:positionV relativeFrom="paragraph">
              <wp:posOffset>280035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REPORT OF FOREIGN PRIVATE ISSUER</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October 1, 2025</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-490855</wp:posOffset>
            </wp:positionH>
            <wp:positionV relativeFrom="paragraph">
              <wp:posOffset>259715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Rezolve AI plc</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-490855</wp:posOffset>
            </wp:positionH>
            <wp:positionV relativeFrom="paragraph">
              <wp:posOffset>253365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21 Sackville Street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London, W1S 3DN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Kingdom</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-490855</wp:posOffset>
            </wp:positionH>
            <wp:positionV relativeFrom="paragraph">
              <wp:posOffset>271780</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left="820" w:right="820"/>
        <w:spacing w:after="0" w:line="282" w:lineRule="exact"/>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 Form 20-F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-503555</wp:posOffset>
            </wp:positionH>
            <wp:positionV relativeFrom="paragraph">
              <wp:posOffset>1024890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236855</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1474470</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INFORMATION CONTAINED IN THIS REPORT ON FORM 6-K</w:t>
      </w:r>
    </w:p>
    <w:p>
      <w:pPr>
        <w:spacing w:after="0" w:line="178"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The information included in this Report on Form 6-K (including Exhibits 99.1, 99.2, 99.3 and 99.4) is hereby incorporated by reference into the Company’s Registration Statements on Forms F-3 (File No. 333-290523 and File No. 333-290639) (including any prospectuses forming a part of such registration statements) and to be a part thereof from the date on which this Report on Form 6-K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67075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2820" w:type="dxa"/>
            <w:vAlign w:val="bottom"/>
          </w:tcPr>
          <w:p>
            <w:pPr>
              <w:jc w:val="center"/>
              <w:ind w:right="2334"/>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060" w:type="dxa"/>
            <w:vAlign w:val="bottom"/>
            <w:vMerge w:val="restart"/>
          </w:tcPr>
          <w:p>
            <w:pPr>
              <w:ind w:left="2400"/>
              <w:spacing w:after="0"/>
              <w:rPr>
                <w:sz w:val="20"/>
                <w:szCs w:val="20"/>
                <w:color w:val="auto"/>
              </w:rPr>
            </w:pPr>
            <w:r>
              <w:rPr>
                <w:rFonts w:ascii="Times New Roman" w:cs="Times New Roman" w:eastAsia="Times New Roman" w:hAnsi="Times New Roman"/>
                <w:sz w:val="13"/>
                <w:szCs w:val="13"/>
                <w:b w:val="1"/>
                <w:bCs w:val="1"/>
                <w:color w:val="auto"/>
                <w:w w:val="99"/>
              </w:rPr>
              <w:t>Description</w:t>
            </w:r>
          </w:p>
        </w:tc>
        <w:tc>
          <w:tcPr>
            <w:tcW w:w="0" w:type="dxa"/>
            <w:vAlign w:val="bottom"/>
          </w:tcPr>
          <w:p>
            <w:pPr>
              <w:spacing w:after="0"/>
              <w:rPr>
                <w:sz w:val="1"/>
                <w:szCs w:val="1"/>
                <w:color w:val="auto"/>
              </w:rPr>
            </w:pPr>
          </w:p>
        </w:tc>
      </w:tr>
      <w:tr>
        <w:trPr>
          <w:trHeight w:val="102"/>
        </w:trPr>
        <w:tc>
          <w:tcPr>
            <w:tcW w:w="2820" w:type="dxa"/>
            <w:vAlign w:val="bottom"/>
            <w:vMerge w:val="restart"/>
          </w:tcPr>
          <w:p>
            <w:pPr>
              <w:jc w:val="center"/>
              <w:ind w:right="2334"/>
              <w:spacing w:after="0"/>
              <w:rPr>
                <w:sz w:val="20"/>
                <w:szCs w:val="20"/>
                <w:color w:val="auto"/>
              </w:rPr>
            </w:pPr>
            <w:r>
              <w:rPr>
                <w:rFonts w:ascii="Times New Roman" w:cs="Times New Roman" w:eastAsia="Times New Roman" w:hAnsi="Times New Roman"/>
                <w:sz w:val="13"/>
                <w:szCs w:val="13"/>
                <w:b w:val="1"/>
                <w:bCs w:val="1"/>
                <w:color w:val="auto"/>
                <w:w w:val="93"/>
              </w:rPr>
              <w:t>No.</w:t>
            </w:r>
          </w:p>
        </w:tc>
        <w:tc>
          <w:tcPr>
            <w:tcW w:w="3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820" w:type="dxa"/>
            <w:vAlign w:val="bottom"/>
            <w:vMerge w:val="continue"/>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0"/>
        <w:spacing w:after="0"/>
        <w:tabs>
          <w:tab w:leader="none" w:pos="86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6"/>
          <w:szCs w:val="16"/>
          <w:color w:val="auto"/>
        </w:rPr>
        <w:t>99.1</w:t>
      </w:r>
      <w:r>
        <w:rPr>
          <w:sz w:val="20"/>
          <w:szCs w:val="20"/>
          <w:color w:val="auto"/>
        </w:rPr>
        <w:tab/>
      </w:r>
      <w:hyperlink w:anchor="page1">
        <w:r>
          <w:rPr>
            <w:rFonts w:ascii="Times New Roman" w:cs="Times New Roman" w:eastAsia="Times New Roman" w:hAnsi="Times New Roman"/>
            <w:sz w:val="14"/>
            <w:szCs w:val="14"/>
            <w:color w:val="0000FF"/>
          </w:rPr>
          <w:t>Rezolve AI plc and subsidiaries: Unaudited Condensed Interim Combined Consolidated Financial Statements for the Six Months Ended June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-8890</wp:posOffset>
            </wp:positionV>
            <wp:extent cx="59912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91225" cy="7620"/>
                    </a:xfrm>
                    <a:prstGeom prst="rect">
                      <a:avLst/>
                    </a:prstGeom>
                    <a:noFill/>
                  </pic:spPr>
                </pic:pic>
              </a:graphicData>
            </a:graphic>
          </wp:anchor>
        </w:drawing>
      </w:r>
    </w:p>
    <w:p>
      <w:pPr>
        <w:ind w:left="260"/>
        <w:spacing w:after="0"/>
        <w:tabs>
          <w:tab w:leader="none" w:pos="860" w:val="left"/>
        </w:tabs>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22"/>
          <w:szCs w:val="22"/>
          <w:color w:val="000000"/>
          <w:vertAlign w:val="subscript"/>
        </w:rPr>
        <w:t>99.2</w:t>
      </w:r>
      <w:r>
        <w:rPr>
          <w:rFonts w:ascii="Times New Roman" w:cs="Times New Roman" w:eastAsia="Times New Roman" w:hAnsi="Times New Roman"/>
          <w:sz w:val="12"/>
          <w:szCs w:val="12"/>
          <w:color w:val="0000FF"/>
        </w:rPr>
        <w:tab/>
      </w:r>
      <w:hyperlink w:anchor="page1">
        <w:r>
          <w:rPr>
            <w:rFonts w:ascii="Times New Roman" w:cs="Times New Roman" w:eastAsia="Times New Roman" w:hAnsi="Times New Roman"/>
            <w:sz w:val="14"/>
            <w:szCs w:val="14"/>
            <w:color w:val="0000FF"/>
          </w:rPr>
          <w:t>Rezolve AI plc and subsidiaries: Management's discussion and analysis of financial condition and results of operations for the Six Months Ended June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-17780</wp:posOffset>
            </wp:positionV>
            <wp:extent cx="61360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6005" cy="7620"/>
                    </a:xfrm>
                    <a:prstGeom prst="rect">
                      <a:avLst/>
                    </a:prstGeom>
                    <a:noFill/>
                  </pic:spPr>
                </pic:pic>
              </a:graphicData>
            </a:graphic>
          </wp:anchor>
        </w:drawing>
      </w:r>
    </w:p>
    <w:p>
      <w:pPr>
        <w:ind w:left="880"/>
        <w:spacing w:after="0" w:line="235" w:lineRule="auto"/>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-17780</wp:posOffset>
            </wp:positionV>
            <wp:extent cx="2209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980" cy="7620"/>
                    </a:xfrm>
                    <a:prstGeom prst="rect">
                      <a:avLst/>
                    </a:prstGeom>
                    <a:noFill/>
                  </pic:spPr>
                </pic:pic>
              </a:graphicData>
            </a:graphic>
          </wp:anchor>
        </w:drawing>
      </w:r>
    </w:p>
    <w:p>
      <w:pPr>
        <w:ind w:left="260"/>
        <w:spacing w:after="0"/>
        <w:tabs>
          <w:tab w:leader="none" w:pos="86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6"/>
          <w:szCs w:val="16"/>
          <w:color w:val="auto"/>
        </w:rPr>
        <w:t>99.3</w:t>
      </w:r>
      <w:r>
        <w:rPr>
          <w:sz w:val="20"/>
          <w:szCs w:val="20"/>
          <w:color w:val="auto"/>
        </w:rPr>
        <w:tab/>
      </w:r>
      <w:hyperlink w:anchor="page1">
        <w:r>
          <w:rPr>
            <w:rFonts w:ascii="Times New Roman" w:cs="Times New Roman" w:eastAsia="Times New Roman" w:hAnsi="Times New Roman"/>
            <w:sz w:val="14"/>
            <w:szCs w:val="14"/>
            <w:color w:val="0000FF"/>
          </w:rPr>
          <w:t>GroupBy Group of Companies: Unaudited Condensed Interim Combined Consolidated Financial Statements for the Six Months Ended June 30, 2025</w:t>
        </w:r>
      </w:hyperlink>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wp:posOffset>
            </wp:positionV>
            <wp:extent cx="59302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30265" cy="7620"/>
                    </a:xfrm>
                    <a:prstGeom prst="rect">
                      <a:avLst/>
                    </a:prstGeom>
                    <a:noFill/>
                  </pic:spPr>
                </pic:pic>
              </a:graphicData>
            </a:graphic>
          </wp:anchor>
        </w:drawing>
      </w:r>
    </w:p>
    <w:p>
      <w:pPr>
        <w:ind w:left="260"/>
        <w:spacing w:after="0"/>
        <w:tabs>
          <w:tab w:leader="none" w:pos="86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6"/>
          <w:szCs w:val="16"/>
          <w:color w:val="auto"/>
        </w:rPr>
        <w:t>99.4</w:t>
      </w:r>
      <w:r>
        <w:rPr>
          <w:sz w:val="20"/>
          <w:szCs w:val="20"/>
          <w:color w:val="auto"/>
        </w:rPr>
        <w:tab/>
      </w:r>
      <w:hyperlink w:anchor="page1">
        <w:r>
          <w:rPr>
            <w:rFonts w:ascii="Times New Roman" w:cs="Times New Roman" w:eastAsia="Times New Roman" w:hAnsi="Times New Roman"/>
            <w:sz w:val="14"/>
            <w:szCs w:val="14"/>
            <w:color w:val="0000FF"/>
          </w:rPr>
          <w:t>Rezolve AI plc and subsidiaries: Unaudited Pro Forma Condensed Combined Financial Information for the Six Months Ended June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-20320</wp:posOffset>
            </wp:positionV>
            <wp:extent cx="56172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17210" cy="762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1474470</wp:posOffset>
            </wp:positionV>
            <wp:extent cx="67075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0"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October 1, 2025</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8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Wagner</w:t>
            </w:r>
          </w:p>
        </w:tc>
      </w:tr>
      <w:tr>
        <w:trPr>
          <w:trHeight w:val="171"/>
        </w:trPr>
        <w:tc>
          <w:tcPr>
            <w:tcW w:w="16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88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Daniel Wagner</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Chairman</w:t>
            </w:r>
          </w:p>
        </w:tc>
      </w:tr>
      <w:tr>
        <w:trPr>
          <w:trHeight w:val="1430"/>
        </w:trPr>
        <w:tc>
          <w:tcPr>
            <w:tcW w:w="1680" w:type="dxa"/>
            <w:vAlign w:val="bottom"/>
            <w:tcBorders>
              <w:bottom w:val="single" w:sz="8" w:color="EEEEEE"/>
            </w:tcBorders>
          </w:tcPr>
          <w:p>
            <w:pPr>
              <w:spacing w:after="0"/>
              <w:rPr>
                <w:sz w:val="24"/>
                <w:szCs w:val="24"/>
                <w:color w:val="auto"/>
              </w:rPr>
            </w:pPr>
          </w:p>
        </w:tc>
        <w:tc>
          <w:tcPr>
            <w:tcW w:w="8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3"/>
          <w:szCs w:val="23"/>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interim combined consolidated financial statements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60" w:type="dxa"/>
            <w:vAlign w:val="bottom"/>
            <w:gridSpan w:val="6"/>
          </w:tcPr>
          <w:p>
            <w:pPr>
              <w:ind w:left="3760"/>
              <w:spacing w:after="0"/>
              <w:rPr>
                <w:sz w:val="20"/>
                <w:szCs w:val="20"/>
                <w:color w:val="auto"/>
              </w:rPr>
            </w:pPr>
            <w:r>
              <w:rPr>
                <w:rFonts w:ascii="Times New Roman" w:cs="Times New Roman" w:eastAsia="Times New Roman" w:hAnsi="Times New Roman"/>
                <w:sz w:val="16"/>
                <w:szCs w:val="16"/>
                <w:color w:val="auto"/>
              </w:rPr>
              <w:t>For the six months ended June 30, 2025 and 2024</w:t>
            </w:r>
          </w:p>
        </w:tc>
        <w:tc>
          <w:tcPr>
            <w:tcW w:w="700" w:type="dxa"/>
            <w:vAlign w:val="bottom"/>
          </w:tcPr>
          <w:p>
            <w:pPr>
              <w:spacing w:after="0"/>
              <w:rPr>
                <w:sz w:val="17"/>
                <w:szCs w:val="17"/>
                <w:color w:val="auto"/>
              </w:rPr>
            </w:pPr>
          </w:p>
        </w:tc>
      </w:tr>
      <w:tr>
        <w:trPr>
          <w:trHeight w:val="512"/>
        </w:trPr>
        <w:tc>
          <w:tcPr>
            <w:tcW w:w="718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5">
              <w:r>
                <w:rPr>
                  <w:rFonts w:ascii="Times New Roman" w:cs="Times New Roman" w:eastAsia="Times New Roman" w:hAnsi="Times New Roman"/>
                  <w:sz w:val="16"/>
                  <w:szCs w:val="16"/>
                  <w:color w:val="0000FF"/>
                  <w:w w:val="97"/>
                </w:rPr>
                <w:t>Condensed interim combined consolidated balance sheets as of June 30, 2025 (Unaudited) and December 31, 2024</w:t>
              </w:r>
            </w:hyperlink>
          </w:p>
        </w:tc>
        <w:tc>
          <w:tcPr>
            <w:tcW w:w="2680" w:type="dxa"/>
            <w:vAlign w:val="bottom"/>
            <w:gridSpan w:val="4"/>
          </w:tcPr>
          <w:p>
            <w:pPr>
              <w:spacing w:after="0"/>
              <w:rPr>
                <w:sz w:val="24"/>
                <w:szCs w:val="24"/>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9"/>
              </w:rPr>
              <w:t>F-2</w:t>
            </w:r>
          </w:p>
        </w:tc>
      </w:tr>
      <w:tr>
        <w:trPr>
          <w:trHeight w:val="160"/>
        </w:trPr>
        <w:tc>
          <w:tcPr>
            <w:tcW w:w="9860" w:type="dxa"/>
            <w:vAlign w:val="bottom"/>
            <w:gridSpan w:val="6"/>
          </w:tcPr>
          <w:p>
            <w:pPr>
              <w:spacing w:after="0" w:line="160"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Condensed interim combined consolidated statements of operations for the six months ended June 30, 2025 and 2024 (Unaudited)</w:t>
              </w:r>
            </w:hyperlink>
          </w:p>
        </w:tc>
        <w:tc>
          <w:tcPr>
            <w:tcW w:w="700" w:type="dxa"/>
            <w:vAlign w:val="bottom"/>
          </w:tcPr>
          <w:p>
            <w:pPr>
              <w:ind w:left="480"/>
              <w:spacing w:after="0" w:line="160" w:lineRule="exact"/>
              <w:rPr>
                <w:sz w:val="20"/>
                <w:szCs w:val="20"/>
                <w:color w:val="auto"/>
              </w:rPr>
            </w:pPr>
            <w:r>
              <w:rPr>
                <w:rFonts w:ascii="Times New Roman" w:cs="Times New Roman" w:eastAsia="Times New Roman" w:hAnsi="Times New Roman"/>
                <w:sz w:val="16"/>
                <w:szCs w:val="16"/>
                <w:color w:val="auto"/>
                <w:w w:val="89"/>
              </w:rPr>
              <w:t>F-3</w:t>
            </w:r>
          </w:p>
        </w:tc>
      </w:tr>
      <w:tr>
        <w:trPr>
          <w:trHeight w:val="160"/>
        </w:trPr>
        <w:tc>
          <w:tcPr>
            <w:tcW w:w="81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w w:val="99"/>
              </w:rPr>
            </w:pPr>
            <w:hyperlink w:anchor="page7">
              <w:r>
                <w:rPr>
                  <w:rFonts w:ascii="Times New Roman" w:cs="Times New Roman" w:eastAsia="Times New Roman" w:hAnsi="Times New Roman"/>
                  <w:sz w:val="16"/>
                  <w:szCs w:val="16"/>
                  <w:color w:val="0000FF"/>
                  <w:w w:val="99"/>
                </w:rPr>
                <w:t>Condensed interim combined consolidated statements of comprehensive loss for the six months ended June 30, 2025 and 2024</w:t>
              </w:r>
            </w:hyperlink>
          </w:p>
        </w:tc>
        <w:tc>
          <w:tcPr>
            <w:tcW w:w="1740" w:type="dxa"/>
            <w:vAlign w:val="bottom"/>
            <w:gridSpan w:val="3"/>
          </w:tcPr>
          <w:p>
            <w:pPr>
              <w:spacing w:after="0" w:line="160" w:lineRule="exact"/>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(Unaudited)</w:t>
              </w:r>
            </w:hyperlink>
          </w:p>
        </w:tc>
        <w:tc>
          <w:tcPr>
            <w:tcW w:w="700" w:type="dxa"/>
            <w:vAlign w:val="bottom"/>
          </w:tcPr>
          <w:p>
            <w:pPr>
              <w:ind w:left="480"/>
              <w:spacing w:after="0" w:line="160" w:lineRule="exact"/>
              <w:rPr>
                <w:sz w:val="20"/>
                <w:szCs w:val="20"/>
                <w:color w:val="auto"/>
              </w:rPr>
            </w:pPr>
            <w:r>
              <w:rPr>
                <w:rFonts w:ascii="Times New Roman" w:cs="Times New Roman" w:eastAsia="Times New Roman" w:hAnsi="Times New Roman"/>
                <w:sz w:val="16"/>
                <w:szCs w:val="16"/>
                <w:color w:val="auto"/>
                <w:w w:val="89"/>
              </w:rPr>
              <w:t>F-4</w:t>
            </w:r>
          </w:p>
        </w:tc>
      </w:tr>
      <w:tr>
        <w:trPr>
          <w:trHeight w:val="171"/>
        </w:trPr>
        <w:tc>
          <w:tcPr>
            <w:tcW w:w="8700" w:type="dxa"/>
            <w:vAlign w:val="bottom"/>
            <w:tcBorders>
              <w:top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FF"/>
                <w:w w:val="96"/>
              </w:rPr>
              <w:t>Condensed interim combined consolidated statements of changes in stockholders’ deficit for the six and the six months ended June 30, 2025</w:t>
            </w:r>
          </w:p>
        </w:tc>
        <w:tc>
          <w:tcPr>
            <w:tcW w:w="116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0000FF"/>
              </w:rPr>
              <w:t>and 2024</w:t>
            </w:r>
          </w:p>
        </w:tc>
        <w:tc>
          <w:tcPr>
            <w:tcW w:w="700" w:type="dxa"/>
            <w:vAlign w:val="bottom"/>
          </w:tcPr>
          <w:p>
            <w:pPr>
              <w:spacing w:after="0"/>
              <w:rPr>
                <w:sz w:val="14"/>
                <w:szCs w:val="14"/>
                <w:color w:val="auto"/>
              </w:rPr>
            </w:pPr>
          </w:p>
        </w:tc>
      </w:tr>
      <w:tr>
        <w:trPr>
          <w:trHeight w:val="180"/>
        </w:trPr>
        <w:tc>
          <w:tcPr>
            <w:tcW w:w="9860" w:type="dxa"/>
            <w:vAlign w:val="bottom"/>
            <w:gridSpan w:val="6"/>
          </w:tcPr>
          <w:p>
            <w:pPr>
              <w:ind w:left="220"/>
              <w:spacing w:after="0" w:line="180" w:lineRule="exact"/>
              <w:rPr>
                <w:sz w:val="20"/>
                <w:szCs w:val="20"/>
                <w:color w:val="auto"/>
              </w:rPr>
            </w:pPr>
            <w:r>
              <w:rPr>
                <w:rFonts w:ascii="Times New Roman" w:cs="Times New Roman" w:eastAsia="Times New Roman" w:hAnsi="Times New Roman"/>
                <w:sz w:val="16"/>
                <w:szCs w:val="16"/>
                <w:color w:val="0000FF"/>
              </w:rPr>
              <w:t>(Unaudited)</w:t>
            </w:r>
          </w:p>
        </w:tc>
        <w:tc>
          <w:tcPr>
            <w:tcW w:w="70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w w:val="89"/>
              </w:rPr>
              <w:t>F-5</w:t>
            </w:r>
          </w:p>
        </w:tc>
      </w:tr>
      <w:tr>
        <w:trPr>
          <w:trHeight w:val="169"/>
        </w:trPr>
        <w:tc>
          <w:tcPr>
            <w:tcW w:w="9860" w:type="dxa"/>
            <w:vAlign w:val="bottom"/>
            <w:gridSpan w:val="6"/>
          </w:tcPr>
          <w:p>
            <w:pPr>
              <w:spacing w:after="0" w:line="169" w:lineRule="exact"/>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Condensed interim combined consolidated statements of cash flows for the six months ended June 30, 2025 and 2024 (Unaudited)</w:t>
              </w:r>
            </w:hyperlink>
          </w:p>
        </w:tc>
        <w:tc>
          <w:tcPr>
            <w:tcW w:w="700" w:type="dxa"/>
            <w:vAlign w:val="bottom"/>
          </w:tcPr>
          <w:p>
            <w:pPr>
              <w:ind w:left="480"/>
              <w:spacing w:after="0" w:line="169" w:lineRule="exact"/>
              <w:rPr>
                <w:sz w:val="20"/>
                <w:szCs w:val="20"/>
                <w:color w:val="auto"/>
              </w:rPr>
            </w:pPr>
            <w:r>
              <w:rPr>
                <w:rFonts w:ascii="Times New Roman" w:cs="Times New Roman" w:eastAsia="Times New Roman" w:hAnsi="Times New Roman"/>
                <w:sz w:val="16"/>
                <w:szCs w:val="16"/>
                <w:color w:val="auto"/>
                <w:w w:val="89"/>
              </w:rPr>
              <w:t>F-7</w:t>
            </w:r>
          </w:p>
        </w:tc>
      </w:tr>
      <w:tr>
        <w:trPr>
          <w:trHeight w:val="160"/>
        </w:trPr>
        <w:tc>
          <w:tcPr>
            <w:tcW w:w="55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7"/>
              </w:rPr>
            </w:pPr>
            <w:hyperlink w:anchor="page11">
              <w:r>
                <w:rPr>
                  <w:rFonts w:ascii="Times New Roman" w:cs="Times New Roman" w:eastAsia="Times New Roman" w:hAnsi="Times New Roman"/>
                  <w:sz w:val="16"/>
                  <w:szCs w:val="16"/>
                  <w:color w:val="0000FF"/>
                  <w:w w:val="97"/>
                </w:rPr>
                <w:t>Notes to the condensed interim combined consolidated financial statements (unaudited)</w:t>
              </w:r>
            </w:hyperlink>
          </w:p>
        </w:tc>
        <w:tc>
          <w:tcPr>
            <w:tcW w:w="2640" w:type="dxa"/>
            <w:vAlign w:val="bottom"/>
            <w:tcBorders>
              <w:top w:val="single" w:sz="8" w:color="0000EE"/>
            </w:tcBorders>
            <w:gridSpan w:val="3"/>
          </w:tcPr>
          <w:p>
            <w:pPr>
              <w:spacing w:after="0"/>
              <w:rPr>
                <w:sz w:val="13"/>
                <w:szCs w:val="13"/>
                <w:color w:val="auto"/>
              </w:rPr>
            </w:pPr>
          </w:p>
        </w:tc>
        <w:tc>
          <w:tcPr>
            <w:tcW w:w="1720" w:type="dxa"/>
            <w:vAlign w:val="bottom"/>
            <w:gridSpan w:val="2"/>
          </w:tcPr>
          <w:p>
            <w:pPr>
              <w:spacing w:after="0"/>
              <w:rPr>
                <w:sz w:val="13"/>
                <w:szCs w:val="13"/>
                <w:color w:val="auto"/>
              </w:rPr>
            </w:pPr>
          </w:p>
        </w:tc>
        <w:tc>
          <w:tcPr>
            <w:tcW w:w="700" w:type="dxa"/>
            <w:vAlign w:val="bottom"/>
          </w:tcPr>
          <w:p>
            <w:pPr>
              <w:ind w:left="480"/>
              <w:spacing w:after="0" w:line="160" w:lineRule="exact"/>
              <w:rPr>
                <w:sz w:val="20"/>
                <w:szCs w:val="20"/>
                <w:color w:val="auto"/>
              </w:rPr>
            </w:pPr>
            <w:r>
              <w:rPr>
                <w:rFonts w:ascii="Times New Roman" w:cs="Times New Roman" w:eastAsia="Times New Roman" w:hAnsi="Times New Roman"/>
                <w:sz w:val="16"/>
                <w:szCs w:val="16"/>
                <w:color w:val="auto"/>
                <w:w w:val="89"/>
              </w:rPr>
              <w:t>F-8</w:t>
            </w:r>
          </w:p>
        </w:tc>
      </w:tr>
      <w:tr>
        <w:trPr>
          <w:trHeight w:val="566"/>
        </w:trPr>
        <w:tc>
          <w:tcPr>
            <w:tcW w:w="9860" w:type="dxa"/>
            <w:vAlign w:val="bottom"/>
            <w:gridSpan w:val="6"/>
          </w:tcPr>
          <w:p>
            <w:pPr>
              <w:ind w:left="5180"/>
              <w:spacing w:after="0"/>
              <w:rPr>
                <w:sz w:val="20"/>
                <w:szCs w:val="20"/>
                <w:color w:val="auto"/>
              </w:rPr>
            </w:pPr>
            <w:r>
              <w:rPr>
                <w:rFonts w:ascii="Times New Roman" w:cs="Times New Roman" w:eastAsia="Times New Roman" w:hAnsi="Times New Roman"/>
                <w:sz w:val="16"/>
                <w:szCs w:val="16"/>
                <w:color w:val="auto"/>
              </w:rPr>
              <w:t>F-1</w:t>
            </w:r>
          </w:p>
        </w:tc>
        <w:tc>
          <w:tcPr>
            <w:tcW w:w="700" w:type="dxa"/>
            <w:vAlign w:val="bottom"/>
          </w:tcPr>
          <w:p>
            <w:pPr>
              <w:spacing w:after="0"/>
              <w:rPr>
                <w:sz w:val="24"/>
                <w:szCs w:val="24"/>
                <w:color w:val="auto"/>
              </w:rPr>
            </w:pPr>
          </w:p>
        </w:tc>
      </w:tr>
      <w:tr>
        <w:trPr>
          <w:trHeight w:val="674"/>
        </w:trPr>
        <w:tc>
          <w:tcPr>
            <w:tcW w:w="550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REZOLVE AI PLC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Interim Combined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Pr>
          <w:p>
            <w:pPr>
              <w:spacing w:after="0"/>
              <w:rPr>
                <w:sz w:val="14"/>
                <w:szCs w:val="14"/>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Cash</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9,857,390</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9,729,546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Accounts receivable, net</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1,591,806</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703,706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Prepaid expenses and other current assets (including related party transactions of $298,520 and $0, see note 10)</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5,424,280</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1,002,117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receivable</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5,710,714</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Derivative asset</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2,587,581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22,584,190</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14,022,950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117,975</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22,319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Intangible assets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47,104,816</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6,750,178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6,189,901</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Right of use assets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2,294,862</w:t>
            </w: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Deferred tax asset</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412,569</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1,397,679</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57,517,802</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7,145,942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80,101,992</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21,168,892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Shareholders’ deficit</w:t>
            </w:r>
          </w:p>
        </w:tc>
        <w:tc>
          <w:tcPr>
            <w:tcW w:w="2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23,035,142</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8,061,598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Due to related party (refer to note 10)</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1,639,418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Accrued expenses and other payables</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15,680,098</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9,513,932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Short term debt</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28,745,993</w:t>
            </w: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Short term debt to related party (refer to note 10)</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5,102,211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Short term convertible debt</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111,837</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10,288,123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Short term convertible debt to related party (refer to note 10)</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108,047</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95,309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Convertible promissory notes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538,524</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6,428,825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Ordinary Shares Payable</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1,206,609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Share-based payment liability</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1,400,000</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Advisors loans</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3,865,447</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12,812,366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Derivative liabilities</w:t>
            </w:r>
          </w:p>
        </w:tc>
        <w:tc>
          <w:tcPr>
            <w:tcW w:w="240" w:type="dxa"/>
            <w:vAlign w:val="bottom"/>
            <w:shd w:val="clear" w:color="auto" w:fill="CFF0FC"/>
          </w:tcPr>
          <w:p>
            <w:pPr>
              <w:spacing w:after="0"/>
              <w:rPr>
                <w:sz w:val="14"/>
                <w:szCs w:val="14"/>
                <w:color w:val="auto"/>
              </w:rPr>
            </w:pPr>
          </w:p>
        </w:tc>
        <w:tc>
          <w:tcPr>
            <w:tcW w:w="1460" w:type="dxa"/>
            <w:vAlign w:val="bottom"/>
            <w:tcBorders>
              <w:right w:val="single" w:sz="8" w:color="CFF0FC"/>
            </w:tcBorders>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1,513,430</w:t>
            </w:r>
          </w:p>
        </w:tc>
        <w:tc>
          <w:tcPr>
            <w:tcW w:w="18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2,579,875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1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60" w:type="dxa"/>
            <w:vAlign w:val="bottom"/>
            <w:tcBorders>
              <w:right w:val="single" w:sz="8" w:color="CFF0FC"/>
            </w:tcBorders>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Deferred revenue</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16,016,292</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Lease liabilities, current portion</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1,452,755</w:t>
            </w: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taxes payable</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482,882</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695,517</w:t>
            </w: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2,138,314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93,645,964</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62,438,636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Long term debt</w:t>
            </w:r>
          </w:p>
        </w:tc>
        <w:tc>
          <w:tcPr>
            <w:tcW w:w="24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121,140</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Lease liabilities, non-current portion</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610,146</w:t>
            </w: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14,561</w:t>
            </w: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Total non current liabilities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745,847</w:t>
            </w: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94,391,811</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62,438,636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100" w:type="dxa"/>
            <w:vAlign w:val="bottom"/>
            <w:tcBorders>
              <w:right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Commitments and contingencies (refer to note 13)</w:t>
            </w:r>
          </w:p>
        </w:tc>
        <w:tc>
          <w:tcPr>
            <w:tcW w:w="240" w:type="dxa"/>
            <w:vAlign w:val="bottom"/>
            <w:shd w:val="clear" w:color="auto" w:fill="CFF0FC"/>
          </w:tcPr>
          <w:p>
            <w:pPr>
              <w:spacing w:after="0"/>
              <w:rPr>
                <w:sz w:val="11"/>
                <w:szCs w:val="11"/>
                <w:color w:val="auto"/>
              </w:rPr>
            </w:pPr>
          </w:p>
        </w:tc>
        <w:tc>
          <w:tcPr>
            <w:tcW w:w="146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Shareholders’ deficit</w:t>
            </w: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Borders>
              <w:right w:val="single" w:sz="8" w:color="CFF0FC"/>
            </w:tcBorders>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Ordinary shares, £0.0001 nominal value 259,066,638 shares issued and outstanding as of June 30, 2025; 209,080,491 shares issued</w:t>
            </w:r>
          </w:p>
        </w:tc>
        <w:tc>
          <w:tcPr>
            <w:tcW w:w="24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and outstanding as of December 31, 2024; 341,476,136 and 256,365,817 shares authorized as of June 30, 2025 and December 31,</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33,394</w:t>
            </w:r>
          </w:p>
        </w:tc>
        <w:tc>
          <w:tcPr>
            <w:tcW w:w="1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26,919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302,123,036</w:t>
            </w: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216,879,496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 subscription receivable</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(2,108)</w:t>
            </w: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Accumulated deficit</w:t>
            </w: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(316,062,263)</w:t>
            </w: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(258,209,745)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(381,878)</w:t>
            </w: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33,666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stockholders’ deficit</w:t>
            </w: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(14,289,819)</w:t>
            </w: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(41,269,744)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80,101,992</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21,168,892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left="680" w:right="40"/>
        <w:spacing w:after="0" w:line="289" w:lineRule="auto"/>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interim combined consolidated financial statements. These condensed interim combined consolidated financial statements have been retrospectively adjusted, see Note 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Interim Combined Consolidated Statements of Operations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6,316,950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1,202,014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Cost of revenue (see note 2.7)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276,049</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78,413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Sales and marketing expenses (including related party transactions of $770,032 and $734,824, see note 10)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3,619,675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1,662,048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4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General and administrative expenses (including related party transactions of $6,612,778 and $3,147,074, see</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note 10)</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33,263,730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8,972,450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31,236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Depreciation and amortization expenses</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1,550,777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121,895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38,741,467</w:t>
            </w:r>
          </w:p>
        </w:tc>
        <w:tc>
          <w:tcPr>
            <w:tcW w:w="26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10,919,306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loss</w:t>
            </w: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(32,424,517)</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(9,717,292)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(expense)/income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(2,109,570)</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(3,008,131)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Loss on derivatives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(1,521,136)</w:t>
            </w:r>
          </w:p>
        </w:tc>
        <w:tc>
          <w:tcPr>
            <w:tcW w:w="16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Loss on extinguishment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(27,183,375)</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 on revaluation of financial asset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5,710,714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non-operating income (expense), net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169,613</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(98,818)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(24,933,754)</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(3,106,949)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Loss before taxes</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(57,358,271)</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(12,824,241)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(494,247)</w:t>
            </w:r>
          </w:p>
        </w:tc>
        <w:tc>
          <w:tcPr>
            <w:tcW w:w="160" w:type="dxa"/>
            <w:vAlign w:val="bottom"/>
          </w:tcPr>
          <w:p>
            <w:pPr>
              <w:spacing w:after="0"/>
              <w:rPr>
                <w:sz w:val="15"/>
                <w:szCs w:val="15"/>
                <w:color w:val="auto"/>
              </w:rPr>
            </w:pPr>
          </w:p>
        </w:tc>
        <w:tc>
          <w:tcPr>
            <w:tcW w:w="14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(142,856)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38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b w:val="1"/>
                <w:bCs w:val="1"/>
                <w:color w:val="auto"/>
              </w:rPr>
              <w:t>(57,852,518</w:t>
            </w:r>
            <w:r>
              <w:rPr>
                <w:rFonts w:ascii="Times New Roman" w:cs="Times New Roman" w:eastAsia="Times New Roman" w:hAnsi="Times New Roman"/>
                <w:sz w:val="18"/>
                <w:szCs w:val="18"/>
                <w:b w:val="1"/>
                <w:bCs w:val="1"/>
                <w:color w:val="auto"/>
                <w:vertAlign w:val="subscript"/>
              </w:rPr>
              <w:t>)</w:t>
            </w: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b w:val="1"/>
                <w:bCs w:val="1"/>
                <w:color w:val="auto"/>
              </w:rPr>
              <w:t>(12,967,097</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04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Net loss per share, basic and diluted</w:t>
            </w:r>
          </w:p>
        </w:tc>
        <w:tc>
          <w:tcPr>
            <w:tcW w:w="38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6"/>
                <w:szCs w:val="16"/>
                <w:b w:val="1"/>
                <w:bCs w:val="1"/>
                <w:color w:val="auto"/>
              </w:rPr>
              <w:t>(0.25)</w:t>
            </w:r>
          </w:p>
        </w:tc>
        <w:tc>
          <w:tcPr>
            <w:tcW w:w="16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6"/>
                <w:szCs w:val="16"/>
                <w:b w:val="1"/>
                <w:bCs w:val="1"/>
                <w:color w:val="auto"/>
              </w:rPr>
              <w:t>(0.09)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Weighted average shares, basic and diluted</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233,521,905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151,369,192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left="680" w:right="40"/>
        <w:spacing w:after="0" w:line="289" w:lineRule="auto"/>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interim combined consolidated financial statements. These condensed interim combined consolidated financial statements have been retrospectively adjusted, see Note 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Interim Combined Consolidated Statements of Comprehensive Loss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June 30, 2024</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(57,852,518)</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(12,967,097)</w:t>
            </w:r>
          </w:p>
        </w:tc>
      </w:tr>
      <w:tr>
        <w:trPr>
          <w:trHeight w:val="180"/>
        </w:trPr>
        <w:tc>
          <w:tcPr>
            <w:tcW w:w="73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3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Foreign currency translation (loss)/gain</w:t>
            </w: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(415,544)</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133,245</w:t>
            </w:r>
          </w:p>
        </w:tc>
      </w:tr>
      <w:tr>
        <w:trPr>
          <w:trHeight w:val="180"/>
        </w:trPr>
        <w:tc>
          <w:tcPr>
            <w:tcW w:w="730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1"/>
                <w:szCs w:val="11"/>
                <w:b w:val="1"/>
                <w:bCs w:val="1"/>
                <w:color w:val="auto"/>
              </w:rPr>
              <w:t>(58,268,062</w:t>
            </w:r>
            <w:r>
              <w:rPr>
                <w:rFonts w:ascii="Times New Roman" w:cs="Times New Roman" w:eastAsia="Times New Roman" w:hAnsi="Times New Roman"/>
                <w:sz w:val="18"/>
                <w:szCs w:val="18"/>
                <w:b w:val="1"/>
                <w:bCs w:val="1"/>
                <w:color w:val="auto"/>
                <w:vertAlign w:val="subscript"/>
              </w:rPr>
              <w:t>)</w:t>
            </w:r>
          </w:p>
        </w:tc>
        <w:tc>
          <w:tcPr>
            <w:tcW w:w="16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b w:val="1"/>
                <w:bCs w:val="1"/>
                <w:color w:val="auto"/>
              </w:rPr>
              <w:t>(12,833,852</w:t>
            </w:r>
            <w:r>
              <w:rPr>
                <w:rFonts w:ascii="Times New Roman" w:cs="Times New Roman" w:eastAsia="Times New Roman" w:hAnsi="Times New Roman"/>
                <w:sz w:val="18"/>
                <w:szCs w:val="18"/>
                <w:b w:val="1"/>
                <w:bCs w:val="1"/>
                <w:color w:val="auto"/>
                <w:vertAlign w:val="subscript"/>
              </w:rPr>
              <w:t>)</w:t>
            </w:r>
          </w:p>
        </w:tc>
      </w:tr>
      <w:tr>
        <w:trPr>
          <w:trHeight w:val="20"/>
        </w:trPr>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left="680" w:right="40"/>
        <w:spacing w:after="0" w:line="289" w:lineRule="auto"/>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interim combined consolidated financial statements. These condensed interim combined consolidated financial statements have been retrospectively adjusted, see Note 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REZOLVE AI PLC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Interim Combined Consolidated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100" w:type="dxa"/>
            <w:vAlign w:val="bottom"/>
          </w:tcPr>
          <w:p>
            <w:pPr>
              <w:spacing w:after="0"/>
              <w:rPr>
                <w:sz w:val="11"/>
                <w:szCs w:val="11"/>
                <w:color w:val="auto"/>
              </w:rPr>
            </w:pP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Series A shares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subscription</w:t>
            </w:r>
          </w:p>
        </w:tc>
        <w:tc>
          <w:tcPr>
            <w:tcW w:w="160" w:type="dxa"/>
            <w:vAlign w:val="bottom"/>
          </w:tcPr>
          <w:p>
            <w:pPr>
              <w:spacing w:after="0"/>
              <w:rPr>
                <w:sz w:val="11"/>
                <w:szCs w:val="11"/>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tcPr>
          <w:p>
            <w:pPr>
              <w:spacing w:after="0"/>
              <w:rPr>
                <w:sz w:val="11"/>
                <w:szCs w:val="11"/>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8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receivable</w:t>
            </w:r>
          </w:p>
        </w:tc>
        <w:tc>
          <w:tcPr>
            <w:tcW w:w="160" w:type="dxa"/>
            <w:vAlign w:val="bottom"/>
          </w:tcPr>
          <w:p>
            <w:pPr>
              <w:spacing w:after="0"/>
              <w:rPr>
                <w:sz w:val="11"/>
                <w:szCs w:val="11"/>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at January 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209,080,491</w:t>
            </w:r>
          </w:p>
        </w:tc>
        <w:tc>
          <w:tcPr>
            <w:tcW w:w="1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216,879,49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(258,209,7)</w:t>
            </w: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(80)</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33,666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(41,269,744)</w:t>
            </w: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Share-based compensation- employees</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2,341,249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2,341,249</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Shares issued to advisors (see note 8.8)</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1,169,846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2,893,644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2,893,792</w:t>
            </w:r>
          </w:p>
        </w:tc>
        <w:tc>
          <w:tcPr>
            <w:tcW w:w="120" w:type="dxa"/>
            <w:vAlign w:val="bottom"/>
          </w:tcPr>
          <w:p>
            <w:pPr>
              <w:spacing w:after="0"/>
              <w:rPr>
                <w:sz w:val="11"/>
                <w:szCs w:val="11"/>
                <w:color w:val="auto"/>
              </w:rPr>
            </w:pP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Shares issued on conversion of senior secured notes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10,840,973</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30,764,671</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30,765,993</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ordinary shares upon conversion of advanced</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171,429</w:t>
            </w: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118,271</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118,293</w:t>
            </w: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subscription</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Issuance of ordinary shares under Yorkville Standby Equity</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500,000</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1,613,145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1,613,207</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Purchase Agreement</w:t>
            </w: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ordinary shares upon conversion of Yorkville Note (see</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1,413,946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3,746,957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3,747,134</w:t>
            </w:r>
          </w:p>
        </w:tc>
        <w:tc>
          <w:tcPr>
            <w:tcW w:w="120" w:type="dxa"/>
            <w:vAlign w:val="bottom"/>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note 8.7)</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shares issued upon exercise of share options by consultants</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223,622</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(28)</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upon exercise of share options under LTIP by</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748,866</w:t>
            </w: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(99)</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employees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shares issued upon exercise of share options under LTIP by</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11,864,174</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(1,566)</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related parties</w:t>
            </w: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to Radio Group to settle termination of ANY</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300,000</w:t>
            </w: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875,963</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876,000</w:t>
            </w: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acquisition in Germany</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shares issued upon conversion of convertible notes (see</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471,337</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1,138,514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1,138,568</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note 8)</w:t>
            </w: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in upon conversion of promissory note (see</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1,257,632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4,116,012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4,116,180</w:t>
            </w:r>
          </w:p>
        </w:tc>
        <w:tc>
          <w:tcPr>
            <w:tcW w:w="120" w:type="dxa"/>
            <w:vAlign w:val="bottom"/>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note 8)</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shares issued upon acquisition of GroupBy (see note 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3,999,902</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5,759,342</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5,759,859</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in lieu of cash payment for services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110,000</w:t>
            </w: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222,486</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222,500</w:t>
            </w: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shares issued upon acquisition of Bluedot Innovation (see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1,941,111</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3,396,700</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3,396,944</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note 4)</w:t>
            </w: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to DBLP under the rights issue</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4,150,000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1,087,779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1,088,327</w:t>
            </w:r>
          </w:p>
        </w:tc>
        <w:tc>
          <w:tcPr>
            <w:tcW w:w="120" w:type="dxa"/>
            <w:vAlign w:val="bottom"/>
          </w:tcPr>
          <w:p>
            <w:pPr>
              <w:spacing w:after="0"/>
              <w:rPr>
                <w:sz w:val="11"/>
                <w:szCs w:val="11"/>
                <w:color w:val="auto"/>
              </w:rPr>
            </w:pP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share-based compensation issued to related parties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6,043,937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(335)</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6,043,937</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on conversion of advisors loans (see note 8.8)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861,333</w:t>
            </w: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2,080,699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2,080,815</w:t>
            </w:r>
          </w:p>
        </w:tc>
        <w:tc>
          <w:tcPr>
            <w:tcW w:w="120" w:type="dxa"/>
            <w:vAlign w:val="bottom"/>
          </w:tcPr>
          <w:p>
            <w:pPr>
              <w:spacing w:after="0"/>
              <w:rPr>
                <w:sz w:val="11"/>
                <w:szCs w:val="11"/>
                <w:color w:val="auto"/>
              </w:rPr>
            </w:pP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shares issued upon acquisition of Mpower (see note 4)</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804,833</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1,529,074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1,529,182</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to DBLP upon settlement of related party</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800,000</w:t>
            </w: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823,041</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823,148</w:t>
            </w: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payable</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Ordinary shares issued to Western Alliance Bank to settle debt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5,857,143</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16,692,057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16,692,859</w:t>
            </w:r>
          </w:p>
        </w:tc>
        <w:tc>
          <w:tcPr>
            <w:tcW w:w="120" w:type="dxa"/>
            <w:vAlign w:val="bottom"/>
            <w:shd w:val="clear" w:color="auto" w:fill="CFF0FC"/>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assumed in the GroupBy acquisition</w:t>
            </w: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2"/>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(57,852,51)</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(57,852,518)</w:t>
            </w: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Foreign currency translation loss</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w w:val="72"/>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(415,544)</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(415,544)</w:t>
            </w:r>
          </w:p>
        </w:tc>
      </w:tr>
      <w:tr>
        <w:trPr>
          <w:trHeight w:val="130"/>
        </w:trPr>
        <w:tc>
          <w:tcPr>
            <w:tcW w:w="3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at June 30,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259,066,638</w:t>
            </w:r>
          </w:p>
        </w:tc>
        <w:tc>
          <w:tcPr>
            <w:tcW w:w="1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w:t>
            </w:r>
          </w:p>
        </w:tc>
        <w:tc>
          <w:tcPr>
            <w:tcW w:w="18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w w:val="72"/>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302,123,03</w:t>
            </w:r>
          </w:p>
        </w:tc>
        <w:tc>
          <w:tcPr>
            <w:tcW w:w="2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(316,062,2)</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(2,108)</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(381,878)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(14,289,819)</w:t>
            </w:r>
          </w:p>
        </w:tc>
      </w:tr>
      <w:tr>
        <w:trPr>
          <w:trHeight w:val="132"/>
        </w:trPr>
        <w:tc>
          <w:tcPr>
            <w:tcW w:w="3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4"/>
        </w:trPr>
        <w:tc>
          <w:tcPr>
            <w:tcW w:w="3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w:t>
            </w:r>
          </w:p>
        </w:tc>
        <w:tc>
          <w:tcPr>
            <w:tcW w:w="1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20"/>
        </w:trPr>
        <w:tc>
          <w:tcPr>
            <w:tcW w:w="3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left="680" w:right="40"/>
        <w:spacing w:after="0" w:line="289" w:lineRule="auto"/>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interim combined consolidated financial statements. These condensed interim combined consolidated financial statements have been retrospectively adjusted,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REZOLVE AI PLC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Interim Combined Consolidated Statements of Stockholders’ Deficit</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(Unaudited)</w:t>
      </w:r>
    </w:p>
    <w:p>
      <w:pPr>
        <w:sectPr>
          <w:pgSz w:w="11900" w:h="16840" w:orient="portrait"/>
          <w:cols w:equalWidth="0" w:num="1">
            <w:col w:w="10520"/>
          </w:cols>
          <w:pgMar w:left="660" w:top="1311" w:right="720" w:bottom="1440" w:gutter="0" w:footer="0" w:header="0"/>
        </w:sect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0" w:type="dxa"/>
            <w:vAlign w:val="bottom"/>
          </w:tcPr>
          <w:p>
            <w:pPr>
              <w:spacing w:after="0"/>
              <w:rPr>
                <w:sz w:val="12"/>
                <w:szCs w:val="12"/>
                <w:color w:val="auto"/>
              </w:rPr>
            </w:pPr>
          </w:p>
        </w:tc>
        <w:tc>
          <w:tcPr>
            <w:tcW w:w="166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48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Series A shares</w:t>
            </w:r>
          </w:p>
        </w:tc>
      </w:tr>
      <w:tr>
        <w:trPr>
          <w:trHeight w:val="386"/>
        </w:trPr>
        <w:tc>
          <w:tcPr>
            <w:tcW w:w="240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24"/>
                <w:szCs w:val="24"/>
                <w:color w:val="auto"/>
              </w:rPr>
            </w:pPr>
          </w:p>
        </w:tc>
        <w:tc>
          <w:tcPr>
            <w:tcW w:w="6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at January 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152,262,29</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127,310</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4,575,983</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3,868</w:t>
            </w:r>
          </w:p>
        </w:tc>
      </w:tr>
      <w:tr>
        <w:trPr>
          <w:trHeight w:val="134"/>
        </w:trPr>
        <w:tc>
          <w:tcPr>
            <w:tcW w:w="24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4,528</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Warrants issued with loan</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Ordinary shares issued from exercise of share-</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options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Share-based compensation in lieu of services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Share-based compensation related parties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Employee share-based compensation</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Share issuance for Bluedot common control</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819,737</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transaction (see note 2 and 4)</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gain</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2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at June 30,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153,086,56</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127,416</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4,575,983</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3,868</w:t>
            </w:r>
          </w:p>
        </w:tc>
      </w:tr>
      <w:tr>
        <w:trPr>
          <w:trHeight w:val="134"/>
        </w:trPr>
        <w:tc>
          <w:tcPr>
            <w:tcW w:w="240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20"/>
        </w:trPr>
        <w:tc>
          <w:tcPr>
            <w:tcW w:w="2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-1280160</wp:posOffset>
            </wp:positionV>
            <wp:extent cx="6707505" cy="167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-1028065</wp:posOffset>
            </wp:positionV>
            <wp:extent cx="6707505" cy="83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-776605</wp:posOffset>
            </wp:positionV>
            <wp:extent cx="6707505" cy="83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-608965</wp:posOffset>
            </wp:positionV>
            <wp:extent cx="6707505" cy="83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-357505</wp:posOffset>
            </wp:positionV>
            <wp:extent cx="6707505" cy="83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-189865</wp:posOffset>
            </wp:positionV>
            <wp:extent cx="6707505" cy="190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8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2"/>
        </w:trPr>
        <w:tc>
          <w:tcPr>
            <w:tcW w:w="8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subscription</w:t>
            </w:r>
          </w:p>
        </w:tc>
        <w:tc>
          <w:tcPr>
            <w:tcW w:w="16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18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r>
      <w:tr>
        <w:trPr>
          <w:trHeight w:val="132"/>
        </w:trPr>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8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8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receivable</w:t>
            </w:r>
          </w:p>
        </w:tc>
        <w:tc>
          <w:tcPr>
            <w:tcW w:w="16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income</w:t>
            </w:r>
          </w:p>
        </w:tc>
        <w:tc>
          <w:tcPr>
            <w:tcW w:w="18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Deficit</w:t>
            </w:r>
          </w:p>
        </w:tc>
      </w:tr>
      <w:tr>
        <w:trPr>
          <w:trHeight w:val="142"/>
        </w:trPr>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193,631,205</w:t>
            </w: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(249,869,811)</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(178,720)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(119,385)</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(56,405,533)</w:t>
            </w:r>
          </w:p>
        </w:tc>
      </w:tr>
      <w:tr>
        <w:trPr>
          <w:trHeight w:val="256"/>
        </w:trPr>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25,146</w:t>
            </w:r>
          </w:p>
        </w:tc>
        <w:tc>
          <w:tcPr>
            <w:tcW w:w="4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1,782</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1,782</w:t>
            </w:r>
          </w:p>
        </w:tc>
      </w:tr>
      <w:tr>
        <w:trPr>
          <w:trHeight w:val="140"/>
        </w:trPr>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r>
      <w:tr>
        <w:trPr>
          <w:trHeight w:val="256"/>
        </w:trPr>
        <w:tc>
          <w:tcPr>
            <w:tcW w:w="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2,190,482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2,190,482</w:t>
            </w:r>
          </w:p>
        </w:tc>
        <w:tc>
          <w:tcPr>
            <w:tcW w:w="40" w:type="dxa"/>
            <w:vAlign w:val="bottom"/>
          </w:tcPr>
          <w:p>
            <w:pPr>
              <w:spacing w:after="0"/>
              <w:rPr>
                <w:sz w:val="11"/>
                <w:szCs w:val="11"/>
                <w:color w:val="auto"/>
              </w:rPr>
            </w:pPr>
          </w:p>
        </w:tc>
      </w:tr>
      <w:tr>
        <w:trPr>
          <w:trHeight w:val="132"/>
        </w:trPr>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1,852,702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1,852,702</w:t>
            </w:r>
          </w:p>
        </w:tc>
        <w:tc>
          <w:tcPr>
            <w:tcW w:w="40" w:type="dxa"/>
            <w:vAlign w:val="bottom"/>
          </w:tcPr>
          <w:p>
            <w:pPr>
              <w:spacing w:after="0"/>
              <w:rPr>
                <w:sz w:val="11"/>
                <w:szCs w:val="11"/>
                <w:color w:val="auto"/>
              </w:rPr>
            </w:pPr>
          </w:p>
        </w:tc>
      </w:tr>
      <w:tr>
        <w:trPr>
          <w:trHeight w:val="140"/>
        </w:trPr>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1,000</w:t>
            </w:r>
          </w:p>
        </w:tc>
      </w:tr>
      <w:tr>
        <w:trPr>
          <w:trHeight w:val="256"/>
        </w:trPr>
        <w:tc>
          <w:tcPr>
            <w:tcW w:w="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(12,967,097)</w:t>
            </w:r>
          </w:p>
        </w:tc>
        <w:tc>
          <w:tcPr>
            <w:tcW w:w="16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(12,967,097)</w:t>
            </w:r>
          </w:p>
        </w:tc>
      </w:tr>
      <w:tr>
        <w:trPr>
          <w:trHeight w:val="130"/>
        </w:trPr>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133,245</w:t>
            </w:r>
          </w:p>
        </w:tc>
        <w:tc>
          <w:tcPr>
            <w:tcW w:w="18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133,245</w:t>
            </w:r>
          </w:p>
        </w:tc>
      </w:tr>
      <w:tr>
        <w:trPr>
          <w:trHeight w:val="142"/>
        </w:trPr>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197,702,211</w:t>
            </w: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(262,836,908)</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(178,720)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13,860</w:t>
            </w: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(65,168,273)</w:t>
            </w:r>
          </w:p>
        </w:tc>
      </w:tr>
      <w:tr>
        <w:trPr>
          <w:trHeight w:val="124"/>
        </w:trPr>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2" w:lineRule="exact"/>
        <w:rPr>
          <w:sz w:val="20"/>
          <w:szCs w:val="20"/>
          <w:color w:val="auto"/>
        </w:rPr>
      </w:pPr>
    </w:p>
    <w:p>
      <w:pPr>
        <w:sectPr>
          <w:pgSz w:w="11900" w:h="16840" w:orient="portrait"/>
          <w:cols w:equalWidth="0" w:num="2">
            <w:col w:w="5540" w:space="200"/>
            <w:col w:w="4780"/>
          </w:cols>
          <w:pgMar w:left="660" w:top="1311" w:right="720" w:bottom="1440" w:gutter="0" w:footer="0" w:header="0"/>
          <w:type w:val="continuous"/>
        </w:sectPr>
      </w:pPr>
    </w:p>
    <w:p>
      <w:pPr>
        <w:jc w:val="center"/>
        <w:ind w:left="60"/>
        <w:spacing w:after="0" w:line="289" w:lineRule="auto"/>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interim combined consolidated financial statements. These condensed interim combined consolidated financial statements have been retrospectively adjusted, see Note 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REZOLVE AI PLC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Interim Combined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40" w:type="dxa"/>
            <w:vAlign w:val="bottom"/>
          </w:tcPr>
          <w:p>
            <w:pPr>
              <w:spacing w:after="0"/>
              <w:rPr>
                <w:sz w:val="13"/>
                <w:szCs w:val="13"/>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0" w:type="dxa"/>
            <w:vAlign w:val="bottom"/>
          </w:tcPr>
          <w:p>
            <w:pPr>
              <w:spacing w:after="0"/>
              <w:rPr>
                <w:sz w:val="14"/>
                <w:szCs w:val="14"/>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(57,852,518)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(12,967,097)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1,550,777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Share based compensation for employees</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2,341,249</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1,852,702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 based compensation issued to related parties</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6,043,937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2,190,482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Ordinary shares issued in lieu of cash payment for services</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222,486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Ordinary shares issued to Radio Group to settle termination of ANY acquisition in Germany</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876,000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482,882</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2,255,967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3,008,131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Loss on derivatives</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1,521,136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extinguishment</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27,247,099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Gain on revaluation of financial asset</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(5,710,714)</w:t>
            </w: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Unrealized foreign exchange (gain)/loss</w:t>
            </w:r>
          </w:p>
        </w:tc>
        <w:tc>
          <w:tcPr>
            <w:tcW w:w="1120" w:type="dxa"/>
            <w:vAlign w:val="bottom"/>
          </w:tcPr>
          <w:p>
            <w:pPr>
              <w:spacing w:after="0"/>
              <w:rPr>
                <w:sz w:val="13"/>
                <w:szCs w:val="13"/>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(145,259)</w:t>
            </w: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Non-cash component of lease expense</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561,127</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attributable to Bluedot Industries prior to common control transaction</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291,161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Decrease in accounts receivable</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4,536,378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in prepaid expense and other current assets</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(4,483,334)</w:t>
            </w: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(131,679)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accounts payable, accrued expenses and other payables</w:t>
            </w:r>
          </w:p>
        </w:tc>
        <w:tc>
          <w:tcPr>
            <w:tcW w:w="11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2,053,099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477,428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(Decrease)/Increase in payables due to related parties</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(1,297,489)</w:t>
            </w: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315,895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accrued expenses and other payables</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229,070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Decrease in lease liabilities</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(805,828)</w:t>
            </w: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non-current liabilities</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272,835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840" w:type="dxa"/>
            <w:vAlign w:val="bottom"/>
            <w:gridSpan w:val="3"/>
            <w:shd w:val="clear" w:color="auto" w:fill="CFF0FC"/>
          </w:tcPr>
          <w:p>
            <w:pPr>
              <w:jc w:val="right"/>
              <w:spacing w:after="0" w:line="136" w:lineRule="exact"/>
              <w:rPr>
                <w:sz w:val="20"/>
                <w:szCs w:val="20"/>
                <w:color w:val="auto"/>
              </w:rPr>
            </w:pPr>
            <w:r>
              <w:rPr>
                <w:rFonts w:ascii="Times New Roman" w:cs="Times New Roman" w:eastAsia="Times New Roman" w:hAnsi="Times New Roman"/>
                <w:sz w:val="9"/>
                <w:szCs w:val="9"/>
                <w:b w:val="1"/>
                <w:bCs w:val="1"/>
                <w:color w:val="auto"/>
              </w:rPr>
              <w:t>(19,809,939</w:t>
            </w:r>
            <w:r>
              <w:rPr>
                <w:rFonts w:ascii="Times New Roman" w:cs="Times New Roman" w:eastAsia="Times New Roman" w:hAnsi="Times New Roman"/>
                <w:sz w:val="15"/>
                <w:szCs w:val="15"/>
                <w:b w:val="1"/>
                <w:bCs w:val="1"/>
                <w:color w:val="auto"/>
                <w:vertAlign w:val="subscript"/>
              </w:rPr>
              <w:t>) $</w:t>
            </w:r>
          </w:p>
        </w:tc>
        <w:tc>
          <w:tcPr>
            <w:tcW w:w="1600" w:type="dxa"/>
            <w:vAlign w:val="bottom"/>
            <w:gridSpan w:val="2"/>
            <w:shd w:val="clear" w:color="auto" w:fill="CFF0FC"/>
          </w:tcPr>
          <w:p>
            <w:pPr>
              <w:jc w:val="right"/>
              <w:ind w:right="60"/>
              <w:spacing w:after="0" w:line="136" w:lineRule="exact"/>
              <w:rPr>
                <w:sz w:val="20"/>
                <w:szCs w:val="20"/>
                <w:color w:val="auto"/>
              </w:rPr>
            </w:pPr>
            <w:r>
              <w:rPr>
                <w:rFonts w:ascii="Times New Roman" w:cs="Times New Roman" w:eastAsia="Times New Roman" w:hAnsi="Times New Roman"/>
                <w:sz w:val="9"/>
                <w:szCs w:val="9"/>
                <w:b w:val="1"/>
                <w:bCs w:val="1"/>
                <w:color w:val="auto"/>
              </w:rPr>
              <w:t>(4,900,193</w:t>
            </w:r>
            <w:r>
              <w:rPr>
                <w:rFonts w:ascii="Times New Roman" w:cs="Times New Roman" w:eastAsia="Times New Roman" w:hAnsi="Times New Roman"/>
                <w:sz w:val="15"/>
                <w:szCs w:val="15"/>
                <w:b w:val="1"/>
                <w:bCs w:val="1"/>
                <w:color w:val="auto"/>
                <w:vertAlign w:val="subscript"/>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120" w:type="dxa"/>
            <w:vAlign w:val="bottom"/>
            <w:tcBorders>
              <w:top w:val="single" w:sz="8" w:color="CFF0FC"/>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(90,217)</w:t>
            </w: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Development of intangible assets</w:t>
            </w:r>
          </w:p>
        </w:tc>
        <w:tc>
          <w:tcPr>
            <w:tcW w:w="1120" w:type="dxa"/>
            <w:vAlign w:val="bottom"/>
          </w:tcPr>
          <w:p>
            <w:pPr>
              <w:spacing w:after="0"/>
              <w:rPr>
                <w:sz w:val="13"/>
                <w:szCs w:val="13"/>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(1,677,356)</w:t>
            </w:r>
          </w:p>
        </w:tc>
        <w:tc>
          <w:tcPr>
            <w:tcW w:w="140" w:type="dxa"/>
            <w:vAlign w:val="bottom"/>
          </w:tcPr>
          <w:p>
            <w:pPr>
              <w:spacing w:after="0"/>
              <w:rPr>
                <w:sz w:val="13"/>
                <w:szCs w:val="13"/>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(1,360,525)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Acquisition of Prediqt, net of cash acquired</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(80,888)</w:t>
            </w: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acquired in business combinations</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1,800,234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Cash acquired in common control transaction</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139,697</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91,470</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9"/>
                <w:szCs w:val="9"/>
                <w:b w:val="1"/>
                <w:bCs w:val="1"/>
                <w:color w:val="auto"/>
              </w:rPr>
              <w:t>(1,364,375</w:t>
            </w:r>
            <w:r>
              <w:rPr>
                <w:rFonts w:ascii="Times New Roman" w:cs="Times New Roman" w:eastAsia="Times New Roman" w:hAnsi="Times New Roman"/>
                <w:sz w:val="15"/>
                <w:szCs w:val="15"/>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59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12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rights issuance</w:t>
            </w:r>
          </w:p>
        </w:tc>
        <w:tc>
          <w:tcPr>
            <w:tcW w:w="1120" w:type="dxa"/>
            <w:vAlign w:val="bottom"/>
          </w:tcPr>
          <w:p>
            <w:pPr>
              <w:spacing w:after="0"/>
              <w:rPr>
                <w:sz w:val="13"/>
                <w:szCs w:val="13"/>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Call up capital received from related parties</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222,306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 of short-term debt obligation from related parties</w:t>
            </w:r>
          </w:p>
        </w:tc>
        <w:tc>
          <w:tcPr>
            <w:tcW w:w="1120" w:type="dxa"/>
            <w:vAlign w:val="bottom"/>
          </w:tcPr>
          <w:p>
            <w:pPr>
              <w:spacing w:after="0"/>
              <w:rPr>
                <w:sz w:val="13"/>
                <w:szCs w:val="13"/>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(5,163,477)</w:t>
            </w: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Proceeds from promissory notes</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67,705</w:t>
            </w:r>
          </w:p>
        </w:tc>
        <w:tc>
          <w:tcPr>
            <w:tcW w:w="1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issuance of ordinary shares</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1,613,207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Proceeds from short-term debt</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27,000,000</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 of advisor loans</w:t>
            </w:r>
          </w:p>
        </w:tc>
        <w:tc>
          <w:tcPr>
            <w:tcW w:w="1120" w:type="dxa"/>
            <w:vAlign w:val="bottom"/>
          </w:tcPr>
          <w:p>
            <w:pPr>
              <w:spacing w:after="0"/>
              <w:rPr>
                <w:sz w:val="13"/>
                <w:szCs w:val="13"/>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(3,500,000)</w:t>
            </w: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Proceeds from convertible debt</w:t>
            </w:r>
          </w:p>
        </w:tc>
        <w:tc>
          <w:tcPr>
            <w:tcW w:w="112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4,301,855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20,017,435</w:t>
            </w:r>
          </w:p>
        </w:tc>
        <w:tc>
          <w:tcPr>
            <w:tcW w:w="6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6,274,161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120" w:type="dxa"/>
            <w:vAlign w:val="bottom"/>
            <w:shd w:val="clear" w:color="auto" w:fill="CFF0FC"/>
          </w:tcPr>
          <w:p>
            <w:pPr>
              <w:spacing w:after="0"/>
              <w:rPr>
                <w:sz w:val="11"/>
                <w:szCs w:val="11"/>
                <w:color w:val="auto"/>
              </w:rPr>
            </w:pPr>
          </w:p>
        </w:tc>
        <w:tc>
          <w:tcPr>
            <w:tcW w:w="164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(171,122)</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0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38,522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change in cash</w:t>
            </w:r>
          </w:p>
        </w:tc>
        <w:tc>
          <w:tcPr>
            <w:tcW w:w="11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127,844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48,115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9,729,546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156,586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9,857,390</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204,701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11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paid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ind w:left="680" w:right="40"/>
        <w:spacing w:after="0" w:line="289" w:lineRule="auto"/>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interim carve-out consolidated financial statements. These condensed interim combined consolidated financial statements have been retrospectively adjusted, see Note 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1.Organization and nature of operations</w:t>
      </w:r>
    </w:p>
    <w:p>
      <w:pPr>
        <w:spacing w:after="0" w:line="94" w:lineRule="exact"/>
        <w:rPr>
          <w:sz w:val="20"/>
          <w:szCs w:val="20"/>
          <w:color w:val="auto"/>
        </w:rPr>
      </w:pPr>
    </w:p>
    <w:p>
      <w:pPr>
        <w:jc w:val="both"/>
        <w:ind w:firstLine="468"/>
        <w:spacing w:after="0" w:line="299" w:lineRule="auto"/>
        <w:rPr>
          <w:sz w:val="20"/>
          <w:szCs w:val="20"/>
          <w:color w:val="auto"/>
        </w:rPr>
      </w:pPr>
      <w:r>
        <w:rPr>
          <w:rFonts w:ascii="Times New Roman" w:cs="Times New Roman" w:eastAsia="Times New Roman" w:hAnsi="Times New Roman"/>
          <w:sz w:val="14"/>
          <w:szCs w:val="14"/>
          <w:color w:val="auto"/>
        </w:rPr>
        <w:t>Rezolve Group Limited (“Rezolve”, “the Company” or “we”) was incorporated in England and Wales on January 5, 2023 and changed its name on June 5, 2023 to Rezolve AI Limited. On March 28, 2025, the Company altered its legal status under English law from a private limited company and re -registered as a public limited company. In connection with the re-registration as a public limited company, the Company changed its name from Rezolve AI Limited to Rezolve AI plc.</w:t>
      </w:r>
    </w:p>
    <w:p>
      <w:pPr>
        <w:spacing w:after="0" w:line="131"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131" w:right="7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2.Basis of presentation and summary of significant accounting policies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Basis of presentation</w:t>
      </w:r>
    </w:p>
    <w:p>
      <w:pPr>
        <w:spacing w:after="0" w:line="94"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The condensed interim combined consolidated financial statements of Rezolve AI plc and subsidiaries (together “the Company” or “we”) have been prepared in accordance with accounting principles generally accepted in the United States of America (“US GAAP”) for interim financial information and pursuant to the rules and regulations of the Securities and Exchange Commission (SEC) for interim financial reporting. Accordingly, these unaudited condensed interim combined consolidated financial statements do not include all of the information and footnotes required by US GAAP for complete financial statements. These unaudited condensed interim combined consolidated financial statements include all adjustments necessary to fairly state the financial position and the results of the Company's operations and cash flows for interim periods in accordance with GAAP. All such adjustments are of a normal, recurring nature. The results for any interim period are not necessarily indicative of the results that may be expected for the year ended December 31, 2025 or for any future period.</w:t>
      </w:r>
    </w:p>
    <w:p>
      <w:pPr>
        <w:spacing w:after="0" w:line="74" w:lineRule="exact"/>
        <w:rPr>
          <w:sz w:val="20"/>
          <w:szCs w:val="20"/>
          <w:color w:val="auto"/>
        </w:rPr>
      </w:pPr>
    </w:p>
    <w:p>
      <w:pPr>
        <w:ind w:right="100" w:firstLine="468"/>
        <w:spacing w:after="0" w:line="289" w:lineRule="auto"/>
        <w:rPr>
          <w:sz w:val="20"/>
          <w:szCs w:val="20"/>
          <w:color w:val="auto"/>
        </w:rPr>
      </w:pPr>
      <w:r>
        <w:rPr>
          <w:rFonts w:ascii="Times New Roman" w:cs="Times New Roman" w:eastAsia="Times New Roman" w:hAnsi="Times New Roman"/>
          <w:sz w:val="14"/>
          <w:szCs w:val="14"/>
          <w:color w:val="auto"/>
        </w:rPr>
        <w:t>The condensed interim combined consolidated financial statements have been prepared using the United Stated Dollar (“$” or “US dollar”) as the reporting currency. The condensed interim combined consolidated financial statements and notes as presented do not contain all information that is included in the annual financial statements and notes thereto of the Company. The condensed interim combined consolidated financial statements and notes included in this Form 6-K should be read in conjunction with the financial statements and notes included in the Company’s 2024 Annual Report on Form 20-F (Annual Report) filed with the SEC.</w:t>
      </w:r>
    </w:p>
    <w:p>
      <w:pPr>
        <w:spacing w:after="0" w:line="41"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The significant accounting policies used in preparation of these condensed interim combined consolidated financial statements as of and for the six months ended June 30, 2025 are consistent with those described in our Annual Report.</w:t>
      </w:r>
    </w:p>
    <w:p>
      <w:pPr>
        <w:spacing w:after="0" w:line="59" w:lineRule="exact"/>
        <w:rPr>
          <w:sz w:val="20"/>
          <w:szCs w:val="20"/>
          <w:color w:val="auto"/>
        </w:rPr>
      </w:pPr>
    </w:p>
    <w:p>
      <w:pPr>
        <w:ind w:right="220" w:firstLine="468"/>
        <w:spacing w:after="0" w:line="243" w:lineRule="auto"/>
        <w:rPr>
          <w:sz w:val="20"/>
          <w:szCs w:val="20"/>
          <w:color w:val="auto"/>
        </w:rPr>
      </w:pPr>
      <w:r>
        <w:rPr>
          <w:rFonts w:ascii="Times New Roman" w:cs="Times New Roman" w:eastAsia="Times New Roman" w:hAnsi="Times New Roman"/>
          <w:sz w:val="16"/>
          <w:szCs w:val="16"/>
          <w:color w:val="auto"/>
        </w:rPr>
        <w:t>The accompanying condensed interim combined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71" w:lineRule="exact"/>
        <w:rPr>
          <w:sz w:val="20"/>
          <w:szCs w:val="20"/>
          <w:color w:val="auto"/>
        </w:rPr>
      </w:pPr>
    </w:p>
    <w:p>
      <w:pPr>
        <w:ind w:right="20" w:firstLine="468"/>
        <w:spacing w:after="0" w:line="241" w:lineRule="auto"/>
        <w:rPr>
          <w:sz w:val="20"/>
          <w:szCs w:val="20"/>
          <w:color w:val="auto"/>
        </w:rPr>
      </w:pPr>
      <w:r>
        <w:rPr>
          <w:rFonts w:ascii="Times New Roman" w:cs="Times New Roman" w:eastAsia="Times New Roman" w:hAnsi="Times New Roman"/>
          <w:sz w:val="16"/>
          <w:szCs w:val="16"/>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69"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The Pre -Closing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73" w:lineRule="exact"/>
        <w:rPr>
          <w:sz w:val="20"/>
          <w:szCs w:val="20"/>
          <w:color w:val="auto"/>
        </w:rPr>
      </w:pPr>
    </w:p>
    <w:p>
      <w:pPr>
        <w:ind w:right="20" w:firstLine="468"/>
        <w:spacing w:after="0" w:line="237" w:lineRule="auto"/>
        <w:rPr>
          <w:sz w:val="20"/>
          <w:szCs w:val="20"/>
          <w:color w:val="auto"/>
        </w:rPr>
      </w:pPr>
      <w:r>
        <w:rPr>
          <w:rFonts w:ascii="Times New Roman" w:cs="Times New Roman" w:eastAsia="Times New Roman" w:hAnsi="Times New Roman"/>
          <w:sz w:val="16"/>
          <w:szCs w:val="16"/>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For accounting purposes the Business Combination, accounted for as a reverse merger, was treated as the equivalent of Rezolve AI plc issuing 5,827,796 ordinary shares to acquire the net liabilities of Armada. The excess amount paid by an investor over the par 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505-30- 30-8, the Company made an accounting policy election that additional paid-in capital cannot be a negative amount and therefore the negative amount was allocated to accumulated deficit.</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net liabilities of Armada are recorded at their acquisition-date fair value in the condensed interim combined consolidated financial statements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5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180"/>
        </w:trPr>
        <w:tc>
          <w:tcPr>
            <w:tcW w:w="4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2500" w:type="dxa"/>
            <w:vAlign w:val="bottom"/>
          </w:tcPr>
          <w:p>
            <w:pPr>
              <w:spacing w:after="0"/>
              <w:rPr>
                <w:sz w:val="15"/>
                <w:szCs w:val="15"/>
                <w:color w:val="auto"/>
              </w:rPr>
            </w:pPr>
          </w:p>
        </w:tc>
        <w:tc>
          <w:tcPr>
            <w:tcW w:w="33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169,425</w:t>
            </w:r>
          </w:p>
        </w:tc>
        <w:tc>
          <w:tcPr>
            <w:tcW w:w="0" w:type="dxa"/>
            <w:vAlign w:val="bottom"/>
          </w:tcPr>
          <w:p>
            <w:pPr>
              <w:spacing w:after="0"/>
              <w:rPr>
                <w:sz w:val="1"/>
                <w:szCs w:val="1"/>
                <w:color w:val="auto"/>
              </w:rPr>
            </w:pPr>
          </w:p>
        </w:tc>
      </w:tr>
      <w:tr>
        <w:trPr>
          <w:trHeight w:val="180"/>
        </w:trPr>
        <w:tc>
          <w:tcPr>
            <w:tcW w:w="4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Accounts payable and accrued expenses</w:t>
            </w:r>
          </w:p>
        </w:tc>
        <w:tc>
          <w:tcPr>
            <w:tcW w:w="2500" w:type="dxa"/>
            <w:vAlign w:val="bottom"/>
            <w:shd w:val="clear" w:color="auto" w:fill="CFF0FC"/>
          </w:tcPr>
          <w:p>
            <w:pPr>
              <w:spacing w:after="0"/>
              <w:rPr>
                <w:sz w:val="15"/>
                <w:szCs w:val="15"/>
                <w:color w:val="auto"/>
              </w:rPr>
            </w:pPr>
          </w:p>
        </w:tc>
        <w:tc>
          <w:tcPr>
            <w:tcW w:w="33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(4,873,019)</w:t>
            </w:r>
          </w:p>
        </w:tc>
        <w:tc>
          <w:tcPr>
            <w:tcW w:w="0" w:type="dxa"/>
            <w:vAlign w:val="bottom"/>
          </w:tcPr>
          <w:p>
            <w:pPr>
              <w:spacing w:after="0"/>
              <w:rPr>
                <w:sz w:val="1"/>
                <w:szCs w:val="1"/>
                <w:color w:val="auto"/>
              </w:rPr>
            </w:pPr>
          </w:p>
        </w:tc>
      </w:tr>
      <w:tr>
        <w:trPr>
          <w:trHeight w:val="180"/>
        </w:trPr>
        <w:tc>
          <w:tcPr>
            <w:tcW w:w="4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(promissory notes)</w:t>
            </w:r>
          </w:p>
        </w:tc>
        <w:tc>
          <w:tcPr>
            <w:tcW w:w="2500" w:type="dxa"/>
            <w:vAlign w:val="bottom"/>
          </w:tcPr>
          <w:p>
            <w:pPr>
              <w:spacing w:after="0"/>
              <w:rPr>
                <w:sz w:val="15"/>
                <w:szCs w:val="15"/>
                <w:color w:val="auto"/>
              </w:rPr>
            </w:pPr>
          </w:p>
        </w:tc>
        <w:tc>
          <w:tcPr>
            <w:tcW w:w="33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(3,144,883)</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500" w:type="dxa"/>
            <w:vAlign w:val="bottom"/>
            <w:shd w:val="clear" w:color="auto" w:fill="CFF0FC"/>
          </w:tcPr>
          <w:p>
            <w:pPr>
              <w:spacing w:after="0"/>
              <w:rPr>
                <w:sz w:val="17"/>
                <w:szCs w:val="17"/>
                <w:color w:val="auto"/>
              </w:rPr>
            </w:pPr>
          </w:p>
        </w:tc>
        <w:tc>
          <w:tcPr>
            <w:tcW w:w="3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(1,499,936)</w:t>
            </w:r>
          </w:p>
        </w:tc>
        <w:tc>
          <w:tcPr>
            <w:tcW w:w="0" w:type="dxa"/>
            <w:vAlign w:val="bottom"/>
          </w:tcPr>
          <w:p>
            <w:pPr>
              <w:spacing w:after="0"/>
              <w:rPr>
                <w:sz w:val="1"/>
                <w:szCs w:val="1"/>
                <w:color w:val="auto"/>
              </w:rPr>
            </w:pPr>
          </w:p>
        </w:tc>
      </w:tr>
      <w:tr>
        <w:trPr>
          <w:trHeight w:val="97"/>
        </w:trPr>
        <w:tc>
          <w:tcPr>
            <w:tcW w:w="4720" w:type="dxa"/>
            <w:vAlign w:val="bottom"/>
            <w:shd w:val="clear" w:color="auto" w:fill="CFF0FC"/>
          </w:tcPr>
          <w:p>
            <w:pPr>
              <w:spacing w:after="0"/>
              <w:rPr>
                <w:sz w:val="8"/>
                <w:szCs w:val="8"/>
                <w:color w:val="auto"/>
              </w:rPr>
            </w:pPr>
          </w:p>
        </w:tc>
        <w:tc>
          <w:tcPr>
            <w:tcW w:w="2500" w:type="dxa"/>
            <w:vAlign w:val="bottom"/>
            <w:shd w:val="clear" w:color="auto" w:fill="CFF0FC"/>
          </w:tcPr>
          <w:p>
            <w:pPr>
              <w:spacing w:after="0"/>
              <w:rPr>
                <w:sz w:val="8"/>
                <w:szCs w:val="8"/>
                <w:color w:val="auto"/>
              </w:rPr>
            </w:pPr>
          </w:p>
        </w:tc>
        <w:tc>
          <w:tcPr>
            <w:tcW w:w="33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liabilities acquired</w:t>
            </w:r>
          </w:p>
        </w:tc>
        <w:tc>
          <w:tcPr>
            <w:tcW w:w="25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3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(9,345,052)</w:t>
            </w:r>
          </w:p>
        </w:tc>
        <w:tc>
          <w:tcPr>
            <w:tcW w:w="0" w:type="dxa"/>
            <w:vAlign w:val="bottom"/>
          </w:tcPr>
          <w:p>
            <w:pPr>
              <w:spacing w:after="0"/>
              <w:rPr>
                <w:sz w:val="1"/>
                <w:szCs w:val="1"/>
                <w:color w:val="auto"/>
              </w:rPr>
            </w:pPr>
          </w:p>
        </w:tc>
      </w:tr>
      <w:tr>
        <w:trPr>
          <w:trHeight w:val="200"/>
        </w:trPr>
        <w:tc>
          <w:tcPr>
            <w:tcW w:w="47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Accumulated Deficit</w:t>
            </w:r>
          </w:p>
        </w:tc>
        <w:tc>
          <w:tcPr>
            <w:tcW w:w="2500" w:type="dxa"/>
            <w:vAlign w:val="bottom"/>
            <w:shd w:val="clear" w:color="auto" w:fill="CFF0FC"/>
          </w:tcPr>
          <w:p>
            <w:pPr>
              <w:jc w:val="right"/>
              <w:ind w:right="142"/>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33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b w:val="1"/>
                <w:bCs w:val="1"/>
                <w:color w:val="auto"/>
              </w:rPr>
              <w:t>(9,345,052</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These condensed interim combined consolidated financial statements of Rezolve AI plc and subsidiaries have been prepared on the following basis:</w:t>
      </w:r>
    </w:p>
    <w:p>
      <w:pPr>
        <w:spacing w:after="0" w:line="92" w:lineRule="exact"/>
        <w:rPr>
          <w:sz w:val="20"/>
          <w:szCs w:val="20"/>
          <w:color w:val="auto"/>
        </w:rPr>
      </w:pPr>
    </w:p>
    <w:p>
      <w:pPr>
        <w:ind w:left="480" w:right="60"/>
        <w:spacing w:after="0" w:line="238" w:lineRule="auto"/>
        <w:rPr>
          <w:sz w:val="20"/>
          <w:szCs w:val="20"/>
          <w:color w:val="auto"/>
        </w:rPr>
      </w:pPr>
      <w:r>
        <w:rPr>
          <w:rFonts w:ascii="Times New Roman" w:cs="Times New Roman" w:eastAsia="Times New Roman" w:hAnsi="Times New Roman"/>
          <w:sz w:val="16"/>
          <w:szCs w:val="16"/>
          <w:color w:val="auto"/>
        </w:rPr>
        <w:t xml:space="preserve">•The Pre-Closing Demerger was completed retrospectively on December 31, 2022, and thus reflects the predecessor company, Rezolve Limited, prior to completion of the Pre-Closing Demerger. These condensed interim combined consolidated financial statements are therefore prepared on a carve-out basis. All costs of doing business in Rezolve Limited have been reflected in Rezolve AI plc on a 100% allocation basis since management feels that this fully reflects the condensed interim combined consolidated financial statements had the Demerger completed on December 31, 2022. Costs incurred by Rezolve Limited to close the China Business in the People’s Republic of China (“China”) for the six months ended June 30, 2025 and 2024 have been recorded as “Business development expenses”, a component of General and Administrative expenses within the Company’s condensed interim combined consolidated statement of operations in accordance with </w:t>
      </w:r>
      <w:r>
        <w:rPr>
          <w:rFonts w:ascii="Times New Roman" w:cs="Times New Roman" w:eastAsia="Times New Roman" w:hAnsi="Times New Roman"/>
          <w:sz w:val="16"/>
          <w:szCs w:val="16"/>
          <w:i w:val="1"/>
          <w:iCs w:val="1"/>
          <w:color w:val="auto"/>
        </w:rPr>
        <w:t>Staff Accounting Bulletin Topic 1-B1, Costs Reflected in Historical Financial Statements</w:t>
      </w:r>
      <w:r>
        <w:rPr>
          <w:rFonts w:ascii="Times New Roman" w:cs="Times New Roman" w:eastAsia="Times New Roman" w:hAnsi="Times New Roman"/>
          <w:sz w:val="16"/>
          <w:szCs w:val="16"/>
          <w:color w:val="auto"/>
        </w:rPr>
        <w:t xml:space="preserve"> (“SAB 1-B1”). Management asserts that this method used is reasonable.</w:t>
      </w:r>
    </w:p>
    <w:p>
      <w:pPr>
        <w:spacing w:after="0" w:line="77" w:lineRule="exact"/>
        <w:rPr>
          <w:sz w:val="20"/>
          <w:szCs w:val="20"/>
          <w:color w:val="auto"/>
        </w:rPr>
      </w:pPr>
    </w:p>
    <w:p>
      <w:pPr>
        <w:ind w:left="480" w:right="100"/>
        <w:spacing w:after="0" w:line="284" w:lineRule="auto"/>
        <w:rPr>
          <w:sz w:val="20"/>
          <w:szCs w:val="20"/>
          <w:color w:val="auto"/>
        </w:rPr>
      </w:pPr>
      <w:r>
        <w:rPr>
          <w:rFonts w:ascii="Times New Roman" w:cs="Times New Roman" w:eastAsia="Times New Roman" w:hAnsi="Times New Roman"/>
          <w:sz w:val="14"/>
          <w:szCs w:val="14"/>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44" w:lineRule="exact"/>
        <w:rPr>
          <w:sz w:val="20"/>
          <w:szCs w:val="20"/>
          <w:color w:val="auto"/>
        </w:rPr>
      </w:pPr>
    </w:p>
    <w:p>
      <w:pPr>
        <w:ind w:left="480" w:right="60"/>
        <w:spacing w:after="0" w:line="280" w:lineRule="auto"/>
        <w:rPr>
          <w:sz w:val="20"/>
          <w:szCs w:val="20"/>
          <w:color w:val="auto"/>
        </w:rPr>
      </w:pPr>
      <w:r>
        <w:rPr>
          <w:rFonts w:ascii="Times New Roman" w:cs="Times New Roman" w:eastAsia="Times New Roman" w:hAnsi="Times New Roman"/>
          <w:sz w:val="14"/>
          <w:szCs w:val="14"/>
          <w:color w:val="auto"/>
        </w:rPr>
        <w:t>•The number of shares issued in Rezolve AI plc to the shareholders of Rezolve Limited pursuant to the Pre- 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condensed interim combined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4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On February 4, 2025, the Company entered into a purchase agreement with DBLP Sea Cow Ltd (“DBLP”), to acquire the entire issued and to be issued share capital of each of Bluedot Industries, Inc. and Bluedot Industries Pty. Ltd, together “Bluedot Industries”. DBLP is a related party and is wholly legally owned by Daniel Wagner, a director of DBLP and the Company. Prior to his death, DBLP was beneficially owned by John Wagner, a former director of Rezolve. On February 20, 2025, the Company closed the Bluedot Industries acquisition and issued ordinary shares as consideration to DBLP. Refer to Note 4 for more information. The Bluedot Industries acquisition was accounted for as a transfer of entities under common control and all periods presented reflect the financial position, results of operations and cash flows of these entities as if they had been combined as of the beginning of the period. The comparative financial statements have also been retrospectively adjusted to furnish information on a comparative basis as if the two companies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ind w:right="780"/>
        <w:spacing w:after="0" w:line="259" w:lineRule="auto"/>
        <w:rPr>
          <w:sz w:val="20"/>
          <w:szCs w:val="20"/>
          <w:color w:val="auto"/>
        </w:rPr>
      </w:pPr>
      <w:r>
        <w:rPr>
          <w:rFonts w:ascii="Times New Roman" w:cs="Times New Roman" w:eastAsia="Times New Roman" w:hAnsi="Times New Roman"/>
          <w:sz w:val="16"/>
          <w:szCs w:val="16"/>
          <w:color w:val="auto"/>
        </w:rPr>
        <w:t>(Rezolve and Bluedot Industries) had been combined from the beginning of the comparative period, as the entities were under common control for the entire comparative period.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Basis of consolidation</w:t>
      </w:r>
    </w:p>
    <w:p>
      <w:pPr>
        <w:spacing w:after="0" w:line="94" w:lineRule="exact"/>
        <w:rPr>
          <w:sz w:val="20"/>
          <w:szCs w:val="20"/>
          <w:color w:val="auto"/>
        </w:rPr>
      </w:pPr>
    </w:p>
    <w:p>
      <w:pPr>
        <w:ind w:right="100" w:firstLine="468"/>
        <w:spacing w:after="0" w:line="277" w:lineRule="auto"/>
        <w:rPr>
          <w:sz w:val="20"/>
          <w:szCs w:val="20"/>
          <w:color w:val="auto"/>
        </w:rPr>
      </w:pPr>
      <w:r>
        <w:rPr>
          <w:rFonts w:ascii="Times New Roman" w:cs="Times New Roman" w:eastAsia="Times New Roman" w:hAnsi="Times New Roman"/>
          <w:sz w:val="14"/>
          <w:szCs w:val="14"/>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intercompany balances and transactions have been eliminated.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list of subsidiaries and Rezolve AI plc’s holding as of June 30, 2025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900" w:type="dxa"/>
            <w:vAlign w:val="bottom"/>
          </w:tcPr>
          <w:p>
            <w:pPr>
              <w:jc w:val="center"/>
              <w:ind w:left="203"/>
              <w:spacing w:after="0"/>
              <w:rPr>
                <w:sz w:val="20"/>
                <w:szCs w:val="20"/>
                <w:color w:val="auto"/>
              </w:rPr>
            </w:pPr>
            <w:r>
              <w:rPr>
                <w:rFonts w:ascii="Times New Roman" w:cs="Times New Roman" w:eastAsia="Times New Roman" w:hAnsi="Times New Roman"/>
                <w:sz w:val="13"/>
                <w:szCs w:val="13"/>
                <w:b w:val="1"/>
                <w:bCs w:val="1"/>
                <w:color w:val="auto"/>
              </w:rPr>
              <w:t>Group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0" w:type="dxa"/>
            <w:vAlign w:val="bottom"/>
          </w:tcPr>
          <w:p>
            <w:pPr>
              <w:jc w:val="center"/>
              <w:ind w:left="343"/>
              <w:spacing w:after="0"/>
              <w:rPr>
                <w:sz w:val="20"/>
                <w:szCs w:val="20"/>
                <w:color w:val="auto"/>
              </w:rPr>
            </w:pPr>
            <w:r>
              <w:rPr>
                <w:rFonts w:ascii="Times New Roman" w:cs="Times New Roman" w:eastAsia="Times New Roman" w:hAnsi="Times New Roman"/>
                <w:sz w:val="13"/>
                <w:szCs w:val="13"/>
                <w:b w:val="1"/>
                <w:bCs w:val="1"/>
                <w:color w:val="auto"/>
              </w:rPr>
              <w:t>Date of incorporation or</w:t>
            </w:r>
          </w:p>
        </w:tc>
        <w:tc>
          <w:tcPr>
            <w:tcW w:w="600" w:type="dxa"/>
            <w:vAlign w:val="bottom"/>
          </w:tcPr>
          <w:p>
            <w:pPr>
              <w:spacing w:after="0"/>
              <w:rPr>
                <w:sz w:val="13"/>
                <w:szCs w:val="13"/>
                <w:color w:val="auto"/>
              </w:rPr>
            </w:pPr>
          </w:p>
        </w:tc>
        <w:tc>
          <w:tcPr>
            <w:tcW w:w="2760" w:type="dxa"/>
            <w:vAlign w:val="bottom"/>
          </w:tcPr>
          <w:p>
            <w:pPr>
              <w:jc w:val="center"/>
              <w:ind w:right="223"/>
              <w:spacing w:after="0"/>
              <w:rPr>
                <w:sz w:val="20"/>
                <w:szCs w:val="20"/>
                <w:color w:val="auto"/>
              </w:rPr>
            </w:pPr>
            <w:r>
              <w:rPr>
                <w:rFonts w:ascii="Times New Roman" w:cs="Times New Roman" w:eastAsia="Times New Roman" w:hAnsi="Times New Roman"/>
                <w:sz w:val="13"/>
                <w:szCs w:val="13"/>
                <w:b w:val="1"/>
                <w:bCs w:val="1"/>
                <w:color w:val="auto"/>
              </w:rPr>
              <w:t>Country of</w:t>
            </w:r>
          </w:p>
        </w:tc>
        <w:tc>
          <w:tcPr>
            <w:tcW w:w="1900" w:type="dxa"/>
            <w:vAlign w:val="bottom"/>
          </w:tcPr>
          <w:p>
            <w:pPr>
              <w:jc w:val="center"/>
              <w:ind w:left="203"/>
              <w:spacing w:after="0"/>
              <w:rPr>
                <w:sz w:val="20"/>
                <w:szCs w:val="20"/>
                <w:color w:val="auto"/>
              </w:rPr>
            </w:pPr>
            <w:r>
              <w:rPr>
                <w:rFonts w:ascii="Times New Roman" w:cs="Times New Roman" w:eastAsia="Times New Roman" w:hAnsi="Times New Roman"/>
                <w:sz w:val="13"/>
                <w:szCs w:val="13"/>
                <w:b w:val="1"/>
                <w:bCs w:val="1"/>
                <w:color w:val="auto"/>
              </w:rPr>
              <w:t>shareholding</w:t>
            </w:r>
          </w:p>
        </w:tc>
        <w:tc>
          <w:tcPr>
            <w:tcW w:w="0" w:type="dxa"/>
            <w:vAlign w:val="bottom"/>
          </w:tcPr>
          <w:p>
            <w:pPr>
              <w:spacing w:after="0"/>
              <w:rPr>
                <w:sz w:val="1"/>
                <w:szCs w:val="1"/>
                <w:color w:val="auto"/>
              </w:rPr>
            </w:pPr>
          </w:p>
        </w:tc>
      </w:tr>
      <w:tr>
        <w:trPr>
          <w:trHeight w:val="170"/>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of the entity</w:t>
            </w:r>
          </w:p>
        </w:tc>
        <w:tc>
          <w:tcPr>
            <w:tcW w:w="2000" w:type="dxa"/>
            <w:vAlign w:val="bottom"/>
          </w:tcPr>
          <w:p>
            <w:pPr>
              <w:jc w:val="center"/>
              <w:ind w:left="363"/>
              <w:spacing w:after="0"/>
              <w:rPr>
                <w:sz w:val="20"/>
                <w:szCs w:val="20"/>
                <w:color w:val="auto"/>
              </w:rPr>
            </w:pPr>
            <w:r>
              <w:rPr>
                <w:rFonts w:ascii="Times New Roman" w:cs="Times New Roman" w:eastAsia="Times New Roman" w:hAnsi="Times New Roman"/>
                <w:sz w:val="13"/>
                <w:szCs w:val="13"/>
                <w:b w:val="1"/>
                <w:bCs w:val="1"/>
                <w:color w:val="auto"/>
              </w:rPr>
              <w:t>acquisition (*)</w:t>
            </w:r>
          </w:p>
        </w:tc>
        <w:tc>
          <w:tcPr>
            <w:tcW w:w="600" w:type="dxa"/>
            <w:vAlign w:val="bottom"/>
          </w:tcPr>
          <w:p>
            <w:pPr>
              <w:spacing w:after="0"/>
              <w:rPr>
                <w:sz w:val="14"/>
                <w:szCs w:val="14"/>
                <w:color w:val="auto"/>
              </w:rPr>
            </w:pPr>
          </w:p>
        </w:tc>
        <w:tc>
          <w:tcPr>
            <w:tcW w:w="2760" w:type="dxa"/>
            <w:vAlign w:val="bottom"/>
          </w:tcPr>
          <w:p>
            <w:pPr>
              <w:jc w:val="center"/>
              <w:ind w:right="223"/>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900" w:type="dxa"/>
            <w:vAlign w:val="bottom"/>
          </w:tcPr>
          <w:p>
            <w:pPr>
              <w:jc w:val="center"/>
              <w:ind w:left="20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Rezolve Taiwan Inc.</w:t>
            </w:r>
          </w:p>
        </w:tc>
        <w:tc>
          <w:tcPr>
            <w:tcW w:w="2000" w:type="dxa"/>
            <w:vAlign w:val="bottom"/>
            <w:shd w:val="clear" w:color="auto" w:fill="CFF0FC"/>
          </w:tcPr>
          <w:p>
            <w:pPr>
              <w:jc w:val="center"/>
              <w:ind w:left="363"/>
              <w:spacing w:after="0" w:line="180" w:lineRule="exact"/>
              <w:rPr>
                <w:sz w:val="20"/>
                <w:szCs w:val="20"/>
                <w:color w:val="auto"/>
              </w:rPr>
            </w:pPr>
            <w:r>
              <w:rPr>
                <w:rFonts w:ascii="Times New Roman" w:cs="Times New Roman" w:eastAsia="Times New Roman" w:hAnsi="Times New Roman"/>
                <w:sz w:val="16"/>
                <w:szCs w:val="16"/>
                <w:color w:val="auto"/>
                <w:w w:val="96"/>
              </w:rPr>
              <w:t>November 9, 2000</w:t>
            </w:r>
          </w:p>
        </w:tc>
        <w:tc>
          <w:tcPr>
            <w:tcW w:w="600" w:type="dxa"/>
            <w:vAlign w:val="bottom"/>
            <w:shd w:val="clear" w:color="auto" w:fill="CFF0FC"/>
          </w:tcPr>
          <w:p>
            <w:pPr>
              <w:spacing w:after="0"/>
              <w:rPr>
                <w:sz w:val="15"/>
                <w:szCs w:val="15"/>
                <w:color w:val="auto"/>
              </w:rPr>
            </w:pP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5"/>
              </w:rPr>
              <w:t>Taiwan</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Rezolve Technology (India) Private Limited</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March 19, 2021</w:t>
            </w:r>
          </w:p>
        </w:tc>
        <w:tc>
          <w:tcPr>
            <w:tcW w:w="600" w:type="dxa"/>
            <w:vAlign w:val="bottom"/>
          </w:tcPr>
          <w:p>
            <w:pPr>
              <w:spacing w:after="0"/>
              <w:rPr>
                <w:sz w:val="15"/>
                <w:szCs w:val="15"/>
                <w:color w:val="auto"/>
              </w:rPr>
            </w:pPr>
          </w:p>
        </w:tc>
        <w:tc>
          <w:tcPr>
            <w:tcW w:w="2760" w:type="dxa"/>
            <w:vAlign w:val="bottom"/>
          </w:tcPr>
          <w:p>
            <w:pPr>
              <w:jc w:val="center"/>
              <w:ind w:right="203"/>
              <w:spacing w:after="0" w:line="180" w:lineRule="exact"/>
              <w:rPr>
                <w:sz w:val="20"/>
                <w:szCs w:val="20"/>
                <w:color w:val="auto"/>
              </w:rPr>
            </w:pPr>
            <w:r>
              <w:rPr>
                <w:rFonts w:ascii="Times New Roman" w:cs="Times New Roman" w:eastAsia="Times New Roman" w:hAnsi="Times New Roman"/>
                <w:sz w:val="16"/>
                <w:szCs w:val="16"/>
                <w:color w:val="auto"/>
                <w:w w:val="97"/>
              </w:rPr>
              <w:t>India</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Rezolve Mobile Commerce Inc.</w:t>
            </w:r>
          </w:p>
        </w:tc>
        <w:tc>
          <w:tcPr>
            <w:tcW w:w="2000" w:type="dxa"/>
            <w:vAlign w:val="bottom"/>
            <w:shd w:val="clear" w:color="auto" w:fill="CFF0FC"/>
          </w:tcPr>
          <w:p>
            <w:pPr>
              <w:jc w:val="center"/>
              <w:ind w:left="363"/>
              <w:spacing w:after="0" w:line="180" w:lineRule="exact"/>
              <w:rPr>
                <w:sz w:val="20"/>
                <w:szCs w:val="20"/>
                <w:color w:val="auto"/>
              </w:rPr>
            </w:pPr>
            <w:r>
              <w:rPr>
                <w:rFonts w:ascii="Times New Roman" w:cs="Times New Roman" w:eastAsia="Times New Roman" w:hAnsi="Times New Roman"/>
                <w:sz w:val="16"/>
                <w:szCs w:val="16"/>
                <w:color w:val="auto"/>
                <w:w w:val="98"/>
              </w:rPr>
              <w:t>April 20, 2016</w:t>
            </w:r>
          </w:p>
        </w:tc>
        <w:tc>
          <w:tcPr>
            <w:tcW w:w="600" w:type="dxa"/>
            <w:vAlign w:val="bottom"/>
            <w:shd w:val="clear" w:color="auto" w:fill="CFF0FC"/>
          </w:tcPr>
          <w:p>
            <w:pPr>
              <w:spacing w:after="0"/>
              <w:rPr>
                <w:sz w:val="15"/>
                <w:szCs w:val="15"/>
                <w:color w:val="auto"/>
              </w:rPr>
            </w:pP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United States of America</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Rezolve Technology S.L.</w:t>
            </w:r>
          </w:p>
        </w:tc>
        <w:tc>
          <w:tcPr>
            <w:tcW w:w="2000" w:type="dxa"/>
            <w:vAlign w:val="bottom"/>
          </w:tcPr>
          <w:p>
            <w:pPr>
              <w:jc w:val="center"/>
              <w:ind w:left="363"/>
              <w:spacing w:after="0" w:line="180" w:lineRule="exact"/>
              <w:rPr>
                <w:sz w:val="20"/>
                <w:szCs w:val="20"/>
                <w:color w:val="auto"/>
              </w:rPr>
            </w:pPr>
            <w:r>
              <w:rPr>
                <w:rFonts w:ascii="Times New Roman" w:cs="Times New Roman" w:eastAsia="Times New Roman" w:hAnsi="Times New Roman"/>
                <w:sz w:val="16"/>
                <w:szCs w:val="16"/>
                <w:color w:val="auto"/>
                <w:w w:val="97"/>
              </w:rPr>
              <w:t>August 25, 2020</w:t>
            </w:r>
          </w:p>
        </w:tc>
        <w:tc>
          <w:tcPr>
            <w:tcW w:w="600" w:type="dxa"/>
            <w:vAlign w:val="bottom"/>
          </w:tcPr>
          <w:p>
            <w:pPr>
              <w:spacing w:after="0"/>
              <w:rPr>
                <w:sz w:val="15"/>
                <w:szCs w:val="15"/>
                <w:color w:val="auto"/>
              </w:rPr>
            </w:pPr>
          </w:p>
        </w:tc>
        <w:tc>
          <w:tcPr>
            <w:tcW w:w="2760" w:type="dxa"/>
            <w:vAlign w:val="bottom"/>
          </w:tcPr>
          <w:p>
            <w:pPr>
              <w:jc w:val="center"/>
              <w:ind w:right="203"/>
              <w:spacing w:after="0" w:line="180" w:lineRule="exact"/>
              <w:rPr>
                <w:sz w:val="20"/>
                <w:szCs w:val="20"/>
                <w:color w:val="auto"/>
              </w:rPr>
            </w:pPr>
            <w:r>
              <w:rPr>
                <w:rFonts w:ascii="Times New Roman" w:cs="Times New Roman" w:eastAsia="Times New Roman" w:hAnsi="Times New Roman"/>
                <w:sz w:val="16"/>
                <w:szCs w:val="16"/>
                <w:color w:val="auto"/>
                <w:w w:val="98"/>
              </w:rPr>
              <w:t>Spain</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Rezolve AI IP Holdings Limited</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December 19, 2024</w:t>
            </w:r>
          </w:p>
        </w:tc>
        <w:tc>
          <w:tcPr>
            <w:tcW w:w="600" w:type="dxa"/>
            <w:vAlign w:val="bottom"/>
            <w:shd w:val="clear" w:color="auto" w:fill="CFF0FC"/>
          </w:tcPr>
          <w:p>
            <w:pPr>
              <w:spacing w:after="0"/>
              <w:rPr>
                <w:sz w:val="15"/>
                <w:szCs w:val="15"/>
                <w:color w:val="auto"/>
              </w:rPr>
            </w:pP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8"/>
              </w:rPr>
              <w:t>United Kingdom</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Rezolve Ai Finance LLC</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February 12, 2025</w:t>
            </w:r>
          </w:p>
        </w:tc>
        <w:tc>
          <w:tcPr>
            <w:tcW w:w="600" w:type="dxa"/>
            <w:vAlign w:val="bottom"/>
          </w:tcPr>
          <w:p>
            <w:pPr>
              <w:spacing w:after="0"/>
              <w:rPr>
                <w:sz w:val="15"/>
                <w:szCs w:val="15"/>
                <w:color w:val="auto"/>
              </w:rPr>
            </w:pPr>
          </w:p>
        </w:tc>
        <w:tc>
          <w:tcPr>
            <w:tcW w:w="2760" w:type="dxa"/>
            <w:vAlign w:val="bottom"/>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United States of America</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Rezolve Ai Finance Holdings LLC</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February 12, 2025</w:t>
            </w:r>
          </w:p>
        </w:tc>
        <w:tc>
          <w:tcPr>
            <w:tcW w:w="600" w:type="dxa"/>
            <w:vAlign w:val="bottom"/>
            <w:shd w:val="clear" w:color="auto" w:fill="CFF0FC"/>
          </w:tcPr>
          <w:p>
            <w:pPr>
              <w:spacing w:after="0"/>
              <w:rPr>
                <w:sz w:val="15"/>
                <w:szCs w:val="15"/>
                <w:color w:val="auto"/>
              </w:rPr>
            </w:pP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United States of America</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Armada Acquisition Corp. I</w:t>
            </w:r>
          </w:p>
        </w:tc>
        <w:tc>
          <w:tcPr>
            <w:tcW w:w="2000" w:type="dxa"/>
            <w:vAlign w:val="bottom"/>
          </w:tcPr>
          <w:p>
            <w:pPr>
              <w:jc w:val="center"/>
              <w:ind w:left="363"/>
              <w:spacing w:after="0" w:line="180" w:lineRule="exact"/>
              <w:rPr>
                <w:sz w:val="20"/>
                <w:szCs w:val="20"/>
                <w:color w:val="auto"/>
              </w:rPr>
            </w:pPr>
            <w:r>
              <w:rPr>
                <w:rFonts w:ascii="Times New Roman" w:cs="Times New Roman" w:eastAsia="Times New Roman" w:hAnsi="Times New Roman"/>
                <w:sz w:val="16"/>
                <w:szCs w:val="16"/>
                <w:color w:val="auto"/>
                <w:w w:val="97"/>
              </w:rPr>
              <w:t>August 15, 2024</w:t>
            </w:r>
          </w:p>
        </w:tc>
        <w:tc>
          <w:tcPr>
            <w:tcW w:w="600" w:type="dxa"/>
            <w:vAlign w:val="bottom"/>
          </w:tcPr>
          <w:p>
            <w:pPr>
              <w:spacing w:after="0"/>
              <w:rPr>
                <w:sz w:val="15"/>
                <w:szCs w:val="15"/>
                <w:color w:val="auto"/>
              </w:rPr>
            </w:pPr>
          </w:p>
        </w:tc>
        <w:tc>
          <w:tcPr>
            <w:tcW w:w="2760" w:type="dxa"/>
            <w:vAlign w:val="bottom"/>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United States of America</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GroupBy Inc.</w:t>
            </w:r>
          </w:p>
        </w:tc>
        <w:tc>
          <w:tcPr>
            <w:tcW w:w="2000" w:type="dxa"/>
            <w:vAlign w:val="bottom"/>
            <w:vMerge w:val="restart"/>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w w:val="96"/>
              </w:rPr>
              <w:t>March 25, 2025</w:t>
            </w:r>
          </w:p>
        </w:tc>
        <w:tc>
          <w:tcPr>
            <w:tcW w:w="600" w:type="dxa"/>
            <w:vAlign w:val="bottom"/>
            <w:vMerge w:val="restart"/>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vMerge w:val="restart"/>
            <w:shd w:val="clear" w:color="auto" w:fill="CFF0FC"/>
          </w:tcPr>
          <w:p>
            <w:pPr>
              <w:jc w:val="center"/>
              <w:ind w:right="223"/>
              <w:spacing w:after="0"/>
              <w:rPr>
                <w:sz w:val="20"/>
                <w:szCs w:val="20"/>
                <w:color w:val="auto"/>
              </w:rPr>
            </w:pPr>
            <w:r>
              <w:rPr>
                <w:rFonts w:ascii="Times New Roman" w:cs="Times New Roman" w:eastAsia="Times New Roman" w:hAnsi="Times New Roman"/>
                <w:sz w:val="16"/>
                <w:szCs w:val="16"/>
                <w:color w:val="auto"/>
                <w:w w:val="95"/>
              </w:rPr>
              <w:t>Canada</w:t>
            </w:r>
          </w:p>
        </w:tc>
        <w:tc>
          <w:tcPr>
            <w:tcW w:w="1900" w:type="dxa"/>
            <w:vAlign w:val="bottom"/>
            <w:vMerge w:val="restart"/>
            <w:shd w:val="clear" w:color="auto" w:fill="CFF0FC"/>
          </w:tcPr>
          <w:p>
            <w:pPr>
              <w:jc w:val="center"/>
              <w:ind w:left="183"/>
              <w:spacing w:after="0"/>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80" w:type="dxa"/>
            <w:vAlign w:val="bottom"/>
            <w:tcBorders>
              <w:bottom w:val="single" w:sz="8" w:color="CFF0FC"/>
            </w:tcBorders>
            <w:shd w:val="clear" w:color="auto" w:fill="CFF0FC"/>
          </w:tcPr>
          <w:p>
            <w:pPr>
              <w:spacing w:after="0"/>
              <w:rPr>
                <w:sz w:val="6"/>
                <w:szCs w:val="6"/>
                <w:color w:val="auto"/>
              </w:rPr>
            </w:pPr>
          </w:p>
        </w:tc>
        <w:tc>
          <w:tcPr>
            <w:tcW w:w="2000" w:type="dxa"/>
            <w:vAlign w:val="bottom"/>
            <w:tcBorders>
              <w:bottom w:val="single" w:sz="8" w:color="CFF0FC"/>
            </w:tcBorders>
            <w:vMerge w:val="continue"/>
            <w:shd w:val="clear" w:color="auto" w:fill="CFF0FC"/>
          </w:tcPr>
          <w:p>
            <w:pPr>
              <w:spacing w:after="0"/>
              <w:rPr>
                <w:sz w:val="6"/>
                <w:szCs w:val="6"/>
                <w:color w:val="auto"/>
              </w:rPr>
            </w:pPr>
          </w:p>
        </w:tc>
        <w:tc>
          <w:tcPr>
            <w:tcW w:w="600" w:type="dxa"/>
            <w:vAlign w:val="bottom"/>
            <w:tcBorders>
              <w:bottom w:val="single" w:sz="8" w:color="CFF0FC"/>
            </w:tcBorders>
            <w:vMerge w:val="continue"/>
            <w:shd w:val="clear" w:color="auto" w:fill="CFF0FC"/>
          </w:tcPr>
          <w:p>
            <w:pPr>
              <w:spacing w:after="0"/>
              <w:rPr>
                <w:sz w:val="6"/>
                <w:szCs w:val="6"/>
                <w:color w:val="auto"/>
              </w:rPr>
            </w:pPr>
          </w:p>
        </w:tc>
        <w:tc>
          <w:tcPr>
            <w:tcW w:w="2760" w:type="dxa"/>
            <w:vAlign w:val="bottom"/>
            <w:tcBorders>
              <w:bottom w:val="single" w:sz="8" w:color="CFF0FC"/>
            </w:tcBorders>
            <w:vMerge w:val="continue"/>
            <w:shd w:val="clear" w:color="auto" w:fill="CFF0FC"/>
          </w:tcPr>
          <w:p>
            <w:pPr>
              <w:spacing w:after="0"/>
              <w:rPr>
                <w:sz w:val="6"/>
                <w:szCs w:val="6"/>
                <w:color w:val="auto"/>
              </w:rPr>
            </w:pPr>
          </w:p>
        </w:tc>
        <w:tc>
          <w:tcPr>
            <w:tcW w:w="1900" w:type="dxa"/>
            <w:vAlign w:val="bottom"/>
            <w:tcBorders>
              <w:bottom w:val="single" w:sz="8" w:color="CFF0FC"/>
            </w:tcBorders>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GroupBy International Ltd</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March 25, 2025</w:t>
            </w:r>
          </w:p>
        </w:tc>
        <w:tc>
          <w:tcPr>
            <w:tcW w:w="6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5"/>
              </w:rPr>
              <w:t>Canada</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GroupBy USA Inc.</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March 25,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United States of America</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GroupBy UK Ltd</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March 25, 2025</w:t>
            </w:r>
          </w:p>
        </w:tc>
        <w:tc>
          <w:tcPr>
            <w:tcW w:w="6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8"/>
              </w:rPr>
              <w:t>United Kingdom</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Bluedot Industries Pty. Ltd</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March 17,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Bluedot Industries, Inc.</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March 17, 2025</w:t>
            </w:r>
          </w:p>
        </w:tc>
        <w:tc>
          <w:tcPr>
            <w:tcW w:w="6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United States of America</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Bluedot Innovation Pty. Ltd</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February 20,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8"/>
              </w:rPr>
              <w:t>Australia</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Prediqt Business Solutions Private Limited</w:t>
            </w:r>
          </w:p>
        </w:tc>
        <w:tc>
          <w:tcPr>
            <w:tcW w:w="200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w w:val="95"/>
              </w:rPr>
              <w:t>June 2, 2025</w:t>
            </w: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03"/>
              <w:spacing w:after="0"/>
              <w:rPr>
                <w:sz w:val="20"/>
                <w:szCs w:val="20"/>
                <w:color w:val="auto"/>
              </w:rPr>
            </w:pPr>
            <w:r>
              <w:rPr>
                <w:rFonts w:ascii="Times New Roman" w:cs="Times New Roman" w:eastAsia="Times New Roman" w:hAnsi="Times New Roman"/>
                <w:sz w:val="16"/>
                <w:szCs w:val="16"/>
                <w:color w:val="auto"/>
                <w:w w:val="97"/>
              </w:rPr>
              <w:t>India</w:t>
            </w:r>
          </w:p>
        </w:tc>
        <w:tc>
          <w:tcPr>
            <w:tcW w:w="190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Mpower Plus Global Limited</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8"/>
              </w:rPr>
              <w:t>United Kingdom</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Mpower Plus Poland SP Z o.o</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03"/>
              <w:spacing w:after="0" w:line="180" w:lineRule="exact"/>
              <w:rPr>
                <w:sz w:val="20"/>
                <w:szCs w:val="20"/>
                <w:color w:val="auto"/>
              </w:rPr>
            </w:pPr>
            <w:r>
              <w:rPr>
                <w:rFonts w:ascii="Times New Roman" w:cs="Times New Roman" w:eastAsia="Times New Roman" w:hAnsi="Times New Roman"/>
                <w:sz w:val="16"/>
                <w:szCs w:val="16"/>
                <w:color w:val="auto"/>
                <w:w w:val="98"/>
              </w:rPr>
              <w:t>Poland</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Mpower Plus France SARL</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6"/>
              </w:rPr>
              <w:t>France</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Mpower Plus B.V.</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03"/>
              <w:spacing w:after="0" w:line="180" w:lineRule="exact"/>
              <w:rPr>
                <w:sz w:val="20"/>
                <w:szCs w:val="20"/>
                <w:color w:val="auto"/>
              </w:rPr>
            </w:pPr>
            <w:r>
              <w:rPr>
                <w:rFonts w:ascii="Times New Roman" w:cs="Times New Roman" w:eastAsia="Times New Roman" w:hAnsi="Times New Roman"/>
                <w:sz w:val="16"/>
                <w:szCs w:val="16"/>
                <w:color w:val="auto"/>
                <w:w w:val="98"/>
              </w:rPr>
              <w:t>Netherlands</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Mpower PLUS Global PTE. Ltd.</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5"/>
              </w:rPr>
              <w:t>Singapore</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Mpower Plus Hungary KFT</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03"/>
              <w:spacing w:after="0" w:line="180" w:lineRule="exact"/>
              <w:rPr>
                <w:sz w:val="20"/>
                <w:szCs w:val="20"/>
                <w:color w:val="auto"/>
              </w:rPr>
            </w:pPr>
            <w:r>
              <w:rPr>
                <w:rFonts w:ascii="Times New Roman" w:cs="Times New Roman" w:eastAsia="Times New Roman" w:hAnsi="Times New Roman"/>
                <w:sz w:val="16"/>
                <w:szCs w:val="16"/>
                <w:color w:val="auto"/>
                <w:w w:val="99"/>
              </w:rPr>
              <w:t>Hungary</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MPower Plus BVBA</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Belgium</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MPower Plus Deutschland GmbH</w:t>
            </w:r>
          </w:p>
        </w:tc>
        <w:tc>
          <w:tcPr>
            <w:tcW w:w="2000" w:type="dxa"/>
            <w:vAlign w:val="bottom"/>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7"/>
              </w:rPr>
              <w:t>Germany</w:t>
            </w:r>
          </w:p>
        </w:tc>
        <w:tc>
          <w:tcPr>
            <w:tcW w:w="1900" w:type="dxa"/>
            <w:vAlign w:val="bottom"/>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MPower Plus Global Malaysia SDN BHD</w:t>
            </w:r>
          </w:p>
        </w:tc>
        <w:tc>
          <w:tcPr>
            <w:tcW w:w="2000" w:type="dxa"/>
            <w:vAlign w:val="bottom"/>
            <w:shd w:val="clear" w:color="auto" w:fill="CFF0FC"/>
          </w:tcPr>
          <w:p>
            <w:pPr>
              <w:jc w:val="center"/>
              <w:ind w:left="343"/>
              <w:spacing w:after="0" w:line="180" w:lineRule="exact"/>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FF0FC"/>
          </w:tcPr>
          <w:p>
            <w:pPr>
              <w:jc w:val="center"/>
              <w:ind w:right="223"/>
              <w:spacing w:after="0" w:line="180" w:lineRule="exact"/>
              <w:rPr>
                <w:sz w:val="20"/>
                <w:szCs w:val="20"/>
                <w:color w:val="auto"/>
              </w:rPr>
            </w:pPr>
            <w:r>
              <w:rPr>
                <w:rFonts w:ascii="Times New Roman" w:cs="Times New Roman" w:eastAsia="Times New Roman" w:hAnsi="Times New Roman"/>
                <w:sz w:val="16"/>
                <w:szCs w:val="16"/>
                <w:color w:val="auto"/>
                <w:w w:val="98"/>
              </w:rPr>
              <w:t>Malaysia</w:t>
            </w:r>
          </w:p>
        </w:tc>
        <w:tc>
          <w:tcPr>
            <w:tcW w:w="1900" w:type="dxa"/>
            <w:vAlign w:val="bottom"/>
            <w:shd w:val="clear" w:color="auto" w:fill="CFF0FC"/>
          </w:tcPr>
          <w:p>
            <w:pPr>
              <w:jc w:val="center"/>
              <w:ind w:left="183"/>
              <w:spacing w:after="0" w:line="180" w:lineRule="exact"/>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MP PLUS RM S.R.L</w:t>
            </w:r>
          </w:p>
        </w:tc>
        <w:tc>
          <w:tcPr>
            <w:tcW w:w="200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w w:val="96"/>
              </w:rPr>
              <w:t>May 31, 2025</w:t>
            </w: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center"/>
              <w:ind w:right="203"/>
              <w:spacing w:after="0"/>
              <w:rPr>
                <w:sz w:val="20"/>
                <w:szCs w:val="20"/>
                <w:color w:val="auto"/>
              </w:rPr>
            </w:pPr>
            <w:r>
              <w:rPr>
                <w:rFonts w:ascii="Times New Roman" w:cs="Times New Roman" w:eastAsia="Times New Roman" w:hAnsi="Times New Roman"/>
                <w:sz w:val="16"/>
                <w:szCs w:val="16"/>
                <w:color w:val="auto"/>
                <w:w w:val="96"/>
              </w:rPr>
              <w:t>Romania</w:t>
            </w:r>
          </w:p>
        </w:tc>
        <w:tc>
          <w:tcPr>
            <w:tcW w:w="190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w w:val="96"/>
              </w:rPr>
              <w:t>100%</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 Emerging Growth Company</w:t>
      </w:r>
    </w:p>
    <w:p>
      <w:pPr>
        <w:spacing w:after="0" w:line="94"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Liquidity</w:t>
      </w:r>
    </w:p>
    <w:p>
      <w:pPr>
        <w:spacing w:after="0" w:line="94" w:lineRule="exact"/>
        <w:rPr>
          <w:sz w:val="20"/>
          <w:szCs w:val="20"/>
          <w:color w:val="auto"/>
        </w:rPr>
      </w:pPr>
    </w:p>
    <w:p>
      <w:pPr>
        <w:ind w:right="180" w:firstLine="468"/>
        <w:spacing w:after="0" w:line="239" w:lineRule="auto"/>
        <w:rPr>
          <w:sz w:val="20"/>
          <w:szCs w:val="20"/>
          <w:color w:val="auto"/>
        </w:rPr>
      </w:pPr>
      <w:r>
        <w:rPr>
          <w:rFonts w:ascii="Times New Roman" w:cs="Times New Roman" w:eastAsia="Times New Roman" w:hAnsi="Times New Roman"/>
          <w:sz w:val="16"/>
          <w:szCs w:val="16"/>
          <w:color w:val="auto"/>
        </w:rPr>
        <w:t>Pursuant to ASC 205-40, Presentation of Financial Statements—Going Concern (“ASC 205- 40”),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73" w:lineRule="exact"/>
        <w:rPr>
          <w:sz w:val="20"/>
          <w:szCs w:val="20"/>
          <w:color w:val="auto"/>
        </w:rPr>
      </w:pPr>
    </w:p>
    <w:p>
      <w:pPr>
        <w:ind w:right="100" w:firstLine="468"/>
        <w:spacing w:after="0" w:line="243" w:lineRule="auto"/>
        <w:rPr>
          <w:sz w:val="20"/>
          <w:szCs w:val="20"/>
          <w:color w:val="auto"/>
        </w:rPr>
      </w:pPr>
      <w:r>
        <w:rPr>
          <w:rFonts w:ascii="Times New Roman" w:cs="Times New Roman" w:eastAsia="Times New Roman" w:hAnsi="Times New Roman"/>
          <w:sz w:val="16"/>
          <w:szCs w:val="16"/>
          <w:color w:val="auto"/>
        </w:rPr>
        <w:t>As of June 30, 2025, the Company had an accumulated deficit of $316.1 million. For the six months ended June 30, 2025, the Company incurred a net loss of $57.9 million and net cash used in operating activities was $19.8 million. Cash totaled $9.9 million as of June 30, 2025, an increase of $0.1 million from December 31, 2024. The Company has a working capital deficit of $71.1 million as at June 30, 2025. The Company continues to incur losses while it develops technological services, targets customers and incurs costs business combination. Our sources of cash for these activities rely on debt and equity funding.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raised $270.6 million in the third quarter of 2025, from the following transactions. Refer to Note 14 for more information:</w:t>
      </w:r>
    </w:p>
    <w:p>
      <w:pPr>
        <w:spacing w:after="0" w:line="92" w:lineRule="exact"/>
        <w:rPr>
          <w:sz w:val="20"/>
          <w:szCs w:val="20"/>
          <w:color w:val="auto"/>
        </w:rPr>
      </w:pPr>
    </w:p>
    <w:p>
      <w:pPr>
        <w:ind w:left="480" w:right="40"/>
        <w:spacing w:after="0" w:line="243" w:lineRule="auto"/>
        <w:rPr>
          <w:sz w:val="20"/>
          <w:szCs w:val="20"/>
          <w:color w:val="auto"/>
        </w:rPr>
      </w:pPr>
      <w:r>
        <w:rPr>
          <w:rFonts w:ascii="Times New Roman" w:cs="Times New Roman" w:eastAsia="Times New Roman" w:hAnsi="Times New Roman"/>
          <w:sz w:val="16"/>
          <w:szCs w:val="16"/>
          <w:color w:val="auto"/>
        </w:rPr>
        <w:t>•On July 24, 2025, the Company entered into securities purchase agreements with certain investors pursuant to which the Company agreed to sell and issue to these investors in a private placement offering (the “PIPE Financing”) 20,000,000 Ordinary Shares, par value £0.0001 per share, at an offering price of $2.50 per Ordinary Share. This PIPE Financing closed on July 25, 2025, resulting in aggregate gross proceeds to the Company of $50 million, before deducting the placement agent’s fee and offering expenses payable by the Company.</w:t>
      </w:r>
    </w:p>
    <w:p>
      <w:pPr>
        <w:spacing w:after="0" w:line="71" w:lineRule="exact"/>
        <w:rPr>
          <w:sz w:val="20"/>
          <w:szCs w:val="20"/>
          <w:color w:val="auto"/>
        </w:rPr>
      </w:pPr>
    </w:p>
    <w:p>
      <w:pPr>
        <w:ind w:left="480" w:right="40" w:hanging="6"/>
        <w:spacing w:after="0" w:line="241" w:lineRule="auto"/>
        <w:tabs>
          <w:tab w:leader="none" w:pos="57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entered into a subscription letter with Western Alliance Bank (“WAB”) pursuant to which the Company agreed to issue to WAB a number of Ordinary Shares which is equal to $12,300,000 in order to settle debt owed by Groupby to WAB. In accordance with the terms of the subscription letter, WAB is to return any money received in excess of $12,300,000 from the subsequent sale of the 5,857,143 Ordinary shares. On August 22, 2025, WAB completed its sale of the 5,857,143 Ordinary shares and realized proceeds of $$17,955,271 from sale of these Ordinary Shares. This resulted in an excess of $$5,655,271, which was returned to the Company. See below for more information.</w:t>
      </w:r>
    </w:p>
    <w:p>
      <w:pPr>
        <w:spacing w:after="0" w:line="73"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•On September 18, 2025, the holders of all 5,000,000 warrants issued in a registered offering in December 2024 (the "Offering Warrants") elected to exercise their Offering Warrants, at an exercise price of $3.00 per Offering Warrant, for 5,000,000 ordinary shares of the "Company, generating aggregate gross proceeds to the Company of $15 million.</w:t>
      </w:r>
    </w:p>
    <w:p>
      <w:pPr>
        <w:spacing w:after="0" w:line="68" w:lineRule="exact"/>
        <w:rPr>
          <w:sz w:val="20"/>
          <w:szCs w:val="20"/>
          <w:color w:val="auto"/>
        </w:rPr>
      </w:pPr>
    </w:p>
    <w:p>
      <w:pPr>
        <w:ind w:left="480" w:right="100"/>
        <w:spacing w:after="0" w:line="239" w:lineRule="auto"/>
        <w:rPr>
          <w:sz w:val="20"/>
          <w:szCs w:val="20"/>
          <w:color w:val="auto"/>
        </w:rPr>
      </w:pPr>
      <w:r>
        <w:rPr>
          <w:rFonts w:ascii="Times New Roman" w:cs="Times New Roman" w:eastAsia="Times New Roman" w:hAnsi="Times New Roman"/>
          <w:sz w:val="16"/>
          <w:szCs w:val="16"/>
          <w:color w:val="auto"/>
        </w:rPr>
        <w:t>•On September 24, 2025, the Company entered into securities purchase agreements with certain qualified institutional investors, for the purchase and sale of 37,000,000 Ordinary Shares in a private placement (the “PIPE Financing”) at a price of $5.40 per Ordinary Share for aggregate gross proceeds of approximately $200 million, before deducting placement agent fees and other offering expenses. The Company intends to use the net proceeds of the PIPE Financing for accelerated investment into its sales organization, potential accretive M&amp;A opportunities, working capital and general corporate purposes, including further development of its Brain Commerce Platform, and expansion of Visual Search and Brain Checkout. This PIPE Financing closed on September 25, 2025, resulting in aggregate gross proceeds to the Company of $200 million, before deducting the placement agent’s fee and offering expenses payable by the Company.</w:t>
      </w:r>
    </w:p>
    <w:p>
      <w:pPr>
        <w:spacing w:after="0" w:line="170" w:lineRule="exact"/>
        <w:rPr>
          <w:sz w:val="20"/>
          <w:szCs w:val="20"/>
          <w:color w:val="auto"/>
        </w:rPr>
      </w:pPr>
    </w:p>
    <w:p>
      <w:pPr>
        <w:ind w:right="100" w:firstLine="468"/>
        <w:spacing w:after="0" w:line="247" w:lineRule="auto"/>
        <w:rPr>
          <w:sz w:val="20"/>
          <w:szCs w:val="20"/>
          <w:color w:val="auto"/>
        </w:rPr>
      </w:pPr>
      <w:r>
        <w:rPr>
          <w:rFonts w:ascii="Times New Roman" w:cs="Times New Roman" w:eastAsia="Times New Roman" w:hAnsi="Times New Roman"/>
          <w:sz w:val="16"/>
          <w:szCs w:val="16"/>
          <w:color w:val="auto"/>
        </w:rPr>
        <w:t>Furthermore, the review of the strategic plan and budget, including expected developments in liquidity and capital from definitive agreements entered into, were considered. As of the date of issuance of the interim condensed consolidated financial statements for the six months ended June 30, 2025, the Company has a further $234.6 million remaining on the Standby Equity</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The Company may continue to seek capital through the issuance of equity securities using the remaining undrawn capital commitment facility.</w:t>
      </w:r>
    </w:p>
    <w:p>
      <w:pPr>
        <w:spacing w:after="0" w:line="167"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 Use of estimates</w:t>
      </w:r>
    </w:p>
    <w:p>
      <w:pPr>
        <w:spacing w:after="0" w:line="94" w:lineRule="exact"/>
        <w:rPr>
          <w:sz w:val="20"/>
          <w:szCs w:val="20"/>
          <w:color w:val="auto"/>
        </w:rPr>
      </w:pPr>
    </w:p>
    <w:p>
      <w:pPr>
        <w:ind w:right="200" w:firstLine="468"/>
        <w:spacing w:after="0" w:line="239"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condensed interim combined consolidated financial statements are prudent and reasonable. Although these estimates are based upon management’s best knowledge of current events and actions, actual results could differ from estimates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 Revenue recognition</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Under ASC 606, the Company determines revenue recognition through the following steps: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•Identifying the contract, or contracts, with the customer;</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•Identifying the performance obligations in the contract;</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•Determining the transaction price;</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•Allocating the transaction price to performance obligations in the contract;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•Recognizing revenue when, or as, the Company satisfies performance obligations by transferring the promised goods or services.</w:t>
      </w:r>
    </w:p>
    <w:p>
      <w:pPr>
        <w:spacing w:after="0" w:line="188"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The Company generates revenues primarily from two sources: (i) subscription-based SaaS offerings under our Brain Commerce platform, and (ii) professional services delivered on a cost-plus basis. These revenues are recognized in line with the nature of the services provided, as described below.</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Revenue generated from cloud-based software solutions, include the SaaS (software as a service) products such as the following:</w:t>
      </w:r>
    </w:p>
    <w:p>
      <w:pPr>
        <w:spacing w:after="0" w:line="92"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•search experience tools that allow vendors to identify shopper intent and context, and provide high quality-search results to consumers searching for products on eCommerce channels, including configuration and ongoing technical support services.</w:t>
      </w:r>
    </w:p>
    <w:p>
      <w:pPr>
        <w:spacing w:after="0" w:line="59"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16"/>
          <w:szCs w:val="16"/>
          <w:color w:val="auto"/>
        </w:rPr>
        <w:t>•geofencing software that allows vendors to track a customer's location when placing online orders for in-person pickup, including configuration and ongoing technical support services.</w:t>
      </w:r>
    </w:p>
    <w:p>
      <w:pPr>
        <w:spacing w:after="0" w:line="155"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These cloud-based software solutions are sold to customers through hosting arrangements, whereby we run the software applications on our own platforms. Access to these platforms are provided to customers on either a consumption or subscription basis and generally have contract terms longer than a year. Revenues related to cloud-based software solutions provided on a consumption basis are recognized when the customer utilizes the cloud-based software solutions, based on the quantity consumed. Revenues related to cloud-based software solutions provided on a subscription basis are recognized ratably over the contract term as the customer receives and consumes the benefits of the cloud-based software solutions.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right="100" w:firstLine="468"/>
        <w:spacing w:after="0" w:line="239" w:lineRule="auto"/>
        <w:rPr>
          <w:sz w:val="20"/>
          <w:szCs w:val="20"/>
          <w:color w:val="auto"/>
        </w:rPr>
      </w:pPr>
      <w:r>
        <w:rPr>
          <w:rFonts w:ascii="Times New Roman" w:cs="Times New Roman" w:eastAsia="Times New Roman" w:hAnsi="Times New Roman"/>
          <w:sz w:val="16"/>
          <w:szCs w:val="16"/>
          <w:color w:val="auto"/>
        </w:rPr>
        <w:t>The Company may receive upfront, non-refundable consideration at which time the performance obligation has not yet been satisfied and will only be satisfied over time (over the duration of the contract term). This upfront, non-refundable consideration (deferred revenue) is recognized as revenue over time as the performance obligation is satisfied. The deferred revenue balance of $1,172,056 at December 31, 2024 resulted from the retrospective adjustment to the comparative financial statements as if Rezolve and Bluedot Industries had been combined from the beginning of the comparative period, as the entities were under common control for the entire comparative period. The deferred revenue balance of $16,016,292 at June 30, 2025 resulted from upfront revenue received from contracts with customers for search experience tools and contracts with customers for geofencing software.</w:t>
      </w:r>
    </w:p>
    <w:p>
      <w:pPr>
        <w:spacing w:after="0" w:line="173" w:lineRule="exact"/>
        <w:rPr>
          <w:sz w:val="20"/>
          <w:szCs w:val="20"/>
          <w:color w:val="auto"/>
        </w:rPr>
      </w:pPr>
    </w:p>
    <w:p>
      <w:pPr>
        <w:ind w:right="20" w:firstLine="468"/>
        <w:spacing w:after="0" w:line="259" w:lineRule="auto"/>
        <w:rPr>
          <w:sz w:val="20"/>
          <w:szCs w:val="20"/>
          <w:color w:val="auto"/>
        </w:rPr>
      </w:pPr>
      <w:r>
        <w:rPr>
          <w:rFonts w:ascii="Times New Roman" w:cs="Times New Roman" w:eastAsia="Times New Roman" w:hAnsi="Times New Roman"/>
          <w:sz w:val="16"/>
          <w:szCs w:val="16"/>
          <w:color w:val="auto"/>
        </w:rPr>
        <w:t>Revenue related to configuration and ongoing technical support services are recognized ratably over the contract term as the customer receives and consumes the benefits of these services.</w:t>
      </w:r>
    </w:p>
    <w:p>
      <w:pPr>
        <w:spacing w:after="0" w:line="155" w:lineRule="exact"/>
        <w:rPr>
          <w:sz w:val="20"/>
          <w:szCs w:val="20"/>
          <w:color w:val="auto"/>
        </w:rPr>
      </w:pPr>
    </w:p>
    <w:p>
      <w:pPr>
        <w:ind w:right="220" w:firstLine="468"/>
        <w:spacing w:after="0" w:line="241" w:lineRule="auto"/>
        <w:rPr>
          <w:sz w:val="20"/>
          <w:szCs w:val="20"/>
          <w:color w:val="auto"/>
        </w:rPr>
      </w:pPr>
      <w:r>
        <w:rPr>
          <w:rFonts w:ascii="Times New Roman" w:cs="Times New Roman" w:eastAsia="Times New Roman" w:hAnsi="Times New Roman"/>
          <w:sz w:val="16"/>
          <w:szCs w:val="16"/>
          <w:color w:val="auto"/>
        </w:rPr>
        <w:t>Revenues from the sale of professional services include information technology ("IT") and information technology enabled ("ITE") services. The Company provides professional services, which include project managers, specialists and engineers, recommending, designing and implementing IT solutions. The Company is primarily responsible for the fulfillment and acceptability of the professional services and has control over how to provide the requested services. As a result, the Company is the principal, and professional services revenue is recognized on a gross basis ratably over the contract term as the customer receives and consumes the benefits of these services.</w:t>
      </w:r>
    </w:p>
    <w:p>
      <w:pPr>
        <w:spacing w:after="0" w:line="169"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The Company also continues earns revenue from commission from sales of football tickets for La Liga in Spain through its platform technology. La Liga pays a commission for each football ticket sold through our platform technology. Revenue is recognized in accordance with ASC 606 “Revenue from Contracts with Customers” at the point in time when a football ticket is sold on our platform technology.</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Company's revenue by region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80" w:type="dxa"/>
            <w:vAlign w:val="bottom"/>
          </w:tcPr>
          <w:p>
            <w:pPr>
              <w:spacing w:after="0"/>
              <w:rPr>
                <w:sz w:val="13"/>
                <w:szCs w:val="13"/>
                <w:color w:val="auto"/>
              </w:rPr>
            </w:pPr>
          </w:p>
        </w:tc>
        <w:tc>
          <w:tcPr>
            <w:tcW w:w="2460" w:type="dxa"/>
            <w:vAlign w:val="bottom"/>
            <w:gridSpan w:val="2"/>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5980" w:type="dxa"/>
            <w:vAlign w:val="bottom"/>
          </w:tcPr>
          <w:p>
            <w:pPr>
              <w:spacing w:after="0"/>
              <w:rPr>
                <w:sz w:val="14"/>
                <w:szCs w:val="14"/>
                <w:color w:val="auto"/>
              </w:rPr>
            </w:pP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 2024</w:t>
            </w:r>
          </w:p>
        </w:tc>
      </w:tr>
      <w:tr>
        <w:trPr>
          <w:trHeight w:val="180"/>
        </w:trPr>
        <w:tc>
          <w:tcPr>
            <w:tcW w:w="5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North America, South America and Canada</w:t>
            </w:r>
          </w:p>
        </w:tc>
        <w:tc>
          <w:tcPr>
            <w:tcW w:w="2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5,612,576</w:t>
            </w:r>
          </w:p>
        </w:tc>
        <w:tc>
          <w:tcPr>
            <w:tcW w:w="38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683,902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United Kingdom and Europe</w:t>
            </w:r>
          </w:p>
        </w:tc>
        <w:tc>
          <w:tcPr>
            <w:tcW w:w="2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340,054</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53,399</w:t>
            </w:r>
          </w:p>
        </w:tc>
        <w:tc>
          <w:tcPr>
            <w:tcW w:w="80" w:type="dxa"/>
            <w:vAlign w:val="bottom"/>
          </w:tcPr>
          <w:p>
            <w:pPr>
              <w:spacing w:after="0"/>
              <w:rPr>
                <w:sz w:val="18"/>
                <w:szCs w:val="18"/>
                <w:color w:val="auto"/>
              </w:rPr>
            </w:pPr>
          </w:p>
        </w:tc>
      </w:tr>
      <w:tr>
        <w:trPr>
          <w:trHeight w:val="180"/>
        </w:trPr>
        <w:tc>
          <w:tcPr>
            <w:tcW w:w="5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Asia Pacific</w:t>
            </w:r>
          </w:p>
        </w:tc>
        <w:tc>
          <w:tcPr>
            <w:tcW w:w="2460" w:type="dxa"/>
            <w:vAlign w:val="bottom"/>
            <w:gridSpan w:val="2"/>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364,320</w:t>
            </w:r>
          </w:p>
        </w:tc>
        <w:tc>
          <w:tcPr>
            <w:tcW w:w="2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464,713</w:t>
            </w:r>
          </w:p>
        </w:tc>
      </w:tr>
      <w:tr>
        <w:trPr>
          <w:trHeight w:val="180"/>
        </w:trPr>
        <w:tc>
          <w:tcPr>
            <w:tcW w:w="5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Revenue</w:t>
            </w:r>
          </w:p>
        </w:tc>
        <w:tc>
          <w:tcPr>
            <w:tcW w:w="2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6,316,950</w:t>
            </w:r>
          </w:p>
        </w:tc>
        <w:tc>
          <w:tcPr>
            <w:tcW w:w="380" w:type="dxa"/>
            <w:vAlign w:val="bottom"/>
          </w:tcPr>
          <w:p>
            <w:pPr>
              <w:spacing w:after="0"/>
              <w:rPr>
                <w:sz w:val="15"/>
                <w:szCs w:val="15"/>
                <w:color w:val="auto"/>
              </w:rPr>
            </w:pPr>
          </w:p>
        </w:tc>
        <w:tc>
          <w:tcPr>
            <w:tcW w:w="2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1,202,014</w:t>
            </w:r>
          </w:p>
        </w:tc>
        <w:tc>
          <w:tcPr>
            <w:tcW w:w="80" w:type="dxa"/>
            <w:vAlign w:val="bottom"/>
          </w:tcPr>
          <w:p>
            <w:pPr>
              <w:spacing w:after="0"/>
              <w:rPr>
                <w:sz w:val="15"/>
                <w:szCs w:val="15"/>
                <w:color w:val="auto"/>
              </w:rPr>
            </w:pPr>
          </w:p>
        </w:tc>
      </w:tr>
      <w:tr>
        <w:trPr>
          <w:trHeight w:val="20"/>
        </w:trPr>
        <w:tc>
          <w:tcPr>
            <w:tcW w:w="59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 Cost of revenue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Cost of revenues consists of expenses incurred directly in relation to the earning of revenues such as payroll and benefits for IT consultants and partner’s fees.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2.8. Operating segments</w:t>
      </w:r>
    </w:p>
    <w:p>
      <w:pPr>
        <w:spacing w:after="0" w:line="94" w:lineRule="exact"/>
        <w:rPr>
          <w:sz w:val="20"/>
          <w:szCs w:val="20"/>
          <w:color w:val="auto"/>
        </w:rPr>
      </w:pPr>
    </w:p>
    <w:p>
      <w:pPr>
        <w:ind w:right="200" w:firstLine="468"/>
        <w:spacing w:after="0" w:line="243" w:lineRule="auto"/>
        <w:rPr>
          <w:sz w:val="20"/>
          <w:szCs w:val="20"/>
          <w:color w:val="auto"/>
        </w:rPr>
      </w:pPr>
      <w:r>
        <w:rPr>
          <w:rFonts w:ascii="Times New Roman" w:cs="Times New Roman" w:eastAsia="Times New Roman" w:hAnsi="Times New Roman"/>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1" w:lineRule="exact"/>
        <w:rPr>
          <w:sz w:val="20"/>
          <w:szCs w:val="20"/>
          <w:color w:val="auto"/>
        </w:rPr>
      </w:pPr>
    </w:p>
    <w:p>
      <w:pPr>
        <w:ind w:right="180" w:firstLine="468"/>
        <w:spacing w:after="0" w:line="259" w:lineRule="auto"/>
        <w:rPr>
          <w:sz w:val="20"/>
          <w:szCs w:val="20"/>
          <w:color w:val="auto"/>
        </w:rPr>
      </w:pPr>
      <w:r>
        <w:rPr>
          <w:rFonts w:ascii="Times New Roman" w:cs="Times New Roman" w:eastAsia="Times New Roman" w:hAnsi="Times New Roman"/>
          <w:sz w:val="16"/>
          <w:szCs w:val="16"/>
          <w:color w:val="auto"/>
        </w:rPr>
        <w:t>At June 30, 2025, there have not been any changes in the internal organization that affects how the CODM allocates resources and assesses the performance of the Company.</w:t>
      </w:r>
    </w:p>
    <w:p>
      <w:pPr>
        <w:spacing w:after="0" w:line="59" w:lineRule="exact"/>
        <w:rPr>
          <w:sz w:val="20"/>
          <w:szCs w:val="20"/>
          <w:color w:val="auto"/>
        </w:rPr>
      </w:pPr>
    </w:p>
    <w:p>
      <w:pPr>
        <w:ind w:right="80" w:firstLine="468"/>
        <w:spacing w:after="0" w:line="278" w:lineRule="auto"/>
        <w:rPr>
          <w:sz w:val="20"/>
          <w:szCs w:val="20"/>
          <w:color w:val="auto"/>
        </w:rPr>
      </w:pPr>
      <w:r>
        <w:rPr>
          <w:rFonts w:ascii="Times New Roman" w:cs="Times New Roman" w:eastAsia="Times New Roman" w:hAnsi="Times New Roman"/>
          <w:sz w:val="14"/>
          <w:szCs w:val="14"/>
          <w:color w:val="auto"/>
        </w:rPr>
        <w:t>As the Company operates as one operating segment, financial data provided in the consolidated financial statements, including total revenues of $6,316,950 and $1,202,014 for the six months ended June 30, 2025 and 2024, respectively; total operating expenses of $38,741,467 and $10,919,306 for the six months ended June 30, 2025 and 2024, respectively; consolidated net loss of $ 57,852,518 and $12,967,097 for the six months ended June 30, 2025 and 2024, respectively and total assets of $ 80,101,992 as of June 30, 2025 and $ 21,168,892 as of December 31, 2024, represent the performance of our single reportable segment. The consolidated statements of operations reflect the same level of significant expense categories regularly provided to the CODM for decision-making purposes. Sales and marketing expenses reported in the consolidated statements of operations includes advertising expenses, payroll expenses, and consultancy charges. General and administrative expenses reported in the consolidated statements of operations includes IT expenses, legal and professional expenses, payroll expenses and consultancy charges.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CODM does not review segment assets at a different level or category than those disclosed in the consolidated balance sheet.</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2.9. Acquisitions</w:t>
      </w:r>
    </w:p>
    <w:p>
      <w:pPr>
        <w:spacing w:after="0" w:line="190" w:lineRule="exact"/>
        <w:rPr>
          <w:sz w:val="20"/>
          <w:szCs w:val="20"/>
          <w:color w:val="auto"/>
        </w:rPr>
      </w:pPr>
    </w:p>
    <w:p>
      <w:pPr>
        <w:ind w:right="80" w:firstLine="468"/>
        <w:spacing w:after="0" w:line="259" w:lineRule="auto"/>
        <w:rPr>
          <w:sz w:val="20"/>
          <w:szCs w:val="20"/>
          <w:color w:val="auto"/>
        </w:rPr>
      </w:pPr>
      <w:r>
        <w:rPr>
          <w:rFonts w:ascii="Times New Roman" w:cs="Times New Roman" w:eastAsia="Times New Roman" w:hAnsi="Times New Roman"/>
          <w:sz w:val="16"/>
          <w:szCs w:val="16"/>
          <w:color w:val="auto"/>
        </w:rPr>
        <w:t>The Company evaluates the facts and circumstances of each acquisition to determine whether the transaction should be accounted for as an asset acquisition or a business combination.</w:t>
      </w:r>
    </w:p>
    <w:p>
      <w:pPr>
        <w:spacing w:after="0" w:line="155" w:lineRule="exact"/>
        <w:rPr>
          <w:sz w:val="20"/>
          <w:szCs w:val="20"/>
          <w:color w:val="auto"/>
        </w:rPr>
      </w:pPr>
    </w:p>
    <w:p>
      <w:pPr>
        <w:ind w:right="120" w:firstLine="468"/>
        <w:spacing w:after="0" w:line="238" w:lineRule="auto"/>
        <w:rPr>
          <w:sz w:val="20"/>
          <w:szCs w:val="20"/>
          <w:color w:val="auto"/>
        </w:rPr>
      </w:pPr>
      <w:r>
        <w:rPr>
          <w:rFonts w:ascii="Times New Roman" w:cs="Times New Roman" w:eastAsia="Times New Roman" w:hAnsi="Times New Roman"/>
          <w:sz w:val="16"/>
          <w:szCs w:val="16"/>
          <w:color w:val="auto"/>
        </w:rPr>
        <w:t>The Company accounts for a business combination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acquisition, and the Company continues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are accounted for as expenses in the periods in which the costs were incurred and the services were received.</w:t>
      </w:r>
    </w:p>
    <w:p>
      <w:pPr>
        <w:spacing w:after="0" w:line="173"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The Company accounts for an acquisition that is not business combination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 a cost accumulation model to determine the cost of the asset acquisition. Ordinary shares issued as consideration in an asset acquisition are measured based on the acquisition date fair value of the equity interests issued. Direct transaction costs are recognized as part of the cost of an asset acquisition. The cost of an asset acquisition, including transaction costs, are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w:t>
      </w:r>
    </w:p>
    <w:p>
      <w:pPr>
        <w:spacing w:after="0" w:line="173" w:lineRule="exact"/>
        <w:rPr>
          <w:sz w:val="20"/>
          <w:szCs w:val="20"/>
          <w:color w:val="auto"/>
        </w:rPr>
      </w:pPr>
    </w:p>
    <w:p>
      <w:pPr>
        <w:ind w:right="20" w:firstLine="468"/>
        <w:spacing w:after="0" w:line="277" w:lineRule="auto"/>
        <w:rPr>
          <w:sz w:val="20"/>
          <w:szCs w:val="20"/>
          <w:color w:val="auto"/>
        </w:rPr>
      </w:pPr>
      <w:r>
        <w:rPr>
          <w:rFonts w:ascii="Times New Roman" w:cs="Times New Roman" w:eastAsia="Times New Roman" w:hAnsi="Times New Roman"/>
          <w:sz w:val="14"/>
          <w:szCs w:val="14"/>
          <w:color w:val="auto"/>
        </w:rPr>
        <w:t>The Company accounts for a transfer of net assets or an exchange of equity interests between entities under common control as a common control transaction. Under ASC 810-10- 15-8, a controlling financial interest defined as ownership of a majority voting interest, and, therefore, as a general rule ownership by one reporting entity or individual, directly or indirectly, of more than 50 percent of the outstanding voting shares of another entity. Under ASC 805-50-25-2, the Company (receiving entity), initially recognizes the assets and liabilities received at their carrying amounts in the financial statements of the transferring entity on the date of the transfer. Under ASC 805-50 -30-5, the Company recognizes the difference between the proceeds transferred and the carrying amounts of the net assets received in equity (Additional Paid-in Capital). If a transaction combines two or more commonly controlled entities that historically have not been presented together, the resulting financial statements are, in effect, considered to be those of a different reporting entity. The resulting change in reporting entity requires retrospective combination of the entities for all periods presented as if the combination had been in effect since inception of common control in accordance with ASC 250-10-45-21.</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For additional information about acquisitions, see Note 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 Intangible assets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Intangible assets consist of computer software, internal-use software, technology intellectual property and customer contracts and related relationships.</w:t>
      </w: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Computer software</w:t>
      </w:r>
    </w:p>
    <w:p>
      <w:pPr>
        <w:spacing w:after="0" w:line="94" w:lineRule="exact"/>
        <w:rPr>
          <w:sz w:val="20"/>
          <w:szCs w:val="20"/>
          <w:color w:val="auto"/>
        </w:rPr>
      </w:pPr>
    </w:p>
    <w:p>
      <w:pPr>
        <w:ind w:right="220" w:firstLine="468"/>
        <w:spacing w:after="0" w:line="247" w:lineRule="auto"/>
        <w:rPr>
          <w:sz w:val="20"/>
          <w:szCs w:val="20"/>
          <w:color w:val="auto"/>
        </w:rPr>
      </w:pPr>
      <w:r>
        <w:rPr>
          <w:rFonts w:ascii="Times New Roman" w:cs="Times New Roman" w:eastAsia="Times New Roman" w:hAnsi="Times New Roman"/>
          <w:sz w:val="16"/>
          <w:szCs w:val="16"/>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six months ended June 30, 2025 and 2024.</w:t>
      </w:r>
    </w:p>
    <w:p>
      <w:pPr>
        <w:spacing w:after="0" w:line="164"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Computer software assets are amortized over their useful economic life less their estimated residual value and assessed for impairment whenever there is an indication that the intangible asset may be impaired. Gains or losses arising from de-recognition of</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an intangible asset are measured as the difference between the net disposal proceeds and the net carrying amount of the asset and are recognized in profit or loss in the consolidated statement of operations when the asset is derecognized.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initial useful lives of computer software assets as estimated by management are summarized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600" w:type="dxa"/>
            <w:vAlign w:val="bottom"/>
          </w:tcPr>
          <w:p>
            <w:pPr>
              <w:jc w:val="center"/>
              <w:ind w:left="3688"/>
              <w:spacing w:after="0"/>
              <w:rPr>
                <w:sz w:val="20"/>
                <w:szCs w:val="20"/>
                <w:color w:val="auto"/>
              </w:rPr>
            </w:pPr>
            <w:r>
              <w:rPr>
                <w:rFonts w:ascii="Times New Roman" w:cs="Times New Roman" w:eastAsia="Times New Roman" w:hAnsi="Times New Roman"/>
                <w:sz w:val="13"/>
                <w:szCs w:val="13"/>
                <w:b w:val="1"/>
                <w:bCs w:val="1"/>
                <w:color w:val="auto"/>
                <w:w w:val="99"/>
              </w:rPr>
              <w:t>Useful life</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Software</w:t>
            </w:r>
          </w:p>
        </w:tc>
        <w:tc>
          <w:tcPr>
            <w:tcW w:w="5600" w:type="dxa"/>
            <w:vAlign w:val="bottom"/>
            <w:shd w:val="clear" w:color="auto" w:fill="CFF0FC"/>
          </w:tcPr>
          <w:p>
            <w:pPr>
              <w:jc w:val="center"/>
              <w:ind w:left="3668"/>
              <w:spacing w:after="0" w:line="180" w:lineRule="exact"/>
              <w:rPr>
                <w:sz w:val="20"/>
                <w:szCs w:val="20"/>
                <w:color w:val="auto"/>
              </w:rPr>
            </w:pPr>
            <w:r>
              <w:rPr>
                <w:rFonts w:ascii="Times New Roman" w:cs="Times New Roman" w:eastAsia="Times New Roman" w:hAnsi="Times New Roman"/>
                <w:sz w:val="16"/>
                <w:szCs w:val="16"/>
                <w:color w:val="auto"/>
              </w:rPr>
              <w:t>5 years</w:t>
            </w:r>
          </w:p>
        </w:tc>
      </w:tr>
    </w:tbl>
    <w:p>
      <w:pPr>
        <w:spacing w:after="0" w:line="3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Internal-use software</w:t>
      </w:r>
    </w:p>
    <w:p>
      <w:pPr>
        <w:spacing w:after="0" w:line="94" w:lineRule="exact"/>
        <w:rPr>
          <w:sz w:val="20"/>
          <w:szCs w:val="20"/>
          <w:color w:val="auto"/>
        </w:rPr>
      </w:pPr>
    </w:p>
    <w:p>
      <w:pPr>
        <w:ind w:right="220" w:firstLine="468"/>
        <w:spacing w:after="0" w:line="247" w:lineRule="auto"/>
        <w:rPr>
          <w:sz w:val="20"/>
          <w:szCs w:val="20"/>
          <w:color w:val="auto"/>
        </w:rPr>
      </w:pPr>
      <w:r>
        <w:rPr>
          <w:rFonts w:ascii="Times New Roman" w:cs="Times New Roman" w:eastAsia="Times New Roman" w:hAnsi="Times New Roman"/>
          <w:sz w:val="16"/>
          <w:szCs w:val="16"/>
          <w:color w:val="auto"/>
        </w:rPr>
        <w:t>We capitalize internal and external costs directly associated with the development of internal -use software. Maintenance and training costs, as well as costs incurred during the preliminary stage of an internal-use software development project, are expensed as incurred. The Company has not commenced amortizing the in-development software as it not yet ready for its intended use.</w:t>
      </w:r>
    </w:p>
    <w:p>
      <w:pPr>
        <w:spacing w:after="0" w:line="68" w:lineRule="exact"/>
        <w:rPr>
          <w:sz w:val="20"/>
          <w:szCs w:val="20"/>
          <w:color w:val="auto"/>
        </w:rPr>
      </w:pPr>
    </w:p>
    <w:p>
      <w:pPr>
        <w:ind w:right="180" w:firstLine="468"/>
        <w:spacing w:after="0" w:line="331" w:lineRule="auto"/>
        <w:rPr>
          <w:sz w:val="20"/>
          <w:szCs w:val="20"/>
          <w:color w:val="auto"/>
        </w:rPr>
      </w:pPr>
      <w:r>
        <w:rPr>
          <w:rFonts w:ascii="Times New Roman" w:cs="Times New Roman" w:eastAsia="Times New Roman" w:hAnsi="Times New Roman"/>
          <w:sz w:val="14"/>
          <w:szCs w:val="14"/>
          <w:color w:val="auto"/>
        </w:rPr>
        <w:t>The Company reviews internal-use software for impairment when an event or changes in business circumstances indicate that the carrying amount of the asset may not be fully recoverable. There were no indicators of impairment for internal-use software as of June 30, 2025 and June 30, 2024 and the periods then ended.</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Technology intellectual property</w:t>
      </w:r>
    </w:p>
    <w:p>
      <w:pPr>
        <w:spacing w:after="0" w:line="94" w:lineRule="exact"/>
        <w:rPr>
          <w:sz w:val="20"/>
          <w:szCs w:val="20"/>
          <w:color w:val="auto"/>
        </w:rPr>
      </w:pPr>
    </w:p>
    <w:p>
      <w:pPr>
        <w:ind w:right="240" w:firstLine="468"/>
        <w:spacing w:after="0" w:line="331" w:lineRule="auto"/>
        <w:rPr>
          <w:sz w:val="20"/>
          <w:szCs w:val="20"/>
          <w:color w:val="auto"/>
        </w:rPr>
      </w:pPr>
      <w:r>
        <w:rPr>
          <w:rFonts w:ascii="Times New Roman" w:cs="Times New Roman" w:eastAsia="Times New Roman" w:hAnsi="Times New Roman"/>
          <w:sz w:val="14"/>
          <w:szCs w:val="14"/>
          <w:color w:val="auto"/>
        </w:rPr>
        <w:t>We have technology intellectual property that were acquired through a business combination. At the time of each acquisition, fair value was estimated using a relief from royalty method which included various assumptions requiring judgment, including projected future cash flows, discount rates, and market royalty rates.</w:t>
      </w:r>
    </w:p>
    <w:p>
      <w:pPr>
        <w:spacing w:after="0" w:line="12"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The Company reviews technology intellectual property for impairment when an event or changes in business circumstances indicate that the carrying amount of the asset may not be fully recoverable. There were no indicators of impairment for technology intellectual property as of June 30, 2025 and June 30, 2024 and the periods then ended. For additional information, see Notes 4 and 7.</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860" w:type="dxa"/>
            <w:vAlign w:val="bottom"/>
          </w:tcPr>
          <w:p>
            <w:pPr>
              <w:ind w:left="366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Technology intellectual property</w:t>
            </w:r>
          </w:p>
        </w:tc>
        <w:tc>
          <w:tcPr>
            <w:tcW w:w="4860" w:type="dxa"/>
            <w:vAlign w:val="bottom"/>
            <w:shd w:val="clear" w:color="auto" w:fill="CFF0FC"/>
          </w:tcPr>
          <w:p>
            <w:pPr>
              <w:ind w:left="3660"/>
              <w:spacing w:after="0" w:line="180" w:lineRule="exact"/>
              <w:rPr>
                <w:sz w:val="20"/>
                <w:szCs w:val="20"/>
                <w:color w:val="auto"/>
              </w:rPr>
            </w:pPr>
            <w:r>
              <w:rPr>
                <w:rFonts w:ascii="Times New Roman" w:cs="Times New Roman" w:eastAsia="Times New Roman" w:hAnsi="Times New Roman"/>
                <w:sz w:val="16"/>
                <w:szCs w:val="16"/>
                <w:color w:val="auto"/>
              </w:rPr>
              <w:t>10 years</w:t>
            </w:r>
          </w:p>
        </w:tc>
      </w:tr>
    </w:tbl>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Customer contracts and related relationships</w:t>
      </w:r>
    </w:p>
    <w:p>
      <w:pPr>
        <w:spacing w:after="0" w:line="94" w:lineRule="exact"/>
        <w:rPr>
          <w:sz w:val="20"/>
          <w:szCs w:val="20"/>
          <w:color w:val="auto"/>
        </w:rPr>
      </w:pPr>
    </w:p>
    <w:p>
      <w:pPr>
        <w:ind w:right="60" w:firstLine="468"/>
        <w:spacing w:after="0" w:line="243" w:lineRule="auto"/>
        <w:rPr>
          <w:sz w:val="20"/>
          <w:szCs w:val="20"/>
          <w:color w:val="auto"/>
        </w:rPr>
      </w:pPr>
      <w:r>
        <w:rPr>
          <w:rFonts w:ascii="Times New Roman" w:cs="Times New Roman" w:eastAsia="Times New Roman" w:hAnsi="Times New Roman"/>
          <w:sz w:val="16"/>
          <w:szCs w:val="16"/>
          <w:color w:val="auto"/>
        </w:rPr>
        <w:t>We have customer contracts and related relationships that were acquired through a business combination. At the time of each acquisition, fair value was estimated using an excess earnings methodology (MPEEM - Multi-Period Excess Earnings Method) . The MPEEM is a variation of discounted cash-flow analysis which utilizes internally developed discounted future cash flow models and third-party valuation specialist models, which include various assumptions requiring judgment, including projected future cash flows and discount rates.</w:t>
      </w:r>
    </w:p>
    <w:p>
      <w:pPr>
        <w:spacing w:after="0" w:line="71" w:lineRule="exact"/>
        <w:rPr>
          <w:sz w:val="20"/>
          <w:szCs w:val="20"/>
          <w:color w:val="auto"/>
        </w:rPr>
      </w:pPr>
    </w:p>
    <w:p>
      <w:pPr>
        <w:ind w:right="40" w:firstLine="468"/>
        <w:spacing w:after="0" w:line="247" w:lineRule="auto"/>
        <w:rPr>
          <w:sz w:val="20"/>
          <w:szCs w:val="20"/>
          <w:color w:val="auto"/>
        </w:rPr>
      </w:pPr>
      <w:r>
        <w:rPr>
          <w:rFonts w:ascii="Times New Roman" w:cs="Times New Roman" w:eastAsia="Times New Roman" w:hAnsi="Times New Roman"/>
          <w:sz w:val="16"/>
          <w:szCs w:val="16"/>
          <w:color w:val="auto"/>
        </w:rPr>
        <w:t>The Company reviews customer contracts and related relationships for impairment when an event or changes in business circumstances indicate that the carrying amount of the asset may not be fully recoverable. There were no indicators of impairment for customer contracts and related relationships as of June 30, 2025 and June 30, 2024 and the periods then ended. For additional information, see Notes 4 and 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500" w:type="dxa"/>
            <w:vAlign w:val="bottom"/>
          </w:tcPr>
          <w:p>
            <w:pPr>
              <w:jc w:val="center"/>
              <w:ind w:left="2588"/>
              <w:spacing w:after="0"/>
              <w:rPr>
                <w:sz w:val="20"/>
                <w:szCs w:val="20"/>
                <w:color w:val="auto"/>
              </w:rPr>
            </w:pPr>
            <w:r>
              <w:rPr>
                <w:rFonts w:ascii="Times New Roman" w:cs="Times New Roman" w:eastAsia="Times New Roman" w:hAnsi="Times New Roman"/>
                <w:sz w:val="13"/>
                <w:szCs w:val="13"/>
                <w:b w:val="1"/>
                <w:bCs w:val="1"/>
                <w:color w:val="auto"/>
                <w:w w:val="99"/>
              </w:rPr>
              <w:t>Useful life</w:t>
            </w:r>
          </w:p>
        </w:tc>
      </w:tr>
      <w:tr>
        <w:trPr>
          <w:trHeight w:val="180"/>
        </w:trPr>
        <w:tc>
          <w:tcPr>
            <w:tcW w:w="6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Customer contracts and related relationships</w:t>
            </w:r>
          </w:p>
        </w:tc>
        <w:tc>
          <w:tcPr>
            <w:tcW w:w="4500" w:type="dxa"/>
            <w:vAlign w:val="bottom"/>
            <w:shd w:val="clear" w:color="auto" w:fill="CFF0FC"/>
          </w:tcPr>
          <w:p>
            <w:pPr>
              <w:jc w:val="center"/>
              <w:ind w:left="2568"/>
              <w:spacing w:after="0" w:line="180" w:lineRule="exact"/>
              <w:rPr>
                <w:sz w:val="20"/>
                <w:szCs w:val="20"/>
                <w:color w:val="auto"/>
              </w:rPr>
            </w:pPr>
            <w:r>
              <w:rPr>
                <w:rFonts w:ascii="Times New Roman" w:cs="Times New Roman" w:eastAsia="Times New Roman" w:hAnsi="Times New Roman"/>
                <w:sz w:val="16"/>
                <w:szCs w:val="16"/>
                <w:color w:val="auto"/>
              </w:rPr>
              <w:t>4 years</w:t>
            </w:r>
          </w:p>
        </w:tc>
      </w:tr>
    </w:tbl>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Recruitment database</w:t>
      </w:r>
    </w:p>
    <w:p>
      <w:pPr>
        <w:spacing w:after="0" w:line="94" w:lineRule="exact"/>
        <w:rPr>
          <w:sz w:val="20"/>
          <w:szCs w:val="20"/>
          <w:color w:val="auto"/>
        </w:rPr>
      </w:pPr>
    </w:p>
    <w:p>
      <w:pPr>
        <w:ind w:right="180" w:firstLine="468"/>
        <w:spacing w:after="0" w:line="247" w:lineRule="auto"/>
        <w:rPr>
          <w:sz w:val="20"/>
          <w:szCs w:val="20"/>
          <w:color w:val="auto"/>
        </w:rPr>
      </w:pPr>
      <w:r>
        <w:rPr>
          <w:rFonts w:ascii="Times New Roman" w:cs="Times New Roman" w:eastAsia="Times New Roman" w:hAnsi="Times New Roman"/>
          <w:sz w:val="16"/>
          <w:szCs w:val="16"/>
          <w:color w:val="auto"/>
        </w:rPr>
        <w:t>We have a recruitment database that was acquired through a business combination. At the time of the acquisition, fair value was estimated using a replacement cost method. The replacement cost method considers an estimate of the costs to recreate the recruitment database (software, data acquisition, labor, overhead), opportunity costs representing forgone returns and obsolescence of the recruitment database.</w:t>
      </w:r>
    </w:p>
    <w:p>
      <w:pPr>
        <w:spacing w:after="0" w:line="68"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16"/>
          <w:szCs w:val="16"/>
          <w:color w:val="auto"/>
        </w:rPr>
        <w:t>The Company reviews the recruitment database for impairment when an event or changes in business circumstances indicate that the carrying amount of the asset may not be fully recoverable. There were no indicators of impairment for the recruitment database as of June 30, 2025 and June 30, 2024 and the periods then ended. For additional information, see Notes 4 and 7.</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8480" w:type="dxa"/>
            <w:vAlign w:val="bottom"/>
          </w:tcPr>
          <w:p>
            <w:pPr>
              <w:jc w:val="center"/>
              <w:ind w:right="2004"/>
              <w:spacing w:after="0"/>
              <w:rPr>
                <w:sz w:val="20"/>
                <w:szCs w:val="20"/>
                <w:color w:val="auto"/>
              </w:rPr>
            </w:pPr>
            <w:r>
              <w:rPr>
                <w:rFonts w:ascii="Times New Roman" w:cs="Times New Roman" w:eastAsia="Times New Roman" w:hAnsi="Times New Roman"/>
                <w:sz w:val="16"/>
                <w:szCs w:val="16"/>
                <w:b w:val="1"/>
                <w:bCs w:val="1"/>
                <w:color w:val="auto"/>
                <w:w w:val="97"/>
              </w:rPr>
              <w:t>REZOLVE AI PLC AND SUBSIDIARIES</w:t>
            </w:r>
          </w:p>
        </w:tc>
      </w:tr>
      <w:tr>
        <w:trPr>
          <w:trHeight w:val="180"/>
        </w:trPr>
        <w:tc>
          <w:tcPr>
            <w:tcW w:w="2080" w:type="dxa"/>
            <w:vAlign w:val="bottom"/>
          </w:tcPr>
          <w:p>
            <w:pPr>
              <w:spacing w:after="0"/>
              <w:rPr>
                <w:sz w:val="15"/>
                <w:szCs w:val="15"/>
                <w:color w:val="auto"/>
              </w:rPr>
            </w:pPr>
          </w:p>
        </w:tc>
        <w:tc>
          <w:tcPr>
            <w:tcW w:w="8480" w:type="dxa"/>
            <w:vAlign w:val="bottom"/>
          </w:tcPr>
          <w:p>
            <w:pPr>
              <w:jc w:val="center"/>
              <w:ind w:right="1984"/>
              <w:spacing w:after="0" w:line="180" w:lineRule="exact"/>
              <w:rPr>
                <w:sz w:val="20"/>
                <w:szCs w:val="20"/>
                <w:color w:val="auto"/>
              </w:rPr>
            </w:pPr>
            <w:r>
              <w:rPr>
                <w:rFonts w:ascii="Times New Roman" w:cs="Times New Roman" w:eastAsia="Times New Roman" w:hAnsi="Times New Roman"/>
                <w:sz w:val="16"/>
                <w:szCs w:val="16"/>
                <w:b w:val="1"/>
                <w:bCs w:val="1"/>
                <w:color w:val="auto"/>
                <w:w w:val="97"/>
              </w:rPr>
              <w:t>Notes to Condensed Interim Combined Consolidated Financial Statements</w:t>
            </w:r>
          </w:p>
        </w:tc>
      </w:tr>
      <w:tr>
        <w:trPr>
          <w:trHeight w:val="205"/>
        </w:trPr>
        <w:tc>
          <w:tcPr>
            <w:tcW w:w="2080" w:type="dxa"/>
            <w:vAlign w:val="bottom"/>
          </w:tcPr>
          <w:p>
            <w:pPr>
              <w:spacing w:after="0"/>
              <w:rPr>
                <w:sz w:val="17"/>
                <w:szCs w:val="17"/>
                <w:color w:val="auto"/>
              </w:rPr>
            </w:pPr>
          </w:p>
        </w:tc>
        <w:tc>
          <w:tcPr>
            <w:tcW w:w="8480" w:type="dxa"/>
            <w:vAlign w:val="bottom"/>
          </w:tcPr>
          <w:p>
            <w:pPr>
              <w:jc w:val="center"/>
              <w:ind w:right="1984"/>
              <w:spacing w:after="0"/>
              <w:rPr>
                <w:sz w:val="20"/>
                <w:szCs w:val="20"/>
                <w:color w:val="auto"/>
              </w:rPr>
            </w:pPr>
            <w:r>
              <w:rPr>
                <w:rFonts w:ascii="Times New Roman" w:cs="Times New Roman" w:eastAsia="Times New Roman" w:hAnsi="Times New Roman"/>
                <w:sz w:val="16"/>
                <w:szCs w:val="16"/>
                <w:b w:val="1"/>
                <w:bCs w:val="1"/>
                <w:color w:val="auto"/>
                <w:w w:val="97"/>
              </w:rPr>
              <w:t>(unaudited)</w:t>
            </w:r>
          </w:p>
        </w:tc>
      </w:tr>
      <w:tr>
        <w:trPr>
          <w:trHeight w:val="386"/>
        </w:trPr>
        <w:tc>
          <w:tcPr>
            <w:tcW w:w="2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480" w:type="dxa"/>
            <w:vAlign w:val="bottom"/>
          </w:tcPr>
          <w:p>
            <w:pPr>
              <w:jc w:val="center"/>
              <w:ind w:left="6564"/>
              <w:spacing w:after="0"/>
              <w:rPr>
                <w:sz w:val="20"/>
                <w:szCs w:val="20"/>
                <w:color w:val="auto"/>
              </w:rPr>
            </w:pPr>
            <w:r>
              <w:rPr>
                <w:rFonts w:ascii="Times New Roman" w:cs="Times New Roman" w:eastAsia="Times New Roman" w:hAnsi="Times New Roman"/>
                <w:sz w:val="13"/>
                <w:szCs w:val="13"/>
                <w:b w:val="1"/>
                <w:bCs w:val="1"/>
                <w:color w:val="auto"/>
                <w:w w:val="99"/>
              </w:rPr>
              <w:t>Useful life</w:t>
            </w:r>
          </w:p>
        </w:tc>
      </w:tr>
      <w:tr>
        <w:trPr>
          <w:trHeight w:val="180"/>
        </w:trPr>
        <w:tc>
          <w:tcPr>
            <w:tcW w:w="2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Recruitment database</w:t>
            </w:r>
          </w:p>
        </w:tc>
        <w:tc>
          <w:tcPr>
            <w:tcW w:w="8480" w:type="dxa"/>
            <w:vAlign w:val="bottom"/>
            <w:shd w:val="clear" w:color="auto" w:fill="CFF0FC"/>
          </w:tcPr>
          <w:p>
            <w:pPr>
              <w:jc w:val="center"/>
              <w:ind w:left="6544"/>
              <w:spacing w:after="0" w:line="180" w:lineRule="exact"/>
              <w:rPr>
                <w:sz w:val="20"/>
                <w:szCs w:val="20"/>
                <w:color w:val="auto"/>
              </w:rPr>
            </w:pPr>
            <w:r>
              <w:rPr>
                <w:rFonts w:ascii="Times New Roman" w:cs="Times New Roman" w:eastAsia="Times New Roman" w:hAnsi="Times New Roman"/>
                <w:sz w:val="16"/>
                <w:szCs w:val="16"/>
                <w:color w:val="auto"/>
              </w:rPr>
              <w:t>3 years</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2.11. Goodwill</w:t>
      </w:r>
    </w:p>
    <w:p>
      <w:pPr>
        <w:spacing w:after="0" w:line="94" w:lineRule="exact"/>
        <w:rPr>
          <w:sz w:val="20"/>
          <w:szCs w:val="20"/>
          <w:color w:val="auto"/>
        </w:rPr>
      </w:pPr>
    </w:p>
    <w:p>
      <w:pPr>
        <w:ind w:right="220" w:firstLine="468"/>
        <w:spacing w:after="0" w:line="247" w:lineRule="auto"/>
        <w:rPr>
          <w:sz w:val="20"/>
          <w:szCs w:val="20"/>
          <w:color w:val="auto"/>
        </w:rPr>
      </w:pPr>
      <w:r>
        <w:rPr>
          <w:rFonts w:ascii="Times New Roman" w:cs="Times New Roman" w:eastAsia="Times New Roman" w:hAnsi="Times New Roman"/>
          <w:sz w:val="16"/>
          <w:szCs w:val="16"/>
          <w:color w:val="auto"/>
        </w:rPr>
        <w:t>Goodwill represents the future economic benefits arising from other assets acquired in a business combination that are not individually identified or separately recognized. Goodwill is subject to an impairment test at least annually or when events or changes in circumstances indicate that it may be impaired. In assessing impairment, the Company performs either a quantitative or a qualitative analysis.</w:t>
      </w:r>
    </w:p>
    <w:p>
      <w:pPr>
        <w:spacing w:after="0" w:line="68"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Determining the fair value of the Company’s single reporting unit for goodwill requires significant estimates and judgments by management. When a quantitative analysis is performed, the Company generally uses the income approach, which requires several estimates, including future cash flows consistent with management’s strategic plans, sales growth rates and the selection of royalty rates and discount rates. There were no indicators of impairment for goodwill identified during the six months ended June 30, 2025. For additional information, see Note 4 and 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2.12. Operating leases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the inception of an arrangement, the Company determines whether the arrangement is or contains a lease.</w:t>
      </w:r>
    </w:p>
    <w:p>
      <w:pPr>
        <w:spacing w:after="0" w:line="92"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The interest rate used to determine the present value of the future lease payments is the Company's incremental borrowing rate, because the interest rate implicit in the Company's leases is not readily determinable. The Company's incremental borrowing rate is estimated to approximate the interest rate on a collateralized basis with similar terms and payments, and in economic environments where the leased asset is located.</w:t>
      </w:r>
    </w:p>
    <w:p>
      <w:pPr>
        <w:spacing w:after="0" w:line="73" w:lineRule="exact"/>
        <w:rPr>
          <w:sz w:val="20"/>
          <w:szCs w:val="20"/>
          <w:color w:val="auto"/>
        </w:rPr>
      </w:pPr>
    </w:p>
    <w:p>
      <w:pPr>
        <w:ind w:right="60" w:firstLine="468"/>
        <w:spacing w:after="0" w:line="243" w:lineRule="auto"/>
        <w:rPr>
          <w:sz w:val="20"/>
          <w:szCs w:val="20"/>
          <w:color w:val="auto"/>
        </w:rPr>
      </w:pPr>
      <w:r>
        <w:rPr>
          <w:rFonts w:ascii="Times New Roman" w:cs="Times New Roman" w:eastAsia="Times New Roman" w:hAnsi="Times New Roman"/>
          <w:sz w:val="16"/>
          <w:szCs w:val="16"/>
          <w:color w:val="auto"/>
        </w:rPr>
        <w:t>The operating lease ROU asset also includes any prepaid lease payments and excludes lease incentives. The lease terms may include options to extend or terminate the lease when it is reasonably certain that the Company will exercise that option. Certain lease agreements contain variable payments, which are expensed as incurred and not included in the lease assets and liabilities. These amounts primarily include payments for maintenance and utilities. Operating lease expense (excluding variable lease costs) is recognized on a straight-line basis over the lease term.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2.14. Accounts receivable, net</w:t>
      </w:r>
    </w:p>
    <w:p>
      <w:pPr>
        <w:spacing w:after="0" w:line="94"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expected credit losses is based upon our current estimate of lifetime expected credit losses related to uncollectible accounts receivable. The Company evaluates the need for an allowance for expected credit losses based on historical collection trends, prevailing and anticipated macroeconomic conditions and specific customer credit risk. Accounts receivable at December 31, 2024 did not have any allowances created for expected credit losses. The allowance for expected credit losses at June 30, 2025 is $1,266,472.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2.14. Fair value measurement and concentrations of risk</w:t>
      </w:r>
    </w:p>
    <w:p>
      <w:pPr>
        <w:spacing w:after="0" w:line="94" w:lineRule="exact"/>
        <w:rPr>
          <w:sz w:val="20"/>
          <w:szCs w:val="20"/>
          <w:color w:val="auto"/>
        </w:rPr>
      </w:pPr>
    </w:p>
    <w:p>
      <w:pPr>
        <w:ind w:right="180" w:firstLine="468"/>
        <w:spacing w:after="0" w:line="241" w:lineRule="auto"/>
        <w:rPr>
          <w:sz w:val="20"/>
          <w:szCs w:val="20"/>
          <w:color w:val="auto"/>
        </w:rPr>
      </w:pPr>
      <w:r>
        <w:rPr>
          <w:rFonts w:ascii="Times New Roman" w:cs="Times New Roman" w:eastAsia="Times New Roman" w:hAnsi="Times New Roman"/>
          <w:sz w:val="16"/>
          <w:szCs w:val="16"/>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69"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27" w:right="660"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•Level 1—Inputs are quoted prices (unadjusted) in active markets for identical assets or liabilities that the Company has the ability to access at the measurement date.</w:t>
      </w:r>
    </w:p>
    <w:p>
      <w:pPr>
        <w:spacing w:after="0" w:line="59" w:lineRule="exact"/>
        <w:rPr>
          <w:sz w:val="20"/>
          <w:szCs w:val="20"/>
          <w:color w:val="auto"/>
        </w:rPr>
      </w:pPr>
    </w:p>
    <w:p>
      <w:pPr>
        <w:ind w:left="480" w:right="260"/>
        <w:spacing w:after="0" w:line="247" w:lineRule="auto"/>
        <w:rPr>
          <w:sz w:val="20"/>
          <w:szCs w:val="20"/>
          <w:color w:val="auto"/>
        </w:rPr>
      </w:pPr>
      <w:r>
        <w:rPr>
          <w:rFonts w:ascii="Times New Roman" w:cs="Times New Roman" w:eastAsia="Times New Roman" w:hAnsi="Times New Roman"/>
          <w:sz w:val="16"/>
          <w:szCs w:val="16"/>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•Level 3—Inputs are unobservable inputs for the asset or liability.</w:t>
      </w:r>
    </w:p>
    <w:p>
      <w:pPr>
        <w:spacing w:after="0" w:line="188"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The level in the fair value hierarchy within which a fair value measurement in its entirety falls is based on the lowest-level input that is significant to the fair value measurement in its entirety.</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Fair value measurements at reporting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100" w:type="dxa"/>
            <w:vAlign w:val="bottom"/>
          </w:tcPr>
          <w:p>
            <w:pPr>
              <w:spacing w:after="0"/>
              <w:rPr>
                <w:sz w:val="14"/>
                <w:szCs w:val="14"/>
                <w:color w:val="auto"/>
              </w:rPr>
            </w:pPr>
          </w:p>
        </w:tc>
        <w:tc>
          <w:tcPr>
            <w:tcW w:w="120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80" w:type="dxa"/>
            <w:vAlign w:val="bottom"/>
          </w:tcPr>
          <w:p>
            <w:pPr>
              <w:spacing w:after="0"/>
              <w:rPr>
                <w:sz w:val="14"/>
                <w:szCs w:val="14"/>
                <w:color w:val="auto"/>
              </w:rPr>
            </w:pPr>
          </w:p>
        </w:tc>
        <w:tc>
          <w:tcPr>
            <w:tcW w:w="120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4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80"/>
        </w:trPr>
        <w:tc>
          <w:tcPr>
            <w:tcW w:w="38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June 30, 2025</w:t>
            </w:r>
          </w:p>
        </w:tc>
        <w:tc>
          <w:tcPr>
            <w:tcW w:w="2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Fair value on recurring basis</w:t>
            </w:r>
          </w:p>
        </w:tc>
        <w:tc>
          <w:tcPr>
            <w:tcW w:w="2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6"/>
              </w:rPr>
              <w:t>(1)</w:t>
            </w:r>
          </w:p>
        </w:tc>
        <w:tc>
          <w:tcPr>
            <w:tcW w:w="3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Share-based payment liability</w:t>
            </w:r>
          </w:p>
        </w:tc>
        <w:tc>
          <w:tcPr>
            <w:tcW w:w="2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3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6"/>
              </w:rPr>
              <w:t>(2)</w:t>
            </w:r>
          </w:p>
        </w:tc>
        <w:tc>
          <w:tcPr>
            <w:tcW w:w="36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 liability</w:t>
            </w:r>
          </w:p>
        </w:tc>
        <w:tc>
          <w:tcPr>
            <w:tcW w:w="2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1,513,430</w:t>
            </w:r>
          </w:p>
        </w:tc>
        <w:tc>
          <w:tcPr>
            <w:tcW w:w="4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6"/>
              </w:rPr>
              <w:t>(3)</w:t>
            </w:r>
          </w:p>
        </w:tc>
        <w:tc>
          <w:tcPr>
            <w:tcW w:w="3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receivable</w:t>
            </w:r>
          </w:p>
        </w:tc>
        <w:tc>
          <w:tcPr>
            <w:tcW w:w="2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5,710,714</w:t>
            </w:r>
          </w:p>
        </w:tc>
        <w:tc>
          <w:tcPr>
            <w:tcW w:w="3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2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38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Fair value on recurring basis</w:t>
            </w:r>
          </w:p>
        </w:tc>
        <w:tc>
          <w:tcPr>
            <w:tcW w:w="2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r>
      <w:tr>
        <w:trPr>
          <w:trHeight w:val="180"/>
        </w:trPr>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6"/>
              </w:rPr>
              <w:t>(1)</w:t>
            </w:r>
          </w:p>
        </w:tc>
        <w:tc>
          <w:tcPr>
            <w:tcW w:w="36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Share-based payment liability</w:t>
            </w:r>
          </w:p>
        </w:tc>
        <w:tc>
          <w:tcPr>
            <w:tcW w:w="2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6"/>
              </w:rPr>
              <w:t>(2)</w:t>
            </w:r>
          </w:p>
        </w:tc>
        <w:tc>
          <w:tcPr>
            <w:tcW w:w="3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 liability</w:t>
            </w:r>
          </w:p>
        </w:tc>
        <w:tc>
          <w:tcPr>
            <w:tcW w:w="2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2,579,875</w:t>
            </w:r>
          </w:p>
        </w:tc>
        <w:tc>
          <w:tcPr>
            <w:tcW w:w="4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w w:val="96"/>
              </w:rPr>
              <w:t>(2)</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1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2,587,581</w:t>
            </w: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8.6.</w:t>
      </w:r>
    </w:p>
    <w:p>
      <w:pPr>
        <w:spacing w:after="0" w:line="14"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6"/>
          <w:szCs w:val="16"/>
          <w:color w:val="auto"/>
        </w:rPr>
        <w:t>(2)The derivative asset and the derivative liability were valued by a third-party valuation expert using a Geometric Brownian Motion based Monte Carlo simulation to project the underlying metric value to ultimately determine the fair value upon the date of issuance. This model incorporates the most recent data available including risk -free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(3)See note 8.9.</w:t>
      </w:r>
    </w:p>
    <w:p>
      <w:pPr>
        <w:spacing w:after="0" w:line="158" w:lineRule="exact"/>
        <w:rPr>
          <w:sz w:val="20"/>
          <w:szCs w:val="20"/>
          <w:color w:val="auto"/>
        </w:rPr>
      </w:pPr>
    </w:p>
    <w:p>
      <w:pPr>
        <w:ind w:right="120" w:firstLine="234"/>
        <w:spacing w:after="0" w:line="243" w:lineRule="auto"/>
        <w:rPr>
          <w:sz w:val="20"/>
          <w:szCs w:val="20"/>
          <w:color w:val="auto"/>
        </w:rPr>
      </w:pPr>
      <w:r>
        <w:rPr>
          <w:rFonts w:ascii="Times New Roman" w:cs="Times New Roman" w:eastAsia="Times New Roman" w:hAnsi="Times New Roman"/>
          <w:sz w:val="16"/>
          <w:szCs w:val="16"/>
          <w:color w:val="auto"/>
        </w:rPr>
        <w:t>The derivative asset at December 31, 2024 pertained to an option held by the Company to convert a promissory note payable to Northland Securities (see note 8).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of the advisor's loan payable but $1,135,000 into shares of the Company’s common stock at a price of $10.00 per share.</w:t>
      </w:r>
    </w:p>
    <w:p>
      <w:pPr>
        <w:spacing w:after="0" w:line="167" w:lineRule="exact"/>
        <w:rPr>
          <w:sz w:val="20"/>
          <w:szCs w:val="20"/>
          <w:color w:val="auto"/>
        </w:rPr>
      </w:pPr>
    </w:p>
    <w:p>
      <w:pPr>
        <w:ind w:right="100" w:firstLine="468"/>
        <w:spacing w:after="0" w:line="239" w:lineRule="auto"/>
        <w:rPr>
          <w:sz w:val="20"/>
          <w:szCs w:val="20"/>
          <w:color w:val="auto"/>
        </w:rPr>
      </w:pPr>
      <w:r>
        <w:rPr>
          <w:rFonts w:ascii="Times New Roman" w:cs="Times New Roman" w:eastAsia="Times New Roman" w:hAnsi="Times New Roman"/>
          <w:sz w:val="16"/>
          <w:szCs w:val="16"/>
          <w:color w:val="auto"/>
        </w:rPr>
        <w:t>The derivative liabilities were triggered by conversion features embedded in promissory notes held by investors Cohen &amp; Company Financial Management LLC (see note 8), J.V.B. Financial Group and Northlands Securities (see note 8). On August 15, 2024, the Company recognized derivative liabilities and an offsetting debt discount associated with the embedded conversion features in its senior secured convertible notes (see note 8), convertible promissory notes (see note 8) and advisors loans (see note 8). The Company previously did not bifurcate the embedded conversion features as derivatives due to the lack of an underlying share price prior to the Company's acquisition of Armada and listing of its Ordinary Shares on the NASDAQ. The Company no longer recognized a derivative liability associated with the following debt liabilities due to the investors having exercised their conversion features by December 31, 2024:</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•Senior secured convertible notes (note 8.4);</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•YA notes (note 8.7);</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•Promissory notes (note 8.7)</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The carrying amount of the Company’s cash, accounts receivable, accounts payable and accrued expenses approximated their fair values due to their short term to maturity.</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90"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concentrations of credit risk consist primarily of cash and accounts receivables. The Company’s cash in deposited in accounts at large financial institutions. The Company believes it is not exposed to significant credit risk due to the financial strength of the depository institutions in which the cash are held.</w:t>
      </w:r>
    </w:p>
    <w:p>
      <w:pPr>
        <w:spacing w:after="0" w:line="68"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Accounts receivable are potentially subject to credit risk concentration. The Company has not experienced any material losses related to concentrations during the periods presented.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June 30, 2025 and December 31, 2024, the following customers represented more than 10% of total accounts receivable.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20" w:type="dxa"/>
            <w:vAlign w:val="bottom"/>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600" w:type="dxa"/>
            <w:vAlign w:val="bottom"/>
          </w:tcPr>
          <w:p>
            <w:pPr>
              <w:spacing w:after="0"/>
              <w:rPr>
                <w:sz w:val="14"/>
                <w:szCs w:val="14"/>
                <w:color w:val="auto"/>
              </w:rPr>
            </w:pPr>
          </w:p>
        </w:tc>
        <w:tc>
          <w:tcPr>
            <w:tcW w:w="2160" w:type="dxa"/>
            <w:vAlign w:val="bottom"/>
            <w:gridSpan w:val="2"/>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3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Wondr Gaming (1)</w:t>
            </w:r>
          </w:p>
        </w:tc>
        <w:tc>
          <w:tcPr>
            <w:tcW w:w="2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60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w:t>
            </w:r>
          </w:p>
        </w:tc>
      </w:tr>
      <w:tr>
        <w:trPr>
          <w:trHeight w:val="180"/>
        </w:trPr>
        <w:tc>
          <w:tcPr>
            <w:tcW w:w="53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Coles Supermarkets Australia Pty Ltd (2)</w:t>
            </w:r>
          </w:p>
        </w:tc>
        <w:tc>
          <w:tcPr>
            <w:tcW w:w="2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5"/>
                <w:szCs w:val="15"/>
                <w:color w:val="auto"/>
              </w:rPr>
            </w:pPr>
          </w:p>
        </w:tc>
        <w:tc>
          <w:tcPr>
            <w:tcW w:w="1560" w:type="dxa"/>
            <w:vAlign w:val="bottom"/>
          </w:tcPr>
          <w:p>
            <w:pPr>
              <w:jc w:val="right"/>
              <w:ind w:right="18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w:t>
            </w:r>
          </w:p>
        </w:tc>
      </w:tr>
      <w:tr>
        <w:trPr>
          <w:trHeight w:val="180"/>
        </w:trPr>
        <w:tc>
          <w:tcPr>
            <w:tcW w:w="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La Liga</w:t>
            </w:r>
          </w:p>
        </w:tc>
        <w:tc>
          <w:tcPr>
            <w:tcW w:w="4700" w:type="dxa"/>
            <w:vAlign w:val="bottom"/>
            <w:shd w:val="clear" w:color="auto" w:fill="CFF0FC"/>
          </w:tcPr>
          <w:p>
            <w:pPr>
              <w:spacing w:after="0"/>
              <w:rPr>
                <w:sz w:val="15"/>
                <w:szCs w:val="15"/>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Less than 10%</w:t>
            </w:r>
          </w:p>
        </w:tc>
        <w:tc>
          <w:tcPr>
            <w:tcW w:w="6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100  %</w:t>
            </w:r>
          </w:p>
        </w:tc>
      </w:tr>
      <w:tr>
        <w:trPr>
          <w:trHeight w:val="286"/>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99"/>
              </w:rPr>
              <w:t>A full expected credit loss allowance has been recorded against the outstanding balance of this accounts receivable. See note 2.14.</w:t>
            </w:r>
          </w:p>
        </w:tc>
        <w:tc>
          <w:tcPr>
            <w:tcW w:w="1560" w:type="dxa"/>
            <w:vAlign w:val="bottom"/>
          </w:tcPr>
          <w:p>
            <w:pPr>
              <w:jc w:val="right"/>
              <w:ind w:right="505"/>
              <w:spacing w:after="0"/>
              <w:rPr>
                <w:sz w:val="20"/>
                <w:szCs w:val="20"/>
                <w:color w:val="auto"/>
              </w:rPr>
            </w:pPr>
            <w:r>
              <w:rPr>
                <w:rFonts w:ascii="Times New Roman" w:cs="Times New Roman" w:eastAsia="Times New Roman" w:hAnsi="Times New Roman"/>
                <w:sz w:val="16"/>
                <w:szCs w:val="16"/>
                <w:color w:val="auto"/>
              </w:rPr>
              <w:t>and Note 13.</w:t>
            </w:r>
          </w:p>
        </w:tc>
      </w:tr>
      <w:tr>
        <w:trPr>
          <w:trHeight w:val="276"/>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outstanding balance was settled in full in July 2025.</w:t>
            </w:r>
          </w:p>
        </w:tc>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Accounts payable include balances for work incurred by third parties for the benefit of the Company.</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94"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During the six months ended June 30, 2025, the Company’s revenue was denominated in the Euro (“EUR”), Australian Dollars (“AUD”), Polish Zloty (“PLN”) and Indian Rupees (“INR”). Based upon the Company’s level of operations for the six months ended June 30, 2025, a sensitivity analysis shows that a 10% appreciation or depreciation in these currencies against the US dollar would have increased or decreased, respectively, the Company’s revenue for the six months ended June 30, 2025 by the following:</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•EUR against the US dollar by $15,333</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•AUD against the US dollar $29,014</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•PLN against the US dollar by $18,672</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•INR against the US dollar by $7,418</w:t>
      </w:r>
    </w:p>
    <w:p>
      <w:pPr>
        <w:spacing w:after="0" w:line="272" w:lineRule="exact"/>
        <w:rPr>
          <w:sz w:val="20"/>
          <w:szCs w:val="20"/>
          <w:color w:val="auto"/>
        </w:rPr>
      </w:pPr>
    </w:p>
    <w:p>
      <w:pPr>
        <w:ind w:right="20" w:firstLine="507"/>
        <w:spacing w:after="0" w:line="239" w:lineRule="auto"/>
        <w:rPr>
          <w:sz w:val="20"/>
          <w:szCs w:val="20"/>
          <w:color w:val="auto"/>
        </w:rPr>
      </w:pPr>
      <w:r>
        <w:rPr>
          <w:rFonts w:ascii="Times New Roman" w:cs="Times New Roman" w:eastAsia="Times New Roman" w:hAnsi="Times New Roman"/>
          <w:sz w:val="16"/>
          <w:szCs w:val="16"/>
          <w:color w:val="auto"/>
        </w:rPr>
        <w:t>During the six months ended June 30, 2024, all of Rezolve’s revenue was denominated in the EUR since the sales of the Company was in Spain. Based upon the Company’s level of operations for the six months ended June 30, 2024, a sensitivity analysis shows that a 10% appreciation or depreciation in the EUR against the dollar would have increased or decreased, respectively, the Company’s revenue for the six months ended June 30, 2024 by approximately $ 5,339. Bluedot Industries’ revenue for the six months ended June 30, 2024, was denominated in US dollar and AUD. Based upon Bluedot Industries’ level of operations for the six months ended June 30, 2024, a sensitivity analysis shows that a 10% appreciation or depreciation in the AUD against the dollar would have increased or decreased, respectively, Bluedot Industries’ revenue for the six months ended June 30, 2024 by approximately $46,471.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2.15. Loss and earnings per share</w:t>
      </w:r>
    </w:p>
    <w:p>
      <w:pPr>
        <w:spacing w:after="0" w:line="94" w:lineRule="exact"/>
        <w:rPr>
          <w:sz w:val="20"/>
          <w:szCs w:val="20"/>
          <w:color w:val="auto"/>
        </w:rPr>
      </w:pPr>
    </w:p>
    <w:p>
      <w:pPr>
        <w:ind w:right="200" w:firstLine="468"/>
        <w:spacing w:after="0" w:line="331" w:lineRule="auto"/>
        <w:rPr>
          <w:sz w:val="20"/>
          <w:szCs w:val="20"/>
          <w:color w:val="auto"/>
        </w:rPr>
      </w:pPr>
      <w:r>
        <w:rPr>
          <w:rFonts w:ascii="Times New Roman" w:cs="Times New Roman" w:eastAsia="Times New Roman" w:hAnsi="Times New Roman"/>
          <w:sz w:val="14"/>
          <w:szCs w:val="14"/>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08"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share as all potentially dilutive securities are anti- dilutive in the periods presented. For the six months ended June 30, 2025 and 2024 the Company incurred net losses and therefore no potential dilutive ordinary share were utilized in the calculation of losses per share.</w:t>
      </w:r>
    </w:p>
    <w:p>
      <w:pPr>
        <w:spacing w:after="0" w:line="155"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64" w:lineRule="exact"/>
        <w:rPr>
          <w:sz w:val="20"/>
          <w:szCs w:val="20"/>
          <w:color w:val="auto"/>
        </w:rPr>
      </w:pPr>
    </w:p>
    <w:p>
      <w:pPr>
        <w:ind w:right="100" w:firstLine="468"/>
        <w:spacing w:after="0" w:line="247" w:lineRule="auto"/>
        <w:rPr>
          <w:sz w:val="20"/>
          <w:szCs w:val="20"/>
          <w:color w:val="auto"/>
        </w:rPr>
      </w:pPr>
      <w:r>
        <w:rPr>
          <w:rFonts w:ascii="Times New Roman" w:cs="Times New Roman" w:eastAsia="Times New Roman" w:hAnsi="Times New Roman"/>
          <w:sz w:val="16"/>
          <w:szCs w:val="16"/>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64"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64" w:lineRule="exact"/>
        <w:rPr>
          <w:sz w:val="20"/>
          <w:szCs w:val="20"/>
          <w:color w:val="auto"/>
        </w:rPr>
      </w:pPr>
    </w:p>
    <w:p>
      <w:pPr>
        <w:ind w:right="20" w:firstLine="468"/>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June 30, 2024</w:t>
            </w:r>
          </w:p>
        </w:tc>
      </w:tr>
      <w:tr>
        <w:trPr>
          <w:trHeight w:val="180"/>
        </w:trPr>
        <w:tc>
          <w:tcPr>
            <w:tcW w:w="7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Convertible debt (note 8)</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54,172</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884,791</w:t>
            </w:r>
          </w:p>
        </w:tc>
      </w:tr>
      <w:tr>
        <w:trPr>
          <w:trHeight w:val="180"/>
        </w:trPr>
        <w:tc>
          <w:tcPr>
            <w:tcW w:w="7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Shares payable (note 8)</w:t>
            </w:r>
          </w:p>
        </w:tc>
        <w:tc>
          <w:tcPr>
            <w:tcW w:w="17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498,221</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22,838</w:t>
            </w:r>
          </w:p>
        </w:tc>
        <w:tc>
          <w:tcPr>
            <w:tcW w:w="80" w:type="dxa"/>
            <w:vAlign w:val="bottom"/>
          </w:tcPr>
          <w:p>
            <w:pPr>
              <w:spacing w:after="0"/>
              <w:rPr>
                <w:sz w:val="15"/>
                <w:szCs w:val="15"/>
                <w:color w:val="auto"/>
              </w:rPr>
            </w:pPr>
          </w:p>
        </w:tc>
      </w:tr>
      <w:tr>
        <w:trPr>
          <w:trHeight w:val="180"/>
        </w:trPr>
        <w:tc>
          <w:tcPr>
            <w:tcW w:w="7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Warrants</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13,019,976</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574,526</w:t>
            </w:r>
          </w:p>
        </w:tc>
      </w:tr>
      <w:tr>
        <w:trPr>
          <w:trHeight w:val="180"/>
        </w:trPr>
        <w:tc>
          <w:tcPr>
            <w:tcW w:w="7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 options</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7,522,654</w:t>
            </w:r>
          </w:p>
        </w:tc>
        <w:tc>
          <w:tcPr>
            <w:tcW w:w="240" w:type="dxa"/>
            <w:vAlign w:val="bottom"/>
          </w:tcPr>
          <w:p>
            <w:pPr>
              <w:spacing w:after="0"/>
              <w:rPr>
                <w:sz w:val="15"/>
                <w:szCs w:val="15"/>
                <w:color w:val="auto"/>
              </w:rPr>
            </w:pPr>
          </w:p>
        </w:tc>
        <w:tc>
          <w:tcPr>
            <w:tcW w:w="15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848,287</w:t>
            </w:r>
          </w:p>
        </w:tc>
      </w:tr>
      <w:tr>
        <w:trPr>
          <w:trHeight w:val="180"/>
        </w:trPr>
        <w:tc>
          <w:tcPr>
            <w:tcW w:w="7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Convertible promissory notes</w:t>
            </w:r>
          </w:p>
        </w:tc>
        <w:tc>
          <w:tcPr>
            <w:tcW w:w="17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222,153</w:t>
            </w: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Series A preferred shares</w:t>
            </w:r>
          </w:p>
        </w:tc>
        <w:tc>
          <w:tcPr>
            <w:tcW w:w="17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4,574,146</w:t>
            </w:r>
          </w:p>
        </w:tc>
        <w:tc>
          <w:tcPr>
            <w:tcW w:w="80" w:type="dxa"/>
            <w:vAlign w:val="bottom"/>
          </w:tcPr>
          <w:p>
            <w:pPr>
              <w:spacing w:after="0"/>
              <w:rPr>
                <w:sz w:val="15"/>
                <w:szCs w:val="15"/>
                <w:color w:val="auto"/>
              </w:rPr>
            </w:pPr>
          </w:p>
        </w:tc>
      </w:tr>
      <w:tr>
        <w:trPr>
          <w:trHeight w:val="180"/>
        </w:trPr>
        <w:tc>
          <w:tcPr>
            <w:tcW w:w="7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Advisors Loans (note 8)</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1,606,039</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22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22,923,214</w:t>
            </w:r>
          </w:p>
        </w:tc>
        <w:tc>
          <w:tcPr>
            <w:tcW w:w="240" w:type="dxa"/>
            <w:vAlign w:val="bottom"/>
          </w:tcPr>
          <w:p>
            <w:pPr>
              <w:spacing w:after="0"/>
              <w:rPr>
                <w:sz w:val="15"/>
                <w:szCs w:val="15"/>
                <w:color w:val="auto"/>
              </w:rPr>
            </w:pPr>
          </w:p>
        </w:tc>
        <w:tc>
          <w:tcPr>
            <w:tcW w:w="15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6,904,589</w:t>
            </w:r>
          </w:p>
        </w:tc>
        <w:tc>
          <w:tcPr>
            <w:tcW w:w="80" w:type="dxa"/>
            <w:vAlign w:val="bottom"/>
          </w:tcPr>
          <w:p>
            <w:pPr>
              <w:spacing w:after="0"/>
              <w:rPr>
                <w:sz w:val="15"/>
                <w:szCs w:val="15"/>
                <w:color w:val="auto"/>
              </w:rPr>
            </w:pP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2.16. Financial Assets</w:t>
      </w:r>
    </w:p>
    <w:p>
      <w:pPr>
        <w:spacing w:after="0" w:line="274" w:lineRule="exact"/>
        <w:rPr>
          <w:sz w:val="20"/>
          <w:szCs w:val="20"/>
          <w:color w:val="auto"/>
        </w:rPr>
      </w:pPr>
    </w:p>
    <w:p>
      <w:pPr>
        <w:ind w:right="40" w:firstLine="468"/>
        <w:spacing w:after="0" w:line="247" w:lineRule="auto"/>
        <w:rPr>
          <w:sz w:val="20"/>
          <w:szCs w:val="20"/>
          <w:color w:val="auto"/>
        </w:rPr>
      </w:pPr>
      <w:r>
        <w:rPr>
          <w:rFonts w:ascii="Times New Roman" w:cs="Times New Roman" w:eastAsia="Times New Roman" w:hAnsi="Times New Roman"/>
          <w:sz w:val="16"/>
          <w:szCs w:val="16"/>
          <w:color w:val="auto"/>
        </w:rPr>
        <w:t>When the terms of a financial asset involve returns that vary in timing or amounts, the Company evaluates the financial asset to determine if there are any freestanding or embedded derivatives that should be accounted for separately. The Company separates the embedded derivative from its host contract and account for as a derivative instrument “if and only if” all of the specified criteria in ASC 815 are met.</w:t>
      </w:r>
    </w:p>
    <w:p>
      <w:pPr>
        <w:spacing w:after="0" w:line="92" w:lineRule="exact"/>
        <w:rPr>
          <w:sz w:val="20"/>
          <w:szCs w:val="20"/>
          <w:color w:val="auto"/>
        </w:rPr>
      </w:pPr>
    </w:p>
    <w:p>
      <w:pPr>
        <w:ind w:right="40" w:firstLine="468"/>
        <w:spacing w:after="0" w:line="243" w:lineRule="auto"/>
        <w:rPr>
          <w:sz w:val="20"/>
          <w:szCs w:val="20"/>
          <w:color w:val="auto"/>
        </w:rPr>
      </w:pPr>
      <w:r>
        <w:rPr>
          <w:rFonts w:ascii="Times New Roman" w:cs="Times New Roman" w:eastAsia="Times New Roman" w:hAnsi="Times New Roman"/>
          <w:sz w:val="16"/>
          <w:szCs w:val="16"/>
          <w:color w:val="auto"/>
        </w:rPr>
        <w:t>The fair value option (FVO) for financial instruments under ASC 825-10 can generally be applied to hybrid instruments, subject to certain limitations. In addition, ASC 815 provides an instrument -by-instrument fair value election for hybrid financial instruments that would require an embedded derivative to be bifurcated. Under either election, the hybrid financial instrument is carried at fair value with the change in fair value recognized currently in earnings, except for the effect of changes in own credit, which are recognized in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3.Recently issued and adopted accounting pronouncements</w:t>
      </w:r>
    </w:p>
    <w:p>
      <w:pPr>
        <w:spacing w:after="0" w:line="178"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In July 2025, the Financial Accounting Standards Board (the “FASB”) issued Accounting Standards Update (“ASU”)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years. Entities that elect the practical expedient and, if applicable, make the accounting policy election are required to apply the amendments prospectively. The Company is currently evaluating the impact of ASU 2025-05 on its consolidated financial statements and disclosures.</w:t>
      </w:r>
    </w:p>
    <w:p>
      <w:pPr>
        <w:spacing w:after="0" w:line="143" w:lineRule="exact"/>
        <w:rPr>
          <w:sz w:val="20"/>
          <w:szCs w:val="20"/>
          <w:color w:val="auto"/>
        </w:rPr>
      </w:pPr>
    </w:p>
    <w:p>
      <w:pPr>
        <w:ind w:right="20" w:firstLine="468"/>
        <w:spacing w:after="0" w:line="243" w:lineRule="auto"/>
        <w:rPr>
          <w:sz w:val="20"/>
          <w:szCs w:val="20"/>
          <w:color w:val="auto"/>
        </w:rPr>
      </w:pPr>
      <w:r>
        <w:rPr>
          <w:rFonts w:ascii="Times New Roman" w:cs="Times New Roman" w:eastAsia="Times New Roman" w:hAnsi="Times New Roman"/>
          <w:sz w:val="16"/>
          <w:szCs w:val="16"/>
          <w:color w:val="auto"/>
        </w:rPr>
        <w:t>In May 2025, the FASB issued ASU No. 2025-04, “Compensation—Stock Compensation (Topic 718) and Revenue from Contracts with Customers (Topic 606): Clarifications to Share-Based Consideration Payable to a Customer.” This ASU clarifies the accounting treatment of share- based compensation payable to a customer. This guidance is effective for the Company for fiscal years beginning after December 15, 2026 and is not expected to have an impact on the Company’s consolidated financial statements.</w:t>
      </w:r>
    </w:p>
    <w:p>
      <w:pPr>
        <w:spacing w:after="0" w:line="155" w:lineRule="exact"/>
        <w:rPr>
          <w:sz w:val="20"/>
          <w:szCs w:val="20"/>
          <w:color w:val="auto"/>
        </w:rPr>
      </w:pPr>
    </w:p>
    <w:p>
      <w:pPr>
        <w:jc w:val="both"/>
        <w:ind w:firstLine="468"/>
        <w:spacing w:after="0" w:line="243" w:lineRule="auto"/>
        <w:rPr>
          <w:sz w:val="20"/>
          <w:szCs w:val="20"/>
          <w:color w:val="auto"/>
        </w:rPr>
      </w:pPr>
      <w:r>
        <w:rPr>
          <w:rFonts w:ascii="Times New Roman" w:cs="Times New Roman" w:eastAsia="Times New Roman" w:hAnsi="Times New Roman"/>
          <w:sz w:val="16"/>
          <w:szCs w:val="16"/>
          <w:color w:val="auto"/>
        </w:rPr>
        <w:t>In May 2025, the FASB issued ASU No. 2025-03, “Business Combinations (Topic 805) and Consolidation (Topic 810): Determining the Accounting Acquirer in the Acquisition of a Variable Interest Entity.” This ASU clarifies the guidance regarding the identification of the accounting acquirer in a business combination in which the legal acquiree is a variable interest entity. This guidance is effective for the Company for fiscal years beginning after December 15, 2026 and is not expected to have an impact on the Company’s consolidated financial statements.</w:t>
      </w:r>
    </w:p>
    <w:p>
      <w:pPr>
        <w:spacing w:after="0" w:line="153"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 xml:space="preserve">In November 2024, the FASB issued ASU 2024 -03, </w:t>
      </w:r>
      <w:r>
        <w:rPr>
          <w:rFonts w:ascii="Times New Roman" w:cs="Times New Roman" w:eastAsia="Times New Roman" w:hAnsi="Times New Roman"/>
          <w:sz w:val="16"/>
          <w:szCs w:val="16"/>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6"/>
          <w:szCs w:val="16"/>
          <w:color w:val="auto"/>
        </w:rPr>
        <w:t>and in January 2025, the FASB issued ASU 2025-01,</w:t>
      </w:r>
      <w:r>
        <w:rPr>
          <w:rFonts w:ascii="Times New Roman" w:cs="Times New Roman" w:eastAsia="Times New Roman" w:hAnsi="Times New Roman"/>
          <w:sz w:val="16"/>
          <w:szCs w:val="16"/>
          <w:i w:val="1"/>
          <w:iCs w:val="1"/>
          <w:color w:val="auto"/>
        </w:rPr>
        <w:t xml:space="preserve"> Income Statement - Reporting Comprehensive Income - Expense Disaggregation Disclosures (Subtopic 220-40): Clarifying the Effective Date ("ASU 2025-01")</w:t>
      </w:r>
      <w:r>
        <w:rPr>
          <w:rFonts w:ascii="Times New Roman" w:cs="Times New Roman" w:eastAsia="Times New Roman" w:hAnsi="Times New Roman"/>
          <w:sz w:val="16"/>
          <w:szCs w:val="16"/>
          <w:color w:val="auto"/>
        </w:rPr>
        <w:t>. The ASU requires a public business entity to provide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disaggregated disclosures of certain categories of expenses on an annual and interim basis including purchases of inventory, employee compensation, depreciation, and intangible asset amortization for each income statement line item that contains those expenses. ASU 2024-03, as clarified by ASU 2025-01 is effective for annual reporting periods beginning after December 15, 2026, and interim periods beginning after December 15, 2027, with prospective or retrospective application permitted. The Company is currently evaluating the impact of adoption on the consolidated financial statements and related disclosures.</w:t>
      </w:r>
    </w:p>
    <w:p>
      <w:pPr>
        <w:spacing w:after="0" w:line="158" w:lineRule="exact"/>
        <w:rPr>
          <w:sz w:val="20"/>
          <w:szCs w:val="20"/>
          <w:color w:val="auto"/>
        </w:rPr>
      </w:pPr>
    </w:p>
    <w:p>
      <w:pPr>
        <w:ind w:right="80" w:firstLine="468"/>
        <w:spacing w:after="0"/>
        <w:rPr>
          <w:sz w:val="20"/>
          <w:szCs w:val="20"/>
          <w:color w:val="auto"/>
        </w:rPr>
      </w:pPr>
      <w:r>
        <w:rPr>
          <w:rFonts w:ascii="Times New Roman" w:cs="Times New Roman" w:eastAsia="Times New Roman" w:hAnsi="Times New Roman"/>
          <w:sz w:val="16"/>
          <w:szCs w:val="16"/>
          <w:color w:val="auto"/>
        </w:rPr>
        <w:t xml:space="preserve">In March 2024, Financial Accounting Standards Board (the “FASB”) issued Accounting Standards Update (“ASU”) 2024-02, </w:t>
      </w:r>
      <w:r>
        <w:rPr>
          <w:rFonts w:ascii="Times New Roman" w:cs="Times New Roman" w:eastAsia="Times New Roman" w:hAnsi="Times New Roman"/>
          <w:sz w:val="16"/>
          <w:szCs w:val="16"/>
          <w:i w:val="1"/>
          <w:iCs w:val="1"/>
          <w:color w:val="auto"/>
        </w:rPr>
        <w:t>Codification Improvements—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Amendments to Remove References to the Concepts Statements </w:t>
      </w:r>
      <w:r>
        <w:rPr>
          <w:rFonts w:ascii="Times New Roman" w:cs="Times New Roman" w:eastAsia="Times New Roman" w:hAnsi="Times New Roman"/>
          <w:sz w:val="16"/>
          <w:szCs w:val="16"/>
          <w:color w:val="auto"/>
        </w:rPr>
        <w:t>(“ASU 2024-02”), which is intended to simplify the Codification and draw a distinction between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authoritative and non- authoritative literature. ASU 2024 -02 is effective for annual reporting periods beginning after December 15, 2024, with early adoption permitted and can be applied on either a prospective or retroactive basis. The Company is currently assessing the impact of ASU 2024-02 on its consolidated financial statements. The guidance was effective for the Company beginning on January 1, 2025 and did not have an impact on the Company’s consolidated financial statements and related disclosures.</w:t>
      </w:r>
    </w:p>
    <w:p>
      <w:pPr>
        <w:spacing w:after="0" w:line="156" w:lineRule="exact"/>
        <w:rPr>
          <w:sz w:val="20"/>
          <w:szCs w:val="20"/>
          <w:color w:val="auto"/>
        </w:rPr>
      </w:pPr>
    </w:p>
    <w:p>
      <w:pPr>
        <w:ind w:right="140" w:firstLine="468"/>
        <w:spacing w:after="0" w:line="238" w:lineRule="auto"/>
        <w:rPr>
          <w:sz w:val="20"/>
          <w:szCs w:val="20"/>
          <w:color w:val="auto"/>
        </w:rPr>
      </w:pPr>
      <w:r>
        <w:rPr>
          <w:rFonts w:ascii="Times New Roman" w:cs="Times New Roman" w:eastAsia="Times New Roman" w:hAnsi="Times New Roman"/>
          <w:sz w:val="16"/>
          <w:szCs w:val="16"/>
          <w:color w:val="auto"/>
        </w:rPr>
        <w:t xml:space="preserve">In December 2023, the FASB issued Accounting Standards Update No.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ASU 2023-09 requires additional disclosures related to rate reconciliation, income taxes paid, and other disclosures. Under ASU 2023-09, for each annual periods presented, public entities are required to (1) disclose specific categories in the tabular rate reconciliation and (2) provide additional information for reconciling items that meet a quantitative threshold. In addition, ASU 2023 -09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 basis with an option to apply the standard retrospectively. Early adoption is permitted. The guidance was effective for the Company beginning on January 1, 2025 and did not have an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4.Acquisitions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GroupBy Acquisition</w:t>
      </w:r>
    </w:p>
    <w:p>
      <w:pPr>
        <w:spacing w:after="0" w:line="190"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right="40" w:firstLine="468"/>
        <w:spacing w:after="0" w:line="247" w:lineRule="auto"/>
        <w:rPr>
          <w:sz w:val="20"/>
          <w:szCs w:val="20"/>
          <w:color w:val="auto"/>
        </w:rPr>
      </w:pPr>
      <w:r>
        <w:rPr>
          <w:rFonts w:ascii="Times New Roman" w:cs="Times New Roman" w:eastAsia="Times New Roman" w:hAnsi="Times New Roman"/>
          <w:sz w:val="16"/>
          <w:szCs w:val="16"/>
          <w:color w:val="auto"/>
        </w:rPr>
        <w:t>GroupBy is an enterprise-grade site search, product discovery, and merchandising solutions provider. GroupBy will both strengthen the Company's market position in transforming digital commerce experiences and extend its North American footprint, opening doors to new growth opportunities and deepening relationships with enterprise clients.</w:t>
      </w:r>
    </w:p>
    <w:p>
      <w:pPr>
        <w:spacing w:after="0" w:line="164"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On March 25, 2025, the Company closed the GroupBy acquisition. As consideration for the GroupBy acquisition, the Company issued an aggregate of 3,999,902 of its ordinary shares to the Sellers. This was a non-cash transaction.</w:t>
      </w:r>
    </w:p>
    <w:p>
      <w:pPr>
        <w:spacing w:after="0" w:line="59" w:lineRule="exact"/>
        <w:rPr>
          <w:sz w:val="20"/>
          <w:szCs w:val="20"/>
          <w:color w:val="auto"/>
        </w:rPr>
      </w:pPr>
    </w:p>
    <w:p>
      <w:pPr>
        <w:ind w:right="20" w:firstLine="468"/>
        <w:spacing w:after="0" w:line="241" w:lineRule="auto"/>
        <w:rPr>
          <w:sz w:val="20"/>
          <w:szCs w:val="20"/>
          <w:color w:val="auto"/>
        </w:rPr>
      </w:pPr>
      <w:r>
        <w:rPr>
          <w:rFonts w:ascii="Times New Roman" w:cs="Times New Roman" w:eastAsia="Times New Roman" w:hAnsi="Times New Roman"/>
          <w:sz w:val="16"/>
          <w:szCs w:val="16"/>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estimates of fair values of the net assets acquired are based on the information that was available at the date of acquisition, and the Company continues to evaluate the underlying inputs and assumptions used in its valuations.</w:t>
      </w:r>
    </w:p>
    <w:p>
      <w:pPr>
        <w:spacing w:after="0" w:line="73" w:lineRule="exact"/>
        <w:rPr>
          <w:sz w:val="20"/>
          <w:szCs w:val="20"/>
          <w:color w:val="auto"/>
        </w:rPr>
      </w:pPr>
    </w:p>
    <w:p>
      <w:pPr>
        <w:ind w:right="100" w:firstLine="468"/>
        <w:spacing w:after="0" w:line="243" w:lineRule="auto"/>
        <w:rPr>
          <w:sz w:val="20"/>
          <w:szCs w:val="20"/>
          <w:color w:val="auto"/>
        </w:rPr>
      </w:pPr>
      <w:r>
        <w:rPr>
          <w:rFonts w:ascii="Times New Roman" w:cs="Times New Roman" w:eastAsia="Times New Roman" w:hAnsi="Times New Roman"/>
          <w:sz w:val="16"/>
          <w:szCs w:val="16"/>
          <w:color w:val="auto"/>
        </w:rPr>
        <w:t>In accordance with ASC 805-10-25-13 through 25 -19, the Company may record adjustments to the fair values of the assets acquired and liabilities assumed during the measurement period, which is the period not to exceed one year from the acquisition date. Any such adjustments will be recognized retrospectively, as if the accounting had been completed as of the acquisition date. The Company expects to finalize the purchase price allocation during the twelve-month period ending March 25, 2026.</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total purchase price consideration of $5.8 million has been allocated to the net assets acquired based on their respective estimated fair values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20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3,999,902 ordinary shares of Rezolve</w:t>
            </w:r>
          </w:p>
        </w:tc>
        <w:tc>
          <w:tcPr>
            <w:tcW w:w="2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5,759,859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2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5,759,859</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Recognized amounts of identifiable assets acquired and liabilities assumed:</w:t>
            </w: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0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1,733,326</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20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9,781,814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1,235,761</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Technology intellectual property (intangible asset)</w:t>
            </w:r>
          </w:p>
        </w:tc>
        <w:tc>
          <w:tcPr>
            <w:tcW w:w="20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19,661,728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Customer contracts and related relationships (intangible asset)</w:t>
            </w:r>
          </w:p>
        </w:tc>
        <w:tc>
          <w:tcPr>
            <w:tcW w:w="20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15,652,376</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0" w:type="dxa"/>
            <w:vAlign w:val="bottom"/>
          </w:tcPr>
          <w:p>
            <w:pPr>
              <w:spacing w:after="0"/>
              <w:rPr>
                <w:sz w:val="17"/>
                <w:szCs w:val="17"/>
                <w:color w:val="auto"/>
              </w:rPr>
            </w:pPr>
          </w:p>
        </w:tc>
        <w:tc>
          <w:tcPr>
            <w:tcW w:w="1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180,927</w:t>
            </w:r>
          </w:p>
        </w:tc>
        <w:tc>
          <w:tcPr>
            <w:tcW w:w="0" w:type="dxa"/>
            <w:vAlign w:val="bottom"/>
          </w:tcPr>
          <w:p>
            <w:pPr>
              <w:spacing w:after="0"/>
              <w:rPr>
                <w:sz w:val="1"/>
                <w:szCs w:val="1"/>
                <w:color w:val="auto"/>
              </w:rPr>
            </w:pPr>
          </w:p>
        </w:tc>
      </w:tr>
      <w:tr>
        <w:trPr>
          <w:trHeight w:val="109"/>
        </w:trPr>
        <w:tc>
          <w:tcPr>
            <w:tcW w:w="68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(16,828,415)</w:t>
            </w:r>
          </w:p>
        </w:tc>
        <w:tc>
          <w:tcPr>
            <w:tcW w:w="0" w:type="dxa"/>
            <w:vAlign w:val="bottom"/>
          </w:tcPr>
          <w:p>
            <w:pPr>
              <w:spacing w:after="0"/>
              <w:rPr>
                <w:sz w:val="1"/>
                <w:szCs w:val="1"/>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2000" w:type="dxa"/>
            <w:vAlign w:val="bottom"/>
          </w:tcPr>
          <w:p>
            <w:pPr>
              <w:spacing w:after="0"/>
              <w:rPr>
                <w:sz w:val="15"/>
                <w:szCs w:val="15"/>
                <w:color w:val="auto"/>
              </w:rPr>
            </w:pPr>
          </w:p>
        </w:tc>
        <w:tc>
          <w:tcPr>
            <w:tcW w:w="1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(18,850,509)</w:t>
            </w:r>
          </w:p>
        </w:tc>
        <w:tc>
          <w:tcPr>
            <w:tcW w:w="0" w:type="dxa"/>
            <w:vAlign w:val="bottom"/>
          </w:tcPr>
          <w:p>
            <w:pPr>
              <w:spacing w:after="0"/>
              <w:rPr>
                <w:sz w:val="1"/>
                <w:szCs w:val="1"/>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Debt</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(12,300,000)</w:t>
            </w:r>
          </w:p>
        </w:tc>
        <w:tc>
          <w:tcPr>
            <w:tcW w:w="0" w:type="dxa"/>
            <w:vAlign w:val="bottom"/>
          </w:tcPr>
          <w:p>
            <w:pPr>
              <w:spacing w:after="0"/>
              <w:rPr>
                <w:sz w:val="1"/>
                <w:szCs w:val="1"/>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2000" w:type="dxa"/>
            <w:vAlign w:val="bottom"/>
          </w:tcPr>
          <w:p>
            <w:pPr>
              <w:spacing w:after="0"/>
              <w:rPr>
                <w:sz w:val="15"/>
                <w:szCs w:val="15"/>
                <w:color w:val="auto"/>
              </w:rPr>
            </w:pPr>
          </w:p>
        </w:tc>
        <w:tc>
          <w:tcPr>
            <w:tcW w:w="1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(25,658)</w:t>
            </w:r>
          </w:p>
        </w:tc>
        <w:tc>
          <w:tcPr>
            <w:tcW w:w="0" w:type="dxa"/>
            <w:vAlign w:val="bottom"/>
          </w:tcPr>
          <w:p>
            <w:pPr>
              <w:spacing w:after="0"/>
              <w:rPr>
                <w:sz w:val="1"/>
                <w:szCs w:val="1"/>
                <w:color w:val="auto"/>
              </w:rPr>
            </w:pPr>
          </w:p>
        </w:tc>
      </w:tr>
      <w:tr>
        <w:trPr>
          <w:trHeight w:val="205"/>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2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241,350</w:t>
            </w:r>
          </w:p>
        </w:tc>
        <w:tc>
          <w:tcPr>
            <w:tcW w:w="0" w:type="dxa"/>
            <w:vAlign w:val="bottom"/>
          </w:tcPr>
          <w:p>
            <w:pPr>
              <w:spacing w:after="0"/>
              <w:rPr>
                <w:sz w:val="1"/>
                <w:szCs w:val="1"/>
                <w:color w:val="auto"/>
              </w:rPr>
            </w:pPr>
          </w:p>
        </w:tc>
      </w:tr>
      <w:tr>
        <w:trPr>
          <w:trHeight w:val="143"/>
        </w:trPr>
        <w:tc>
          <w:tcPr>
            <w:tcW w:w="6820" w:type="dxa"/>
            <w:vAlign w:val="bottom"/>
            <w:shd w:val="clear" w:color="auto" w:fill="CFF0FC"/>
          </w:tcPr>
          <w:p>
            <w:pPr>
              <w:spacing w:after="0"/>
              <w:rPr>
                <w:sz w:val="12"/>
                <w:szCs w:val="12"/>
                <w:color w:val="auto"/>
              </w:rPr>
            </w:pPr>
          </w:p>
        </w:tc>
        <w:tc>
          <w:tcPr>
            <w:tcW w:w="2000" w:type="dxa"/>
            <w:vAlign w:val="bottom"/>
            <w:shd w:val="clear" w:color="auto" w:fill="CFF0FC"/>
          </w:tcPr>
          <w:p>
            <w:pPr>
              <w:spacing w:after="0"/>
              <w:rPr>
                <w:sz w:val="12"/>
                <w:szCs w:val="12"/>
                <w:color w:val="auto"/>
              </w:rPr>
            </w:pPr>
          </w:p>
        </w:tc>
        <w:tc>
          <w:tcPr>
            <w:tcW w:w="17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0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5,518,509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82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estimated preliminary purchase price allocation</w:t>
            </w:r>
          </w:p>
        </w:tc>
        <w:tc>
          <w:tcPr>
            <w:tcW w:w="2000" w:type="dxa"/>
            <w:vAlign w:val="bottom"/>
            <w:tcBorders>
              <w:bottom w:val="single" w:sz="8" w:color="CFF0FC"/>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5,759,859</w:t>
            </w:r>
          </w:p>
        </w:tc>
        <w:tc>
          <w:tcPr>
            <w:tcW w:w="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Goodwill will not be deductible for tax purposes.</w:t>
      </w:r>
    </w:p>
    <w:p>
      <w:pPr>
        <w:spacing w:after="0" w:line="92" w:lineRule="exact"/>
        <w:rPr>
          <w:sz w:val="20"/>
          <w:szCs w:val="20"/>
          <w:color w:val="auto"/>
        </w:rPr>
      </w:pPr>
    </w:p>
    <w:p>
      <w:pPr>
        <w:ind w:right="520" w:firstLine="468"/>
        <w:spacing w:after="0" w:line="259" w:lineRule="auto"/>
        <w:rPr>
          <w:sz w:val="20"/>
          <w:szCs w:val="20"/>
          <w:color w:val="auto"/>
        </w:rPr>
      </w:pPr>
      <w:r>
        <w:rPr>
          <w:rFonts w:ascii="Times New Roman" w:cs="Times New Roman" w:eastAsia="Times New Roman" w:hAnsi="Times New Roman"/>
          <w:sz w:val="16"/>
          <w:szCs w:val="16"/>
          <w:color w:val="auto"/>
        </w:rPr>
        <w:t>The Company recognized $1.4 million of transaction costs, primarily related to regulatory, financial advisory, and legal fees, in operating expenses in the condensed interim combined consolidated statements of operations during the six months ended June 30, 2025.</w:t>
      </w:r>
    </w:p>
    <w:p>
      <w:pPr>
        <w:spacing w:after="0" w:line="59" w:lineRule="exact"/>
        <w:rPr>
          <w:sz w:val="20"/>
          <w:szCs w:val="20"/>
          <w:color w:val="auto"/>
        </w:rPr>
      </w:pPr>
    </w:p>
    <w:p>
      <w:pPr>
        <w:ind w:right="320" w:firstLine="468"/>
        <w:spacing w:after="0" w:line="247" w:lineRule="auto"/>
        <w:rPr>
          <w:sz w:val="20"/>
          <w:szCs w:val="20"/>
          <w:color w:val="auto"/>
        </w:rPr>
      </w:pPr>
      <w:r>
        <w:rPr>
          <w:rFonts w:ascii="Times New Roman" w:cs="Times New Roman" w:eastAsia="Times New Roman" w:hAnsi="Times New Roman"/>
          <w:sz w:val="16"/>
          <w:szCs w:val="16"/>
          <w:color w:val="auto"/>
        </w:rPr>
        <w:t>The following table presents amounts of GroupBy's revenue and net loss included in the Company's condensed interim combined consolidated statements of operations for the six months ended June 30, 2025 and the unaudited pro forma combined results of the Company and GroupBy as if the Groupby acquisition had occurred on January 1, 2024: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00" w:type="dxa"/>
            <w:vAlign w:val="bottom"/>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60" w:type="dxa"/>
            <w:vAlign w:val="bottom"/>
          </w:tcPr>
          <w:p>
            <w:pPr>
              <w:spacing w:after="0"/>
              <w:rPr>
                <w:sz w:val="14"/>
                <w:szCs w:val="14"/>
                <w:color w:val="auto"/>
              </w:rPr>
            </w:pPr>
          </w:p>
        </w:tc>
        <w:tc>
          <w:tcPr>
            <w:tcW w:w="1140" w:type="dxa"/>
            <w:vAlign w:val="bottom"/>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Net Loss</w:t>
            </w:r>
          </w:p>
        </w:tc>
      </w:tr>
      <w:tr>
        <w:trPr>
          <w:trHeight w:val="180"/>
        </w:trPr>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Actual from March 25, 2025 to June 30, 2025</w:t>
            </w:r>
          </w:p>
        </w:tc>
        <w:tc>
          <w:tcPr>
            <w:tcW w:w="32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4,899,421</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(8,912,539)</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Supplemental pro forma from January 1, 2025 to June 30, 2025</w:t>
            </w:r>
          </w:p>
        </w:tc>
        <w:tc>
          <w:tcPr>
            <w:tcW w:w="3200" w:type="dxa"/>
            <w:vAlign w:val="bottom"/>
          </w:tcPr>
          <w:p>
            <w:pPr>
              <w:spacing w:after="0"/>
              <w:rPr>
                <w:sz w:val="15"/>
                <w:szCs w:val="15"/>
                <w:color w:val="auto"/>
              </w:rPr>
            </w:pPr>
          </w:p>
        </w:tc>
        <w:tc>
          <w:tcPr>
            <w:tcW w:w="130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9,272,808</w:t>
            </w:r>
          </w:p>
        </w:tc>
        <w:tc>
          <w:tcPr>
            <w:tcW w:w="36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(8,404,157)</w:t>
            </w:r>
          </w:p>
        </w:tc>
      </w:tr>
      <w:tr>
        <w:trPr>
          <w:trHeight w:val="180"/>
        </w:trPr>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Supplemental pro forma from January 1, 2024 to June 30, 2024</w:t>
            </w:r>
          </w:p>
        </w:tc>
        <w:tc>
          <w:tcPr>
            <w:tcW w:w="3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9,577,238</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(3,008,281)</w:t>
            </w:r>
          </w:p>
        </w:tc>
      </w:tr>
      <w:tr>
        <w:trPr>
          <w:trHeight w:val="562"/>
        </w:trPr>
        <w:tc>
          <w:tcPr>
            <w:tcW w:w="4560" w:type="dxa"/>
            <w:vAlign w:val="bottom"/>
          </w:tcPr>
          <w:p>
            <w:pPr>
              <w:spacing w:after="0"/>
              <w:rPr>
                <w:sz w:val="24"/>
                <w:szCs w:val="24"/>
                <w:color w:val="auto"/>
              </w:rPr>
            </w:pPr>
          </w:p>
        </w:tc>
        <w:tc>
          <w:tcPr>
            <w:tcW w:w="3200" w:type="dxa"/>
            <w:vAlign w:val="bottom"/>
          </w:tcPr>
          <w:p>
            <w:pPr>
              <w:jc w:val="right"/>
              <w:ind w:right="2242"/>
              <w:spacing w:after="0"/>
              <w:rPr>
                <w:sz w:val="20"/>
                <w:szCs w:val="20"/>
                <w:color w:val="auto"/>
              </w:rPr>
            </w:pPr>
            <w:r>
              <w:rPr>
                <w:rFonts w:ascii="Times New Roman" w:cs="Times New Roman" w:eastAsia="Times New Roman" w:hAnsi="Times New Roman"/>
                <w:sz w:val="16"/>
                <w:szCs w:val="16"/>
                <w:color w:val="auto"/>
              </w:rPr>
              <w:t>F-22</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74"/>
        </w:trPr>
        <w:tc>
          <w:tcPr>
            <w:tcW w:w="4560" w:type="dxa"/>
            <w:vAlign w:val="bottom"/>
            <w:tcBorders>
              <w:bottom w:val="single" w:sz="8" w:color="EEEEEE"/>
            </w:tcBorders>
          </w:tcPr>
          <w:p>
            <w:pPr>
              <w:spacing w:after="0"/>
              <w:rPr>
                <w:sz w:val="24"/>
                <w:szCs w:val="24"/>
                <w:color w:val="auto"/>
              </w:rPr>
            </w:pPr>
          </w:p>
        </w:tc>
        <w:tc>
          <w:tcPr>
            <w:tcW w:w="320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Bluedot Acquisition</w:t>
      </w:r>
    </w:p>
    <w:p>
      <w:pPr>
        <w:spacing w:after="0" w:line="94" w:lineRule="exact"/>
        <w:rPr>
          <w:sz w:val="20"/>
          <w:szCs w:val="20"/>
          <w:color w:val="auto"/>
        </w:rPr>
      </w:pPr>
    </w:p>
    <w:p>
      <w:pPr>
        <w:ind w:right="280" w:firstLine="468"/>
        <w:spacing w:after="0" w:line="247" w:lineRule="auto"/>
        <w:rPr>
          <w:sz w:val="20"/>
          <w:szCs w:val="20"/>
          <w:color w:val="auto"/>
        </w:rPr>
      </w:pPr>
      <w:r>
        <w:rPr>
          <w:rFonts w:ascii="Times New Roman" w:cs="Times New Roman" w:eastAsia="Times New Roman" w:hAnsi="Times New Roman"/>
          <w:sz w:val="16"/>
          <w:szCs w:val="16"/>
          <w:color w:val="auto"/>
        </w:rPr>
        <w:t>On February 4, 2025, the Company entered into a purchase agreement with DBLP Sea Cow Ltd (“DBLP”), to acquire the entire issued and to be issued share capital of each of Bluedot Industries, Inc. and Bluedot Industries Pty. Ltd, together “Bluedot Industries”. As consideration for this acquisition, the Company issued 819,737 ordinary shares of the Company at $2.58 per share to DBLP.</w:t>
      </w:r>
    </w:p>
    <w:p>
      <w:pPr>
        <w:spacing w:after="0" w:line="68" w:lineRule="exact"/>
        <w:rPr>
          <w:sz w:val="20"/>
          <w:szCs w:val="20"/>
          <w:color w:val="auto"/>
        </w:rPr>
      </w:pPr>
    </w:p>
    <w:p>
      <w:pPr>
        <w:ind w:right="100" w:firstLine="468"/>
        <w:spacing w:after="0" w:line="259" w:lineRule="auto"/>
        <w:rPr>
          <w:sz w:val="20"/>
          <w:szCs w:val="20"/>
          <w:color w:val="auto"/>
        </w:rPr>
      </w:pPr>
      <w:r>
        <w:rPr>
          <w:rFonts w:ascii="Times New Roman" w:cs="Times New Roman" w:eastAsia="Times New Roman" w:hAnsi="Times New Roman"/>
          <w:sz w:val="16"/>
          <w:szCs w:val="16"/>
          <w:color w:val="auto"/>
        </w:rPr>
        <w:t>DBLP is a related party and is wholly legally owned by Daniel Wagner, a director of DBLP and the Company. Prior to his death, DBLP was beneficially owned by John Wagner, a former director of Rezolve.</w:t>
      </w:r>
    </w:p>
    <w:p>
      <w:pPr>
        <w:spacing w:after="0" w:line="59"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On March 17, 2025, the Company entered into a share purchase agreement with Tanist Group Limited (“Tanist Group”) pursuant to which the Company acquired 100% of the issued and outstanding shares of Bluedot Innovation Pty. Ltd (“Bluedot Innovation”). As consideration for this acquisition, the Company issued 1,941,111 ordinary shares of the Company at $1.75 per share to the Tanist Group.</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Bluedot Industries, Inc., Bluedot Industries Pty. Ltd. and Bluedot Innovation Pty. Ltd, together “Bluedot”, is a developer of mobile location technology.</w:t>
      </w:r>
    </w:p>
    <w:p>
      <w:pPr>
        <w:spacing w:after="0" w:line="188" w:lineRule="exact"/>
        <w:rPr>
          <w:sz w:val="20"/>
          <w:szCs w:val="20"/>
          <w:color w:val="auto"/>
        </w:rPr>
      </w:pPr>
    </w:p>
    <w:p>
      <w:pPr>
        <w:ind w:right="300" w:firstLine="468"/>
        <w:spacing w:after="0" w:line="259" w:lineRule="auto"/>
        <w:rPr>
          <w:sz w:val="20"/>
          <w:szCs w:val="20"/>
          <w:color w:val="auto"/>
        </w:rPr>
      </w:pPr>
      <w:r>
        <w:rPr>
          <w:rFonts w:ascii="Times New Roman" w:cs="Times New Roman" w:eastAsia="Times New Roman" w:hAnsi="Times New Roman"/>
          <w:sz w:val="16"/>
          <w:szCs w:val="16"/>
          <w:color w:val="auto"/>
        </w:rPr>
        <w:t>On February 20, 2025 and March 17, 2025, the Company closed the Bluedot acquisitions and issued the above mentioned ordinary shares as consideration to DBLP and the Tanist Group, respectively. This was a non-cash transaction.</w:t>
      </w:r>
    </w:p>
    <w:p>
      <w:pPr>
        <w:spacing w:after="0" w:line="59"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The Company accounted for the Bluedot Industries acquisition as a common control transaction as it was an exchange of equity interests in Bluedot between two entities, the Company and DBLP, both under the control of Daniel Wagner. As noted above, DBLP is a related party and is wholly legally owned by Daniel Wagner, a director of DBLP and the Company. Prior to his death, DBLP was beneficially owned by John Wagner, a former director of Rezolve. Additionally, as disclosed in the Company’s Form 20-F for the year ended December 31, 2024, filed with U.S. Securities and Exchange Commission on April 24, 2025, Daniel Wagner, the Company’s founder and Chief Executive Officer controls 75% of the voting power of the Company’s outstanding capital stock. Under ASC 810-10-15-8, a controlling financial interest defined as ownership of a majority voting interest, and, therefore, as a general rule ownership by one reporting entity or individual, directly or indirectly, of more than 50 percent of the outstanding voting shares of another entity. Therefore under ASC 805, Daniel Wagner has the power to control the Company. The Company initially recognized the assets and liabilities received at their carrying amounts in the financial statements of the transferring entity (Bluedot Industries) on the date of the transfer. The Company recognized the difference between the proceeds transferred and the carrying amounts of the net assets received in Additional Paid-in Capital. The Company retrospectively adjusted its historical consolidated financial statements to include the net assets of Bluedot Industries for all periods during which the Company and DBLP were under common control. This resulted in the retrospective adjustment of the condensed interim combined consolidated financial statements as of and for the six months ended June 30, 2024 as if common control transaction occurred on January 1, 2024.</w:t>
      </w:r>
    </w:p>
    <w:p>
      <w:pPr>
        <w:spacing w:after="0" w:line="172" w:lineRule="exact"/>
        <w:rPr>
          <w:sz w:val="20"/>
          <w:szCs w:val="20"/>
          <w:color w:val="auto"/>
        </w:rPr>
      </w:pPr>
    </w:p>
    <w:p>
      <w:pPr>
        <w:jc w:val="both"/>
        <w:ind w:right="360" w:firstLine="468"/>
        <w:spacing w:after="0" w:line="247" w:lineRule="auto"/>
        <w:rPr>
          <w:sz w:val="20"/>
          <w:szCs w:val="20"/>
          <w:color w:val="auto"/>
        </w:rPr>
      </w:pPr>
      <w:r>
        <w:rPr>
          <w:rFonts w:ascii="Times New Roman" w:cs="Times New Roman" w:eastAsia="Times New Roman" w:hAnsi="Times New Roman"/>
          <w:sz w:val="16"/>
          <w:szCs w:val="16"/>
          <w:color w:val="auto"/>
        </w:rPr>
        <w:t>The Company accounted for the acquisition of Bluedot Innovation as an asset acquisition under ASC 805. The Company used a cost accumulation model to determine the cost of the asset acquisition. Goodwill is not recognized in an asset acquisition. This resulted in the recognition of an intangible asset for patents and trademarks acquired of $3.4 million (see Note 7).</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Mpower acquisition</w:t>
      </w:r>
    </w:p>
    <w:p>
      <w:pPr>
        <w:spacing w:after="0" w:line="94"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On May 31, 2025, the Company entered into a purchase agreement with Avirup Chakraverty and Mirali Mulodjanov (the “Mpower sellers”) to acquire the entire issued and to be issued share capital of Mpower Plus Global Limited (“Mpower”).</w:t>
      </w:r>
    </w:p>
    <w:p>
      <w:pPr>
        <w:spacing w:after="0" w:line="119" w:lineRule="exact"/>
        <w:rPr>
          <w:sz w:val="20"/>
          <w:szCs w:val="20"/>
          <w:color w:val="auto"/>
        </w:rPr>
      </w:pPr>
    </w:p>
    <w:p>
      <w:pPr>
        <w:ind w:right="300" w:firstLine="468"/>
        <w:spacing w:after="0" w:line="259" w:lineRule="auto"/>
        <w:rPr>
          <w:sz w:val="20"/>
          <w:szCs w:val="20"/>
          <w:color w:val="auto"/>
        </w:rPr>
      </w:pPr>
      <w:r>
        <w:rPr>
          <w:rFonts w:ascii="Times New Roman" w:cs="Times New Roman" w:eastAsia="Times New Roman" w:hAnsi="Times New Roman"/>
          <w:sz w:val="16"/>
          <w:szCs w:val="16"/>
          <w:color w:val="auto"/>
        </w:rPr>
        <w:t>Mpower provides information technology consultancy services through the placement of information technology consultants at customers to fulfill both their local and global information technology needs.</w:t>
      </w:r>
    </w:p>
    <w:p>
      <w:pPr>
        <w:spacing w:after="0" w:line="59" w:lineRule="exact"/>
        <w:rPr>
          <w:sz w:val="20"/>
          <w:szCs w:val="20"/>
          <w:color w:val="auto"/>
        </w:rPr>
      </w:pPr>
    </w:p>
    <w:p>
      <w:pPr>
        <w:ind w:right="20" w:firstLine="468"/>
        <w:spacing w:after="0" w:line="259" w:lineRule="auto"/>
        <w:rPr>
          <w:sz w:val="20"/>
          <w:szCs w:val="20"/>
          <w:color w:val="auto"/>
        </w:rPr>
      </w:pPr>
      <w:r>
        <w:rPr>
          <w:rFonts w:ascii="Times New Roman" w:cs="Times New Roman" w:eastAsia="Times New Roman" w:hAnsi="Times New Roman"/>
          <w:sz w:val="16"/>
          <w:szCs w:val="16"/>
          <w:color w:val="auto"/>
        </w:rPr>
        <w:t>On May 31, 2025, the Company closed the Mpower acquisition. As consideration for the Mpower acquisition, the Company issued an aggregate of 804,833 of its ordinary shares to the Mpower sellers. This was a non-cash transaction.</w:t>
      </w:r>
    </w:p>
    <w:p>
      <w:pPr>
        <w:spacing w:after="0" w:line="59" w:lineRule="exact"/>
        <w:rPr>
          <w:sz w:val="20"/>
          <w:szCs w:val="20"/>
          <w:color w:val="auto"/>
        </w:rPr>
      </w:pPr>
    </w:p>
    <w:p>
      <w:pPr>
        <w:ind w:right="80" w:firstLine="468"/>
        <w:spacing w:after="0" w:line="241" w:lineRule="auto"/>
        <w:rPr>
          <w:sz w:val="20"/>
          <w:szCs w:val="20"/>
          <w:color w:val="auto"/>
        </w:rPr>
      </w:pPr>
      <w:r>
        <w:rPr>
          <w:rFonts w:ascii="Times New Roman" w:cs="Times New Roman" w:eastAsia="Times New Roman" w:hAnsi="Times New Roman"/>
          <w:sz w:val="16"/>
          <w:szCs w:val="16"/>
          <w:color w:val="auto"/>
        </w:rPr>
        <w:t>The Company accounted for the Mpower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estimates of fair values of the net assets acquired are based on the information that was available at the date of acquisition, and the Company continues to evaluate the underlying inputs and assumptions used in its valuations.</w:t>
      </w:r>
    </w:p>
    <w:p>
      <w:pPr>
        <w:spacing w:after="0" w:line="73" w:lineRule="exact"/>
        <w:rPr>
          <w:sz w:val="20"/>
          <w:szCs w:val="20"/>
          <w:color w:val="auto"/>
        </w:rPr>
      </w:pPr>
    </w:p>
    <w:p>
      <w:pPr>
        <w:ind w:right="400" w:firstLine="468"/>
        <w:spacing w:after="0" w:line="259" w:lineRule="auto"/>
        <w:rPr>
          <w:sz w:val="20"/>
          <w:szCs w:val="20"/>
          <w:color w:val="auto"/>
        </w:rPr>
      </w:pPr>
      <w:r>
        <w:rPr>
          <w:rFonts w:ascii="Times New Roman" w:cs="Times New Roman" w:eastAsia="Times New Roman" w:hAnsi="Times New Roman"/>
          <w:sz w:val="16"/>
          <w:szCs w:val="16"/>
          <w:color w:val="auto"/>
        </w:rPr>
        <w:t>In accordance with ASC 805-10-25-13 through 25 -19, the Company may record adjustments to the fair values of the assets acquired and liabilities assumed during the measurement period, which is the period not to exceed one year from the acquisition date.</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Any such adjustments will be recognized retrospectively, as if the accounting had been completed as of the acquisition date. The Company expects to finalize the purchase price allocation during the twelve-month period ending May 31, 2026.</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total purchase price consideration of $1.5 million has been allocated to the net assets acquired based on their respective estimated fair values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2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804,833 ordinary shares of Rezolve</w:t>
            </w:r>
          </w:p>
        </w:tc>
        <w:tc>
          <w:tcPr>
            <w:tcW w:w="2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1,529,183</w:t>
            </w:r>
          </w:p>
        </w:tc>
        <w:tc>
          <w:tcPr>
            <w:tcW w:w="260" w:type="dxa"/>
            <w:vAlign w:val="bottom"/>
            <w:shd w:val="clear" w:color="auto" w:fill="CFF0FC"/>
          </w:tcPr>
          <w:p>
            <w:pPr>
              <w:spacing w:after="0"/>
              <w:rPr>
                <w:sz w:val="15"/>
                <w:szCs w:val="15"/>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2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1,529,183</w:t>
            </w:r>
          </w:p>
        </w:tc>
        <w:tc>
          <w:tcPr>
            <w:tcW w:w="260" w:type="dxa"/>
            <w:vAlign w:val="bottom"/>
          </w:tcPr>
          <w:p>
            <w:pPr>
              <w:spacing w:after="0"/>
              <w:rPr>
                <w:sz w:val="15"/>
                <w:szCs w:val="15"/>
                <w:color w:val="auto"/>
              </w:rPr>
            </w:pPr>
          </w:p>
        </w:tc>
      </w:tr>
      <w:tr>
        <w:trPr>
          <w:trHeight w:val="180"/>
        </w:trPr>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Recognized amounts of identifiable assets acquired and liabilities assumed:</w:t>
            </w:r>
          </w:p>
        </w:tc>
        <w:tc>
          <w:tcPr>
            <w:tcW w:w="20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0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63,221</w:t>
            </w:r>
          </w:p>
        </w:tc>
        <w:tc>
          <w:tcPr>
            <w:tcW w:w="260" w:type="dxa"/>
            <w:vAlign w:val="bottom"/>
          </w:tcPr>
          <w:p>
            <w:pPr>
              <w:spacing w:after="0"/>
              <w:rPr>
                <w:sz w:val="15"/>
                <w:szCs w:val="15"/>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428,334</w:t>
            </w: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0" w:type="dxa"/>
            <w:vAlign w:val="bottom"/>
          </w:tcPr>
          <w:p>
            <w:pPr>
              <w:spacing w:after="0"/>
              <w:rPr>
                <w:sz w:val="15"/>
                <w:szCs w:val="15"/>
                <w:color w:val="auto"/>
              </w:rPr>
            </w:pPr>
          </w:p>
        </w:tc>
        <w:tc>
          <w:tcPr>
            <w:tcW w:w="17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287,069</w:t>
            </w: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Customer contracts and related relationships (intangible asset)</w:t>
            </w:r>
          </w:p>
        </w:tc>
        <w:tc>
          <w:tcPr>
            <w:tcW w:w="20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1,105,910</w:t>
            </w:r>
          </w:p>
        </w:tc>
        <w:tc>
          <w:tcPr>
            <w:tcW w:w="260" w:type="dxa"/>
            <w:vAlign w:val="bottom"/>
            <w:shd w:val="clear" w:color="auto" w:fill="CFF0FC"/>
          </w:tcPr>
          <w:p>
            <w:pPr>
              <w:spacing w:after="0"/>
              <w:rPr>
                <w:sz w:val="15"/>
                <w:szCs w:val="15"/>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Recruitment database (intangible asset)</w:t>
            </w:r>
          </w:p>
        </w:tc>
        <w:tc>
          <w:tcPr>
            <w:tcW w:w="2000" w:type="dxa"/>
            <w:vAlign w:val="bottom"/>
          </w:tcPr>
          <w:p>
            <w:pPr>
              <w:spacing w:after="0"/>
              <w:rPr>
                <w:sz w:val="15"/>
                <w:szCs w:val="15"/>
                <w:color w:val="auto"/>
              </w:rPr>
            </w:pPr>
          </w:p>
        </w:tc>
        <w:tc>
          <w:tcPr>
            <w:tcW w:w="17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491,970</w:t>
            </w: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1,753</w:t>
            </w: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0" w:type="dxa"/>
            <w:vAlign w:val="bottom"/>
          </w:tcPr>
          <w:p>
            <w:pPr>
              <w:spacing w:after="0"/>
              <w:rPr>
                <w:sz w:val="15"/>
                <w:szCs w:val="15"/>
                <w:color w:val="auto"/>
              </w:rPr>
            </w:pPr>
          </w:p>
        </w:tc>
        <w:tc>
          <w:tcPr>
            <w:tcW w:w="1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(189,613)</w:t>
            </w: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Accrued expenses and other payables</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(537,437)</w:t>
            </w: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2000" w:type="dxa"/>
            <w:vAlign w:val="bottom"/>
          </w:tcPr>
          <w:p>
            <w:pPr>
              <w:spacing w:after="0"/>
              <w:rPr>
                <w:sz w:val="15"/>
                <w:szCs w:val="15"/>
                <w:color w:val="auto"/>
              </w:rPr>
            </w:pPr>
          </w:p>
        </w:tc>
        <w:tc>
          <w:tcPr>
            <w:tcW w:w="1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(793,505)</w:t>
            </w:r>
          </w:p>
        </w:tc>
      </w:tr>
      <w:tr>
        <w:trPr>
          <w:trHeight w:val="180"/>
        </w:trPr>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2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857,701</w:t>
            </w:r>
          </w:p>
        </w:tc>
      </w:tr>
      <w:tr>
        <w:trPr>
          <w:trHeight w:val="180"/>
        </w:trPr>
        <w:tc>
          <w:tcPr>
            <w:tcW w:w="6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000" w:type="dxa"/>
            <w:vAlign w:val="bottom"/>
          </w:tcPr>
          <w:p>
            <w:pPr>
              <w:spacing w:after="0"/>
              <w:rPr>
                <w:sz w:val="15"/>
                <w:szCs w:val="15"/>
                <w:color w:val="auto"/>
              </w:rPr>
            </w:pPr>
          </w:p>
        </w:tc>
        <w:tc>
          <w:tcPr>
            <w:tcW w:w="17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671,482</w:t>
            </w:r>
          </w:p>
        </w:tc>
      </w:tr>
      <w:tr>
        <w:trPr>
          <w:trHeight w:val="220"/>
        </w:trPr>
        <w:tc>
          <w:tcPr>
            <w:tcW w:w="682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estimated preliminary purchase price allocation</w:t>
            </w:r>
          </w:p>
        </w:tc>
        <w:tc>
          <w:tcPr>
            <w:tcW w:w="2000" w:type="dxa"/>
            <w:vAlign w:val="bottom"/>
            <w:tcBorders>
              <w:bottom w:val="single" w:sz="8" w:color="CFF0FC"/>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1,529,183</w:t>
            </w:r>
          </w:p>
        </w:tc>
        <w:tc>
          <w:tcPr>
            <w:tcW w:w="260" w:type="dxa"/>
            <w:vAlign w:val="bottom"/>
            <w:tcBorders>
              <w:bottom w:val="single" w:sz="8" w:color="CFF0FC"/>
            </w:tcBorders>
            <w:shd w:val="clear" w:color="auto" w:fill="CFF0FC"/>
          </w:tcPr>
          <w:p>
            <w:pPr>
              <w:spacing w:after="0"/>
              <w:rPr>
                <w:sz w:val="19"/>
                <w:szCs w:val="19"/>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Goodwill will not be deductible for tax purposes.</w:t>
      </w:r>
    </w:p>
    <w:p>
      <w:pPr>
        <w:spacing w:after="0" w:line="92" w:lineRule="exact"/>
        <w:rPr>
          <w:sz w:val="20"/>
          <w:szCs w:val="20"/>
          <w:color w:val="auto"/>
        </w:rPr>
      </w:pPr>
    </w:p>
    <w:p>
      <w:pPr>
        <w:ind w:right="320" w:firstLine="468"/>
        <w:spacing w:after="0" w:line="259" w:lineRule="auto"/>
        <w:rPr>
          <w:sz w:val="20"/>
          <w:szCs w:val="20"/>
          <w:color w:val="auto"/>
        </w:rPr>
      </w:pPr>
      <w:r>
        <w:rPr>
          <w:rFonts w:ascii="Times New Roman" w:cs="Times New Roman" w:eastAsia="Times New Roman" w:hAnsi="Times New Roman"/>
          <w:sz w:val="16"/>
          <w:szCs w:val="16"/>
          <w:color w:val="auto"/>
        </w:rPr>
        <w:t>The impact of transaction costs, primarily related to regulatory, financial advisory, and legal fees, recognized in operating expenses in the condensed interim combined consolidated statements of operations during the six months ended June 30, 2025 was not material.</w:t>
      </w:r>
    </w:p>
    <w:p>
      <w:pPr>
        <w:spacing w:after="0" w:line="155"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Pro forma results of operations have not been presented as the impact on the Company’s condensed interim combined consolidated statements of operations is not material.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Prediqt acquisition</w:t>
      </w:r>
    </w:p>
    <w:p>
      <w:pPr>
        <w:spacing w:after="0" w:line="94"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On June 2, 2025, the Company entered into a purchase agreement with Subhalakshmi Samanta, Kalpadip Basu, Kalyan Kar, Indranil Mukhopadhyay and Sauvik Bannerjjee (the “Prediqt sellers”) to acquire the entire issued and to be issued share capital of Prediqt Business Solutions Private Limited (“Prediqt”).</w:t>
      </w:r>
    </w:p>
    <w:p>
      <w:pPr>
        <w:spacing w:after="0" w:line="119"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Sauvik Bannerjjee has served as the CEO Products, Technology, and Digital Services of Rezolve since August 2022. Mr. Banerjjee is also an executive officer of Rezolve.</w:t>
      </w:r>
    </w:p>
    <w:p>
      <w:pPr>
        <w:spacing w:after="0" w:line="119" w:lineRule="exact"/>
        <w:rPr>
          <w:sz w:val="20"/>
          <w:szCs w:val="20"/>
          <w:color w:val="auto"/>
        </w:rPr>
      </w:pPr>
    </w:p>
    <w:p>
      <w:pPr>
        <w:ind w:right="320" w:firstLine="468"/>
        <w:spacing w:after="0" w:line="259" w:lineRule="auto"/>
        <w:rPr>
          <w:sz w:val="20"/>
          <w:szCs w:val="20"/>
          <w:color w:val="auto"/>
        </w:rPr>
      </w:pPr>
      <w:r>
        <w:rPr>
          <w:rFonts w:ascii="Times New Roman" w:cs="Times New Roman" w:eastAsia="Times New Roman" w:hAnsi="Times New Roman"/>
          <w:sz w:val="16"/>
          <w:szCs w:val="16"/>
          <w:color w:val="auto"/>
        </w:rPr>
        <w:t>Prediqt provides technology-enabled services, intelligent business solutions, predictive prowess, AI and analytics to assist business in leveraging insights for strategic decision-making.</w:t>
      </w:r>
    </w:p>
    <w:p>
      <w:pPr>
        <w:spacing w:after="0" w:line="119"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On June 2, 2025, the Company closed the Prediqt acquisition. As consideration for the Prediqt acquisition, the Company paid a cash consideration of $100,000 to the Prediqt sellers.</w:t>
      </w:r>
    </w:p>
    <w:p>
      <w:pPr>
        <w:spacing w:after="0" w:line="59" w:lineRule="exact"/>
        <w:rPr>
          <w:sz w:val="20"/>
          <w:szCs w:val="20"/>
          <w:color w:val="auto"/>
        </w:rPr>
      </w:pPr>
    </w:p>
    <w:p>
      <w:pPr>
        <w:ind w:right="100" w:firstLine="468"/>
        <w:spacing w:after="0" w:line="241" w:lineRule="auto"/>
        <w:rPr>
          <w:sz w:val="20"/>
          <w:szCs w:val="20"/>
          <w:color w:val="auto"/>
        </w:rPr>
      </w:pPr>
      <w:r>
        <w:rPr>
          <w:rFonts w:ascii="Times New Roman" w:cs="Times New Roman" w:eastAsia="Times New Roman" w:hAnsi="Times New Roman"/>
          <w:sz w:val="16"/>
          <w:szCs w:val="16"/>
          <w:color w:val="auto"/>
        </w:rPr>
        <w:t>The Company accounted for the Prediqt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estimates of fair values of the net assets acquired are based on the information that was available at the date of acquisition, and the Company continues to evaluate the underlying inputs and assumptions used in its valuations.</w:t>
      </w:r>
    </w:p>
    <w:p>
      <w:pPr>
        <w:spacing w:after="0" w:line="73"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In accordance with ASC 805-10-25-13 through 25 -19, the Company may record adjustments to the fair values of the assets acquired and liabilities assumed during the measurement period, which is the period not to exceed one year from the acquisition date.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Any such adjustments will be recognized retrospectively, as if the accounting had been completed as of the acquisition date. The Company expects to finalize the purchase price allocation during the twelve-month period ending June 2, 2026.</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total purchase price consideration of $0.1 million has been allocated to the net assets acquired based on their respective estimated fair values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2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 consideration</w:t>
            </w:r>
          </w:p>
        </w:tc>
        <w:tc>
          <w:tcPr>
            <w:tcW w:w="2000" w:type="dxa"/>
            <w:vAlign w:val="bottom"/>
          </w:tcPr>
          <w:p>
            <w:pPr>
              <w:spacing w:after="0"/>
              <w:rPr>
                <w:sz w:val="15"/>
                <w:szCs w:val="15"/>
                <w:color w:val="auto"/>
              </w:rPr>
            </w:pPr>
          </w:p>
        </w:tc>
        <w:tc>
          <w:tcPr>
            <w:tcW w:w="17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100,000</w:t>
            </w: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2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100,000</w:t>
            </w:r>
          </w:p>
        </w:tc>
      </w:tr>
      <w:tr>
        <w:trPr>
          <w:trHeight w:val="180"/>
        </w:trPr>
        <w:tc>
          <w:tcPr>
            <w:tcW w:w="6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Recognized amounts of identifiable assets acquired and liabilities assumed:</w:t>
            </w:r>
          </w:p>
        </w:tc>
        <w:tc>
          <w:tcPr>
            <w:tcW w:w="2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0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19,112</w:t>
            </w:r>
          </w:p>
        </w:tc>
        <w:tc>
          <w:tcPr>
            <w:tcW w:w="260" w:type="dxa"/>
            <w:vAlign w:val="bottom"/>
            <w:shd w:val="clear" w:color="auto" w:fill="CFF0FC"/>
          </w:tcPr>
          <w:p>
            <w:pPr>
              <w:spacing w:after="0"/>
              <w:rPr>
                <w:sz w:val="15"/>
                <w:szCs w:val="15"/>
                <w:color w:val="auto"/>
              </w:rPr>
            </w:pP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20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88,367</w:t>
            </w:r>
          </w:p>
        </w:tc>
        <w:tc>
          <w:tcPr>
            <w:tcW w:w="260" w:type="dxa"/>
            <w:vAlign w:val="bottom"/>
          </w:tcPr>
          <w:p>
            <w:pPr>
              <w:spacing w:after="0"/>
              <w:rPr>
                <w:sz w:val="15"/>
                <w:szCs w:val="15"/>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Customer contracts and related relationships (intangible asset)</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325,787</w:t>
            </w: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Fixed assets</w:t>
            </w:r>
          </w:p>
        </w:tc>
        <w:tc>
          <w:tcPr>
            <w:tcW w:w="20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18,332</w:t>
            </w:r>
          </w:p>
        </w:tc>
        <w:tc>
          <w:tcPr>
            <w:tcW w:w="260" w:type="dxa"/>
            <w:vAlign w:val="bottom"/>
          </w:tcPr>
          <w:p>
            <w:pPr>
              <w:spacing w:after="0"/>
              <w:rPr>
                <w:sz w:val="15"/>
                <w:szCs w:val="15"/>
                <w:color w:val="auto"/>
              </w:rPr>
            </w:pP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107,709</w:t>
            </w: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0" w:type="dxa"/>
            <w:vAlign w:val="bottom"/>
          </w:tcPr>
          <w:p>
            <w:pPr>
              <w:spacing w:after="0"/>
              <w:rPr>
                <w:sz w:val="15"/>
                <w:szCs w:val="15"/>
                <w:color w:val="auto"/>
              </w:rPr>
            </w:pPr>
          </w:p>
        </w:tc>
        <w:tc>
          <w:tcPr>
            <w:tcW w:w="1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(163,590)</w:t>
            </w:r>
          </w:p>
        </w:tc>
      </w:tr>
      <w:tr>
        <w:trPr>
          <w:trHeight w:val="180"/>
        </w:trPr>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Debt</w:t>
            </w:r>
          </w:p>
        </w:tc>
        <w:tc>
          <w:tcPr>
            <w:tcW w:w="20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(241,679)</w:t>
            </w:r>
          </w:p>
        </w:tc>
      </w:tr>
      <w:tr>
        <w:trPr>
          <w:trHeight w:val="180"/>
        </w:trPr>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2000" w:type="dxa"/>
            <w:vAlign w:val="bottom"/>
          </w:tcPr>
          <w:p>
            <w:pPr>
              <w:spacing w:after="0"/>
              <w:rPr>
                <w:sz w:val="15"/>
                <w:szCs w:val="15"/>
                <w:color w:val="auto"/>
              </w:rPr>
            </w:pPr>
          </w:p>
        </w:tc>
        <w:tc>
          <w:tcPr>
            <w:tcW w:w="1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(45,185)</w:t>
            </w:r>
          </w:p>
        </w:tc>
      </w:tr>
      <w:tr>
        <w:trPr>
          <w:trHeight w:val="180"/>
        </w:trPr>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2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108,853</w:t>
            </w:r>
          </w:p>
        </w:tc>
      </w:tr>
      <w:tr>
        <w:trPr>
          <w:trHeight w:val="180"/>
        </w:trPr>
        <w:tc>
          <w:tcPr>
            <w:tcW w:w="6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 on bargain purchase</w:t>
            </w:r>
          </w:p>
        </w:tc>
        <w:tc>
          <w:tcPr>
            <w:tcW w:w="2000" w:type="dxa"/>
            <w:vAlign w:val="bottom"/>
          </w:tcPr>
          <w:p>
            <w:pPr>
              <w:spacing w:after="0"/>
              <w:rPr>
                <w:sz w:val="15"/>
                <w:szCs w:val="15"/>
                <w:color w:val="auto"/>
              </w:rPr>
            </w:pPr>
          </w:p>
        </w:tc>
        <w:tc>
          <w:tcPr>
            <w:tcW w:w="1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(8,853)</w:t>
            </w:r>
          </w:p>
        </w:tc>
      </w:tr>
      <w:tr>
        <w:trPr>
          <w:trHeight w:val="200"/>
        </w:trPr>
        <w:tc>
          <w:tcPr>
            <w:tcW w:w="68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estimated preliminary cost allocation</w:t>
            </w:r>
          </w:p>
        </w:tc>
        <w:tc>
          <w:tcPr>
            <w:tcW w:w="200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100,000</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right="320" w:firstLine="468"/>
        <w:spacing w:after="0" w:line="259" w:lineRule="auto"/>
        <w:rPr>
          <w:sz w:val="20"/>
          <w:szCs w:val="20"/>
          <w:color w:val="auto"/>
        </w:rPr>
      </w:pPr>
      <w:r>
        <w:rPr>
          <w:rFonts w:ascii="Times New Roman" w:cs="Times New Roman" w:eastAsia="Times New Roman" w:hAnsi="Times New Roman"/>
          <w:sz w:val="16"/>
          <w:szCs w:val="16"/>
          <w:color w:val="auto"/>
        </w:rPr>
        <w:t>The impact of transaction costs, primarily related to regulatory, financial advisory, and legal fees, recognized in operating expenses in the condensed interim combined consolidated statements of operations during the six months ended June 30, 2025 was not material.</w:t>
      </w:r>
    </w:p>
    <w:p>
      <w:pPr>
        <w:spacing w:after="0" w:line="155"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Pro forma results of operations have not been presented as the impact on the Company’s condensed interim combined consolidated statements of operations is not material.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5.Prepayments and other current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7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2,351,452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278,731</w:t>
            </w:r>
          </w:p>
        </w:tc>
        <w:tc>
          <w:tcPr>
            <w:tcW w:w="0" w:type="dxa"/>
            <w:vAlign w:val="bottom"/>
          </w:tcPr>
          <w:p>
            <w:pPr>
              <w:spacing w:after="0"/>
              <w:rPr>
                <w:sz w:val="1"/>
                <w:szCs w:val="1"/>
                <w:color w:val="auto"/>
              </w:rPr>
            </w:pPr>
          </w:p>
        </w:tc>
      </w:tr>
      <w:tr>
        <w:trPr>
          <w:trHeight w:val="180"/>
        </w:trPr>
        <w:tc>
          <w:tcPr>
            <w:tcW w:w="7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Receivable from government authorities</w:t>
            </w:r>
          </w:p>
        </w:tc>
        <w:tc>
          <w:tcPr>
            <w:tcW w:w="240" w:type="dxa"/>
            <w:vAlign w:val="bottom"/>
          </w:tcPr>
          <w:p>
            <w:pPr>
              <w:spacing w:after="0"/>
              <w:rPr>
                <w:sz w:val="15"/>
                <w:szCs w:val="15"/>
                <w:color w:val="auto"/>
              </w:rPr>
            </w:pPr>
          </w:p>
        </w:tc>
        <w:tc>
          <w:tcPr>
            <w:tcW w:w="16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261,619</w:t>
            </w: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Input tax credit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1,131,083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697,214</w:t>
            </w:r>
          </w:p>
        </w:tc>
        <w:tc>
          <w:tcPr>
            <w:tcW w:w="0" w:type="dxa"/>
            <w:vAlign w:val="bottom"/>
          </w:tcPr>
          <w:p>
            <w:pPr>
              <w:spacing w:after="0"/>
              <w:rPr>
                <w:sz w:val="1"/>
                <w:szCs w:val="1"/>
                <w:color w:val="auto"/>
              </w:rPr>
            </w:pPr>
          </w:p>
        </w:tc>
      </w:tr>
      <w:tr>
        <w:trPr>
          <w:trHeight w:val="145"/>
        </w:trPr>
        <w:tc>
          <w:tcPr>
            <w:tcW w:w="7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receivables</w:t>
            </w:r>
          </w:p>
        </w:tc>
        <w:tc>
          <w:tcPr>
            <w:tcW w:w="2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1,680,126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25,971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04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5,424,280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1,002,117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80" w:hanging="274"/>
        <w:spacing w:after="0"/>
        <w:tabs>
          <w:tab w:leader="none" w:pos="2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 net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0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7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Computers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715,401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407,302</w:t>
            </w:r>
          </w:p>
        </w:tc>
        <w:tc>
          <w:tcPr>
            <w:tcW w:w="0" w:type="dxa"/>
            <w:vAlign w:val="bottom"/>
          </w:tcPr>
          <w:p>
            <w:pPr>
              <w:spacing w:after="0"/>
              <w:rPr>
                <w:sz w:val="1"/>
                <w:szCs w:val="1"/>
                <w:color w:val="auto"/>
              </w:rPr>
            </w:pPr>
          </w:p>
        </w:tc>
      </w:tr>
      <w:tr>
        <w:trPr>
          <w:trHeight w:val="180"/>
        </w:trPr>
        <w:tc>
          <w:tcPr>
            <w:tcW w:w="7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Office equipment</w:t>
            </w:r>
          </w:p>
        </w:tc>
        <w:tc>
          <w:tcPr>
            <w:tcW w:w="2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543,940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0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Less—Accumulated depreciation</w:t>
            </w:r>
          </w:p>
        </w:tc>
        <w:tc>
          <w:tcPr>
            <w:tcW w:w="26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(1,141,366)</w:t>
            </w: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6"/>
                <w:szCs w:val="16"/>
                <w:color w:val="auto"/>
              </w:rPr>
              <w:t>(385,273</w:t>
            </w:r>
          </w:p>
        </w:tc>
        <w:tc>
          <w:tcPr>
            <w:tcW w:w="0" w:type="dxa"/>
            <w:vAlign w:val="bottom"/>
          </w:tcPr>
          <w:p>
            <w:pPr>
              <w:spacing w:after="0"/>
              <w:rPr>
                <w:sz w:val="1"/>
                <w:szCs w:val="1"/>
                <w:color w:val="auto"/>
              </w:rPr>
            </w:pPr>
          </w:p>
        </w:tc>
      </w:tr>
      <w:tr>
        <w:trPr>
          <w:trHeight w:val="192"/>
        </w:trPr>
        <w:tc>
          <w:tcPr>
            <w:tcW w:w="7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0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6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117,975</w:t>
            </w:r>
          </w:p>
        </w:tc>
        <w:tc>
          <w:tcPr>
            <w:tcW w:w="260" w:type="dxa"/>
            <w:vAlign w:val="bottom"/>
          </w:tcPr>
          <w:p>
            <w:pPr>
              <w:spacing w:after="0"/>
              <w:rPr>
                <w:sz w:val="15"/>
                <w:szCs w:val="15"/>
                <w:color w:val="auto"/>
              </w:rPr>
            </w:pPr>
          </w:p>
        </w:tc>
        <w:tc>
          <w:tcPr>
            <w:tcW w:w="2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22,319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Depreciation expense for the six months ended June 30, 2025 and 2024 was $103,322 and $22,955 respectively.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8" w:name="page29"/>
    <w:bookmarkEnd w:id="28"/>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318" w:hanging="318"/>
        <w:spacing w:after="0"/>
        <w:tabs>
          <w:tab w:leader="none" w:pos="318"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 and Intangible assets, net</w:t>
      </w:r>
    </w:p>
    <w:p>
      <w:pPr>
        <w:spacing w:after="0" w:line="190" w:lineRule="exact"/>
        <w:rPr>
          <w:sz w:val="20"/>
          <w:szCs w:val="20"/>
          <w:color w:val="auto"/>
        </w:rPr>
      </w:pPr>
    </w:p>
    <w:p>
      <w:pPr>
        <w:ind w:left="18" w:firstLine="468"/>
        <w:spacing w:after="0" w:line="259" w:lineRule="auto"/>
        <w:rPr>
          <w:sz w:val="20"/>
          <w:szCs w:val="20"/>
          <w:color w:val="auto"/>
        </w:rPr>
      </w:pPr>
      <w:r>
        <w:rPr>
          <w:rFonts w:ascii="Times New Roman" w:cs="Times New Roman" w:eastAsia="Times New Roman" w:hAnsi="Times New Roman"/>
          <w:sz w:val="16"/>
          <w:szCs w:val="16"/>
          <w:color w:val="auto"/>
        </w:rPr>
        <w:t>During the six months ended June 30, 2025, our business combinations generated $6.2 million of goodwill which was primarily attributable to expected synergies and potential monetization opportunities, see Note 4 for more information.</w:t>
      </w:r>
    </w:p>
    <w:p>
      <w:pPr>
        <w:spacing w:after="0" w:line="143"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6"/>
          <w:szCs w:val="16"/>
          <w:color w:val="auto"/>
        </w:rPr>
        <w:t>The following table sets forth the major categories of the intangible assets at June 30, 2025:</w:t>
      </w:r>
    </w:p>
    <w:p>
      <w:pPr>
        <w:spacing w:after="0" w:line="200" w:lineRule="exact"/>
        <w:rPr>
          <w:sz w:val="20"/>
          <w:szCs w:val="20"/>
          <w:color w:val="auto"/>
        </w:rPr>
      </w:pPr>
    </w:p>
    <w:tbl>
      <w:tblPr>
        <w:tblLayout w:type="fixed"/>
        <w:tblInd w:w="18" w:type="dxa"/>
        <w:tblCellMar>
          <w:top w:w="0" w:type="dxa"/>
          <w:left w:w="0" w:type="dxa"/>
          <w:bottom w:w="0" w:type="dxa"/>
          <w:right w:w="0" w:type="dxa"/>
        </w:tblCellMar>
      </w:tblPr>
      <w:tr>
        <w:trPr>
          <w:trHeight w:val="155"/>
        </w:trPr>
        <w:tc>
          <w:tcPr>
            <w:tcW w:w="7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95"/>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In-development intangible asset, net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7,774,628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6,655,623</w:t>
            </w:r>
          </w:p>
        </w:tc>
        <w:tc>
          <w:tcPr>
            <w:tcW w:w="100" w:type="dxa"/>
            <w:vAlign w:val="bottom"/>
          </w:tcPr>
          <w:p>
            <w:pPr>
              <w:spacing w:after="0"/>
              <w:rPr>
                <w:sz w:val="16"/>
                <w:szCs w:val="16"/>
                <w:color w:val="auto"/>
              </w:rPr>
            </w:pP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Software</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1,383,773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1,014,967</w:t>
            </w:r>
          </w:p>
        </w:tc>
        <w:tc>
          <w:tcPr>
            <w:tcW w:w="100" w:type="dxa"/>
            <w:vAlign w:val="bottom"/>
            <w:shd w:val="clear" w:color="auto" w:fill="CFF0FC"/>
          </w:tcPr>
          <w:p>
            <w:pPr>
              <w:spacing w:after="0"/>
              <w:rPr>
                <w:sz w:val="15"/>
                <w:szCs w:val="15"/>
                <w:color w:val="auto"/>
              </w:rPr>
            </w:pPr>
          </w:p>
        </w:tc>
      </w:tr>
      <w:tr>
        <w:trPr>
          <w:trHeight w:val="180"/>
        </w:trPr>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Less—Accumulated amortization for Software</w:t>
            </w:r>
          </w:p>
        </w:tc>
        <w:tc>
          <w:tcPr>
            <w:tcW w:w="240" w:type="dxa"/>
            <w:vAlign w:val="bottom"/>
          </w:tcPr>
          <w:p>
            <w:pPr>
              <w:spacing w:after="0"/>
              <w:rPr>
                <w:sz w:val="15"/>
                <w:szCs w:val="15"/>
                <w:color w:val="auto"/>
              </w:rPr>
            </w:pPr>
          </w:p>
        </w:tc>
        <w:tc>
          <w:tcPr>
            <w:tcW w:w="15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(1,303,193)</w:t>
            </w:r>
          </w:p>
        </w:tc>
        <w:tc>
          <w:tcPr>
            <w:tcW w:w="180" w:type="dxa"/>
            <w:vAlign w:val="bottom"/>
          </w:tcPr>
          <w:p>
            <w:pPr>
              <w:spacing w:after="0"/>
              <w:rPr>
                <w:sz w:val="15"/>
                <w:szCs w:val="15"/>
                <w:color w:val="auto"/>
              </w:rPr>
            </w:pPr>
          </w:p>
        </w:tc>
        <w:tc>
          <w:tcPr>
            <w:tcW w:w="15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(920,412)</w:t>
            </w: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Software, net</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80,580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94,555</w:t>
            </w:r>
          </w:p>
        </w:tc>
        <w:tc>
          <w:tcPr>
            <w:tcW w:w="100" w:type="dxa"/>
            <w:vAlign w:val="bottom"/>
            <w:shd w:val="clear" w:color="auto" w:fill="CFF0FC"/>
          </w:tcPr>
          <w:p>
            <w:pPr>
              <w:spacing w:after="0"/>
              <w:rPr>
                <w:sz w:val="15"/>
                <w:szCs w:val="15"/>
                <w:color w:val="auto"/>
              </w:rPr>
            </w:pPr>
          </w:p>
        </w:tc>
      </w:tr>
      <w:tr>
        <w:trPr>
          <w:trHeight w:val="180"/>
        </w:trPr>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Technology intellectual property</w:t>
            </w:r>
          </w:p>
        </w:tc>
        <w:tc>
          <w:tcPr>
            <w:tcW w:w="2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19,661,728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Less—Accumulated amortization for Technology intellectual property</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(517,971)</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Technology intellectual property, net</w:t>
            </w:r>
          </w:p>
        </w:tc>
        <w:tc>
          <w:tcPr>
            <w:tcW w:w="2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19,143,757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Customer contracts and related relationships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17,084,072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Less—Accumulated amortization for Customer contracts and related relationships</w:t>
            </w:r>
          </w:p>
        </w:tc>
        <w:tc>
          <w:tcPr>
            <w:tcW w:w="240" w:type="dxa"/>
            <w:vAlign w:val="bottom"/>
          </w:tcPr>
          <w:p>
            <w:pPr>
              <w:spacing w:after="0"/>
              <w:rPr>
                <w:sz w:val="15"/>
                <w:szCs w:val="15"/>
                <w:color w:val="auto"/>
              </w:rPr>
            </w:pPr>
          </w:p>
        </w:tc>
        <w:tc>
          <w:tcPr>
            <w:tcW w:w="15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(848,557)</w:t>
            </w:r>
          </w:p>
        </w:tc>
        <w:tc>
          <w:tcPr>
            <w:tcW w:w="180" w:type="dxa"/>
            <w:vAlign w:val="bottom"/>
          </w:tcPr>
          <w:p>
            <w:pPr>
              <w:spacing w:after="0"/>
              <w:rPr>
                <w:sz w:val="15"/>
                <w:szCs w:val="15"/>
                <w:color w:val="auto"/>
              </w:rPr>
            </w:pP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Customer contracts and related relationships, net</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16,235,515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Patents and trademarks</w:t>
            </w:r>
          </w:p>
        </w:tc>
        <w:tc>
          <w:tcPr>
            <w:tcW w:w="2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3,736,122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Less—Accumulated amortization for Patents and trademarks</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(344,090)</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Patents and trademarks, net</w:t>
            </w:r>
          </w:p>
        </w:tc>
        <w:tc>
          <w:tcPr>
            <w:tcW w:w="2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3,392,032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Recruitment database</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491,970</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Less—Accumulated amortization for Recruitment database</w:t>
            </w:r>
          </w:p>
        </w:tc>
        <w:tc>
          <w:tcPr>
            <w:tcW w:w="240" w:type="dxa"/>
            <w:vAlign w:val="bottom"/>
          </w:tcPr>
          <w:p>
            <w:pPr>
              <w:spacing w:after="0"/>
              <w:rPr>
                <w:sz w:val="15"/>
                <w:szCs w:val="15"/>
                <w:color w:val="auto"/>
              </w:rPr>
            </w:pPr>
          </w:p>
        </w:tc>
        <w:tc>
          <w:tcPr>
            <w:tcW w:w="15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(13,666)</w:t>
            </w:r>
          </w:p>
        </w:tc>
        <w:tc>
          <w:tcPr>
            <w:tcW w:w="180" w:type="dxa"/>
            <w:vAlign w:val="bottom"/>
          </w:tcPr>
          <w:p>
            <w:pPr>
              <w:spacing w:after="0"/>
              <w:rPr>
                <w:sz w:val="15"/>
                <w:szCs w:val="15"/>
                <w:color w:val="auto"/>
              </w:rPr>
            </w:pP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Recruitment database, net</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478,304</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706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Intangible assets, net</w:t>
            </w:r>
          </w:p>
        </w:tc>
        <w:tc>
          <w:tcPr>
            <w:tcW w:w="240" w:type="dxa"/>
            <w:vAlign w:val="bottom"/>
            <w:tcBorders>
              <w:bottom w:val="single" w:sz="8" w:color="auto"/>
            </w:tcBorders>
          </w:tcPr>
          <w:p>
            <w:pPr>
              <w:jc w:val="right"/>
              <w:ind w:right="8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47,104,816</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6,750,178</w:t>
            </w:r>
          </w:p>
        </w:tc>
        <w:tc>
          <w:tcPr>
            <w:tcW w:w="100" w:type="dxa"/>
            <w:vAlign w:val="bottom"/>
          </w:tcPr>
          <w:p>
            <w:pPr>
              <w:spacing w:after="0"/>
              <w:rPr>
                <w:sz w:val="15"/>
                <w:szCs w:val="15"/>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 w:right="740" w:firstLine="468"/>
        <w:spacing w:after="0" w:line="259" w:lineRule="auto"/>
        <w:rPr>
          <w:sz w:val="20"/>
          <w:szCs w:val="20"/>
          <w:color w:val="auto"/>
        </w:rPr>
      </w:pPr>
      <w:r>
        <w:rPr>
          <w:rFonts w:ascii="Times New Roman" w:cs="Times New Roman" w:eastAsia="Times New Roman" w:hAnsi="Times New Roman"/>
          <w:sz w:val="16"/>
          <w:szCs w:val="16"/>
          <w:color w:val="auto"/>
        </w:rPr>
        <w:t>Amortization expense for software for the six months ended June 30, 2025 and 2024 was $ 1,447,455 and $98,940 respectively. The Company has not commenced amortizing the in-development intangible asset as it not yet ready for its intended use.</w:t>
      </w:r>
    </w:p>
    <w:p>
      <w:pPr>
        <w:spacing w:after="0" w:line="143" w:lineRule="exact"/>
        <w:rPr>
          <w:sz w:val="20"/>
          <w:szCs w:val="20"/>
          <w:color w:val="auto"/>
        </w:rPr>
      </w:pPr>
    </w:p>
    <w:p>
      <w:pPr>
        <w:ind w:left="498"/>
        <w:spacing w:after="0"/>
        <w:rPr>
          <w:sz w:val="20"/>
          <w:szCs w:val="20"/>
          <w:color w:val="auto"/>
        </w:rPr>
      </w:pPr>
      <w:r>
        <w:rPr>
          <w:rFonts w:ascii="Times New Roman" w:cs="Times New Roman" w:eastAsia="Times New Roman" w:hAnsi="Times New Roman"/>
          <w:sz w:val="16"/>
          <w:szCs w:val="16"/>
          <w:color w:val="auto"/>
        </w:rPr>
        <w:t>As of June 30, 2025, expected total amortization expense for intangible assets over their remaining lives are as follows:</w:t>
      </w:r>
    </w:p>
    <w:p>
      <w:pPr>
        <w:spacing w:after="0" w:line="209" w:lineRule="exact"/>
        <w:rPr>
          <w:sz w:val="20"/>
          <w:szCs w:val="20"/>
          <w:color w:val="auto"/>
        </w:rPr>
      </w:pPr>
    </w:p>
    <w:tbl>
      <w:tblPr>
        <w:tblLayout w:type="fixed"/>
        <w:tblInd w:w="18" w:type="dxa"/>
        <w:tblCellMar>
          <w:top w:w="0" w:type="dxa"/>
          <w:left w:w="0" w:type="dxa"/>
          <w:bottom w:w="0" w:type="dxa"/>
          <w:right w:w="0" w:type="dxa"/>
        </w:tblCellMar>
      </w:tblPr>
      <w:tr>
        <w:trPr>
          <w:trHeight w:val="184"/>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458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3,000,240</w:t>
            </w:r>
          </w:p>
        </w:tc>
        <w:tc>
          <w:tcPr>
            <w:tcW w:w="80" w:type="dxa"/>
            <w:vAlign w:val="bottom"/>
            <w:shd w:val="clear" w:color="auto" w:fill="CFF0FC"/>
          </w:tcPr>
          <w:p>
            <w:pPr>
              <w:spacing w:after="0"/>
              <w:rPr>
                <w:sz w:val="16"/>
                <w:szCs w:val="16"/>
                <w:color w:val="auto"/>
              </w:rPr>
            </w:pP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5,976,010</w:t>
            </w:r>
          </w:p>
        </w:tc>
        <w:tc>
          <w:tcPr>
            <w:tcW w:w="80" w:type="dxa"/>
            <w:vAlign w:val="bottom"/>
          </w:tcPr>
          <w:p>
            <w:pPr>
              <w:spacing w:after="0"/>
              <w:rPr>
                <w:sz w:val="15"/>
                <w:szCs w:val="15"/>
                <w:color w:val="auto"/>
              </w:rPr>
            </w:pP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9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5,888,411</w:t>
            </w:r>
          </w:p>
        </w:tc>
        <w:tc>
          <w:tcPr>
            <w:tcW w:w="80" w:type="dxa"/>
            <w:vAlign w:val="bottom"/>
            <w:shd w:val="clear" w:color="auto" w:fill="CFF0FC"/>
          </w:tcPr>
          <w:p>
            <w:pPr>
              <w:spacing w:after="0"/>
              <w:rPr>
                <w:sz w:val="15"/>
                <w:szCs w:val="15"/>
                <w:color w:val="auto"/>
              </w:rPr>
            </w:pP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5,792,750</w:t>
            </w:r>
          </w:p>
        </w:tc>
        <w:tc>
          <w:tcPr>
            <w:tcW w:w="80" w:type="dxa"/>
            <w:vAlign w:val="bottom"/>
          </w:tcPr>
          <w:p>
            <w:pPr>
              <w:spacing w:after="0"/>
              <w:rPr>
                <w:sz w:val="15"/>
                <w:szCs w:val="15"/>
                <w:color w:val="auto"/>
              </w:rPr>
            </w:pP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39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5,724,421</w:t>
            </w:r>
          </w:p>
        </w:tc>
        <w:tc>
          <w:tcPr>
            <w:tcW w:w="80" w:type="dxa"/>
            <w:vAlign w:val="bottom"/>
            <w:shd w:val="clear" w:color="auto" w:fill="CFF0FC"/>
          </w:tcPr>
          <w:p>
            <w:pPr>
              <w:spacing w:after="0"/>
              <w:rPr>
                <w:sz w:val="15"/>
                <w:szCs w:val="15"/>
                <w:color w:val="auto"/>
              </w:rPr>
            </w:pP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12,948,356</w:t>
            </w:r>
          </w:p>
        </w:tc>
        <w:tc>
          <w:tcPr>
            <w:tcW w:w="80" w:type="dxa"/>
            <w:vAlign w:val="bottom"/>
          </w:tcPr>
          <w:p>
            <w:pPr>
              <w:spacing w:after="0"/>
              <w:rPr>
                <w:sz w:val="15"/>
                <w:szCs w:val="15"/>
                <w:color w:val="auto"/>
              </w:rPr>
            </w:pPr>
          </w:p>
        </w:tc>
      </w:tr>
      <w:tr>
        <w:trPr>
          <w:trHeight w:val="220"/>
        </w:trPr>
        <w:tc>
          <w:tcPr>
            <w:tcW w:w="4600" w:type="dxa"/>
            <w:vAlign w:val="bottom"/>
            <w:tcBorders>
              <w:bottom w:val="single" w:sz="8" w:color="CFF0FC"/>
            </w:tcBorders>
            <w:shd w:val="clear" w:color="auto" w:fill="CFF0FC"/>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39,330,188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
        <w:spacing w:after="0"/>
        <w:tabs>
          <w:tab w:leader="none" w:pos="278" w:val="left"/>
        </w:tabs>
        <w:rPr>
          <w:sz w:val="20"/>
          <w:szCs w:val="20"/>
          <w:color w:val="auto"/>
        </w:rPr>
      </w:pPr>
      <w:r>
        <w:rPr>
          <w:rFonts w:ascii="Times New Roman" w:cs="Times New Roman" w:eastAsia="Times New Roman" w:hAnsi="Times New Roman"/>
          <w:sz w:val="16"/>
          <w:szCs w:val="16"/>
          <w:b w:val="1"/>
          <w:bCs w:val="1"/>
          <w:color w:val="auto"/>
        </w:rPr>
        <w:t>8.</w:t>
      </w:r>
      <w:r>
        <w:rPr>
          <w:sz w:val="20"/>
          <w:szCs w:val="20"/>
          <w:color w:val="auto"/>
        </w:rPr>
        <w:tab/>
      </w:r>
      <w:r>
        <w:rPr>
          <w:rFonts w:ascii="Times New Roman" w:cs="Times New Roman" w:eastAsia="Times New Roman" w:hAnsi="Times New Roman"/>
          <w:sz w:val="14"/>
          <w:szCs w:val="14"/>
          <w:b w:val="1"/>
          <w:bCs w:val="1"/>
          <w:color w:val="auto"/>
        </w:rPr>
        <w:t>Debt and other liabilities</w:t>
      </w:r>
    </w:p>
    <w:p>
      <w:pPr>
        <w:spacing w:after="0" w:line="37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98"/>
          </w:cols>
          <w:pgMar w:left="642" w:top="1131" w:right="66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Short-term debt and other liabilities</w:t>
            </w:r>
          </w:p>
        </w:tc>
        <w:tc>
          <w:tcPr>
            <w:tcW w:w="18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Short-term debt (8.1)</w:t>
            </w:r>
          </w:p>
        </w:tc>
        <w:tc>
          <w:tcPr>
            <w:tcW w:w="1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28,745,993</w:t>
            </w:r>
          </w:p>
        </w:tc>
        <w:tc>
          <w:tcPr>
            <w:tcW w:w="60" w:type="dxa"/>
            <w:vAlign w:val="bottom"/>
          </w:tcPr>
          <w:p>
            <w:pPr>
              <w:spacing w:after="0"/>
              <w:rPr>
                <w:sz w:val="15"/>
                <w:szCs w:val="15"/>
                <w:color w:val="auto"/>
              </w:rPr>
            </w:pP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Short-term debt to related parties (8.2)</w:t>
            </w:r>
          </w:p>
        </w:tc>
        <w:tc>
          <w:tcPr>
            <w:tcW w:w="18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5,102,211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payable (8.3)</w:t>
            </w:r>
          </w:p>
        </w:tc>
        <w:tc>
          <w:tcPr>
            <w:tcW w:w="18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Convertible debt (8.4)</w:t>
            </w:r>
          </w:p>
        </w:tc>
        <w:tc>
          <w:tcPr>
            <w:tcW w:w="18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111,837</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10,288,123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Short term convertible debt to related party (8.5)</w:t>
            </w:r>
          </w:p>
        </w:tc>
        <w:tc>
          <w:tcPr>
            <w:tcW w:w="1800" w:type="dxa"/>
            <w:vAlign w:val="bottom"/>
          </w:tcPr>
          <w:p>
            <w:pPr>
              <w:spacing w:after="0"/>
              <w:rPr>
                <w:sz w:val="15"/>
                <w:szCs w:val="15"/>
                <w:color w:val="auto"/>
              </w:rPr>
            </w:pPr>
          </w:p>
        </w:tc>
        <w:tc>
          <w:tcPr>
            <w:tcW w:w="15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108,047</w:t>
            </w:r>
          </w:p>
        </w:tc>
        <w:tc>
          <w:tcPr>
            <w:tcW w:w="18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95,309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 liability (8.6)</w:t>
            </w:r>
          </w:p>
        </w:tc>
        <w:tc>
          <w:tcPr>
            <w:tcW w:w="18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Convertible promissory notes (8.7)</w:t>
            </w:r>
          </w:p>
        </w:tc>
        <w:tc>
          <w:tcPr>
            <w:tcW w:w="1800" w:type="dxa"/>
            <w:vAlign w:val="bottom"/>
          </w:tcPr>
          <w:p>
            <w:pPr>
              <w:spacing w:after="0"/>
              <w:rPr>
                <w:sz w:val="15"/>
                <w:szCs w:val="15"/>
                <w:color w:val="auto"/>
              </w:rPr>
            </w:pPr>
          </w:p>
        </w:tc>
        <w:tc>
          <w:tcPr>
            <w:tcW w:w="15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538,524</w:t>
            </w:r>
          </w:p>
        </w:tc>
        <w:tc>
          <w:tcPr>
            <w:tcW w:w="18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6,428,825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Advisors loans (8.8)</w:t>
            </w:r>
          </w:p>
        </w:tc>
        <w:tc>
          <w:tcPr>
            <w:tcW w:w="18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3,865,447</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Long-term debt and other liabilities</w:t>
            </w:r>
          </w:p>
        </w:tc>
        <w:tc>
          <w:tcPr>
            <w:tcW w:w="1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Long-term debt (8.1)</w:t>
            </w:r>
          </w:p>
        </w:tc>
        <w:tc>
          <w:tcPr>
            <w:tcW w:w="18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121,140</w:t>
            </w:r>
          </w:p>
        </w:tc>
        <w:tc>
          <w:tcPr>
            <w:tcW w:w="1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2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short-term and long-term debt and other liabilities</w:t>
            </w:r>
          </w:p>
        </w:tc>
        <w:tc>
          <w:tcPr>
            <w:tcW w:w="18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34,890,988</w:t>
            </w:r>
          </w:p>
        </w:tc>
        <w:tc>
          <w:tcPr>
            <w:tcW w:w="60" w:type="dxa"/>
            <w:vAlign w:val="bottom"/>
          </w:tcPr>
          <w:p>
            <w:pPr>
              <w:spacing w:after="0"/>
              <w:rPr>
                <w:sz w:val="15"/>
                <w:szCs w:val="15"/>
                <w:color w:val="auto"/>
              </w:rPr>
            </w:pPr>
          </w:p>
        </w:tc>
        <w:tc>
          <w:tcPr>
            <w:tcW w:w="1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37,333,443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8.1 Short-term and long-term debt</w:t>
            </w:r>
          </w:p>
        </w:tc>
        <w:tc>
          <w:tcPr>
            <w:tcW w:w="1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4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Short-term debt</w:t>
            </w:r>
          </w:p>
        </w:tc>
        <w:tc>
          <w:tcPr>
            <w:tcW w:w="1800" w:type="dxa"/>
            <w:vAlign w:val="bottom"/>
          </w:tcPr>
          <w:p>
            <w:pPr>
              <w:spacing w:after="0"/>
              <w:rPr>
                <w:sz w:val="24"/>
                <w:szCs w:val="24"/>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6"/>
        </w:trPr>
        <w:tc>
          <w:tcPr>
            <w:tcW w:w="542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Senior-secured term-loan facility (the "Facility")</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28,629,626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Non-Banking Financial Company loan (Prediqt)</w:t>
            </w:r>
          </w:p>
        </w:tc>
        <w:tc>
          <w:tcPr>
            <w:tcW w:w="1800" w:type="dxa"/>
            <w:vAlign w:val="bottom"/>
          </w:tcPr>
          <w:p>
            <w:pPr>
              <w:spacing w:after="0"/>
              <w:rPr>
                <w:sz w:val="15"/>
                <w:szCs w:val="15"/>
                <w:color w:val="auto"/>
              </w:rPr>
            </w:pPr>
          </w:p>
        </w:tc>
        <w:tc>
          <w:tcPr>
            <w:tcW w:w="15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116,367</w:t>
            </w:r>
          </w:p>
        </w:tc>
        <w:tc>
          <w:tcPr>
            <w:tcW w:w="180" w:type="dxa"/>
            <w:vAlign w:val="bottom"/>
          </w:tcPr>
          <w:p>
            <w:pPr>
              <w:spacing w:after="0"/>
              <w:rPr>
                <w:sz w:val="15"/>
                <w:szCs w:val="15"/>
                <w:color w:val="auto"/>
              </w:rPr>
            </w:pPr>
          </w:p>
        </w:tc>
        <w:tc>
          <w:tcPr>
            <w:tcW w:w="15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short-term debt</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28,745,993</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Long-term debt</w:t>
            </w:r>
          </w:p>
        </w:tc>
        <w:tc>
          <w:tcPr>
            <w:tcW w:w="1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Non-Banking Financial Company loan (Prediqt)</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121,140</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18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121,140</w:t>
            </w:r>
          </w:p>
        </w:tc>
        <w:tc>
          <w:tcPr>
            <w:tcW w:w="18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Senior-secured term-loan facility</w:t>
      </w:r>
    </w:p>
    <w:p>
      <w:pPr>
        <w:spacing w:after="0" w:line="94"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On January 23, 2025, the Company entered into a senior -secured term- 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60" w:firstLine="507"/>
        <w:spacing w:after="0" w:line="259" w:lineRule="auto"/>
        <w:rPr>
          <w:sz w:val="20"/>
          <w:szCs w:val="20"/>
          <w:color w:val="auto"/>
        </w:rPr>
      </w:pPr>
      <w:r>
        <w:rPr>
          <w:rFonts w:ascii="Times New Roman" w:cs="Times New Roman" w:eastAsia="Times New Roman" w:hAnsi="Times New Roman"/>
          <w:sz w:val="16"/>
          <w:szCs w:val="16"/>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9" w:lineRule="exact"/>
        <w:rPr>
          <w:sz w:val="20"/>
          <w:szCs w:val="20"/>
          <w:color w:val="auto"/>
        </w:rPr>
      </w:pPr>
    </w:p>
    <w:p>
      <w:pPr>
        <w:ind w:right="220" w:firstLine="507"/>
        <w:spacing w:after="0" w:line="247" w:lineRule="auto"/>
        <w:rPr>
          <w:sz w:val="20"/>
          <w:szCs w:val="20"/>
          <w:color w:val="auto"/>
        </w:rPr>
      </w:pPr>
      <w:r>
        <w:rPr>
          <w:rFonts w:ascii="Times New Roman" w:cs="Times New Roman" w:eastAsia="Times New Roman" w:hAnsi="Times New Roman"/>
          <w:sz w:val="16"/>
          <w:szCs w:val="16"/>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420" w:firstLine="468"/>
        <w:spacing w:after="0" w:line="247" w:lineRule="auto"/>
        <w:rPr>
          <w:sz w:val="20"/>
          <w:szCs w:val="20"/>
          <w:color w:val="auto"/>
        </w:rPr>
      </w:pPr>
      <w:r>
        <w:rPr>
          <w:rFonts w:ascii="Times New Roman" w:cs="Times New Roman" w:eastAsia="Times New Roman" w:hAnsi="Times New Roman"/>
          <w:sz w:val="16"/>
          <w:szCs w:val="16"/>
          <w:color w:val="auto"/>
        </w:rPr>
        <w:t>The Facility bears no interest. However, the Company will pay a $3,000,000 arrangement fee to the Lender on the earlier of (i) the drawing the Committed Amount and (ii) February 21, 2025. The arrangement fee was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160" w:firstLine="507"/>
        <w:spacing w:after="0" w:line="243" w:lineRule="auto"/>
        <w:rPr>
          <w:sz w:val="20"/>
          <w:szCs w:val="20"/>
          <w:color w:val="auto"/>
        </w:rPr>
      </w:pPr>
      <w:r>
        <w:rPr>
          <w:rFonts w:ascii="Times New Roman" w:cs="Times New Roman" w:eastAsia="Times New Roman" w:hAnsi="Times New Roman"/>
          <w:sz w:val="16"/>
          <w:szCs w:val="16"/>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1"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The Lender or its affiliates have in the past provided and may from time to time in the future provide, investment banking and other services to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The Company has recognized interest expense on the Facility using the effective interest method. In accordance with ASC 470 and ASC 835, the arrangement fee is accounted for as a debt discount and amortized to interest expense over the term of the Facility using the effective interest method. As a result, the Facility has an effective interest rate of approximately 14.2%.</w:t>
      </w:r>
    </w:p>
    <w:p>
      <w:pPr>
        <w:spacing w:after="0" w:line="68"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The Company received net cash proceeds of $27.0 million upon issuance and recorded the Facility at its face value of $30.0 million, net of the $3.0 million debt discount. The carrying amount of the Facility was $28.6 million as of June 30, 2025. Interest expense recognized from the amortization of the debt discount for the period ended June 30 , 2025, was $1.6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Prediqt acquisition</w:t>
      </w:r>
    </w:p>
    <w:p>
      <w:pPr>
        <w:spacing w:after="0" w:line="94" w:lineRule="exact"/>
        <w:rPr>
          <w:sz w:val="20"/>
          <w:szCs w:val="20"/>
          <w:color w:val="auto"/>
        </w:rPr>
      </w:pPr>
    </w:p>
    <w:p>
      <w:pPr>
        <w:jc w:val="both"/>
        <w:ind w:right="120" w:firstLine="468"/>
        <w:spacing w:after="0" w:line="247" w:lineRule="auto"/>
        <w:rPr>
          <w:sz w:val="20"/>
          <w:szCs w:val="20"/>
          <w:color w:val="auto"/>
        </w:rPr>
      </w:pPr>
      <w:r>
        <w:rPr>
          <w:rFonts w:ascii="Times New Roman" w:cs="Times New Roman" w:eastAsia="Times New Roman" w:hAnsi="Times New Roman"/>
          <w:sz w:val="16"/>
          <w:szCs w:val="16"/>
          <w:color w:val="auto"/>
        </w:rPr>
        <w:t>As a result of the Prediqt acquisition (Note 4), the Company acquired loans owed to Non-Banking Financial Companies (NBFCs) in India. These loans carry an interest rate ranging between 17% to 22%. Amounts due within the next 12 months have been classified in short-term debt. Amounts due beyond 12 months have been classified as long-term debt.</w:t>
      </w:r>
    </w:p>
    <w:p>
      <w:pPr>
        <w:spacing w:after="0" w:line="68"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Additionally, as part of the Prediqt acquisition, the Company acquired as interest free loans owed to directors of Prediqt. These loans are repayable on demand and presented within "Short-term debt".</w:t>
      </w:r>
    </w:p>
    <w:p>
      <w:pPr>
        <w:spacing w:after="0" w:line="141"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8.2. </w:t>
      </w:r>
      <w:r>
        <w:rPr>
          <w:rFonts w:ascii="Times New Roman" w:cs="Times New Roman" w:eastAsia="Times New Roman" w:hAnsi="Times New Roman"/>
          <w:sz w:val="16"/>
          <w:szCs w:val="16"/>
          <w:color w:val="auto"/>
        </w:rPr>
        <w:t>Unsecured interest free loans taken from related parties DBLP Sea Cow Ltd are repayable on demand. During the six months ended June 30, 2025,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settled short-term debt owed to DBLP Sea Cow Ltd. of $5,958,593 by paying cash of $5,148,553 and issuing 800,000 ordinary shares. The shares were issued at their fair value of $2.06 on the date of issuance. The loss on extinguishment of $824,959 with DBLP Sea Cow Ltd, a significant shareholder, was treated as a capital transaction and recorded in additional paid in capital.</w:t>
      </w:r>
    </w:p>
    <w:p>
      <w:pPr>
        <w:spacing w:after="0" w:line="152" w:lineRule="exact"/>
        <w:rPr>
          <w:sz w:val="20"/>
          <w:szCs w:val="20"/>
          <w:color w:val="auto"/>
        </w:rPr>
      </w:pPr>
    </w:p>
    <w:p>
      <w:pPr>
        <w:ind w:right="240" w:firstLine="36"/>
        <w:spacing w:after="0"/>
        <w:rPr>
          <w:sz w:val="20"/>
          <w:szCs w:val="20"/>
          <w:color w:val="auto"/>
        </w:rPr>
      </w:pPr>
      <w:r>
        <w:rPr>
          <w:rFonts w:ascii="Times New Roman" w:cs="Times New Roman" w:eastAsia="Times New Roman" w:hAnsi="Times New Roman"/>
          <w:sz w:val="16"/>
          <w:szCs w:val="16"/>
          <w:b w:val="1"/>
          <w:bCs w:val="1"/>
          <w:color w:val="auto"/>
        </w:rPr>
        <w:t xml:space="preserve">8.3. </w:t>
      </w:r>
      <w:r>
        <w:rPr>
          <w:rFonts w:ascii="Times New Roman" w:cs="Times New Roman" w:eastAsia="Times New Roman" w:hAnsi="Times New Roman"/>
          <w:sz w:val="16"/>
          <w:szCs w:val="16"/>
          <w:color w:val="auto"/>
        </w:rPr>
        <w:t>On May 25, 2023, the Company offered to all existing investors and employees of the Company an advanced subscription agreement for ordinary shares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 On April 16, 2025, the Company issued 4,150,000 ordinary shares to DBLP Sea Cow Ltd, a related party, to settle the outstanding liability. No further amounts remain owing.</w:t>
      </w:r>
    </w:p>
    <w:p>
      <w:pPr>
        <w:spacing w:after="0" w:line="15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8.4. </w:t>
      </w:r>
      <w:r>
        <w:rPr>
          <w:rFonts w:ascii="Times New Roman" w:cs="Times New Roman" w:eastAsia="Times New Roman" w:hAnsi="Times New Roman"/>
          <w:sz w:val="16"/>
          <w:szCs w:val="16"/>
          <w:color w:val="auto"/>
        </w:rPr>
        <w:t>On December 17, 2021, the Company and Armada Acquisition Corp I, a special purpose acquisition company (“SPAC”) listed on the Nasdaq Capital Market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66"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maturity, with interest accrued at 20% per annum, or</w:t>
      </w:r>
    </w:p>
    <w:p>
      <w:pPr>
        <w:spacing w:after="0" w:line="92" w:lineRule="exact"/>
        <w:rPr>
          <w:sz w:val="20"/>
          <w:szCs w:val="20"/>
          <w:color w:val="auto"/>
        </w:rPr>
      </w:pPr>
    </w:p>
    <w:p>
      <w:pPr>
        <w:ind w:left="480" w:right="500"/>
        <w:spacing w:after="0" w:line="331" w:lineRule="auto"/>
        <w:rPr>
          <w:sz w:val="20"/>
          <w:szCs w:val="20"/>
          <w:color w:val="auto"/>
        </w:rPr>
      </w:pPr>
      <w:r>
        <w:rPr>
          <w:rFonts w:ascii="Times New Roman" w:cs="Times New Roman" w:eastAsia="Times New Roman" w:hAnsi="Times New Roman"/>
          <w:sz w:val="14"/>
          <w:szCs w:val="14"/>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8"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Immediately prior to an IPO or SPAC transaction, the principal amount and accrued interest is converted into ordinary shares at a 30% discount to the pre-close equity value of the Company.</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interest rate is 20% per annum, and is reduced in the following events to:</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 per annum if the IPO or SPAC transaction occurred prior to December 16, 2022,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15% per annum if the IPO or SPAC transaction occurs between December 16, 2022 and June 16, 2023.</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Upon the issuance of the notes, the amount pre-funded by each participating investor reduces their remaining respective commitment in the PIPE.</w:t>
      </w:r>
    </w:p>
    <w:p>
      <w:pPr>
        <w:spacing w:after="0" w:line="188" w:lineRule="exact"/>
        <w:rPr>
          <w:sz w:val="20"/>
          <w:szCs w:val="20"/>
          <w:color w:val="auto"/>
        </w:rPr>
      </w:pPr>
    </w:p>
    <w:p>
      <w:pPr>
        <w:ind w:right="20" w:firstLine="468"/>
        <w:spacing w:after="0" w:line="238" w:lineRule="auto"/>
        <w:rPr>
          <w:sz w:val="20"/>
          <w:szCs w:val="20"/>
          <w:color w:val="auto"/>
        </w:rPr>
      </w:pPr>
      <w:r>
        <w:rPr>
          <w:rFonts w:ascii="Times New Roman" w:cs="Times New Roman" w:eastAsia="Times New Roman" w:hAnsi="Times New Roman"/>
          <w:sz w:val="16"/>
          <w:szCs w:val="16"/>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 has not incurred any significant debt issuance costs and has expensed them as incurred.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May 23, 2023, the Company executed a further amendment to the secured convertible loan notes.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amendments are as follows:</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An additional $15,625,000 commitment has been added to the principal amount of the notes, split between a</w:t>
      </w:r>
    </w:p>
    <w:p>
      <w:pPr>
        <w:spacing w:after="0" w:line="92" w:lineRule="exact"/>
        <w:rPr>
          <w:sz w:val="20"/>
          <w:szCs w:val="20"/>
          <w:color w:val="auto"/>
        </w:rPr>
      </w:pPr>
    </w:p>
    <w:p>
      <w:pPr>
        <w:ind w:left="480" w:right="60"/>
        <w:spacing w:after="0" w:line="262"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Conversion of accrued interest of $3,000,000 into loan principal. Additionally $1.5m of Loans for no value , plus $1,040,989 of interest foregone giving total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$4,041,989 of total interest capitalized.</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$1,250,000 of loan principal previously advanced in February 2023</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$125,000 of loan principal advanced by a director and related party in February 2023</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An additional $2,750,000 of loan notes to be advanced,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$8,500,000 in notes upon completion of the Demerger, for which no monetary consideration will be received by the Company</w:t>
      </w:r>
    </w:p>
    <w:p>
      <w:pPr>
        <w:spacing w:after="0" w:line="92" w:lineRule="exact"/>
        <w:rPr>
          <w:sz w:val="20"/>
          <w:szCs w:val="20"/>
          <w:color w:val="auto"/>
        </w:rPr>
      </w:pPr>
    </w:p>
    <w:p>
      <w:pPr>
        <w:ind w:left="480"/>
        <w:spacing w:after="0" w:line="262"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The maturity date was extended to three years from the date of an IPO or Business Combination, or December 31, 2024 if an IPO or Business Combination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publicly listed company has not yet occurred by December 31, 2024.</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The interest rate was reduced to 7.5% per annum from the date that the amendment was executed.</w:t>
      </w:r>
    </w:p>
    <w:p>
      <w:pPr>
        <w:spacing w:after="0" w:line="92" w:lineRule="exact"/>
        <w:rPr>
          <w:sz w:val="20"/>
          <w:szCs w:val="20"/>
          <w:color w:val="auto"/>
        </w:rPr>
      </w:pPr>
    </w:p>
    <w:p>
      <w:pPr>
        <w:ind w:left="480" w:right="560"/>
        <w:spacing w:after="0" w:line="262"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Conversion into ordinary shares of the Company is at the option of the investor from any date of an IPO or Business Combination with a publicly listed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w:t>
      </w:r>
    </w:p>
    <w:p>
      <w:pPr>
        <w:spacing w:after="0" w:line="54" w:lineRule="exact"/>
        <w:rPr>
          <w:sz w:val="20"/>
          <w:szCs w:val="20"/>
          <w:color w:val="auto"/>
        </w:rPr>
      </w:pPr>
    </w:p>
    <w:p>
      <w:pPr>
        <w:jc w:val="both"/>
        <w:ind w:left="480" w:right="220"/>
        <w:spacing w:after="0" w:line="248"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The conversion price has been amended to seventy percent of the lesser of 1) the price per share implied in connection with an IPO or Business Combination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66" w:lineRule="exact"/>
        <w:rPr>
          <w:sz w:val="20"/>
          <w:szCs w:val="20"/>
          <w:color w:val="auto"/>
        </w:rPr>
      </w:pPr>
    </w:p>
    <w:p>
      <w:pPr>
        <w:ind w:left="480" w:right="20"/>
        <w:spacing w:after="0" w:line="239"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Under the May 23, 2023 amendment terms of the secured convertible notes, Rezolve has given certain covenants to the noteholders which remain in force while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72" w:lineRule="exact"/>
        <w:rPr>
          <w:sz w:val="20"/>
          <w:szCs w:val="20"/>
          <w:color w:val="auto"/>
        </w:rPr>
      </w:pPr>
    </w:p>
    <w:p>
      <w:pPr>
        <w:ind w:right="280" w:firstLine="468"/>
        <w:spacing w:after="0" w:line="243" w:lineRule="auto"/>
        <w:rPr>
          <w:sz w:val="20"/>
          <w:szCs w:val="20"/>
          <w:color w:val="auto"/>
        </w:rPr>
      </w:pPr>
      <w:r>
        <w:rPr>
          <w:rFonts w:ascii="Times New Roman" w:cs="Times New Roman" w:eastAsia="Times New Roman" w:hAnsi="Times New Roman"/>
          <w:sz w:val="16"/>
          <w:szCs w:val="16"/>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Upon execution of the amendment the secured convertible notes are then referred to as “the senior secured convertible notes”.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execution of the senior secured convertible note has been accounted for as a troubled debt restructuring since May 23, 2023. No gain has been recognized.</w:t>
      </w:r>
    </w:p>
    <w:p>
      <w:pPr>
        <w:spacing w:after="0" w:line="211" w:lineRule="exact"/>
        <w:rPr>
          <w:sz w:val="20"/>
          <w:szCs w:val="20"/>
          <w:color w:val="auto"/>
        </w:rPr>
      </w:pPr>
    </w:p>
    <w:p>
      <w:pPr>
        <w:ind w:right="160" w:firstLine="468"/>
        <w:spacing w:after="0" w:line="289" w:lineRule="auto"/>
        <w:rPr>
          <w:sz w:val="20"/>
          <w:szCs w:val="20"/>
          <w:color w:val="auto"/>
        </w:rPr>
      </w:pPr>
      <w:r>
        <w:rPr>
          <w:rFonts w:ascii="Times New Roman" w:cs="Times New Roman" w:eastAsia="Times New Roman" w:hAnsi="Times New Roman"/>
          <w:sz w:val="14"/>
          <w:szCs w:val="14"/>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December 5, 2024, pursuant to the terms of the Loan Note Instrument, one of the holders of the Senior Secured Convertible Notes converted all of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$8,000,000 outstanding Convertible Notes at a conversion price of $7 per ordinary share. The Company recognized a gain on extinguishment of $1,306,077, equal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book value of the debt less the fair value of the ordinary shares issued on conversion.</w:t>
      </w:r>
    </w:p>
    <w:p>
      <w:pPr>
        <w:spacing w:after="0" w:line="170"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to amend the Loan Note Instrument (the “</w:t>
      </w:r>
      <w:r>
        <w:rPr>
          <w:rFonts w:ascii="Times New Roman" w:cs="Times New Roman" w:eastAsia="Times New Roman" w:hAnsi="Times New Roman"/>
          <w:sz w:val="16"/>
          <w:szCs w:val="16"/>
          <w:b w:val="1"/>
          <w:bCs w:val="1"/>
          <w:i w:val="1"/>
          <w:iCs w:val="1"/>
          <w:color w:val="auto"/>
        </w:rPr>
        <w:t>Amendment</w:t>
      </w:r>
      <w:r>
        <w:rPr>
          <w:rFonts w:ascii="Times New Roman" w:cs="Times New Roman" w:eastAsia="Times New Roman" w:hAnsi="Times New Roman"/>
          <w:sz w:val="16"/>
          <w:szCs w:val="16"/>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67"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On January 15, 2025 and February 13, 2025, respectively, a further 3,009,849 and 7,987,374 ordinary shares were issued to settle $20,756,439 and $925,510 of principle and interest. Debt conversion expense of $20,554,446 was recognized within "Loss on extinguishment" in the Company's Condensed Interim Combined Consolidated Statement of Operations in the six months ended June 30, 2025.</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carrying amount of the convertible debt under troubled debt restructuring was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Convertible debt</w:t>
            </w:r>
          </w:p>
        </w:tc>
        <w:tc>
          <w:tcPr>
            <w:tcW w:w="27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Convertible debt under troubled debt restructuring</w:t>
            </w:r>
          </w:p>
        </w:tc>
        <w:tc>
          <w:tcPr>
            <w:tcW w:w="2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130,000</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12,103,565</w:t>
            </w:r>
          </w:p>
        </w:tc>
        <w:tc>
          <w:tcPr>
            <w:tcW w:w="80" w:type="dxa"/>
            <w:vAlign w:val="bottom"/>
          </w:tcPr>
          <w:p>
            <w:pPr>
              <w:spacing w:after="0"/>
              <w:rPr>
                <w:sz w:val="15"/>
                <w:szCs w:val="15"/>
                <w:color w:val="auto"/>
              </w:rPr>
            </w:pP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Accrued interest on debt under troubled debt restructuring</w:t>
            </w:r>
          </w:p>
        </w:tc>
        <w:tc>
          <w:tcPr>
            <w:tcW w:w="270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54,585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7,176,741</w:t>
            </w:r>
          </w:p>
        </w:tc>
        <w:tc>
          <w:tcPr>
            <w:tcW w:w="80" w:type="dxa"/>
            <w:vAlign w:val="bottom"/>
            <w:shd w:val="clear" w:color="auto" w:fill="CFF0FC"/>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Discount on convertible debt under troubled debt restructuring</w:t>
            </w:r>
          </w:p>
        </w:tc>
        <w:tc>
          <w:tcPr>
            <w:tcW w:w="2700" w:type="dxa"/>
            <w:vAlign w:val="bottom"/>
          </w:tcPr>
          <w:p>
            <w:pPr>
              <w:spacing w:after="0"/>
              <w:rPr>
                <w:sz w:val="15"/>
                <w:szCs w:val="15"/>
                <w:color w:val="auto"/>
              </w:rPr>
            </w:pP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(72,747)</w:t>
            </w:r>
          </w:p>
        </w:tc>
        <w:tc>
          <w:tcPr>
            <w:tcW w:w="160" w:type="dxa"/>
            <w:vAlign w:val="bottom"/>
          </w:tcPr>
          <w:p>
            <w:pPr>
              <w:spacing w:after="0"/>
              <w:rPr>
                <w:sz w:val="15"/>
                <w:szCs w:val="15"/>
                <w:color w:val="auto"/>
              </w:rPr>
            </w:pPr>
          </w:p>
        </w:tc>
        <w:tc>
          <w:tcPr>
            <w:tcW w:w="15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(7,401,611)</w:t>
            </w: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Debt issuance costs on debt under troubled debt restructuring</w:t>
            </w:r>
          </w:p>
        </w:tc>
        <w:tc>
          <w:tcPr>
            <w:tcW w:w="27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(1,590,572)</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convertible debt</w:t>
            </w:r>
          </w:p>
        </w:tc>
        <w:tc>
          <w:tcPr>
            <w:tcW w:w="2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111,837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10,288,123</w:t>
            </w:r>
          </w:p>
        </w:tc>
        <w:tc>
          <w:tcPr>
            <w:tcW w:w="80" w:type="dxa"/>
            <w:vAlign w:val="bottom"/>
          </w:tcPr>
          <w:p>
            <w:pPr>
              <w:spacing w:after="0"/>
              <w:rPr>
                <w:sz w:val="15"/>
                <w:szCs w:val="15"/>
                <w:color w:val="auto"/>
              </w:rPr>
            </w:pP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Short term convertible debt to related party</w:t>
            </w:r>
          </w:p>
        </w:tc>
        <w:tc>
          <w:tcPr>
            <w:tcW w:w="27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125,000</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interest on convertible debt to related party</w:t>
            </w:r>
          </w:p>
        </w:tc>
        <w:tc>
          <w:tcPr>
            <w:tcW w:w="270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17,221</w:t>
            </w:r>
          </w:p>
        </w:tc>
        <w:tc>
          <w:tcPr>
            <w:tcW w:w="80" w:type="dxa"/>
            <w:vAlign w:val="bottom"/>
          </w:tcPr>
          <w:p>
            <w:pPr>
              <w:spacing w:after="0"/>
              <w:rPr>
                <w:sz w:val="15"/>
                <w:szCs w:val="15"/>
                <w:color w:val="auto"/>
              </w:rPr>
            </w:pP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Discount on convertible debt to related party</w:t>
            </w:r>
          </w:p>
        </w:tc>
        <w:tc>
          <w:tcPr>
            <w:tcW w:w="27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(39,352)</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(46,912)</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short term convertible debt to related party</w:t>
            </w:r>
          </w:p>
        </w:tc>
        <w:tc>
          <w:tcPr>
            <w:tcW w:w="2700" w:type="dxa"/>
            <w:vAlign w:val="bottom"/>
          </w:tcPr>
          <w:p>
            <w:pPr>
              <w:spacing w:after="0"/>
              <w:rPr>
                <w:sz w:val="15"/>
                <w:szCs w:val="15"/>
                <w:color w:val="auto"/>
              </w:rPr>
            </w:pPr>
          </w:p>
        </w:tc>
        <w:tc>
          <w:tcPr>
            <w:tcW w:w="16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108,047</w:t>
            </w:r>
          </w:p>
        </w:tc>
        <w:tc>
          <w:tcPr>
            <w:tcW w:w="16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95,309</w:t>
            </w:r>
          </w:p>
        </w:tc>
        <w:tc>
          <w:tcPr>
            <w:tcW w:w="80" w:type="dxa"/>
            <w:vAlign w:val="bottom"/>
          </w:tcPr>
          <w:p>
            <w:pPr>
              <w:spacing w:after="0"/>
              <w:rPr>
                <w:sz w:val="15"/>
                <w:szCs w:val="15"/>
                <w:color w:val="auto"/>
              </w:rPr>
            </w:pPr>
          </w:p>
        </w:tc>
      </w:tr>
      <w:tr>
        <w:trPr>
          <w:trHeight w:val="220"/>
        </w:trPr>
        <w:tc>
          <w:tcPr>
            <w:tcW w:w="45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convertible debt under troubled debt restructuring</w:t>
            </w:r>
          </w:p>
        </w:tc>
        <w:tc>
          <w:tcPr>
            <w:tcW w:w="27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219,884</w:t>
            </w:r>
          </w:p>
        </w:tc>
        <w:tc>
          <w:tcPr>
            <w:tcW w:w="1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10,383,432</w:t>
            </w:r>
          </w:p>
        </w:tc>
        <w:tc>
          <w:tcPr>
            <w:tcW w:w="80" w:type="dxa"/>
            <w:vAlign w:val="bottom"/>
            <w:shd w:val="clear" w:color="auto" w:fill="CFF0FC"/>
          </w:tcPr>
          <w:p>
            <w:pPr>
              <w:spacing w:after="0"/>
              <w:rPr>
                <w:sz w:val="19"/>
                <w:szCs w:val="19"/>
                <w:color w:val="auto"/>
              </w:rPr>
            </w:pPr>
          </w:p>
        </w:tc>
      </w:tr>
      <w:tr>
        <w:trPr>
          <w:trHeight w:val="538"/>
        </w:trPr>
        <w:tc>
          <w:tcPr>
            <w:tcW w:w="452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jc w:val="right"/>
              <w:ind w:right="1702"/>
              <w:spacing w:after="0"/>
              <w:rPr>
                <w:sz w:val="20"/>
                <w:szCs w:val="20"/>
                <w:color w:val="auto"/>
              </w:rPr>
            </w:pPr>
            <w:r>
              <w:rPr>
                <w:rFonts w:ascii="Times New Roman" w:cs="Times New Roman" w:eastAsia="Times New Roman" w:hAnsi="Times New Roman"/>
                <w:sz w:val="16"/>
                <w:szCs w:val="16"/>
                <w:color w:val="auto"/>
              </w:rPr>
              <w:t>F-30</w:t>
            </w:r>
          </w:p>
        </w:tc>
        <w:tc>
          <w:tcPr>
            <w:tcW w:w="1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674"/>
        </w:trPr>
        <w:tc>
          <w:tcPr>
            <w:tcW w:w="4520" w:type="dxa"/>
            <w:vAlign w:val="bottom"/>
            <w:tcBorders>
              <w:bottom w:val="single" w:sz="8" w:color="EEEEEE"/>
            </w:tcBorders>
          </w:tcPr>
          <w:p>
            <w:pPr>
              <w:spacing w:after="0"/>
              <w:rPr>
                <w:sz w:val="24"/>
                <w:szCs w:val="24"/>
                <w:color w:val="auto"/>
              </w:rPr>
            </w:pPr>
          </w:p>
        </w:tc>
        <w:tc>
          <w:tcPr>
            <w:tcW w:w="270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2"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8.5 </w:t>
      </w:r>
      <w:r>
        <w:rPr>
          <w:rFonts w:ascii="Times New Roman" w:cs="Times New Roman" w:eastAsia="Times New Roman" w:hAnsi="Times New Roman"/>
          <w:sz w:val="16"/>
          <w:szCs w:val="16"/>
          <w:color w:val="auto"/>
        </w:rPr>
        <w:t>Short term convertible debt to a related party of $108,047, included in the Company’s senior secured convertible note includes $125,000 of convertible debt,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$22,399 of accrued interest and a debt discount of $39,352.</w:t>
      </w:r>
    </w:p>
    <w:p>
      <w:pPr>
        <w:spacing w:after="0" w:line="15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8.6 </w:t>
      </w:r>
      <w:r>
        <w:rPr>
          <w:rFonts w:ascii="Times New Roman" w:cs="Times New Roman" w:eastAsia="Times New Roman" w:hAnsi="Times New Roman"/>
          <w:sz w:val="14"/>
          <w:szCs w:val="14"/>
          <w:color w:val="auto"/>
        </w:rPr>
        <w:t>On October 7, 2021, the Group acquired Jaymax International Service Inc. (“Jaymax”) (later renamed to “Rezolve Taiwan Limited”). As part of the acquisition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 -compete agreement. The share-based payment liability is to be settled by a fixed dollar amount of shares and therefore represents a liability in accordance with ASC 480. At December 31, 2024 and June 30, 2025 the liability is equal its present value of $1,400,000 as the term of the non-compete agreement ended on October 7, 2024. The Company has yet to settle it in ordinary shares as at June 30,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8.7 </w:t>
      </w:r>
      <w:r>
        <w:rPr>
          <w:rFonts w:ascii="Times New Roman" w:cs="Times New Roman" w:eastAsia="Times New Roman" w:hAnsi="Times New Roman"/>
          <w:sz w:val="16"/>
          <w:szCs w:val="16"/>
          <w:color w:val="auto"/>
        </w:rPr>
        <w:t>Convertible Promissory notes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Convertible promissory notes</w:t>
            </w:r>
          </w:p>
        </w:tc>
        <w:tc>
          <w:tcPr>
            <w:tcW w:w="27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YA notes</w:t>
            </w:r>
          </w:p>
        </w:tc>
        <w:tc>
          <w:tcPr>
            <w:tcW w:w="2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2,250,245</w:t>
            </w:r>
          </w:p>
        </w:tc>
        <w:tc>
          <w:tcPr>
            <w:tcW w:w="80" w:type="dxa"/>
            <w:vAlign w:val="bottom"/>
          </w:tcPr>
          <w:p>
            <w:pPr>
              <w:spacing w:after="0"/>
              <w:rPr>
                <w:sz w:val="15"/>
                <w:szCs w:val="15"/>
                <w:color w:val="auto"/>
              </w:rPr>
            </w:pP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Convertible promissory notes</w:t>
            </w:r>
          </w:p>
        </w:tc>
        <w:tc>
          <w:tcPr>
            <w:tcW w:w="2700" w:type="dxa"/>
            <w:vAlign w:val="bottom"/>
            <w:shd w:val="clear" w:color="auto" w:fill="CFF0FC"/>
          </w:tcPr>
          <w:p>
            <w:pPr>
              <w:spacing w:after="0"/>
              <w:rPr>
                <w:sz w:val="15"/>
                <w:szCs w:val="15"/>
                <w:color w:val="auto"/>
              </w:rPr>
            </w:pPr>
          </w:p>
        </w:tc>
        <w:tc>
          <w:tcPr>
            <w:tcW w:w="15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538,524</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1,146,966</w:t>
            </w:r>
          </w:p>
        </w:tc>
        <w:tc>
          <w:tcPr>
            <w:tcW w:w="80" w:type="dxa"/>
            <w:vAlign w:val="bottom"/>
            <w:shd w:val="clear" w:color="auto" w:fill="CFF0FC"/>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Promissory note from sponsor</w:t>
            </w:r>
          </w:p>
        </w:tc>
        <w:tc>
          <w:tcPr>
            <w:tcW w:w="270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3,031,614</w:t>
            </w:r>
          </w:p>
        </w:tc>
        <w:tc>
          <w:tcPr>
            <w:tcW w:w="80" w:type="dxa"/>
            <w:vAlign w:val="bottom"/>
          </w:tcPr>
          <w:p>
            <w:pPr>
              <w:spacing w:after="0"/>
              <w:rPr>
                <w:sz w:val="15"/>
                <w:szCs w:val="15"/>
                <w:color w:val="auto"/>
              </w:rPr>
            </w:pPr>
          </w:p>
        </w:tc>
      </w:tr>
      <w:tr>
        <w:trPr>
          <w:trHeight w:val="200"/>
        </w:trPr>
        <w:tc>
          <w:tcPr>
            <w:tcW w:w="45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538,524</w:t>
            </w:r>
          </w:p>
        </w:tc>
        <w:tc>
          <w:tcPr>
            <w:tcW w:w="1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6,428,825</w:t>
            </w:r>
          </w:p>
        </w:tc>
        <w:tc>
          <w:tcPr>
            <w:tcW w:w="80" w:type="dxa"/>
            <w:vAlign w:val="bottom"/>
            <w:shd w:val="clear" w:color="auto" w:fill="CFF0FC"/>
          </w:tcPr>
          <w:p>
            <w:pPr>
              <w:spacing w:after="0"/>
              <w:rPr>
                <w:sz w:val="17"/>
                <w:szCs w:val="17"/>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Yorkville Standby Equity Purchase Agreement (“SEPA”)</w:t>
      </w:r>
    </w:p>
    <w:p>
      <w:pPr>
        <w:spacing w:after="0" w:line="190" w:lineRule="exact"/>
        <w:rPr>
          <w:sz w:val="20"/>
          <w:szCs w:val="20"/>
          <w:color w:val="auto"/>
        </w:rPr>
      </w:pPr>
    </w:p>
    <w:p>
      <w:pPr>
        <w:jc w:val="both"/>
        <w:ind w:right="40" w:firstLine="468"/>
        <w:spacing w:after="0" w:line="247" w:lineRule="auto"/>
        <w:rPr>
          <w:sz w:val="20"/>
          <w:szCs w:val="20"/>
          <w:color w:val="auto"/>
        </w:rPr>
      </w:pPr>
      <w:r>
        <w:rPr>
          <w:rFonts w:ascii="Times New Roman" w:cs="Times New Roman" w:eastAsia="Times New Roman" w:hAnsi="Times New Roman"/>
          <w:sz w:val="16"/>
          <w:szCs w:val="16"/>
          <w:color w:val="auto"/>
        </w:rPr>
        <w:t>On February 2, 2024, the Company obtained an unsecured loan of $2,000,000 from YA II PN, LTD (“Yorkville” or “YA”) with principal amount of $ 2,500,000. The Yorkville Note was issued at a 20% discount to the principal amount, and has a maturity date falling 6 months from the date of issue (unless extended by Yorkville) subject to acceleration upon the occurrence of an event of default.</w:t>
      </w:r>
    </w:p>
    <w:p>
      <w:pPr>
        <w:spacing w:after="0" w:line="164" w:lineRule="exact"/>
        <w:rPr>
          <w:sz w:val="20"/>
          <w:szCs w:val="20"/>
          <w:color w:val="auto"/>
        </w:rPr>
      </w:pPr>
    </w:p>
    <w:p>
      <w:pPr>
        <w:ind w:right="20" w:firstLine="468"/>
        <w:spacing w:after="0" w:line="247" w:lineRule="auto"/>
        <w:rPr>
          <w:sz w:val="20"/>
          <w:szCs w:val="20"/>
          <w:color w:val="auto"/>
        </w:rPr>
      </w:pPr>
      <w:r>
        <w:rPr>
          <w:rFonts w:ascii="Times New Roman" w:cs="Times New Roman" w:eastAsia="Times New Roman" w:hAnsi="Times New Roman"/>
          <w:sz w:val="16"/>
          <w:szCs w:val="16"/>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64"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The Yorkville Note is convertible into ordinary shares in Rezolve AI plc upon public listing (or if an event of default occurs or the note reaches maturity) . Conversion is at the option of the noteholder at a conversion price calculated by reference to the lower of (i) a fixed price of $10 per share or (ii) a variable price based on 90% of the lowest daily volume weighted average ("VWAP") during 10 consecutive trading days immediately prior to conversion provided that such variable price shall not be lower than the floor price of $2 per share.</w:t>
      </w:r>
    </w:p>
    <w:p>
      <w:pPr>
        <w:spacing w:after="0" w:line="167" w:lineRule="exact"/>
        <w:rPr>
          <w:sz w:val="20"/>
          <w:szCs w:val="20"/>
          <w:color w:val="auto"/>
        </w:rPr>
      </w:pPr>
    </w:p>
    <w:p>
      <w:pPr>
        <w:ind w:right="300" w:firstLine="468"/>
        <w:spacing w:after="0" w:line="281" w:lineRule="auto"/>
        <w:rPr>
          <w:sz w:val="20"/>
          <w:szCs w:val="20"/>
          <w:color w:val="auto"/>
        </w:rPr>
      </w:pPr>
      <w:r>
        <w:rPr>
          <w:rFonts w:ascii="Times New Roman" w:cs="Times New Roman" w:eastAsia="Times New Roman" w:hAnsi="Times New Roman"/>
          <w:sz w:val="14"/>
          <w:szCs w:val="14"/>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w:t>
      </w:r>
    </w:p>
    <w:p>
      <w:pPr>
        <w:spacing w:after="0" w:line="1"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6"/>
          <w:szCs w:val="16"/>
          <w:color w:val="auto"/>
        </w:rPr>
        <w:t>10.0% per annum from the date the agreement was executed. Interest increases to 18% upon the occurrence of an event of default. The Other Promissory notes have a maturity date six months from issue.</w:t>
      </w:r>
    </w:p>
    <w:p>
      <w:pPr>
        <w:spacing w:after="0" w:line="169" w:lineRule="exact"/>
        <w:rPr>
          <w:sz w:val="20"/>
          <w:szCs w:val="20"/>
          <w:color w:val="auto"/>
        </w:rPr>
      </w:pPr>
    </w:p>
    <w:p>
      <w:pPr>
        <w:ind w:right="180" w:firstLine="468"/>
        <w:spacing w:after="0" w:line="243" w:lineRule="auto"/>
        <w:rPr>
          <w:sz w:val="20"/>
          <w:szCs w:val="20"/>
          <w:color w:val="auto"/>
        </w:rPr>
      </w:pPr>
      <w:r>
        <w:rPr>
          <w:rFonts w:ascii="Times New Roman" w:cs="Times New Roman" w:eastAsia="Times New Roman" w:hAnsi="Times New Roman"/>
          <w:sz w:val="16"/>
          <w:szCs w:val="16"/>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67"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4" w:name="page35"/>
    <w:bookmarkEnd w:id="3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 -1 registration statement. The Second A&amp;R YA Agreement superseded the YA Agreement. The maturity date of the Yorkville Note and the Other Promissory Notes were extended to September 11th, 2025.</w:t>
      </w:r>
    </w:p>
    <w:p>
      <w:pPr>
        <w:spacing w:after="0" w:line="169" w:lineRule="exact"/>
        <w:rPr>
          <w:sz w:val="20"/>
          <w:szCs w:val="20"/>
          <w:color w:val="auto"/>
        </w:rPr>
      </w:pPr>
    </w:p>
    <w:p>
      <w:pPr>
        <w:ind w:right="100" w:firstLine="468"/>
        <w:spacing w:after="0" w:line="239" w:lineRule="auto"/>
        <w:rPr>
          <w:sz w:val="20"/>
          <w:szCs w:val="20"/>
          <w:color w:val="auto"/>
        </w:rPr>
      </w:pPr>
      <w:r>
        <w:rPr>
          <w:rFonts w:ascii="Times New Roman" w:cs="Times New Roman" w:eastAsia="Times New Roman" w:hAnsi="Times New Roman"/>
          <w:sz w:val="16"/>
          <w:szCs w:val="16"/>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6"/>
          <w:szCs w:val="16"/>
          <w:b w:val="1"/>
          <w:bCs w:val="1"/>
          <w:i w:val="1"/>
          <w:iCs w:val="1"/>
          <w:color w:val="auto"/>
        </w:rPr>
        <w:t>Third YA Note</w:t>
      </w:r>
      <w:r>
        <w:rPr>
          <w:rFonts w:ascii="Times New Roman" w:cs="Times New Roman" w:eastAsia="Times New Roman" w:hAnsi="Times New Roman"/>
          <w:sz w:val="16"/>
          <w:szCs w:val="16"/>
          <w:color w:val="auto"/>
        </w:rPr>
        <w:t xml:space="preserve">”, and together with the </w:t>
      </w:r>
      <w:r>
        <w:rPr>
          <w:rFonts w:ascii="Times New Roman" w:cs="Times New Roman" w:eastAsia="Times New Roman" w:hAnsi="Times New Roman"/>
          <w:sz w:val="16"/>
          <w:szCs w:val="16"/>
          <w:b w:val="1"/>
          <w:bCs w:val="1"/>
          <w:i w:val="1"/>
          <w:iCs w:val="1"/>
          <w:color w:val="auto"/>
        </w:rPr>
        <w:t>First YA Note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Second YA Note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YA Notes</w:t>
      </w:r>
      <w:r>
        <w:rPr>
          <w:rFonts w:ascii="Times New Roman" w:cs="Times New Roman" w:eastAsia="Times New Roman" w:hAnsi="Times New Roman"/>
          <w:sz w:val="16"/>
          <w:szCs w:val="16"/>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December 2024, the Company received the Noteholder's request to convert of all of the principal and interest outstanding under the YA Notes. In connection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therewith, the Company issued an aggregate of 4,310,208 Ordinary Shares (including in payment of a fee to YA) in December 2024. As of December 31, 2024,</w:t>
      </w:r>
    </w:p>
    <w:p>
      <w:pPr>
        <w:spacing w:after="0"/>
        <w:rPr>
          <w:sz w:val="20"/>
          <w:szCs w:val="20"/>
          <w:color w:val="auto"/>
        </w:rPr>
      </w:pPr>
      <w:r>
        <w:rPr>
          <w:rFonts w:ascii="Times New Roman" w:cs="Times New Roman" w:eastAsia="Times New Roman" w:hAnsi="Times New Roman"/>
          <w:sz w:val="14"/>
          <w:szCs w:val="14"/>
          <w:color w:val="auto"/>
        </w:rPr>
        <w:t>$2,705,929 in principal and interest was outstanding, which was subsequently settled in 1,413,946 Ordinary Shares on February 5, 2025, and no further amounts remain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 loss on extinguishment of $1,496,889 was recognized in the Company's Condensed Interim Combined Consolidated Statements of Operations for the six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months ended June 30, 2025.</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Promissory notes</w:t>
      </w:r>
    </w:p>
    <w:p>
      <w:pPr>
        <w:spacing w:after="0" w:line="94" w:lineRule="exact"/>
        <w:rPr>
          <w:sz w:val="20"/>
          <w:szCs w:val="20"/>
          <w:color w:val="auto"/>
        </w:rPr>
      </w:pPr>
    </w:p>
    <w:p>
      <w:pPr>
        <w:ind w:right="420" w:firstLine="468"/>
        <w:spacing w:after="0" w:line="247" w:lineRule="auto"/>
        <w:rPr>
          <w:sz w:val="20"/>
          <w:szCs w:val="20"/>
          <w:color w:val="auto"/>
        </w:rPr>
      </w:pPr>
      <w:r>
        <w:rPr>
          <w:rFonts w:ascii="Times New Roman" w:cs="Times New Roman" w:eastAsia="Times New Roman" w:hAnsi="Times New Roman"/>
          <w:sz w:val="16"/>
          <w:szCs w:val="16"/>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Promissory Notes were issued during the course of February, 2024, pursuant to the terms of the Promissory Note Instruments.</w:t>
      </w:r>
    </w:p>
    <w:p>
      <w:pPr>
        <w:spacing w:after="0" w:line="92" w:lineRule="exact"/>
        <w:rPr>
          <w:sz w:val="20"/>
          <w:szCs w:val="20"/>
          <w:color w:val="auto"/>
        </w:rPr>
      </w:pPr>
    </w:p>
    <w:p>
      <w:pPr>
        <w:ind w:right="640" w:firstLine="468"/>
        <w:spacing w:after="0" w:line="259" w:lineRule="auto"/>
        <w:rPr>
          <w:sz w:val="20"/>
          <w:szCs w:val="20"/>
          <w:color w:val="auto"/>
        </w:rPr>
      </w:pPr>
      <w:r>
        <w:rPr>
          <w:rFonts w:ascii="Times New Roman" w:cs="Times New Roman" w:eastAsia="Times New Roman" w:hAnsi="Times New Roman"/>
          <w:sz w:val="16"/>
          <w:szCs w:val="16"/>
          <w:color w:val="auto"/>
        </w:rPr>
        <w:t>With effect from the completion of the Pre-Closing Demerger, the rights and obligations of Rezolve Limited under the Subscription Agreements and the Promissory Note Instruments were novated to Rezolve AI plc.</w:t>
      </w:r>
    </w:p>
    <w:p>
      <w:pPr>
        <w:spacing w:after="0" w:line="59"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1" w:lineRule="exact"/>
        <w:rPr>
          <w:sz w:val="20"/>
          <w:szCs w:val="20"/>
          <w:color w:val="auto"/>
        </w:rPr>
      </w:pPr>
    </w:p>
    <w:p>
      <w:pPr>
        <w:ind w:right="100" w:firstLine="468"/>
        <w:spacing w:after="0" w:line="243" w:lineRule="auto"/>
        <w:rPr>
          <w:sz w:val="20"/>
          <w:szCs w:val="20"/>
          <w:color w:val="auto"/>
        </w:rPr>
      </w:pPr>
      <w:r>
        <w:rPr>
          <w:rFonts w:ascii="Times New Roman" w:cs="Times New Roman" w:eastAsia="Times New Roman" w:hAnsi="Times New Roman"/>
          <w:sz w:val="16"/>
          <w:szCs w:val="16"/>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1" w:lineRule="exact"/>
        <w:rPr>
          <w:sz w:val="20"/>
          <w:szCs w:val="20"/>
          <w:color w:val="auto"/>
        </w:rPr>
      </w:pPr>
    </w:p>
    <w:p>
      <w:pPr>
        <w:ind w:right="160" w:firstLine="468"/>
        <w:spacing w:after="0" w:line="289" w:lineRule="auto"/>
        <w:rPr>
          <w:sz w:val="20"/>
          <w:szCs w:val="20"/>
          <w:color w:val="auto"/>
        </w:rPr>
      </w:pPr>
      <w:r>
        <w:rPr>
          <w:rFonts w:ascii="Times New Roman" w:cs="Times New Roman" w:eastAsia="Times New Roman" w:hAnsi="Times New Roman"/>
          <w:sz w:val="14"/>
          <w:szCs w:val="14"/>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41" w:lineRule="exact"/>
        <w:rPr>
          <w:sz w:val="20"/>
          <w:szCs w:val="20"/>
          <w:color w:val="auto"/>
        </w:rPr>
      </w:pPr>
    </w:p>
    <w:p>
      <w:pPr>
        <w:ind w:right="100" w:firstLine="468"/>
        <w:spacing w:after="0" w:line="241" w:lineRule="auto"/>
        <w:rPr>
          <w:sz w:val="20"/>
          <w:szCs w:val="20"/>
          <w:color w:val="auto"/>
        </w:rPr>
      </w:pPr>
      <w:r>
        <w:rPr>
          <w:rFonts w:ascii="Times New Roman" w:cs="Times New Roman" w:eastAsia="Times New Roman" w:hAnsi="Times New Roman"/>
          <w:sz w:val="16"/>
          <w:szCs w:val="16"/>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131" w:right="620"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77" w:lineRule="exact"/>
        <w:rPr>
          <w:sz w:val="20"/>
          <w:szCs w:val="20"/>
          <w:color w:val="auto"/>
        </w:rPr>
      </w:pPr>
    </w:p>
    <w:p>
      <w:pPr>
        <w:ind w:right="300" w:firstLine="468"/>
        <w:spacing w:after="0" w:line="247" w:lineRule="auto"/>
        <w:rPr>
          <w:sz w:val="20"/>
          <w:szCs w:val="20"/>
          <w:color w:val="auto"/>
        </w:rPr>
      </w:pPr>
      <w:r>
        <w:rPr>
          <w:rFonts w:ascii="Times New Roman" w:cs="Times New Roman" w:eastAsia="Times New Roman" w:hAnsi="Times New Roman"/>
          <w:sz w:val="16"/>
          <w:szCs w:val="16"/>
          <w:color w:val="auto"/>
        </w:rPr>
        <w:t>On December 30, 2024, the Company repaid $ 1,472,231 of principal and interest to noteholders and related persons. As at December 31, 2024, certain noteholders and related parties have agreed to convert an aggregate of $1,189,096 of principal and interest into 425,288 Ordinary Shares. The outstanding balance at June 30, 2025 is $538,524 (net of debt discount), which the Company intends to settle by conversion into Ordinary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Cohen &amp; Company Financial Management LLC</w:t>
      </w:r>
    </w:p>
    <w:p>
      <w:pPr>
        <w:spacing w:after="0" w:line="94" w:lineRule="exact"/>
        <w:rPr>
          <w:sz w:val="20"/>
          <w:szCs w:val="20"/>
          <w:color w:val="auto"/>
        </w:rPr>
      </w:pPr>
    </w:p>
    <w:p>
      <w:pPr>
        <w:ind w:right="40" w:firstLine="468"/>
        <w:spacing w:after="0" w:line="237" w:lineRule="auto"/>
        <w:rPr>
          <w:sz w:val="20"/>
          <w:szCs w:val="20"/>
          <w:color w:val="auto"/>
        </w:rPr>
      </w:pPr>
      <w:r>
        <w:rPr>
          <w:rFonts w:ascii="Times New Roman" w:cs="Times New Roman" w:eastAsia="Times New Roman" w:hAnsi="Times New Roman"/>
          <w:sz w:val="16"/>
          <w:szCs w:val="16"/>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1,257,632 ordinary shares, and no further amounts remain outstanding. A loss on extinguishment of $1,066,346 was recognized in the Company's Condensed Interim Combined Consolidated Statement of Operations in the six months ending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8.8 Advisors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issued the following promissory notes to financial advisors for fees payable contingent on the close of the Business Combination with Armada: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Northland Securities</w:t>
      </w:r>
    </w:p>
    <w:p>
      <w:pPr>
        <w:spacing w:after="0" w:line="94" w:lineRule="exact"/>
        <w:rPr>
          <w:sz w:val="20"/>
          <w:szCs w:val="20"/>
          <w:color w:val="auto"/>
        </w:rPr>
      </w:pPr>
    </w:p>
    <w:p>
      <w:pPr>
        <w:ind w:firstLine="468"/>
        <w:spacing w:after="0" w:line="236" w:lineRule="auto"/>
        <w:rPr>
          <w:sz w:val="20"/>
          <w:szCs w:val="20"/>
          <w:color w:val="auto"/>
        </w:rPr>
      </w:pPr>
      <w:r>
        <w:rPr>
          <w:rFonts w:ascii="Times New Roman" w:cs="Times New Roman" w:eastAsia="Times New Roman" w:hAnsi="Times New Roman"/>
          <w:sz w:val="16"/>
          <w:szCs w:val="16"/>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A gain of $1,011,950 was recognized within "Loss on extinguishment" in the Company's Interim Combined Consolidated combined Statement of Operations in the six months ending June 30, 2025. No further amounts remain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J.V.B. Financial Group</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amounts for advisors loans remain outstanding as June 30,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Advisors loans</w:t>
            </w:r>
          </w:p>
        </w:tc>
        <w:tc>
          <w:tcPr>
            <w:tcW w:w="29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Northland Securities</w:t>
            </w:r>
          </w:p>
        </w:tc>
        <w:tc>
          <w:tcPr>
            <w:tcW w:w="2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5,491,806</w:t>
            </w:r>
          </w:p>
        </w:tc>
        <w:tc>
          <w:tcPr>
            <w:tcW w:w="80" w:type="dxa"/>
            <w:vAlign w:val="bottom"/>
          </w:tcPr>
          <w:p>
            <w:pPr>
              <w:spacing w:after="0"/>
              <w:rPr>
                <w:sz w:val="15"/>
                <w:szCs w:val="15"/>
                <w:color w:val="auto"/>
              </w:rPr>
            </w:pP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J.V.B Financial Group</w:t>
            </w:r>
          </w:p>
        </w:tc>
        <w:tc>
          <w:tcPr>
            <w:tcW w:w="29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3,865,447</w:t>
            </w: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7,320,560</w:t>
            </w: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3,865,447</w:t>
            </w:r>
          </w:p>
        </w:tc>
        <w:tc>
          <w:tcPr>
            <w:tcW w:w="2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12,812,366</w:t>
            </w:r>
          </w:p>
        </w:tc>
        <w:tc>
          <w:tcPr>
            <w:tcW w:w="80" w:type="dxa"/>
            <w:vAlign w:val="bottom"/>
          </w:tcPr>
          <w:p>
            <w:pPr>
              <w:spacing w:after="0"/>
              <w:rPr>
                <w:sz w:val="15"/>
                <w:szCs w:val="15"/>
                <w:color w:val="auto"/>
              </w:rPr>
            </w:pPr>
          </w:p>
        </w:tc>
      </w:tr>
      <w:tr>
        <w:trPr>
          <w:trHeight w:val="20"/>
        </w:trPr>
        <w:tc>
          <w:tcPr>
            <w:tcW w:w="4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8.9 Other</w:t>
      </w:r>
    </w:p>
    <w:p>
      <w:pPr>
        <w:spacing w:after="0" w:line="94"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In connection with the closing of the GroupBy acquisition (Note 4), the Company entered into a subscription letter with Western Alliance Bank (“WAB”) pursuant to which the Company agreed to issue to WAB a number of Ordinary Shares which is equal to $12,300,000 in order to settle debt owed by Groupby to WAB. In consideration for the allotment of these Ordinary Shares, WAB irrevocably and unconditionally released and discharged the Company from the obligations owed by the Company to WAB.</w:t>
      </w:r>
    </w:p>
    <w:p>
      <w:pPr>
        <w:spacing w:after="0" w:line="95" w:lineRule="exact"/>
        <w:rPr>
          <w:sz w:val="20"/>
          <w:szCs w:val="20"/>
          <w:color w:val="auto"/>
        </w:rPr>
      </w:pPr>
    </w:p>
    <w:p>
      <w:pPr>
        <w:ind w:right="120" w:firstLine="696"/>
        <w:spacing w:after="0" w:line="331" w:lineRule="auto"/>
        <w:rPr>
          <w:sz w:val="20"/>
          <w:szCs w:val="20"/>
          <w:color w:val="auto"/>
        </w:rPr>
      </w:pPr>
      <w:r>
        <w:rPr>
          <w:rFonts w:ascii="Times New Roman" w:cs="Times New Roman" w:eastAsia="Times New Roman" w:hAnsi="Times New Roman"/>
          <w:sz w:val="14"/>
          <w:szCs w:val="14"/>
          <w:color w:val="auto"/>
        </w:rPr>
        <w:t>The Company issued 5,857,143 Ordinary shares to WAB to settle the debt. The debt was settled in June 2025 upon issuance of 5,857,143 Ordinary shares at $2.10 per share, and a loss on extinguishment of $4,392,858 was recognized in the Company's Condensed Interim Combined Consolidated Statement of Operations.</w:t>
      </w:r>
    </w:p>
    <w:p>
      <w:pPr>
        <w:spacing w:after="0" w:line="12"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In accordance with the terms of the subscription letter, WAB is to return any money received in excess of $12,300,000 from the subsequent sale of the 5,857,143 Ordinary shares. The receivable (financial asset) due from WAB involve returns that may vary in amount, such that the ultimate payout will depend on the price per Ordinary Share on the day that WAB sells all or part of the 5,857,143 Ordinary Shares. The Company elected to recognize this hybrid financial instrument at fair value with changes in fair value recognized currently in earnings, therefore no bifurcation of any embedded derivatives were required. As of June 30, 2025, the Company's market price per Ordinary share was $3.08, which resulted in a financial asset carried at fair value of $5,710,714 and a gain on revaluation of financial asset of $5,710,714 recognized in the Company's Interim Combined Consolidated combined Statement of Operations.</w:t>
      </w:r>
    </w:p>
    <w:p>
      <w:pPr>
        <w:spacing w:after="0" w:line="200" w:lineRule="exact"/>
        <w:rPr>
          <w:sz w:val="20"/>
          <w:szCs w:val="20"/>
          <w:color w:val="auto"/>
        </w:rPr>
      </w:pPr>
    </w:p>
    <w:p>
      <w:pPr>
        <w:spacing w:after="0" w:line="367" w:lineRule="exact"/>
        <w:rPr>
          <w:sz w:val="20"/>
          <w:szCs w:val="20"/>
          <w:color w:val="auto"/>
        </w:rPr>
      </w:pPr>
    </w:p>
    <w:p>
      <w:pPr>
        <w:ind w:left="280" w:hanging="274"/>
        <w:spacing w:after="0"/>
        <w:tabs>
          <w:tab w:leader="none" w:pos="2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Accrued expenses and other payables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related payables</w:t>
            </w:r>
          </w:p>
        </w:tc>
        <w:tc>
          <w:tcPr>
            <w:tcW w:w="2740" w:type="dxa"/>
            <w:vAlign w:val="bottom"/>
            <w:gridSpan w:val="2"/>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2,974,222</w:t>
            </w: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2,225,906</w:t>
            </w:r>
          </w:p>
        </w:tc>
        <w:tc>
          <w:tcPr>
            <w:tcW w:w="80" w:type="dxa"/>
            <w:vAlign w:val="bottom"/>
            <w:shd w:val="clear" w:color="auto" w:fill="CFF0FC"/>
          </w:tcPr>
          <w:p>
            <w:pPr>
              <w:spacing w:after="0"/>
              <w:rPr>
                <w:sz w:val="15"/>
                <w:szCs w:val="15"/>
                <w:color w:val="auto"/>
              </w:rPr>
            </w:pP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8,639,521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5,694,788</w:t>
            </w:r>
          </w:p>
        </w:tc>
        <w:tc>
          <w:tcPr>
            <w:tcW w:w="80" w:type="dxa"/>
            <w:vAlign w:val="bottom"/>
          </w:tcPr>
          <w:p>
            <w:pPr>
              <w:spacing w:after="0"/>
              <w:rPr>
                <w:sz w:val="15"/>
                <w:szCs w:val="15"/>
                <w:color w:val="auto"/>
              </w:rPr>
            </w:pP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VAT, duty and excise tax liability</w:t>
            </w:r>
          </w:p>
        </w:tc>
        <w:tc>
          <w:tcPr>
            <w:tcW w:w="2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1,433,547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1,557,733</w:t>
            </w:r>
          </w:p>
        </w:tc>
        <w:tc>
          <w:tcPr>
            <w:tcW w:w="80" w:type="dxa"/>
            <w:vAlign w:val="bottom"/>
            <w:shd w:val="clear" w:color="auto" w:fill="CFF0FC"/>
          </w:tcPr>
          <w:p>
            <w:pPr>
              <w:spacing w:after="0"/>
              <w:rPr>
                <w:sz w:val="15"/>
                <w:szCs w:val="15"/>
                <w:color w:val="auto"/>
              </w:rPr>
            </w:pP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2,632,808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35,505</w:t>
            </w:r>
          </w:p>
        </w:tc>
        <w:tc>
          <w:tcPr>
            <w:tcW w:w="80" w:type="dxa"/>
            <w:vAlign w:val="bottom"/>
          </w:tcPr>
          <w:p>
            <w:pPr>
              <w:spacing w:after="0"/>
              <w:rPr>
                <w:sz w:val="15"/>
                <w:szCs w:val="15"/>
                <w:color w:val="auto"/>
              </w:rPr>
            </w:pPr>
          </w:p>
        </w:tc>
      </w:tr>
      <w:tr>
        <w:trPr>
          <w:trHeight w:val="20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4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15,680,098</w:t>
            </w: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9,513,932</w:t>
            </w:r>
          </w:p>
        </w:tc>
        <w:tc>
          <w:tcPr>
            <w:tcW w:w="80" w:type="dxa"/>
            <w:vAlign w:val="bottom"/>
            <w:shd w:val="clear" w:color="auto" w:fill="CFF0FC"/>
          </w:tcPr>
          <w:p>
            <w:pPr>
              <w:spacing w:after="0"/>
              <w:rPr>
                <w:sz w:val="17"/>
                <w:szCs w:val="17"/>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Related party disclosures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60" w:type="dxa"/>
            <w:vAlign w:val="bottom"/>
          </w:tcPr>
          <w:p>
            <w:pPr>
              <w:jc w:val="center"/>
              <w:ind w:right="1827"/>
              <w:spacing w:after="0"/>
              <w:rPr>
                <w:sz w:val="20"/>
                <w:szCs w:val="20"/>
                <w:color w:val="auto"/>
              </w:rPr>
            </w:pPr>
            <w:r>
              <w:rPr>
                <w:rFonts w:ascii="Times New Roman" w:cs="Times New Roman" w:eastAsia="Times New Roman" w:hAnsi="Times New Roman"/>
                <w:sz w:val="16"/>
                <w:szCs w:val="16"/>
                <w:b w:val="1"/>
                <w:bCs w:val="1"/>
                <w:color w:val="auto"/>
                <w:w w:val="97"/>
              </w:rPr>
              <w:t>REZOLVE AI PLC AND SUBSIDIARIES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660" w:type="dxa"/>
            <w:vAlign w:val="bottom"/>
          </w:tcPr>
          <w:p>
            <w:pPr>
              <w:jc w:val="center"/>
              <w:ind w:right="1807"/>
              <w:spacing w:after="0" w:line="180" w:lineRule="exact"/>
              <w:rPr>
                <w:sz w:val="20"/>
                <w:szCs w:val="20"/>
                <w:color w:val="auto"/>
              </w:rPr>
            </w:pPr>
            <w:r>
              <w:rPr>
                <w:rFonts w:ascii="Times New Roman" w:cs="Times New Roman" w:eastAsia="Times New Roman" w:hAnsi="Times New Roman"/>
                <w:sz w:val="16"/>
                <w:szCs w:val="16"/>
                <w:b w:val="1"/>
                <w:bCs w:val="1"/>
                <w:color w:val="auto"/>
                <w:w w:val="97"/>
              </w:rPr>
              <w:t>Notes to Condensed Interim Combined Consolidated Financial Statements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660" w:type="dxa"/>
            <w:vAlign w:val="bottom"/>
          </w:tcPr>
          <w:p>
            <w:pPr>
              <w:jc w:val="center"/>
              <w:ind w:right="1807"/>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105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Key managerial personnel (KMP) and Members of their immediate families</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88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Daniel Wagner</w:t>
            </w:r>
          </w:p>
        </w:tc>
        <w:tc>
          <w:tcPr>
            <w:tcW w:w="86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Richard Burchill</w:t>
            </w:r>
          </w:p>
        </w:tc>
        <w:tc>
          <w:tcPr>
            <w:tcW w:w="86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Sauvik Banerjjee</w:t>
            </w:r>
          </w:p>
        </w:tc>
        <w:tc>
          <w:tcPr>
            <w:tcW w:w="86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14"/>
                <w:szCs w:val="14"/>
                <w:color w:val="auto"/>
              </w:rPr>
              <w:t>Global President and Chief Digital Officer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Salman Ahmad</w:t>
            </w:r>
          </w:p>
        </w:tc>
        <w:tc>
          <w:tcPr>
            <w:tcW w:w="86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Chief Technology Officer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Peter Vesco</w:t>
            </w:r>
          </w:p>
        </w:tc>
        <w:tc>
          <w:tcPr>
            <w:tcW w:w="86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14"/>
                <w:szCs w:val="14"/>
                <w:color w:val="auto"/>
              </w:rPr>
              <w:t>Chief Commercial Officer and General Manager (EMEA)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Arthur Yao</w:t>
            </w:r>
          </w:p>
        </w:tc>
        <w:tc>
          <w:tcPr>
            <w:tcW w:w="86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Deputy Chief Executive Officer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Anthony Sharp</w:t>
            </w:r>
          </w:p>
        </w:tc>
        <w:tc>
          <w:tcPr>
            <w:tcW w:w="86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14"/>
                <w:szCs w:val="14"/>
                <w:color w:val="auto"/>
              </w:rPr>
              <w:t>Non-Executive Director - Class II 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Sir David Wright</w:t>
            </w:r>
          </w:p>
        </w:tc>
        <w:tc>
          <w:tcPr>
            <w:tcW w:w="86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Non-Executive Director - Class II 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Steve Perry</w:t>
            </w:r>
          </w:p>
        </w:tc>
        <w:tc>
          <w:tcPr>
            <w:tcW w:w="86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14"/>
                <w:szCs w:val="14"/>
                <w:color w:val="auto"/>
              </w:rPr>
              <w:t>Non-Executive Director - Class II 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John Wagner</w:t>
            </w:r>
          </w:p>
        </w:tc>
        <w:tc>
          <w:tcPr>
            <w:tcW w:w="86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Former Non-Executive Director - Class II Director (deceased)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Derek Smith</w:t>
            </w:r>
          </w:p>
        </w:tc>
        <w:tc>
          <w:tcPr>
            <w:tcW w:w="8660" w:type="dxa"/>
            <w:vAlign w:val="bottom"/>
            <w:shd w:val="clear" w:color="auto" w:fill="CFF0FC"/>
          </w:tcPr>
          <w:p>
            <w:pPr>
              <w:ind w:left="2120"/>
              <w:spacing w:after="0"/>
              <w:rPr>
                <w:sz w:val="20"/>
                <w:szCs w:val="20"/>
                <w:color w:val="auto"/>
              </w:rPr>
            </w:pPr>
            <w:r>
              <w:rPr>
                <w:rFonts w:ascii="Times New Roman" w:cs="Times New Roman" w:eastAsia="Times New Roman" w:hAnsi="Times New Roman"/>
                <w:sz w:val="14"/>
                <w:szCs w:val="14"/>
                <w:color w:val="auto"/>
              </w:rPr>
              <w:t>Non-Executive Director - Class II Director</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Transactions with related parties during the period</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27" w:right="68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380" w:type="dxa"/>
            <w:vAlign w:val="bottom"/>
          </w:tcPr>
          <w:p>
            <w:pPr>
              <w:spacing w:after="0"/>
              <w:rPr>
                <w:sz w:val="12"/>
                <w:szCs w:val="12"/>
                <w:color w:val="auto"/>
              </w:rPr>
            </w:pPr>
          </w:p>
        </w:tc>
        <w:tc>
          <w:tcPr>
            <w:tcW w:w="15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380" w:type="dxa"/>
            <w:vAlign w:val="bottom"/>
          </w:tcPr>
          <w:p>
            <w:pPr>
              <w:spacing w:after="0"/>
              <w:rPr>
                <w:sz w:val="13"/>
                <w:szCs w:val="13"/>
                <w:color w:val="auto"/>
              </w:rPr>
            </w:pPr>
          </w:p>
        </w:tc>
        <w:tc>
          <w:tcPr>
            <w:tcW w:w="156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Share Capital issued at nominal value</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Peter Vesco</w:t>
            </w:r>
          </w:p>
        </w:tc>
        <w:tc>
          <w:tcPr>
            <w:tcW w:w="26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DBLP Sea Cow Ltd. (1)</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1,984</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Convertible promissory notes repaid</w:t>
            </w:r>
          </w:p>
        </w:tc>
        <w:tc>
          <w:tcPr>
            <w:tcW w:w="2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Estate of John Wagner</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2,915</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Anthony Sharp</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23,079</w:t>
            </w:r>
          </w:p>
        </w:tc>
        <w:tc>
          <w:tcPr>
            <w:tcW w:w="380" w:type="dxa"/>
            <w:vAlign w:val="bottom"/>
          </w:tcPr>
          <w:p>
            <w:pPr>
              <w:spacing w:after="0"/>
              <w:rPr>
                <w:sz w:val="12"/>
                <w:szCs w:val="12"/>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Loans Repaid</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Daniel Wagner</w:t>
            </w:r>
          </w:p>
        </w:tc>
        <w:tc>
          <w:tcPr>
            <w:tcW w:w="2660" w:type="dxa"/>
            <w:vAlign w:val="bottom"/>
          </w:tcPr>
          <w:p>
            <w:pPr>
              <w:spacing w:after="0"/>
              <w:rPr>
                <w:sz w:val="13"/>
                <w:szCs w:val="13"/>
                <w:color w:val="auto"/>
              </w:rPr>
            </w:pPr>
          </w:p>
        </w:tc>
        <w:tc>
          <w:tcPr>
            <w:tcW w:w="1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4,654,727</w:t>
            </w: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DBLP Sea Cow Ltd. (1)</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447,067</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Convertible promissory notes taken</w:t>
            </w:r>
          </w:p>
        </w:tc>
        <w:tc>
          <w:tcPr>
            <w:tcW w:w="2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DBLP Sea Cow Ltd.</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1,250,000</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Adam Wagner</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31,250</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John Wagner</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19,844</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Arthur Yao</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93,750</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Steve Perry</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63,500</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Sauvik Banerjee</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27,413</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Anthony Sharp</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79,250</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Reimbursement of expenses</w:t>
            </w:r>
          </w:p>
        </w:tc>
        <w:tc>
          <w:tcPr>
            <w:tcW w:w="2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Daniel Wagner</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50,000</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Managerial remuneration</w:t>
            </w:r>
          </w:p>
        </w:tc>
        <w:tc>
          <w:tcPr>
            <w:tcW w:w="2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Key Management Personnel</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Daniel Wagner</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155,613</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151,799</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Salman Ahmad</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155,613</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113,849</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Richard Burchill</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166,420</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139,149</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Sauvik Banerjee</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195,075</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6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477,647</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599,872</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195,075</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477,647</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404,797</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26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477,647</w:t>
            </w:r>
          </w:p>
        </w:tc>
        <w:tc>
          <w:tcPr>
            <w:tcW w:w="3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599,872</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tc>
        <w:tc>
          <w:tcPr>
            <w:tcW w:w="2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DBLP Sea Cow Ltd. (1)</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5,325,000</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1,250,000</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Richard Burchill</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155,833</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673,282</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Salman Ahmad</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155,833</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Peter Vesco</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155,833</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100,000</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Arthur Yao</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155,833</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100,000</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Sauvik Banerjee</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95,604</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345,896</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26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6,043,937</w:t>
            </w:r>
          </w:p>
        </w:tc>
        <w:tc>
          <w:tcPr>
            <w:tcW w:w="3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2,469,178</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407,270</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200,000</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5,636,667</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2,269,178</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6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6,043,937</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2,469,178</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Consulting fees</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DBLP Sea Cow Ltd. (1)</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150,000</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150,000</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Peter Vesco</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212,762</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189,749</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Arthur Yao</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150,000</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150,000</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26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512,762</w:t>
            </w:r>
          </w:p>
        </w:tc>
        <w:tc>
          <w:tcPr>
            <w:tcW w:w="3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489,749</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362,762</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339,749</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150,000</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150,000</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6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512,762</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489,749</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 remuneration</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Sir David Wright</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45,387</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46,157</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Anthony Sharp</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205,819</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184,627</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Steve Perry</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48,629</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46,157</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Derek Smith</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48,629</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46,157</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6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348,465</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323,098</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348,465</w:t>
            </w:r>
          </w:p>
        </w:tc>
        <w:tc>
          <w:tcPr>
            <w:tcW w:w="380" w:type="dxa"/>
            <w:vAlign w:val="bottom"/>
          </w:tcPr>
          <w:p>
            <w:pPr>
              <w:spacing w:after="0"/>
              <w:rPr>
                <w:sz w:val="12"/>
                <w:szCs w:val="12"/>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323,098</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26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348,465</w:t>
            </w:r>
          </w:p>
        </w:tc>
        <w:tc>
          <w:tcPr>
            <w:tcW w:w="3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323,098</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Management remuneration</w:t>
            </w:r>
          </w:p>
        </w:tc>
        <w:tc>
          <w:tcPr>
            <w:tcW w:w="2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660" w:type="dxa"/>
            <w:vAlign w:val="bottom"/>
            <w:shd w:val="clear" w:color="auto" w:fill="CFF0FC"/>
          </w:tcPr>
          <w:p>
            <w:pPr>
              <w:spacing w:after="0"/>
              <w:rPr>
                <w:sz w:val="12"/>
                <w:szCs w:val="12"/>
                <w:color w:val="auto"/>
              </w:rPr>
            </w:pP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770,032</w:t>
            </w:r>
          </w:p>
        </w:tc>
        <w:tc>
          <w:tcPr>
            <w:tcW w:w="38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734,824</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660" w:type="dxa"/>
            <w:vAlign w:val="bottom"/>
          </w:tcPr>
          <w:p>
            <w:pPr>
              <w:spacing w:after="0"/>
              <w:rPr>
                <w:sz w:val="12"/>
                <w:szCs w:val="12"/>
                <w:color w:val="auto"/>
              </w:rPr>
            </w:pP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6,612,778</w:t>
            </w:r>
          </w:p>
        </w:tc>
        <w:tc>
          <w:tcPr>
            <w:tcW w:w="380" w:type="dxa"/>
            <w:vAlign w:val="bottom"/>
          </w:tcPr>
          <w:p>
            <w:pPr>
              <w:spacing w:after="0"/>
              <w:rPr>
                <w:sz w:val="12"/>
                <w:szCs w:val="12"/>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3,147,073</w:t>
            </w: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26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7,382,811</w:t>
            </w:r>
          </w:p>
        </w:tc>
        <w:tc>
          <w:tcPr>
            <w:tcW w:w="3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3,881,897</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Business development expenses</w:t>
            </w:r>
          </w:p>
        </w:tc>
        <w:tc>
          <w:tcPr>
            <w:tcW w:w="2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Rezolve China (2)</w:t>
            </w:r>
          </w:p>
        </w:tc>
        <w:tc>
          <w:tcPr>
            <w:tcW w:w="26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151,353</w:t>
            </w:r>
          </w:p>
        </w:tc>
        <w:tc>
          <w:tcPr>
            <w:tcW w:w="3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balances as at reporting date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w w:val="97"/>
              </w:rPr>
              <w:t>June 30, 2025</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Short term debt to related party</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DBLP Sea Cow Ltd. (1)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447,067</w:t>
            </w: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Daniel Wagner</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4,655,144</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from related party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DBLP Sea Cow Ltd. (1)</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Daniel Wagner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141,802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Richard Burchill</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to related party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Daniel Wagner</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899,978</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Arthur Yao</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45,966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137,019</w:t>
            </w: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Steve Perry</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17,433</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Short-term convertible debt</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Steve Perry</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108,047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95,309</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 Subscription Receivables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Peter Vesco</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Daniel Wagner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DBLP Sea Cow Ltd. (1)</w:t>
            </w:r>
          </w:p>
        </w:tc>
        <w:tc>
          <w:tcPr>
            <w:tcW w:w="120" w:type="dxa"/>
            <w:vAlign w:val="bottom"/>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263" w:lineRule="exact"/>
        <w:rPr>
          <w:sz w:val="20"/>
          <w:szCs w:val="20"/>
          <w:color w:val="auto"/>
        </w:rPr>
      </w:pPr>
    </w:p>
    <w:p>
      <w:pPr>
        <w:ind w:left="480" w:right="200"/>
        <w:spacing w:after="0" w:line="259" w:lineRule="auto"/>
        <w:rPr>
          <w:sz w:val="20"/>
          <w:szCs w:val="20"/>
          <w:color w:val="auto"/>
        </w:rPr>
      </w:pPr>
      <w:r>
        <w:rPr>
          <w:rFonts w:ascii="Times New Roman" w:cs="Times New Roman" w:eastAsia="Times New Roman" w:hAnsi="Times New Roman"/>
          <w:sz w:val="16"/>
          <w:szCs w:val="16"/>
          <w:color w:val="auto"/>
        </w:rPr>
        <w:t>1.DBLP Sea Cow Ltd. (a company incorporated in the Seychelles) (“DBLP Sea Cow”) is wholly legally owned by Daniel Wagner, Chief Executive Officer of Rezolve.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Company has expensed all cash transferred to its former subsidiary Rezolve China (Refer to Note 2.1—Basis of presentation).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Leases</w:t>
      </w:r>
    </w:p>
    <w:p>
      <w:pPr>
        <w:spacing w:after="0" w:line="190" w:lineRule="exact"/>
        <w:rPr>
          <w:sz w:val="20"/>
          <w:szCs w:val="20"/>
          <w:color w:val="auto"/>
        </w:rPr>
      </w:pPr>
    </w:p>
    <w:p>
      <w:pPr>
        <w:ind w:right="180" w:firstLine="468"/>
        <w:spacing w:after="0" w:line="247" w:lineRule="auto"/>
        <w:rPr>
          <w:sz w:val="20"/>
          <w:szCs w:val="20"/>
          <w:color w:val="auto"/>
        </w:rPr>
      </w:pPr>
      <w:r>
        <w:rPr>
          <w:rFonts w:ascii="Times New Roman" w:cs="Times New Roman" w:eastAsia="Times New Roman" w:hAnsi="Times New Roman"/>
          <w:sz w:val="16"/>
          <w:szCs w:val="16"/>
          <w:color w:val="auto"/>
        </w:rPr>
        <w:t>On January 24, 2025, the Company entered into a lease agreement for its office located at 21 Sackville Street, London, W1S 3DN, United Kingdom. The lease agreement is for a term of 2 years with no option to extend. On January 24, 2025, the Company recorded a lease liability and corresponding right-of-use asset of approximately $2.3 million.</w:t>
      </w:r>
    </w:p>
    <w:p>
      <w:pPr>
        <w:spacing w:after="0" w:line="164" w:lineRule="exact"/>
        <w:rPr>
          <w:sz w:val="20"/>
          <w:szCs w:val="20"/>
          <w:color w:val="auto"/>
        </w:rPr>
      </w:pPr>
    </w:p>
    <w:p>
      <w:pPr>
        <w:ind w:right="220" w:firstLine="468"/>
        <w:spacing w:after="0" w:line="239" w:lineRule="auto"/>
        <w:rPr>
          <w:sz w:val="20"/>
          <w:szCs w:val="20"/>
          <w:color w:val="auto"/>
        </w:rPr>
      </w:pPr>
      <w:r>
        <w:rPr>
          <w:rFonts w:ascii="Times New Roman" w:cs="Times New Roman" w:eastAsia="Times New Roman" w:hAnsi="Times New Roman"/>
          <w:sz w:val="16"/>
          <w:szCs w:val="16"/>
          <w:color w:val="auto"/>
        </w:rPr>
        <w:t>On March 25, 2025, the Company closed the GroupBy acquisition, refer to Note 4 for more information. GroupBy's registered office is located at 250 The Esplanade, Suite 500, Toronto, Ontario, Canada. At the date of acquisition, this lease agreement had a remaining term of 3.5 years. On March 25, 2025, the Company recorded a lease liability and corresponding right- of-use asset of approximately $0.2 million. GroupBy also has another lease arrangement in place for an office in Austin, Texas. However this lease arrangement is a short-term lease as it has a lease term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173"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On April 10, 2025, the Company entered into a lease agreement for its office located at 499 Park Avenue, New York, New York 10022. The lease agreement is for a term of 2 years with no option to extend. On April 10, 2025, the Company recorded a lease liability and corresponding right-of-use asset of approximately $0.3 million.</w:t>
      </w:r>
    </w:p>
    <w:p>
      <w:pPr>
        <w:spacing w:after="0" w:line="164" w:lineRule="exact"/>
        <w:rPr>
          <w:sz w:val="20"/>
          <w:szCs w:val="20"/>
          <w:color w:val="auto"/>
        </w:rPr>
      </w:pPr>
    </w:p>
    <w:p>
      <w:pPr>
        <w:ind w:right="40" w:firstLine="468"/>
        <w:spacing w:after="0" w:line="280" w:lineRule="auto"/>
        <w:rPr>
          <w:sz w:val="20"/>
          <w:szCs w:val="20"/>
          <w:color w:val="auto"/>
        </w:rPr>
      </w:pPr>
      <w:r>
        <w:rPr>
          <w:rFonts w:ascii="Times New Roman" w:cs="Times New Roman" w:eastAsia="Times New Roman" w:hAnsi="Times New Roman"/>
          <w:sz w:val="14"/>
          <w:szCs w:val="14"/>
          <w:color w:val="auto"/>
        </w:rPr>
        <w:t>On May 31, 2025, the Company closed the Mpower acquisition, refer to Note 4 for more information. Mpower has registered offices in London, United Kingdom and Germany, Frankfurt. At the date of acquisition, these lease agreements had remaining terms of 13 to 23 months. On May 31, 2025, the Company recorded lease liabilities and corresponding right-of-use assets for these leases, of approximately $0.1 million in total. Mpower also has other lease arrangements in place for offices in Warsaw, Poland; Paris, France; Amsterdam, The Netherlands and Brussels, Belgium. However these lease arrangements are short-term leases as they have lease terms of 12 months or less and do not include options to purchase the underlying assets. Upon adoption of ASC 842, the Company elected not to record short- term leases on its consolidated balance sheet and instead recognize lease payments in its consolidated statement of operations on a straight-line basis over the lease term.</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6"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On June 2, 2025, the Company closed the Prediqt acquisition, refer to Note 4 for more information. Prediqt has registered offices in three locations in India. At the date of acquisition, these lease agreements had remaining terms of 6 to 14 months. On May 31, 2025, the Company recorded lease liabilities and corresponding right-of-use assets for these leases, of approximately $0.03 million in total.</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components of lease expense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3"/>
                <w:szCs w:val="13"/>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3"/>
                <w:szCs w:val="13"/>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0" w:type="dxa"/>
            <w:vAlign w:val="bottom"/>
          </w:tcPr>
          <w:p>
            <w:pPr>
              <w:spacing w:after="0"/>
              <w:rPr>
                <w:sz w:val="1"/>
                <w:szCs w:val="1"/>
                <w:color w:val="auto"/>
              </w:rPr>
            </w:pPr>
          </w:p>
        </w:tc>
      </w:tr>
      <w:tr>
        <w:trPr>
          <w:trHeight w:val="193"/>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costs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642,822</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spacing w:after="0"/>
              <w:rPr>
                <w:sz w:val="16"/>
                <w:szCs w:val="16"/>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Variable lease costs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2,732</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Short-term lease costs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61,693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lease costs</w:t>
            </w:r>
          </w:p>
        </w:tc>
        <w:tc>
          <w:tcPr>
            <w:tcW w:w="6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707,247</w:t>
            </w:r>
          </w:p>
        </w:tc>
        <w:tc>
          <w:tcPr>
            <w:tcW w:w="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68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6"/>
                <w:szCs w:val="16"/>
                <w:color w:val="auto"/>
              </w:rPr>
              <w:t>Supplemental cash flow information related to leases was as follows:</w:t>
            </w:r>
          </w:p>
        </w:tc>
        <w:tc>
          <w:tcPr>
            <w:tcW w:w="3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24"/>
                <w:szCs w:val="24"/>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cash flows from operating leases</w:t>
            </w:r>
          </w:p>
        </w:tc>
        <w:tc>
          <w:tcPr>
            <w:tcW w:w="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629,486</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spacing w:after="0"/>
              <w:rPr>
                <w:sz w:val="15"/>
                <w:szCs w:val="15"/>
                <w:color w:val="auto"/>
              </w:rPr>
            </w:pPr>
          </w:p>
        </w:tc>
        <w:tc>
          <w:tcPr>
            <w:tcW w:w="2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Right-of-use assets obtained in exchange for lease obligations: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6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2,887,287</w:t>
            </w:r>
          </w:p>
        </w:tc>
        <w:tc>
          <w:tcPr>
            <w:tcW w:w="12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spacing w:after="0"/>
              <w:rPr>
                <w:sz w:val="15"/>
                <w:szCs w:val="15"/>
                <w:color w:val="auto"/>
              </w:rPr>
            </w:pPr>
          </w:p>
        </w:tc>
        <w:tc>
          <w:tcPr>
            <w:tcW w:w="2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3,516,773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68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was as follows:</w:t>
            </w:r>
          </w:p>
        </w:tc>
        <w:tc>
          <w:tcPr>
            <w:tcW w:w="3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24"/>
                <w:szCs w:val="24"/>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6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ind w:left="1200"/>
              <w:spacing w:after="0" w:line="180" w:lineRule="exact"/>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3"/>
          </w:tcPr>
          <w:p>
            <w:pPr>
              <w:ind w:left="1200"/>
              <w:spacing w:after="0"/>
              <w:rPr>
                <w:sz w:val="20"/>
                <w:szCs w:val="20"/>
                <w:color w:val="auto"/>
              </w:rPr>
            </w:pPr>
            <w:r>
              <w:rPr>
                <w:rFonts w:ascii="Times New Roman" w:cs="Times New Roman" w:eastAsia="Times New Roman" w:hAnsi="Times New Roman"/>
                <w:sz w:val="16"/>
                <w:szCs w:val="16"/>
                <w:color w:val="auto"/>
                <w:w w:val="95"/>
              </w:rPr>
              <w:t>7.9%</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The following table outlines maturities of the Company's lease liabilities as of June 30, 2025: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6680" w:type="dxa"/>
            <w:vAlign w:val="bottom"/>
          </w:tcPr>
          <w:p>
            <w:pPr>
              <w:ind w:left="3680"/>
              <w:spacing w:after="0"/>
              <w:rPr>
                <w:sz w:val="20"/>
                <w:szCs w:val="20"/>
                <w:color w:val="auto"/>
              </w:rPr>
            </w:pPr>
            <w:r>
              <w:rPr>
                <w:rFonts w:ascii="Times New Roman" w:cs="Times New Roman" w:eastAsia="Times New Roman" w:hAnsi="Times New Roman"/>
                <w:sz w:val="13"/>
                <w:szCs w:val="13"/>
                <w:b w:val="1"/>
                <w:bCs w:val="1"/>
                <w:color w:val="auto"/>
              </w:rPr>
              <w:t>At June 30, 2025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0" w:type="dxa"/>
            <w:vAlign w:val="bottom"/>
          </w:tcPr>
          <w:p>
            <w:pPr>
              <w:spacing w:after="0"/>
              <w:rPr>
                <w:sz w:val="1"/>
                <w:szCs w:val="1"/>
                <w:color w:val="auto"/>
              </w:rPr>
            </w:pPr>
          </w:p>
        </w:tc>
      </w:tr>
      <w:tr>
        <w:trPr>
          <w:trHeight w:val="193"/>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Remainder of 2025</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765,458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1,276,417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102,658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50,867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gridSpan w:val="3"/>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lease payments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2,195,400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132,499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5"/>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2,062,901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6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Current portion of lease liabilities</w:t>
            </w: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1,452,755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 current portion of lease liabilities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610,146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8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5"/>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2,062,901</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Income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files its primary tax return in the United Kingdom (“the UK”). Its subsidiaries file income tax returns in the United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States (“the US”), Canada, and various other jurisdictions.</w:t>
      </w:r>
    </w:p>
    <w:p>
      <w:pPr>
        <w:spacing w:after="0" w:line="176" w:lineRule="exact"/>
        <w:rPr>
          <w:sz w:val="20"/>
          <w:szCs w:val="20"/>
          <w:color w:val="auto"/>
        </w:rPr>
      </w:pPr>
    </w:p>
    <w:p>
      <w:pPr>
        <w:ind w:firstLine="696"/>
        <w:spacing w:after="0" w:line="284" w:lineRule="auto"/>
        <w:rPr>
          <w:sz w:val="20"/>
          <w:szCs w:val="20"/>
          <w:color w:val="auto"/>
        </w:rPr>
      </w:pPr>
      <w:r>
        <w:rPr>
          <w:rFonts w:ascii="Times New Roman" w:cs="Times New Roman" w:eastAsia="Times New Roman" w:hAnsi="Times New Roman"/>
          <w:sz w:val="14"/>
          <w:szCs w:val="14"/>
          <w:color w:val="auto"/>
        </w:rPr>
        <w:t>The consolidated effective tax rate was (0.9)% and 0.5% for the six months ended six months ended June 30, 2025 and 2024, respectively. The Company’s income tax expense was $494,247 and $142,856 for the six months ended June 30, 2025 and 2024, respectively. The consolidated effective tax rate for the six months ended June 30, 2025 differs from the UK federal statutory rate of 25% primarily due to the Company’s valuation allowance movement, income earned in jurisdictions subject to taxes at rates that differ from the UK federal statutory rate, and the impact of permanent book-to-tax differences and discrete one-time items recognized during the period. Discrete items include certain one-off transactions that are recognized separately from the estimated annual effective tax rate in accordance with ASC 740.</w:t>
      </w:r>
    </w:p>
    <w:p>
      <w:pPr>
        <w:spacing w:after="0" w:line="128" w:lineRule="exact"/>
        <w:rPr>
          <w:sz w:val="20"/>
          <w:szCs w:val="20"/>
          <w:color w:val="auto"/>
        </w:rPr>
      </w:pPr>
    </w:p>
    <w:p>
      <w:pPr>
        <w:ind w:right="80" w:firstLine="696"/>
        <w:spacing w:after="0" w:line="259" w:lineRule="auto"/>
        <w:rPr>
          <w:sz w:val="20"/>
          <w:szCs w:val="20"/>
          <w:color w:val="auto"/>
        </w:rPr>
      </w:pPr>
      <w:r>
        <w:rPr>
          <w:rFonts w:ascii="Times New Roman" w:cs="Times New Roman" w:eastAsia="Times New Roman" w:hAnsi="Times New Roman"/>
          <w:sz w:val="16"/>
          <w:szCs w:val="16"/>
          <w:color w:val="auto"/>
        </w:rPr>
        <w:t>The effective tax rate for the six months ended June 30, 2024 differs from the statutory tax rate of 25%, primarily due to the Company’s valuation allowance movement during the six months ended June 30, 2024.</w:t>
      </w:r>
    </w:p>
    <w:p>
      <w:pPr>
        <w:spacing w:after="0" w:line="143" w:lineRule="exact"/>
        <w:rPr>
          <w:sz w:val="20"/>
          <w:szCs w:val="20"/>
          <w:color w:val="auto"/>
        </w:rPr>
      </w:pPr>
    </w:p>
    <w:p>
      <w:pPr>
        <w:ind w:right="360" w:firstLine="696"/>
        <w:spacing w:after="0" w:line="259" w:lineRule="auto"/>
        <w:rPr>
          <w:sz w:val="20"/>
          <w:szCs w:val="20"/>
          <w:color w:val="auto"/>
        </w:rPr>
      </w:pPr>
      <w:r>
        <w:rPr>
          <w:rFonts w:ascii="Times New Roman" w:cs="Times New Roman" w:eastAsia="Times New Roman" w:hAnsi="Times New Roman"/>
          <w:sz w:val="16"/>
          <w:szCs w:val="16"/>
          <w:color w:val="auto"/>
        </w:rPr>
        <w:t>The Company evaluates its effective tax rate on a year-to-date basis at the end of each interim period and adjusts it as necessary based on changes in the estimated full-year results and material discrete items.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Commitments and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Legal Proceedings</w:t>
      </w:r>
    </w:p>
    <w:p>
      <w:pPr>
        <w:spacing w:after="0" w:line="94" w:lineRule="exact"/>
        <w:rPr>
          <w:sz w:val="20"/>
          <w:szCs w:val="20"/>
          <w:color w:val="auto"/>
        </w:rPr>
      </w:pPr>
    </w:p>
    <w:p>
      <w:pPr>
        <w:jc w:val="both"/>
        <w:ind w:right="40" w:firstLine="468"/>
        <w:spacing w:after="0" w:line="247" w:lineRule="auto"/>
        <w:rPr>
          <w:sz w:val="20"/>
          <w:szCs w:val="20"/>
          <w:color w:val="auto"/>
        </w:rPr>
      </w:pPr>
      <w:r>
        <w:rPr>
          <w:rFonts w:ascii="Times New Roman" w:cs="Times New Roman" w:eastAsia="Times New Roman" w:hAnsi="Times New Roman"/>
          <w:sz w:val="16"/>
          <w:szCs w:val="16"/>
          <w:color w:val="auto"/>
        </w:rPr>
        <w:t>From time to time, we may become involved in legal or regulatory proceedings arising in the ordinary course of our business. Other than as described below,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JBAAM</w:t>
      </w:r>
    </w:p>
    <w:p>
      <w:pPr>
        <w:spacing w:after="0" w:line="94" w:lineRule="exact"/>
        <w:rPr>
          <w:sz w:val="20"/>
          <w:szCs w:val="20"/>
          <w:color w:val="auto"/>
        </w:rPr>
      </w:pPr>
    </w:p>
    <w:p>
      <w:pPr>
        <w:ind w:right="100" w:firstLine="468"/>
        <w:spacing w:after="0" w:line="259" w:lineRule="auto"/>
        <w:rPr>
          <w:sz w:val="20"/>
          <w:szCs w:val="20"/>
          <w:color w:val="auto"/>
        </w:rPr>
      </w:pPr>
      <w:r>
        <w:rPr>
          <w:rFonts w:ascii="Times New Roman" w:cs="Times New Roman" w:eastAsia="Times New Roman" w:hAnsi="Times New Roman"/>
          <w:sz w:val="16"/>
          <w:szCs w:val="16"/>
          <w:color w:val="auto"/>
        </w:rPr>
        <w:t>The Company is party to litigation in New York arising out of a proposed financing transaction that never closed. The Company believes the claims are without merit and does not consider the matter to have any impact on its operations, financial position, or strategic plans.</w:t>
      </w:r>
    </w:p>
    <w:p>
      <w:pPr>
        <w:spacing w:after="0" w:line="59"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As previously reported on its Report of Foreign Private Issuer on Form 6-K, filed on July 25, 2025, the Company has been notified that a civil complaint (the “Complaint”) was filed against the Company and Daniel Wagner on July 16, 2025 in the Supreme Court of the State of New York, New York County, by JBAAM Special Opportunities Fund II LLC and YA II PN, Ltd. (collectively, the “Plaintiffs”), in connection with the parties’ securities purchase agreement dated February 21, 2025 (the “February SPA”).</w:t>
      </w:r>
    </w:p>
    <w:p>
      <w:pPr>
        <w:spacing w:after="0" w:line="71" w:lineRule="exact"/>
        <w:rPr>
          <w:sz w:val="20"/>
          <w:szCs w:val="20"/>
          <w:color w:val="auto"/>
        </w:rPr>
      </w:pPr>
    </w:p>
    <w:p>
      <w:pPr>
        <w:ind w:right="60" w:firstLine="468"/>
        <w:spacing w:after="0" w:line="243" w:lineRule="auto"/>
        <w:rPr>
          <w:sz w:val="20"/>
          <w:szCs w:val="20"/>
          <w:color w:val="auto"/>
        </w:rPr>
      </w:pPr>
      <w:r>
        <w:rPr>
          <w:rFonts w:ascii="Times New Roman" w:cs="Times New Roman" w:eastAsia="Times New Roman" w:hAnsi="Times New Roman"/>
          <w:sz w:val="16"/>
          <w:szCs w:val="16"/>
          <w:color w:val="auto"/>
        </w:rPr>
        <w:t>The Company believes the Complaint is without merit and intends to vigorously defend the matter through all appropriate legal channels, including the potential pursuit of counterclaims. The Company does not consider the litigation to have any bearing on its operational performance, strategic direction, financial liquidity, or other business activities. On August 25, 2025, the Company filed a motion to dismiss the Complaint in the Supreme Court of the State of New York, New York County and will vigorously defend its position, including pursuing counterclaims where appropriate.</w:t>
      </w:r>
    </w:p>
    <w:p>
      <w:pPr>
        <w:spacing w:after="0" w:line="71"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The February SPA contemplated a potential $1 billion financing through convertible notes, the proceeds of which would have been used by a subsidiary to purchase Bitcoin. These transactions did not close, no investor capital was contributed, and no Company shares were issued. The Company has not recorded an accrual related to this matter as of June 30, 2025 as it determined that any such loss contingency was not probable or reasonably estimable.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Wondr Gaming Corporation</w:t>
      </w:r>
    </w:p>
    <w:p>
      <w:pPr>
        <w:spacing w:after="0" w:line="106" w:lineRule="exact"/>
        <w:rPr>
          <w:sz w:val="20"/>
          <w:szCs w:val="20"/>
          <w:color w:val="auto"/>
        </w:rPr>
      </w:pPr>
    </w:p>
    <w:p>
      <w:pPr>
        <w:ind w:right="280" w:firstLine="507"/>
        <w:spacing w:after="0" w:line="331" w:lineRule="auto"/>
        <w:rPr>
          <w:sz w:val="20"/>
          <w:szCs w:val="20"/>
          <w:color w:val="auto"/>
        </w:rPr>
      </w:pPr>
      <w:r>
        <w:rPr>
          <w:rFonts w:ascii="Times New Roman" w:cs="Times New Roman" w:eastAsia="Times New Roman" w:hAnsi="Times New Roman"/>
          <w:sz w:val="14"/>
          <w:szCs w:val="14"/>
          <w:color w:val="auto"/>
        </w:rPr>
        <w:t>On July 27, 2021, GroupBy, Inc. issued a Statement of Claim against Wondr Gaming Corporation for breach of contract and in the alternative for unjust enrichment. As this gain is not yet realizable or realized, the Company has not recognized a gain contingency for the amount of damages sought as of June 30, 2025.</w:t>
      </w:r>
    </w:p>
    <w:p>
      <w:pPr>
        <w:spacing w:after="0" w:line="12" w:lineRule="exact"/>
        <w:rPr>
          <w:sz w:val="20"/>
          <w:szCs w:val="20"/>
          <w:color w:val="auto"/>
        </w:rPr>
      </w:pPr>
    </w:p>
    <w:p>
      <w:pPr>
        <w:ind w:right="220" w:firstLine="468"/>
        <w:spacing w:after="0" w:line="247" w:lineRule="auto"/>
        <w:rPr>
          <w:sz w:val="20"/>
          <w:szCs w:val="20"/>
          <w:color w:val="auto"/>
        </w:rPr>
      </w:pPr>
      <w:r>
        <w:rPr>
          <w:rFonts w:ascii="Times New Roman" w:cs="Times New Roman" w:eastAsia="Times New Roman" w:hAnsi="Times New Roman"/>
          <w:sz w:val="16"/>
          <w:szCs w:val="16"/>
          <w:color w:val="auto"/>
        </w:rPr>
        <w:t>Wondr Gaming Corporation has defended and made a counterclaim against GroupBy, Inc. The Company believes that there is very little merit to the counterclaim and intends to vigorously defend the matter through all appropriate legal channels. The Company has not recorded an accrual related to this matter as of June 30, 2025 as it determined that any such loss contingency was not probable or reasonably estimable.</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CVS Pharmacy</w:t>
      </w:r>
    </w:p>
    <w:p>
      <w:pPr>
        <w:spacing w:after="0" w:line="130" w:lineRule="exact"/>
        <w:rPr>
          <w:sz w:val="20"/>
          <w:szCs w:val="20"/>
          <w:color w:val="auto"/>
        </w:rPr>
      </w:pPr>
    </w:p>
    <w:p>
      <w:pPr>
        <w:ind w:right="40" w:firstLine="516"/>
        <w:spacing w:after="0" w:line="284" w:lineRule="auto"/>
        <w:rPr>
          <w:sz w:val="20"/>
          <w:szCs w:val="20"/>
          <w:color w:val="auto"/>
        </w:rPr>
      </w:pPr>
      <w:r>
        <w:rPr>
          <w:rFonts w:ascii="Times New Roman" w:cs="Times New Roman" w:eastAsia="Times New Roman" w:hAnsi="Times New Roman"/>
          <w:sz w:val="14"/>
          <w:szCs w:val="14"/>
          <w:color w:val="auto"/>
        </w:rPr>
        <w:t>On April 28, 2022, R2 Solutions LLC sued CVS Pharmacy, Inc. for patent infringement. The claim of infringement relates to, among other things, online search technologies. On July 21, 2022, CVS Pharmacy, Inc. notified GroupBy Inc. that it was of the view that the Hosting Services Agreement between the two parties requires GroupBy Inc. to indemnify CVS Pharmacy, Inc. in respect of the R2 Solutions LLC claim. To the Company's knowledge, no specific amount of damages or compensation has been sought from GroupBy Inc. to date. The status of the litigation is that R2 Solutions LLC and CVS Pharmacy, Inc. settled. Since that time, and to the Company's knowledge, CVS Pharmacy, Inc. has not contacted GroupBy Inc. to pursue any claim for indemnification in respect of this litigation. The Company has not recorded an accrual related to this matter as of June 30, 2025 as it determined that any such loss contingency was not probable or reasonably estimable.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Subsequent events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Purchase Agreements and Placement Agent Agreement</w:t>
      </w:r>
    </w:p>
    <w:p>
      <w:pPr>
        <w:spacing w:after="0" w:line="178" w:lineRule="exact"/>
        <w:rPr>
          <w:sz w:val="20"/>
          <w:szCs w:val="20"/>
          <w:color w:val="auto"/>
        </w:rPr>
      </w:pPr>
    </w:p>
    <w:p>
      <w:pPr>
        <w:ind w:right="120" w:firstLine="696"/>
        <w:spacing w:after="0" w:line="239" w:lineRule="auto"/>
        <w:rPr>
          <w:sz w:val="20"/>
          <w:szCs w:val="20"/>
          <w:color w:val="auto"/>
        </w:rPr>
      </w:pPr>
      <w:r>
        <w:rPr>
          <w:rFonts w:ascii="Times New Roman" w:cs="Times New Roman" w:eastAsia="Times New Roman" w:hAnsi="Times New Roman"/>
          <w:sz w:val="16"/>
          <w:szCs w:val="16"/>
          <w:color w:val="auto"/>
        </w:rPr>
        <w:t>On July 24, 2025, the Company entered into securities purchase agreements (the “Purchase Agreements”) with certain investors (the “Purchasers”) pursuant to which the Company agreed to sell and issue to the Purchasers in a private placement offering (the “PIPE Financing”) 20,000,000 Ordinary Shares, par value £0.0001 per Ordinary Share, at an offering price of $2.50 per Ordinary Share. The Company intends to use the net proceeds of the PIPE Financing for working capital, potential accretive M&amp;A opportunities, and general corporate purposes. A.G.P/Alliance Global Partners (“A.G.P”) acted as a placement agent in connection with the PIPE Financing. The PIPE Financing closed on July 25, 2025, resulting in aggregate gross proceeds to the Company of $50 million, before deducting the placement agent’s fee and offering expenses payable by the Company.</w:t>
      </w:r>
    </w:p>
    <w:p>
      <w:pPr>
        <w:spacing w:after="0" w:line="161" w:lineRule="exact"/>
        <w:rPr>
          <w:sz w:val="20"/>
          <w:szCs w:val="20"/>
          <w:color w:val="auto"/>
        </w:rPr>
      </w:pPr>
    </w:p>
    <w:p>
      <w:pPr>
        <w:ind w:right="140" w:firstLine="696"/>
        <w:spacing w:after="0" w:line="241" w:lineRule="auto"/>
        <w:rPr>
          <w:sz w:val="20"/>
          <w:szCs w:val="20"/>
          <w:color w:val="auto"/>
        </w:rPr>
      </w:pPr>
      <w:r>
        <w:rPr>
          <w:rFonts w:ascii="Times New Roman" w:cs="Times New Roman" w:eastAsia="Times New Roman" w:hAnsi="Times New Roman"/>
          <w:sz w:val="16"/>
          <w:szCs w:val="16"/>
          <w:color w:val="auto"/>
        </w:rPr>
        <w:t>The Company also entered into a Placement Agent Agreement with A.G.P dated July 24, 2025, pursuant to which A.G.P agreed to serve as placement agent for the Company in connection with the PIPE Financing. The Company agreed to pay A.G.P a cash fee equal to 7.0% of the gross cash proceeds received in the PIPE Financing; however, A.G.P. agreed to apply a credit to the Company equal to 3.5% of the aggregate participation from certain of the Purchasers. In addition, the Company agreed to reimburse A.G.P for up to $120,000 of its legal fees and other out-of-pocket expenses in connection with the PIPE Financing as well as non-accountable expenses incurred by A.G.P for up to $10,000 in connection with the PIPE Financing.</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ViSenze acquisition</w:t>
      </w:r>
    </w:p>
    <w:p>
      <w:pPr>
        <w:spacing w:after="0" w:line="94"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On August 7, 2025, Rezolve AI plc acquired ViSenze PTE Ltd for consideration in Rezolve Ai plc Ordinary Shares, with additional earn-out consideration payable in Ordinary Shares based on future performance. The purchase price allocation is in progress and therefore the initial accounting is incomplete as of the date of these condensed interim combined consolidated financial statements. The acquisition was not deemed significant under Rule 3-05 of Regulation S-X.</w:t>
      </w:r>
    </w:p>
    <w:p>
      <w:pPr>
        <w:spacing w:after="0" w:line="3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Western Alliance Bank</w:t>
      </w:r>
    </w:p>
    <w:p>
      <w:pPr>
        <w:spacing w:after="0" w:line="94" w:lineRule="exact"/>
        <w:rPr>
          <w:sz w:val="20"/>
          <w:szCs w:val="20"/>
          <w:color w:val="auto"/>
        </w:rPr>
      </w:pPr>
    </w:p>
    <w:p>
      <w:pPr>
        <w:ind w:right="280" w:firstLine="696"/>
        <w:spacing w:after="0" w:line="241" w:lineRule="auto"/>
        <w:rPr>
          <w:sz w:val="20"/>
          <w:szCs w:val="20"/>
          <w:color w:val="auto"/>
        </w:rPr>
      </w:pPr>
      <w:r>
        <w:rPr>
          <w:rFonts w:ascii="Times New Roman" w:cs="Times New Roman" w:eastAsia="Times New Roman" w:hAnsi="Times New Roman"/>
          <w:sz w:val="16"/>
          <w:szCs w:val="16"/>
          <w:color w:val="auto"/>
        </w:rPr>
        <w:t>As disclosed in Note 8.9, the Company entered into a subscription letter with Western Alliance Bank (“WAB”) pursuant to which the Company agreed to issue to WAB a number of Ordinary Shares which is equal to $12,300,000 in order to settle debt owed by Groupby to WAB. In accordance with the terms of the subscription letter, WAB is to return any money received in excess of $12,300,000 from the subsequent sale of the 5,857,143 Ordinary Shares. On August 22, 2025, WAB completed its sale of the 5,857,143 Ordinary shares and realized proceeds of $17,955,271 from sale of these Ordinary Shares. This resulted in an excess of $5,655,271, which was returned to the Company.</w:t>
      </w:r>
    </w:p>
    <w:p>
      <w:pPr>
        <w:spacing w:after="0" w:line="3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Warrants</w:t>
      </w:r>
    </w:p>
    <w:p>
      <w:pPr>
        <w:spacing w:after="0" w:line="94"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On September 18, 2025, the holders of all 5,000,000 warrants issued in a registered offering in December 2024 (the "Offering Warrants") elected to exercise their Offering Warrants, at an exercise price of $3.00 per Offering Warrant, for 5,000,000 Ordinary Shares of the Company, generating aggregate gross proceeds to the Company of $15 million.</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43" w:name="page44"/>
    <w:bookmarkEnd w:id="4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Notes to Condensed Interim Combined Consolidated Financial Statements</w:t>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Security Purchase Agreement, Placement Agent Agreement and Registration Rights Agreement</w:t>
      </w:r>
    </w:p>
    <w:p>
      <w:pPr>
        <w:spacing w:after="0" w:line="94"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On September 24, 2025, the Company entered into securities purchase agreements (the “Purchase Agreements”) with certain investors (the “Purchasers”) pursuant to which the Company agreed to sell and issue to the Purchasers in a private placement offering (the “PIPE Financing”) 37,000,000 ordinary shares, par value £0.0001 per share, at an offering price of $5.40 per Ordinary Share. The Company intends to use the net proceeds of the PIPE Financing for accelerated investment into its sales organization, potential accretive M&amp;A opportunities, working capital and general corporate purposes, including further development of its Brain Commerce Platform, and expansion of Visual Search and Brain Checkout. A.G.P/Alliance Global Partners (“A.G.P”) acted as a placement agent in connection with the PIPE Financing.</w:t>
      </w:r>
    </w:p>
    <w:p>
      <w:pPr>
        <w:spacing w:after="0" w:line="77" w:lineRule="exact"/>
        <w:rPr>
          <w:sz w:val="20"/>
          <w:szCs w:val="20"/>
          <w:color w:val="auto"/>
        </w:rPr>
      </w:pPr>
    </w:p>
    <w:p>
      <w:pPr>
        <w:ind w:right="340" w:firstLine="468"/>
        <w:spacing w:after="0" w:line="259" w:lineRule="auto"/>
        <w:rPr>
          <w:sz w:val="20"/>
          <w:szCs w:val="20"/>
          <w:color w:val="auto"/>
        </w:rPr>
      </w:pPr>
      <w:r>
        <w:rPr>
          <w:rFonts w:ascii="Times New Roman" w:cs="Times New Roman" w:eastAsia="Times New Roman" w:hAnsi="Times New Roman"/>
          <w:sz w:val="16"/>
          <w:szCs w:val="16"/>
          <w:color w:val="auto"/>
        </w:rPr>
        <w:t>The PIPE Financing closed on September 25, 2025, resulting in aggregate gross proceeds to the Company of $200 million, before deducting the placement agent’s fee and offering expenses payable by the Company.</w:t>
      </w:r>
    </w:p>
    <w:p>
      <w:pPr>
        <w:spacing w:after="0" w:line="59" w:lineRule="exact"/>
        <w:rPr>
          <w:sz w:val="20"/>
          <w:szCs w:val="20"/>
          <w:color w:val="auto"/>
        </w:rPr>
      </w:pPr>
    </w:p>
    <w:p>
      <w:pPr>
        <w:ind w:right="20" w:firstLine="507"/>
        <w:spacing w:after="0" w:line="278" w:lineRule="auto"/>
        <w:rPr>
          <w:sz w:val="20"/>
          <w:szCs w:val="20"/>
          <w:color w:val="auto"/>
        </w:rPr>
      </w:pPr>
      <w:r>
        <w:rPr>
          <w:rFonts w:ascii="Times New Roman" w:cs="Times New Roman" w:eastAsia="Times New Roman" w:hAnsi="Times New Roman"/>
          <w:sz w:val="14"/>
          <w:szCs w:val="14"/>
          <w:color w:val="auto"/>
        </w:rPr>
        <w:t>The Company also entered into a Placement Agent Agreement (the “Placement Agent Agreement”) with A.G.P., dated September 24, 2025, pursuant to which A.G.P agreed to serve as placement agent for the Company in connection with the PIPE Financing. The Company agreed to pay A.G.P a cash fee equal to 6.0% of the gross cash proceeds received in the PIPE Financing; however, A.G.P. agreed to apply a credit to the Company equal to $3,000,000. In addition, the Company agreed to reimburse A.G.P for up to $ 120,000 of its legal fees and other out-of-pocket expenses in connection with the PIPE Financing as well as non-accountable expenses incurred by A.G.P for up to $10,000 in connection with the PIPE Financing. Pursuant to the Placement Agent Agreement, the Company shall be subject to securities issuance restrictions as described in the Purchase Agreements. The Placement Agent Agreement contains customary representations, warranties, and agreements by the Company, customary conditions to closing, indemnification obligations of the Company, other obligations of the parties, and termination provisions.</w:t>
      </w:r>
    </w:p>
    <w:p>
      <w:pPr>
        <w:spacing w:after="0" w:line="51" w:lineRule="exact"/>
        <w:rPr>
          <w:sz w:val="20"/>
          <w:szCs w:val="20"/>
          <w:color w:val="auto"/>
        </w:rPr>
      </w:pPr>
    </w:p>
    <w:p>
      <w:pPr>
        <w:ind w:right="20" w:firstLine="468"/>
        <w:spacing w:after="0" w:line="241" w:lineRule="auto"/>
        <w:rPr>
          <w:sz w:val="20"/>
          <w:szCs w:val="20"/>
          <w:color w:val="auto"/>
        </w:rPr>
      </w:pPr>
      <w:r>
        <w:rPr>
          <w:rFonts w:ascii="Times New Roman" w:cs="Times New Roman" w:eastAsia="Times New Roman" w:hAnsi="Times New Roman"/>
          <w:sz w:val="16"/>
          <w:szCs w:val="16"/>
          <w:color w:val="auto"/>
        </w:rPr>
        <w:t>Concurrently with the Purchase Agreements and the Placement Agent Agreement, on September 24, 2025, the Company and the Purchasers entered into a Registration Rights Agreement (the “Registration Rights Agreement”) pursuant to which the Company agreed to file a registration statement (the “Initial Registration Statement”) providing for the resale of the Ordinary Shares within 3 business days following the closing of the PIPE Financing, to have such registration statement declared effective within 30 days of the filing date (or 60 days, if the Securities and Exchange Commission conducts a full review), and to maintain the effectiveness of such registration statement.</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131" w:right="760" w:bottom="1440" w:gutter="0" w:footer="0" w:header="0"/>
        </w:sectPr>
      </w:pPr>
    </w:p>
    <w:bookmarkStart w:id="44" w:name="page45"/>
    <w:bookmarkEnd w:id="44"/>
    <w:p>
      <w:pPr>
        <w:ind w:left="9520"/>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68" w:lineRule="exact"/>
        <w:rPr>
          <w:sz w:val="20"/>
          <w:szCs w:val="20"/>
          <w:color w:val="auto"/>
        </w:rPr>
      </w:pPr>
    </w:p>
    <w:p>
      <w:pPr>
        <w:ind w:right="260" w:firstLine="468"/>
        <w:spacing w:after="0" w:line="262" w:lineRule="auto"/>
        <w:rPr>
          <w:sz w:val="20"/>
          <w:szCs w:val="20"/>
          <w:color w:val="auto"/>
        </w:rPr>
      </w:pPr>
      <w:r>
        <w:rPr>
          <w:rFonts w:ascii="Times New Roman" w:cs="Times New Roman" w:eastAsia="Times New Roman" w:hAnsi="Times New Roman"/>
          <w:sz w:val="16"/>
          <w:szCs w:val="16"/>
          <w:i w:val="1"/>
          <w:iCs w:val="1"/>
          <w:color w:val="auto"/>
        </w:rPr>
        <w:t>In this section, the "Company", “we,” “us,” “our” and “Rezolve” refer to Rezolve Limited and its subsidiaries prior to the consummation of the Pre-Closing Demerger and to Rezolve AI plc (f.k.a. Rezolve AI Limited) and its subsidiaries following the consummation of the Pre-Closing Demerger.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5" w:lineRule="exact"/>
        <w:rPr>
          <w:sz w:val="20"/>
          <w:szCs w:val="20"/>
          <w:color w:val="auto"/>
        </w:rPr>
      </w:pPr>
    </w:p>
    <w:p>
      <w:pPr>
        <w:ind w:right="80" w:firstLine="468"/>
        <w:spacing w:after="0" w:line="248" w:lineRule="auto"/>
        <w:rPr>
          <w:sz w:val="20"/>
          <w:szCs w:val="20"/>
          <w:color w:val="auto"/>
        </w:rPr>
      </w:pPr>
      <w:r>
        <w:rPr>
          <w:rFonts w:ascii="Times New Roman" w:cs="Times New Roman" w:eastAsia="Times New Roman" w:hAnsi="Times New Roman"/>
          <w:sz w:val="15"/>
          <w:szCs w:val="15"/>
          <w:color w:val="auto"/>
        </w:rPr>
        <w:t xml:space="preserve">We are recognized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 driven systems, which simplifies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17913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82" w:lineRule="exact"/>
        <w:rPr>
          <w:sz w:val="20"/>
          <w:szCs w:val="20"/>
          <w:color w:val="auto"/>
        </w:rPr>
      </w:pPr>
    </w:p>
    <w:p>
      <w:pPr>
        <w:ind w:left="100" w:hanging="94"/>
        <w:spacing w:after="0"/>
        <w:tabs>
          <w:tab w:leader="none" w:pos="1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Please see Rezolve Press Release dated July 25, 2023, available at https://www.rezolve.com/investors/britainsbrain-heralds-new-era-of-commerce-enabled-ai/</w:t>
      </w:r>
    </w:p>
    <w:p>
      <w:pPr>
        <w:spacing w:after="0" w:line="169" w:lineRule="exact"/>
        <w:rPr>
          <w:sz w:val="20"/>
          <w:szCs w:val="20"/>
          <w:color w:val="auto"/>
        </w:rPr>
      </w:pPr>
    </w:p>
    <w:p>
      <w:pPr>
        <w:ind w:right="180" w:firstLine="468"/>
        <w:spacing w:after="0" w:line="243" w:lineRule="auto"/>
        <w:rPr>
          <w:sz w:val="20"/>
          <w:szCs w:val="20"/>
          <w:color w:val="auto"/>
        </w:rPr>
      </w:pPr>
      <w:r>
        <w:rPr>
          <w:rFonts w:ascii="Times New Roman" w:cs="Times New Roman" w:eastAsia="Times New Roman" w:hAnsi="Times New Roman"/>
          <w:sz w:val="16"/>
          <w:szCs w:val="16"/>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67" w:lineRule="exact"/>
        <w:rPr>
          <w:sz w:val="20"/>
          <w:szCs w:val="20"/>
          <w:color w:val="auto"/>
        </w:rPr>
      </w:pPr>
    </w:p>
    <w:p>
      <w:pPr>
        <w:jc w:val="both"/>
        <w:ind w:right="20" w:firstLine="468"/>
        <w:spacing w:after="0" w:line="243" w:lineRule="auto"/>
        <w:rPr>
          <w:sz w:val="20"/>
          <w:szCs w:val="20"/>
          <w:color w:val="auto"/>
        </w:rPr>
      </w:pPr>
      <w:r>
        <w:rPr>
          <w:rFonts w:ascii="Times New Roman" w:cs="Times New Roman" w:eastAsia="Times New Roman" w:hAnsi="Times New Roman"/>
          <w:sz w:val="16"/>
          <w:szCs w:val="16"/>
          <w:color w:val="auto"/>
        </w:rPr>
        <w:t>We expect revenues from Brain Commerce to begin increasing in Q4 2025 subject to the execution of our partner agreements and market adoption. We anticipate further revenue growth in 2026 through the commercialization of our signed partner agreements with Microsoft, Google and others. For additional information regarding the partner agreements, see “—Partner Agreements”. These agreements establish strategic collaboration and integration initiatives. While revenues are expected to result from these agreements, the timing and extent depend on implementation schedules and market adoption.</w:t>
      </w:r>
    </w:p>
    <w:p>
      <w:pPr>
        <w:spacing w:after="0" w:line="167"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73" w:lineRule="exact"/>
        <w:rPr>
          <w:sz w:val="20"/>
          <w:szCs w:val="20"/>
          <w:color w:val="auto"/>
        </w:rPr>
      </w:pPr>
    </w:p>
    <w:p>
      <w:pPr>
        <w:ind w:right="540" w:firstLine="468"/>
        <w:spacing w:after="0" w:line="259" w:lineRule="auto"/>
        <w:rPr>
          <w:sz w:val="20"/>
          <w:szCs w:val="20"/>
          <w:color w:val="auto"/>
        </w:rPr>
      </w:pPr>
      <w:r>
        <w:rPr>
          <w:rFonts w:ascii="Times New Roman" w:cs="Times New Roman" w:eastAsia="Times New Roman" w:hAnsi="Times New Roman"/>
          <w:sz w:val="16"/>
          <w:szCs w:val="16"/>
          <w:color w:val="auto"/>
        </w:rPr>
        <w:t>We currently derive revenue from two primary sources: subscription-based SaaS offerings under our Brain Commerce platform and professional services delivered on a cost plus model.</w:t>
      </w:r>
    </w:p>
    <w:p>
      <w:pPr>
        <w:spacing w:after="0" w:line="155"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0" w:right="660" w:bottom="1440" w:gutter="0" w:footer="0" w:header="0"/>
        </w:sectPr>
      </w:pPr>
    </w:p>
    <w:bookmarkStart w:id="45" w:name="page46"/>
    <w:bookmarkEnd w:id="45"/>
    <w:p>
      <w:pPr>
        <w:jc w:val="both"/>
        <w:ind w:right="360" w:firstLine="468"/>
        <w:spacing w:after="0" w:line="247" w:lineRule="auto"/>
        <w:rPr>
          <w:sz w:val="20"/>
          <w:szCs w:val="20"/>
          <w:color w:val="auto"/>
        </w:rPr>
      </w:pPr>
      <w:r>
        <w:rPr>
          <w:rFonts w:ascii="Times New Roman" w:cs="Times New Roman" w:eastAsia="Times New Roman" w:hAnsi="Times New Roman"/>
          <w:sz w:val="16"/>
          <w:szCs w:val="16"/>
          <w:color w:val="auto"/>
        </w:rPr>
        <w:t>Despite ongoing operating losses, our liquidity position, supported by the $200 million financing completed in September 2025 and existing cash resources, provides sufficient runway for at least the next twelve months. Accordingly, management believes there is no substantial doubt regarding the Company’s ability to continue as a going concern.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believe our future performance will depend on many factors, including the following:</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Growth from Transactions</w:t>
      </w:r>
      <w:r>
        <w:rPr>
          <w:rFonts w:ascii="Times New Roman" w:cs="Times New Roman" w:eastAsia="Times New Roman" w:hAnsi="Times New Roman"/>
          <w:sz w:val="16"/>
          <w:szCs w:val="16"/>
          <w:color w:val="auto"/>
        </w:rPr>
        <w:t>: Our growth depends on SaaS subscription fees and commissions earned from merchant’s transactions with their customers.</w:t>
      </w:r>
    </w:p>
    <w:p>
      <w:pPr>
        <w:spacing w:after="0" w:line="92" w:lineRule="exact"/>
        <w:rPr>
          <w:sz w:val="20"/>
          <w:szCs w:val="20"/>
          <w:color w:val="auto"/>
        </w:rPr>
      </w:pPr>
    </w:p>
    <w:p>
      <w:pPr>
        <w:ind w:left="480" w:right="18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Merchant Acquisition</w:t>
      </w:r>
      <w:r>
        <w:rPr>
          <w:rFonts w:ascii="Times New Roman" w:cs="Times New Roman" w:eastAsia="Times New Roman" w:hAnsi="Times New Roman"/>
          <w:sz w:val="16"/>
          <w:szCs w:val="16"/>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68" w:lineRule="exact"/>
        <w:rPr>
          <w:sz w:val="20"/>
          <w:szCs w:val="20"/>
          <w:color w:val="auto"/>
        </w:rPr>
      </w:pPr>
    </w:p>
    <w:p>
      <w:pPr>
        <w:ind w:left="480" w:right="100"/>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Successful Expansion to Additional Geographies</w:t>
      </w:r>
      <w:r>
        <w:rPr>
          <w:rFonts w:ascii="Times New Roman" w:cs="Times New Roman" w:eastAsia="Times New Roman" w:hAnsi="Times New Roman"/>
          <w:sz w:val="14"/>
          <w:szCs w:val="14"/>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38" w:lineRule="exact"/>
        <w:rPr>
          <w:sz w:val="20"/>
          <w:szCs w:val="20"/>
          <w:color w:val="auto"/>
        </w:rPr>
      </w:pPr>
    </w:p>
    <w:p>
      <w:pPr>
        <w:ind w:left="480" w:right="14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Merchant Retention and Expansion</w:t>
      </w:r>
      <w:r>
        <w:rPr>
          <w:rFonts w:ascii="Times New Roman" w:cs="Times New Roman" w:eastAsia="Times New Roman" w:hAnsi="Times New Roman"/>
          <w:sz w:val="16"/>
          <w:szCs w:val="16"/>
          <w:color w:val="auto"/>
        </w:rPr>
        <w:t>: Merchant retention and expansion are critical to revenue growth. Our ability to provide user-friendly features such as mobile vouchering, payments, and data insights supports merchant loyalty and increased activity on our platform. Supporting merchants begins with enhancing both the shopper and the merchant experience. We believe our core capabilities that focus on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3" w:lineRule="exact"/>
        <w:rPr>
          <w:sz w:val="20"/>
          <w:szCs w:val="20"/>
          <w:color w:val="auto"/>
        </w:rPr>
      </w:pPr>
    </w:p>
    <w:p>
      <w:pPr>
        <w:ind w:left="480" w:right="22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Offering and service enhancement</w:t>
      </w:r>
      <w:r>
        <w:rPr>
          <w:rFonts w:ascii="Times New Roman" w:cs="Times New Roman" w:eastAsia="Times New Roman" w:hAnsi="Times New Roman"/>
          <w:sz w:val="16"/>
          <w:szCs w:val="16"/>
          <w:color w:val="auto"/>
        </w:rPr>
        <w:t>: We intend to continue investing in the capabilities of our offerings and services to deliver better value for our users and merchants and address new market opportunities. Additionally, we will work to perfect our platform services to ensure scalability and reliability as adoption increases.</w:t>
      </w:r>
    </w:p>
    <w:p>
      <w:pPr>
        <w:spacing w:after="0" w:line="66" w:lineRule="exact"/>
        <w:rPr>
          <w:sz w:val="20"/>
          <w:szCs w:val="20"/>
          <w:color w:val="auto"/>
        </w:rPr>
      </w:pPr>
    </w:p>
    <w:p>
      <w:pPr>
        <w:ind w:left="480" w:right="3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Growth through Mergers &amp; Acquisitions</w:t>
      </w:r>
      <w:r>
        <w:rPr>
          <w:rFonts w:ascii="Times New Roman" w:cs="Times New Roman" w:eastAsia="Times New Roman" w:hAnsi="Times New Roman"/>
          <w:sz w:val="16"/>
          <w:szCs w:val="16"/>
          <w:color w:val="auto"/>
        </w:rPr>
        <w:t>: Our growth strategy may also include acquisitions of complementary businesses where management identifies synergistic opportunities. Access to capital markets may provide the financing necessary to execute such transactions.</w:t>
      </w:r>
    </w:p>
    <w:p>
      <w:pPr>
        <w:spacing w:after="0" w:line="54" w:lineRule="exact"/>
        <w:rPr>
          <w:sz w:val="20"/>
          <w:szCs w:val="20"/>
          <w:color w:val="auto"/>
        </w:rPr>
      </w:pPr>
    </w:p>
    <w:p>
      <w:pPr>
        <w:ind w:left="480" w:right="60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Regulatory and Compliance:</w:t>
      </w:r>
      <w:r>
        <w:rPr>
          <w:rFonts w:ascii="Times New Roman" w:cs="Times New Roman" w:eastAsia="Times New Roman" w:hAnsi="Times New Roman"/>
          <w:sz w:val="16"/>
          <w:szCs w:val="16"/>
          <w:color w:val="auto"/>
        </w:rPr>
        <w:t xml:space="preserve"> Our operations are subject to evolving regulation in areas such as data protection, AI usage, payments, and cross-border commerce. Changes in these requirements could affect our costs, timing of deployments, or adoption by merchants.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2"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We generate revenues primarily from two sources: (i) subscription -based SaaS offerings under our Brain Commerce platform, and (ii) professional services delivered on a cost-plus basis. These revenues are recognized in line with the nature of the services provided, as described below.</w:t>
      </w:r>
    </w:p>
    <w:p>
      <w:pPr>
        <w:spacing w:after="0" w:line="155"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16"/>
          <w:szCs w:val="16"/>
          <w:color w:val="auto"/>
        </w:rPr>
        <w:t>Our continuing strategy focuses on providing a technology platform to merchants in order to facilitate outreach to consumers. Conversational commerce provides customers with the best possible sales interaction. Allowing merchants to generate incremental revenue through an exceptional user experience. Merchants are billed on a monthly basis for the services rendered.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generated from cloud-based software solutions, which include the SaaS (software as a service) products such as the following:</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•search experience tools that allow vendors to identify shopper intent and context, and provide high quality-search results to consumers searching for products on eCommerce channels, including configuration and ongoing technical support services.</w:t>
      </w:r>
    </w:p>
    <w:p>
      <w:pPr>
        <w:spacing w:after="0" w:line="59"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6"/>
          <w:szCs w:val="16"/>
          <w:color w:val="auto"/>
        </w:rPr>
        <w:t>•geofencing software that allows vendors to track a customer's location when placing online orders for in-person pickup, including configuration and ongoing technical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5" w:right="680" w:bottom="1440" w:gutter="0" w:footer="0" w:header="0"/>
        </w:sectPr>
      </w:pPr>
    </w:p>
    <w:bookmarkStart w:id="46" w:name="page47"/>
    <w:bookmarkEnd w:id="46"/>
    <w:p>
      <w:pPr>
        <w:ind w:firstLine="468"/>
        <w:spacing w:after="0" w:line="241" w:lineRule="auto"/>
        <w:rPr>
          <w:sz w:val="20"/>
          <w:szCs w:val="20"/>
          <w:color w:val="auto"/>
        </w:rPr>
      </w:pPr>
      <w:r>
        <w:rPr>
          <w:rFonts w:ascii="Times New Roman" w:cs="Times New Roman" w:eastAsia="Times New Roman" w:hAnsi="Times New Roman"/>
          <w:sz w:val="16"/>
          <w:szCs w:val="16"/>
          <w:color w:val="auto"/>
        </w:rPr>
        <w:t>These cloud-based software solutions are sold to customers through hosting arrangements, whereby we run the software applications on our own platforms. Access to these platforms are provided to customers on either a consumption or subscription basis and generally have contract terms longer than a year. Revenues related to cloud-based software solutions provided on a consumption basis are recognized when the customer utilizes the cloud-based software solutions, based on the quantity consumed. Revenues related to cloud-based software solutions provided on a subscription basis are recognized ratably over the contract term as the customer receives and consumes the benefits of the cloud-based software solutions.</w:t>
      </w:r>
    </w:p>
    <w:p>
      <w:pPr>
        <w:spacing w:after="0" w:line="169" w:lineRule="exact"/>
        <w:rPr>
          <w:sz w:val="20"/>
          <w:szCs w:val="20"/>
          <w:color w:val="auto"/>
        </w:rPr>
      </w:pPr>
    </w:p>
    <w:p>
      <w:pPr>
        <w:ind w:right="220" w:firstLine="468"/>
        <w:spacing w:after="0" w:line="331" w:lineRule="auto"/>
        <w:rPr>
          <w:sz w:val="20"/>
          <w:szCs w:val="20"/>
          <w:color w:val="auto"/>
        </w:rPr>
      </w:pPr>
      <w:r>
        <w:rPr>
          <w:rFonts w:ascii="Times New Roman" w:cs="Times New Roman" w:eastAsia="Times New Roman" w:hAnsi="Times New Roman"/>
          <w:sz w:val="14"/>
          <w:szCs w:val="14"/>
          <w:color w:val="auto"/>
        </w:rPr>
        <w:t>We may receive upfront, non-refundable consideration at which time the performance obligation has not yet been satisfied and will only be satisfied over time (over the duration of the contract term). This upfront, non-refundable consideration is recognized as revenue over time as the performance obligation is satisfied.</w:t>
      </w:r>
    </w:p>
    <w:p>
      <w:pPr>
        <w:spacing w:after="0" w:line="108"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Revenue related to configuration and ongoing technical support services are recognized ratably over the contract term as the customer receives and consumes the benefits of these services.</w:t>
      </w:r>
    </w:p>
    <w:p>
      <w:pPr>
        <w:spacing w:after="0" w:line="155" w:lineRule="exact"/>
        <w:rPr>
          <w:sz w:val="20"/>
          <w:szCs w:val="20"/>
          <w:color w:val="auto"/>
        </w:rPr>
      </w:pPr>
    </w:p>
    <w:p>
      <w:pPr>
        <w:ind w:right="40" w:firstLine="468"/>
        <w:spacing w:after="0" w:line="289" w:lineRule="auto"/>
        <w:rPr>
          <w:sz w:val="20"/>
          <w:szCs w:val="20"/>
          <w:color w:val="auto"/>
        </w:rPr>
      </w:pPr>
      <w:r>
        <w:rPr>
          <w:rFonts w:ascii="Times New Roman" w:cs="Times New Roman" w:eastAsia="Times New Roman" w:hAnsi="Times New Roman"/>
          <w:sz w:val="14"/>
          <w:szCs w:val="14"/>
          <w:color w:val="auto"/>
        </w:rPr>
        <w:t>Revenues from the sale of professional services include information technology (IT) and information technology enabled (ITE) services. We provide professional services, which include project managers, specialists and engineers, recommending, designing and implementing IT solutions. We are primarily responsible for the fulfillment and acceptability of the professional services and have control over how to provide the requested services. As a result, we are the principal, and professional services revenue is recognized on a gross basis ratably over the contract term as the customer receives and consumes the benefits of these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96"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7" w:lineRule="exact"/>
        <w:rPr>
          <w:sz w:val="20"/>
          <w:szCs w:val="20"/>
          <w:color w:val="auto"/>
        </w:rPr>
      </w:pPr>
    </w:p>
    <w:p>
      <w:pPr>
        <w:ind w:left="480" w:right="36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Cost of revenues</w:t>
      </w:r>
      <w:r>
        <w:rPr>
          <w:rFonts w:ascii="Times New Roman" w:cs="Times New Roman" w:eastAsia="Times New Roman" w:hAnsi="Times New Roman"/>
          <w:sz w:val="16"/>
          <w:szCs w:val="16"/>
          <w:color w:val="auto"/>
        </w:rPr>
        <w:t>: Our cost of revenues consists primarily of expenses incurred directly in relation to the earning of revenue such as payroll and benefits for employees and consultants performing professional services and partner’s fees.</w:t>
      </w:r>
    </w:p>
    <w:p>
      <w:pPr>
        <w:spacing w:after="0" w:line="54" w:lineRule="exact"/>
        <w:rPr>
          <w:sz w:val="20"/>
          <w:szCs w:val="20"/>
          <w:color w:val="auto"/>
        </w:rPr>
      </w:pPr>
    </w:p>
    <w:p>
      <w:pPr>
        <w:ind w:left="480" w:right="26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Sales and marketing</w:t>
      </w:r>
      <w:r>
        <w:rPr>
          <w:rFonts w:ascii="Times New Roman" w:cs="Times New Roman" w:eastAsia="Times New Roman" w:hAnsi="Times New Roman"/>
          <w:sz w:val="16"/>
          <w:szCs w:val="16"/>
          <w:color w:val="auto"/>
        </w:rPr>
        <w:t>: Costs primarily consist of advertising and publicity expenses, consulting fees as well as salaries, pension contributions and share-based compensation for sales and marketing employees.</w:t>
      </w:r>
    </w:p>
    <w:p>
      <w:pPr>
        <w:spacing w:after="0" w:line="54" w:lineRule="exact"/>
        <w:rPr>
          <w:sz w:val="20"/>
          <w:szCs w:val="20"/>
          <w:color w:val="auto"/>
        </w:rPr>
      </w:pPr>
    </w:p>
    <w:p>
      <w:pPr>
        <w:ind w:left="480" w:right="10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General and administrative</w:t>
      </w:r>
      <w:r>
        <w:rPr>
          <w:rFonts w:ascii="Times New Roman" w:cs="Times New Roman" w:eastAsia="Times New Roman" w:hAnsi="Times New Roman"/>
          <w:sz w:val="16"/>
          <w:szCs w:val="16"/>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6" w:lineRule="exact"/>
        <w:rPr>
          <w:sz w:val="20"/>
          <w:szCs w:val="20"/>
          <w:color w:val="auto"/>
        </w:rPr>
      </w:pPr>
    </w:p>
    <w:p>
      <w:pPr>
        <w:ind w:left="480" w:right="1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primarily consists of amortization of software and acquired information technology intangible assets as well as depreciation of fixed tangible assets.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Other operating expenses</w:t>
      </w:r>
      <w:r>
        <w:rPr>
          <w:rFonts w:ascii="Times New Roman" w:cs="Times New Roman" w:eastAsia="Times New Roman" w:hAnsi="Times New Roman"/>
          <w:sz w:val="16"/>
          <w:szCs w:val="16"/>
          <w:color w:val="auto"/>
        </w:rPr>
        <w:t>: consists primarily of impairment charges on financial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Interest expense consists primarily of costs associated with short term and long term debt and convertible debt.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Non-Operating Income (Expense)</w:t>
      </w:r>
    </w:p>
    <w:p>
      <w:pPr>
        <w:spacing w:after="0" w:line="96"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Other non-operating income/ (expense), net consists primarily of foreign exchange gains and losses. Foreign exchange loss primarily consists of the revaluation of local currency bank ledger balances not denominated in U.S. dollars.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w:t>
      </w:r>
    </w:p>
    <w:p>
      <w:pPr>
        <w:spacing w:after="0" w:line="96"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Results of Operations for the six months ended six months ended June 30, 2025 and 2024</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tables set forth our consolidated statements of operations for the six months ended June 30,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3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7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300" w:type="dxa"/>
            <w:vAlign w:val="bottom"/>
            <w:vMerge w:val="restart"/>
          </w:tcPr>
          <w:p>
            <w:pPr>
              <w:jc w:val="right"/>
              <w:ind w:right="8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3000" w:type="dxa"/>
            <w:vAlign w:val="bottom"/>
            <w:shd w:val="clear" w:color="auto" w:fill="CFF0FC"/>
          </w:tcPr>
          <w:p>
            <w:pPr>
              <w:jc w:val="right"/>
              <w:ind w:right="116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6,316,950</w:t>
            </w:r>
          </w:p>
        </w:tc>
        <w:tc>
          <w:tcPr>
            <w:tcW w:w="900" w:type="dxa"/>
            <w:vAlign w:val="bottom"/>
            <w:shd w:val="clear" w:color="auto" w:fill="CFF0FC"/>
          </w:tcPr>
          <w:p>
            <w:pPr>
              <w:jc w:val="right"/>
              <w:ind w:right="7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1,202,014</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3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Cost of revenue</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276,049</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78,413</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 expenses</w:t>
            </w:r>
          </w:p>
        </w:tc>
        <w:tc>
          <w:tcPr>
            <w:tcW w:w="3000" w:type="dxa"/>
            <w:vAlign w:val="bottom"/>
          </w:tcPr>
          <w:p>
            <w:pPr>
              <w:spacing w:after="0"/>
              <w:rPr>
                <w:sz w:val="15"/>
                <w:szCs w:val="15"/>
                <w:color w:val="auto"/>
              </w:rPr>
            </w:pPr>
          </w:p>
        </w:tc>
        <w:tc>
          <w:tcPr>
            <w:tcW w:w="8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3,619,675</w:t>
            </w:r>
          </w:p>
        </w:tc>
        <w:tc>
          <w:tcPr>
            <w:tcW w:w="900" w:type="dxa"/>
            <w:vAlign w:val="bottom"/>
          </w:tcPr>
          <w:p>
            <w:pPr>
              <w:spacing w:after="0"/>
              <w:rPr>
                <w:sz w:val="15"/>
                <w:szCs w:val="15"/>
                <w:color w:val="auto"/>
              </w:rPr>
            </w:pPr>
          </w:p>
        </w:tc>
        <w:tc>
          <w:tcPr>
            <w:tcW w:w="13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1,662,048</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33,263,730</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8,972,450</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3000" w:type="dxa"/>
            <w:vAlign w:val="bottom"/>
          </w:tcPr>
          <w:p>
            <w:pPr>
              <w:spacing w:after="0"/>
              <w:rPr>
                <w:sz w:val="15"/>
                <w:szCs w:val="15"/>
                <w:color w:val="auto"/>
              </w:rPr>
            </w:pPr>
          </w:p>
        </w:tc>
        <w:tc>
          <w:tcPr>
            <w:tcW w:w="8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31,236</w:t>
            </w:r>
          </w:p>
        </w:tc>
        <w:tc>
          <w:tcPr>
            <w:tcW w:w="900" w:type="dxa"/>
            <w:vAlign w:val="bottom"/>
          </w:tcPr>
          <w:p>
            <w:pPr>
              <w:spacing w:after="0"/>
              <w:rPr>
                <w:sz w:val="15"/>
                <w:szCs w:val="15"/>
                <w:color w:val="auto"/>
              </w:rPr>
            </w:pPr>
          </w:p>
        </w:tc>
        <w:tc>
          <w:tcPr>
            <w:tcW w:w="13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84,500</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 expenses</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1,550,777</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121,895</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000" w:type="dxa"/>
            <w:vAlign w:val="bottom"/>
          </w:tcPr>
          <w:p>
            <w:pPr>
              <w:jc w:val="right"/>
              <w:ind w:right="116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b w:val="1"/>
                <w:bCs w:val="1"/>
                <w:color w:val="auto"/>
              </w:rPr>
              <w:t>38,741,467</w:t>
            </w:r>
          </w:p>
        </w:tc>
        <w:tc>
          <w:tcPr>
            <w:tcW w:w="90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b w:val="1"/>
                <w:bCs w:val="1"/>
                <w:color w:val="auto"/>
              </w:rPr>
              <w:t>10,919,306</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loss</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(32,424,517)</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(9,717,292)</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(expense)/income</w:t>
            </w:r>
          </w:p>
        </w:tc>
        <w:tc>
          <w:tcPr>
            <w:tcW w:w="3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(2,109,570)</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(3,008,131)</w:t>
            </w:r>
          </w:p>
        </w:tc>
        <w:tc>
          <w:tcPr>
            <w:tcW w:w="0" w:type="dxa"/>
            <w:vAlign w:val="bottom"/>
          </w:tcPr>
          <w:p>
            <w:pPr>
              <w:spacing w:after="0"/>
              <w:rPr>
                <w:sz w:val="1"/>
                <w:szCs w:val="1"/>
                <w:color w:val="auto"/>
              </w:rPr>
            </w:pPr>
          </w:p>
        </w:tc>
      </w:tr>
      <w:tr>
        <w:trPr>
          <w:trHeight w:val="180"/>
        </w:trPr>
        <w:tc>
          <w:tcPr>
            <w:tcW w:w="44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Gain/(loss) on derivatives</w:t>
            </w:r>
          </w:p>
        </w:tc>
        <w:tc>
          <w:tcPr>
            <w:tcW w:w="30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(1,521,136)</w:t>
            </w:r>
          </w:p>
        </w:tc>
        <w:tc>
          <w:tcPr>
            <w:tcW w:w="900" w:type="dxa"/>
            <w:vAlign w:val="bottom"/>
          </w:tcPr>
          <w:p>
            <w:pPr>
              <w:spacing w:after="0"/>
              <w:rPr>
                <w:sz w:val="15"/>
                <w:szCs w:val="15"/>
                <w:color w:val="auto"/>
              </w:rPr>
            </w:pPr>
          </w:p>
        </w:tc>
        <w:tc>
          <w:tcPr>
            <w:tcW w:w="13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Gain/(loss) on extinguishment</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(27,183,375)</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Gain/(loss) on revaluation of financial asset</w:t>
            </w:r>
          </w:p>
        </w:tc>
        <w:tc>
          <w:tcPr>
            <w:tcW w:w="3000" w:type="dxa"/>
            <w:vAlign w:val="bottom"/>
          </w:tcPr>
          <w:p>
            <w:pPr>
              <w:spacing w:after="0"/>
              <w:rPr>
                <w:sz w:val="15"/>
                <w:szCs w:val="15"/>
                <w:color w:val="auto"/>
              </w:rPr>
            </w:pPr>
          </w:p>
        </w:tc>
        <w:tc>
          <w:tcPr>
            <w:tcW w:w="8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5,710,714</w:t>
            </w:r>
          </w:p>
        </w:tc>
        <w:tc>
          <w:tcPr>
            <w:tcW w:w="900" w:type="dxa"/>
            <w:vAlign w:val="bottom"/>
          </w:tcPr>
          <w:p>
            <w:pPr>
              <w:spacing w:after="0"/>
              <w:rPr>
                <w:sz w:val="15"/>
                <w:szCs w:val="15"/>
                <w:color w:val="auto"/>
              </w:rPr>
            </w:pPr>
          </w:p>
        </w:tc>
        <w:tc>
          <w:tcPr>
            <w:tcW w:w="13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non-operating income (expense), net</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169,613</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(98,818)</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3000" w:type="dxa"/>
            <w:vAlign w:val="bottom"/>
          </w:tcPr>
          <w:p>
            <w:pPr>
              <w:jc w:val="right"/>
              <w:ind w:right="116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(24,933,754)</w:t>
            </w:r>
          </w:p>
        </w:tc>
        <w:tc>
          <w:tcPr>
            <w:tcW w:w="90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(3,106,949)</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before taxes</w:t>
            </w:r>
          </w:p>
        </w:tc>
        <w:tc>
          <w:tcPr>
            <w:tcW w:w="30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(57,358,271)</w:t>
            </w: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(12,824,241)</w:t>
            </w:r>
          </w:p>
        </w:tc>
        <w:tc>
          <w:tcPr>
            <w:tcW w:w="0" w:type="dxa"/>
            <w:vAlign w:val="bottom"/>
          </w:tcPr>
          <w:p>
            <w:pPr>
              <w:spacing w:after="0"/>
              <w:rPr>
                <w:sz w:val="1"/>
                <w:szCs w:val="1"/>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30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(494,247)</w:t>
            </w:r>
          </w:p>
        </w:tc>
        <w:tc>
          <w:tcPr>
            <w:tcW w:w="90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(142,856)</w:t>
            </w:r>
          </w:p>
        </w:tc>
        <w:tc>
          <w:tcPr>
            <w:tcW w:w="0" w:type="dxa"/>
            <w:vAlign w:val="bottom"/>
          </w:tcPr>
          <w:p>
            <w:pPr>
              <w:spacing w:after="0"/>
              <w:rPr>
                <w:sz w:val="1"/>
                <w:szCs w:val="1"/>
                <w:color w:val="auto"/>
              </w:rPr>
            </w:pP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 for the period</w:t>
            </w:r>
          </w:p>
        </w:tc>
        <w:tc>
          <w:tcPr>
            <w:tcW w:w="3000" w:type="dxa"/>
            <w:vAlign w:val="bottom"/>
            <w:shd w:val="clear" w:color="auto" w:fill="CFF0FC"/>
          </w:tcPr>
          <w:p>
            <w:pPr>
              <w:jc w:val="right"/>
              <w:ind w:right="116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(57,852,518)</w:t>
            </w:r>
          </w:p>
        </w:tc>
        <w:tc>
          <w:tcPr>
            <w:tcW w:w="900" w:type="dxa"/>
            <w:vAlign w:val="bottom"/>
            <w:shd w:val="clear" w:color="auto" w:fill="CFF0FC"/>
          </w:tcPr>
          <w:p>
            <w:pPr>
              <w:jc w:val="right"/>
              <w:ind w:right="7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(12,967,097)</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six months ended June 30, 2025 and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shows total revenues for the six months ended June 30, 2025, as compared to the six months ended June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0" w:type="dxa"/>
            <w:vAlign w:val="bottom"/>
            <w:gridSpan w:val="2"/>
          </w:tcPr>
          <w:p>
            <w:pPr>
              <w:jc w:val="center"/>
              <w:ind w:left="491"/>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24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0" w:type="dxa"/>
            <w:vAlign w:val="bottom"/>
            <w:gridSpan w:val="2"/>
          </w:tcPr>
          <w:p>
            <w:pPr>
              <w:jc w:val="center"/>
              <w:ind w:left="49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spacing w:after="0"/>
              <w:rPr>
                <w:sz w:val="13"/>
                <w:szCs w:val="13"/>
                <w:color w:val="auto"/>
              </w:rPr>
            </w:pPr>
          </w:p>
        </w:tc>
      </w:tr>
      <w:tr>
        <w:trPr>
          <w:trHeight w:val="170"/>
        </w:trPr>
        <w:tc>
          <w:tcPr>
            <w:tcW w:w="2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Pr>
          <w:p>
            <w:pPr>
              <w:spacing w:after="0"/>
              <w:rPr>
                <w:sz w:val="14"/>
                <w:szCs w:val="14"/>
                <w:color w:val="auto"/>
              </w:rPr>
            </w:pPr>
          </w:p>
        </w:tc>
        <w:tc>
          <w:tcPr>
            <w:tcW w:w="102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4"/>
                <w:szCs w:val="14"/>
                <w:color w:val="auto"/>
              </w:rPr>
            </w:pPr>
          </w:p>
        </w:tc>
        <w:tc>
          <w:tcPr>
            <w:tcW w:w="1480" w:type="dxa"/>
            <w:vAlign w:val="bottom"/>
          </w:tcPr>
          <w:p>
            <w:pPr>
              <w:jc w:val="right"/>
              <w:ind w:right="103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628"/>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0"/>
        </w:trPr>
        <w:tc>
          <w:tcPr>
            <w:tcW w:w="2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224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1"/>
              <w:spacing w:after="0" w:line="180" w:lineRule="exact"/>
              <w:rPr>
                <w:sz w:val="20"/>
                <w:szCs w:val="20"/>
                <w:color w:val="auto"/>
              </w:rPr>
            </w:pPr>
            <w:r>
              <w:rPr>
                <w:rFonts w:ascii="Times New Roman" w:cs="Times New Roman" w:eastAsia="Times New Roman" w:hAnsi="Times New Roman"/>
                <w:sz w:val="16"/>
                <w:szCs w:val="16"/>
                <w:color w:val="auto"/>
              </w:rPr>
              <w:t>6,316,950</w:t>
            </w:r>
          </w:p>
        </w:tc>
        <w:tc>
          <w:tcPr>
            <w:tcW w:w="62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1,202,014</w:t>
            </w:r>
          </w:p>
        </w:tc>
        <w:tc>
          <w:tcPr>
            <w:tcW w:w="50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30"/>
              <w:spacing w:after="0" w:line="180" w:lineRule="exact"/>
              <w:rPr>
                <w:sz w:val="20"/>
                <w:szCs w:val="20"/>
                <w:color w:val="auto"/>
              </w:rPr>
            </w:pPr>
            <w:r>
              <w:rPr>
                <w:rFonts w:ascii="Times New Roman" w:cs="Times New Roman" w:eastAsia="Times New Roman" w:hAnsi="Times New Roman"/>
                <w:sz w:val="16"/>
                <w:szCs w:val="16"/>
                <w:color w:val="auto"/>
              </w:rPr>
              <w:t>5,114,936</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426%</w:t>
            </w:r>
          </w:p>
        </w:tc>
      </w:tr>
    </w:tbl>
    <w:p>
      <w:pPr>
        <w:spacing w:after="0" w:line="215" w:lineRule="exact"/>
        <w:rPr>
          <w:sz w:val="20"/>
          <w:szCs w:val="20"/>
          <w:color w:val="auto"/>
        </w:rPr>
      </w:pPr>
    </w:p>
    <w:p>
      <w:pPr>
        <w:ind w:right="40" w:firstLine="468"/>
        <w:spacing w:after="0" w:line="247" w:lineRule="auto"/>
        <w:rPr>
          <w:sz w:val="20"/>
          <w:szCs w:val="20"/>
          <w:color w:val="auto"/>
        </w:rPr>
      </w:pPr>
      <w:r>
        <w:rPr>
          <w:rFonts w:ascii="Times New Roman" w:cs="Times New Roman" w:eastAsia="Times New Roman" w:hAnsi="Times New Roman"/>
          <w:sz w:val="16"/>
          <w:szCs w:val="16"/>
          <w:color w:val="auto"/>
        </w:rPr>
        <w:t>The increase in revenue from $ 1,202,014 for the six months ended June 30, 2024 as compared to $6,316,950 for the six months ended June 30, 2025 is driven by an increase in revenue generated from cloud-based software solutions, which include the SaaS (software as a service) products such as search experience tools and geofencing software.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shows operating expenses for the six months ended June 30, 2025, as compared to the six months ended June 30,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40" w:type="dxa"/>
            <w:vAlign w:val="bottom"/>
          </w:tcPr>
          <w:p>
            <w:pPr>
              <w:spacing w:after="0"/>
              <w:rPr>
                <w:sz w:val="13"/>
                <w:szCs w:val="13"/>
                <w:color w:val="auto"/>
              </w:rPr>
            </w:pPr>
          </w:p>
        </w:tc>
      </w:tr>
      <w:tr>
        <w:trPr>
          <w:trHeight w:val="170"/>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4"/>
                <w:szCs w:val="14"/>
                <w:color w:val="auto"/>
              </w:rPr>
            </w:pPr>
          </w:p>
        </w:tc>
        <w:tc>
          <w:tcPr>
            <w:tcW w:w="104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276,049</w:t>
            </w:r>
          </w:p>
        </w:tc>
        <w:tc>
          <w:tcPr>
            <w:tcW w:w="480" w:type="dxa"/>
            <w:vAlign w:val="bottom"/>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78,413</w:t>
            </w:r>
          </w:p>
        </w:tc>
        <w:tc>
          <w:tcPr>
            <w:tcW w:w="200" w:type="dxa"/>
            <w:vAlign w:val="bottom"/>
          </w:tcPr>
          <w:p>
            <w:pPr>
              <w:spacing w:after="0"/>
              <w:rPr>
                <w:sz w:val="15"/>
                <w:szCs w:val="15"/>
                <w:color w:val="auto"/>
              </w:rPr>
            </w:pP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197,636</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252%</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 expenses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3,619,675</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1,662,048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1,957,627</w:t>
            </w:r>
          </w:p>
        </w:tc>
        <w:tc>
          <w:tcPr>
            <w:tcW w:w="4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33,263,730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8,972,450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24,291,280</w:t>
            </w:r>
          </w:p>
        </w:tc>
        <w:tc>
          <w:tcPr>
            <w:tcW w:w="4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271%</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31,236</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84,500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(53,264)</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 expenses</w:t>
            </w:r>
          </w:p>
        </w:tc>
        <w:tc>
          <w:tcPr>
            <w:tcW w:w="3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1,550,777</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121,895</w:t>
            </w:r>
          </w:p>
        </w:tc>
        <w:tc>
          <w:tcPr>
            <w:tcW w:w="3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1,428,882</w:t>
            </w:r>
          </w:p>
        </w:tc>
        <w:tc>
          <w:tcPr>
            <w:tcW w:w="4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1,172%</w:t>
            </w:r>
          </w:p>
        </w:tc>
      </w:tr>
      <w:tr>
        <w:trPr>
          <w:trHeight w:val="220"/>
        </w:trPr>
        <w:tc>
          <w:tcPr>
            <w:tcW w:w="478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20" w:type="dxa"/>
            <w:vAlign w:val="bottom"/>
            <w:tcBorders>
              <w:bottom w:val="single" w:sz="8" w:color="auto"/>
            </w:tcBorders>
            <w:shd w:val="clear" w:color="auto" w:fill="CFF0FC"/>
          </w:tcPr>
          <w:p>
            <w:pPr>
              <w:jc w:val="right"/>
              <w:ind w:right="16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38,741,467</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10,919,306</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27,822,161</w:t>
            </w:r>
          </w:p>
        </w:tc>
        <w:tc>
          <w:tcPr>
            <w:tcW w:w="4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255%</w:t>
            </w:r>
          </w:p>
        </w:tc>
      </w:tr>
      <w:tr>
        <w:trPr>
          <w:trHeight w:val="864"/>
        </w:trPr>
        <w:tc>
          <w:tcPr>
            <w:tcW w:w="47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i w:val="1"/>
          <w:iCs w:val="1"/>
          <w:color w:val="auto"/>
        </w:rPr>
        <w:t>Cost of Revenues</w:t>
      </w:r>
    </w:p>
    <w:p>
      <w:pPr>
        <w:spacing w:after="0" w:line="94"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16"/>
          <w:szCs w:val="16"/>
          <w:color w:val="auto"/>
        </w:rPr>
        <w:t>Cost of revenues increased from $78,413 for the six months ended June 30, 2024 compared to $276,049 for the six months ended June 30, 2025 primarily due to increased sales during the six months ended June 30, 2025 and therefore increased expenses incurred directly in relation to the earning of this revenue such as payroll and benefits for employees and consultants performing professional services and partner’s fees.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Marketing Expenses</w:t>
      </w:r>
    </w:p>
    <w:p>
      <w:pPr>
        <w:spacing w:after="0" w:line="94" w:lineRule="exact"/>
        <w:rPr>
          <w:sz w:val="20"/>
          <w:szCs w:val="20"/>
          <w:color w:val="auto"/>
        </w:rPr>
      </w:pPr>
    </w:p>
    <w:p>
      <w:pPr>
        <w:ind w:right="340" w:firstLine="468"/>
        <w:spacing w:after="0" w:line="247" w:lineRule="auto"/>
        <w:rPr>
          <w:sz w:val="20"/>
          <w:szCs w:val="20"/>
          <w:color w:val="auto"/>
        </w:rPr>
      </w:pPr>
      <w:r>
        <w:rPr>
          <w:rFonts w:ascii="Times New Roman" w:cs="Times New Roman" w:eastAsia="Times New Roman" w:hAnsi="Times New Roman"/>
          <w:sz w:val="16"/>
          <w:szCs w:val="16"/>
          <w:color w:val="auto"/>
        </w:rPr>
        <w:t>Sales and marketing expenses increased by $1.96 million for the six months ended June 30, 2025 compared to the six months ended June 30, 2024. This was primarily due an increase in advertising and publicity expense, employee salaries and benefits and consultancy charges to attributable to business growth and the acquisitions completed during the six months ended June 30, 2025.</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94"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General and Administrative expenses increased by $24.29 million for the six months ended June 30, 2025 compared to the six months ended June 30, 2024. This was primarily due an increase employee salaries and benefits and consultancy charges to attributable to business growth and the acquisitions completed during the six months ended June 30, 2025.</w:t>
      </w:r>
    </w:p>
    <w:p>
      <w:pPr>
        <w:spacing w:after="0" w:line="68" w:lineRule="exact"/>
        <w:rPr>
          <w:sz w:val="20"/>
          <w:szCs w:val="20"/>
          <w:color w:val="auto"/>
        </w:rPr>
      </w:pPr>
    </w:p>
    <w:p>
      <w:pPr>
        <w:jc w:val="both"/>
        <w:ind w:right="120" w:firstLine="468"/>
        <w:spacing w:after="0" w:line="289" w:lineRule="auto"/>
        <w:rPr>
          <w:sz w:val="20"/>
          <w:szCs w:val="20"/>
          <w:color w:val="auto"/>
        </w:rPr>
      </w:pPr>
      <w:r>
        <w:rPr>
          <w:rFonts w:ascii="Times New Roman" w:cs="Times New Roman" w:eastAsia="Times New Roman" w:hAnsi="Times New Roman"/>
          <w:sz w:val="14"/>
          <w:szCs w:val="14"/>
          <w:color w:val="auto"/>
        </w:rPr>
        <w:t>Legal and professional fees increased during the six months ended June 30, 2025 as compared to the six months ended June 30, 2024 due to transaction-related legal costs associated with our recent acquisition activities; legal costs incurred in connection with the Company’s SPAC transaction; legal and regulatory advisory fees incurred in connection with periodic SEC filings, corporate governance matters, and ongoing compliance efforts; and litigation -related legal expenses. These legal and professional costs are expected to fluctuate in future periods based on the level of acquisition activity, regulatory requirements, and the status of ongoing legal matters.</w:t>
      </w:r>
    </w:p>
    <w:p>
      <w:pPr>
        <w:spacing w:after="0" w:line="41"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An increase in share-based payments expense related to the vesting of share options granted to employees in prior periods, as well as fully vested share options granted to DBLP Sea Cow Ltd during the six months ended June 30, 2025, also contributed to the increase in general and administrative expenses during the six months ended June 30, 2025 as compared to the six months ended June 30, 2024.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Depreciation and Amortization Expenses</w:t>
      </w:r>
    </w:p>
    <w:p>
      <w:pPr>
        <w:spacing w:after="0" w:line="94" w:lineRule="exact"/>
        <w:rPr>
          <w:sz w:val="20"/>
          <w:szCs w:val="20"/>
          <w:color w:val="auto"/>
        </w:rPr>
      </w:pPr>
    </w:p>
    <w:p>
      <w:pPr>
        <w:jc w:val="both"/>
        <w:ind w:right="80" w:firstLine="468"/>
        <w:spacing w:after="0" w:line="247" w:lineRule="auto"/>
        <w:rPr>
          <w:sz w:val="20"/>
          <w:szCs w:val="20"/>
          <w:color w:val="auto"/>
        </w:rPr>
      </w:pPr>
      <w:r>
        <w:rPr>
          <w:rFonts w:ascii="Times New Roman" w:cs="Times New Roman" w:eastAsia="Times New Roman" w:hAnsi="Times New Roman"/>
          <w:sz w:val="16"/>
          <w:szCs w:val="16"/>
          <w:color w:val="auto"/>
        </w:rPr>
        <w:t>Depreciation and amortization expenses increased from $121,895 for the six months ended June 30, 2024 to $ 1,550,777 for the six months ended June 30, 2025. This was primarily due to the increase in amortization expense recognized on intangible assets acquired in business combinations during the six months ended June 30, 2025</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and Expenses</w:t>
      </w:r>
    </w:p>
    <w:p>
      <w:pPr>
        <w:spacing w:after="0" w:line="94" w:lineRule="exact"/>
        <w:rPr>
          <w:sz w:val="20"/>
          <w:szCs w:val="20"/>
          <w:color w:val="auto"/>
        </w:rPr>
      </w:pPr>
    </w:p>
    <w:p>
      <w:pPr>
        <w:ind w:right="400" w:firstLine="468"/>
        <w:spacing w:after="0" w:line="259" w:lineRule="auto"/>
        <w:rPr>
          <w:sz w:val="20"/>
          <w:szCs w:val="20"/>
          <w:color w:val="auto"/>
        </w:rPr>
      </w:pPr>
      <w:r>
        <w:rPr>
          <w:rFonts w:ascii="Times New Roman" w:cs="Times New Roman" w:eastAsia="Times New Roman" w:hAnsi="Times New Roman"/>
          <w:sz w:val="16"/>
          <w:szCs w:val="16"/>
          <w:color w:val="auto"/>
        </w:rPr>
        <w:t>The following shows interest expense and other non-operating income and expenses for the six months ended June 30, 2025, as compared to the six months ended June 30,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4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40" w:type="dxa"/>
            <w:vAlign w:val="bottom"/>
          </w:tcPr>
          <w:p>
            <w:pPr>
              <w:spacing w:after="0"/>
              <w:rPr>
                <w:sz w:val="13"/>
                <w:szCs w:val="13"/>
                <w:color w:val="auto"/>
              </w:rPr>
            </w:pPr>
          </w:p>
        </w:tc>
      </w:tr>
      <w:tr>
        <w:trPr>
          <w:trHeight w:val="170"/>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567"/>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4"/>
                <w:szCs w:val="14"/>
                <w:color w:val="auto"/>
              </w:rPr>
            </w:pPr>
          </w:p>
        </w:tc>
        <w:tc>
          <w:tcPr>
            <w:tcW w:w="1140" w:type="dxa"/>
            <w:vAlign w:val="bottom"/>
          </w:tcPr>
          <w:p>
            <w:pPr>
              <w:jc w:val="right"/>
              <w:ind w:right="66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(expense) income</w:t>
            </w:r>
          </w:p>
        </w:tc>
        <w:tc>
          <w:tcPr>
            <w:tcW w:w="3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0"/>
        </w:trPr>
        <w:tc>
          <w:tcPr>
            <w:tcW w:w="40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(2,109,570)</w:t>
            </w:r>
          </w:p>
        </w:tc>
        <w:tc>
          <w:tcPr>
            <w:tcW w:w="60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(3,008,131)</w:t>
            </w:r>
          </w:p>
        </w:tc>
        <w:tc>
          <w:tcPr>
            <w:tcW w:w="4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898,561</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40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derivatives</w:t>
            </w:r>
          </w:p>
        </w:tc>
        <w:tc>
          <w:tcPr>
            <w:tcW w:w="3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(1,521,136)</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(1,521,136)</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r>
      <w:tr>
        <w:trPr>
          <w:trHeight w:val="180"/>
        </w:trPr>
        <w:tc>
          <w:tcPr>
            <w:tcW w:w="40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extinguishment</w:t>
            </w:r>
          </w:p>
        </w:tc>
        <w:tc>
          <w:tcPr>
            <w:tcW w:w="36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(27,183,375)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(27,183,375)</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r>
      <w:tr>
        <w:trPr>
          <w:trHeight w:val="180"/>
        </w:trPr>
        <w:tc>
          <w:tcPr>
            <w:tcW w:w="40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revaluation of financial asset</w:t>
            </w:r>
          </w:p>
        </w:tc>
        <w:tc>
          <w:tcPr>
            <w:tcW w:w="3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5,710,714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5,710,714</w:t>
            </w:r>
          </w:p>
        </w:tc>
        <w:tc>
          <w:tcPr>
            <w:tcW w:w="5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r>
      <w:tr>
        <w:trPr>
          <w:trHeight w:val="180"/>
        </w:trPr>
        <w:tc>
          <w:tcPr>
            <w:tcW w:w="40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non-operating income (expense), net</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169,613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(98,818)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268,431</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-272%</w:t>
            </w:r>
          </w:p>
        </w:tc>
      </w:tr>
      <w:tr>
        <w:trPr>
          <w:trHeight w:val="23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gridSpan w:val="2"/>
            <w:shd w:val="clear" w:color="auto" w:fill="CFF0FC"/>
          </w:tcPr>
          <w:p>
            <w:pPr>
              <w:jc w:val="right"/>
              <w:ind w:right="100"/>
              <w:spacing w:after="0" w:line="197" w:lineRule="exact"/>
              <w:rPr>
                <w:sz w:val="20"/>
                <w:szCs w:val="20"/>
                <w:color w:val="auto"/>
              </w:rPr>
            </w:pPr>
            <w:r>
              <w:rPr>
                <w:rFonts w:ascii="Times New Roman" w:cs="Times New Roman" w:eastAsia="Times New Roman" w:hAnsi="Times New Roman"/>
                <w:sz w:val="12"/>
                <w:szCs w:val="12"/>
                <w:b w:val="1"/>
                <w:bCs w:val="1"/>
                <w:color w:val="auto"/>
              </w:rPr>
              <w:t>(24,933,754</w:t>
            </w:r>
            <w:r>
              <w:rPr>
                <w:rFonts w:ascii="Times New Roman" w:cs="Times New Roman" w:eastAsia="Times New Roman" w:hAnsi="Times New Roman"/>
                <w:sz w:val="22"/>
                <w:szCs w:val="22"/>
                <w:b w:val="1"/>
                <w:bCs w:val="1"/>
                <w:color w:val="auto"/>
                <w:vertAlign w:val="subscript"/>
              </w:rPr>
              <w:t>)</w:t>
            </w:r>
          </w:p>
        </w:tc>
        <w:tc>
          <w:tcPr>
            <w:tcW w:w="6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FF0FC"/>
          </w:tcPr>
          <w:p>
            <w:pPr>
              <w:jc w:val="right"/>
              <w:ind w:right="100"/>
              <w:spacing w:after="0" w:line="197" w:lineRule="exact"/>
              <w:rPr>
                <w:sz w:val="20"/>
                <w:szCs w:val="20"/>
                <w:color w:val="auto"/>
              </w:rPr>
            </w:pPr>
            <w:r>
              <w:rPr>
                <w:rFonts w:ascii="Times New Roman" w:cs="Times New Roman" w:eastAsia="Times New Roman" w:hAnsi="Times New Roman"/>
                <w:sz w:val="12"/>
                <w:szCs w:val="12"/>
                <w:b w:val="1"/>
                <w:bCs w:val="1"/>
                <w:color w:val="auto"/>
              </w:rPr>
              <w:t>(3,106,949</w:t>
            </w:r>
            <w:r>
              <w:rPr>
                <w:rFonts w:ascii="Times New Roman" w:cs="Times New Roman" w:eastAsia="Times New Roman" w:hAnsi="Times New Roman"/>
                <w:sz w:val="22"/>
                <w:szCs w:val="22"/>
                <w:b w:val="1"/>
                <w:bCs w:val="1"/>
                <w:color w:val="auto"/>
                <w:vertAlign w:val="subscript"/>
              </w:rPr>
              <w:t>)</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gridSpan w:val="2"/>
            <w:shd w:val="clear" w:color="auto" w:fill="CFF0FC"/>
          </w:tcPr>
          <w:p>
            <w:pPr>
              <w:jc w:val="right"/>
              <w:ind w:right="480"/>
              <w:spacing w:after="0" w:line="197" w:lineRule="exact"/>
              <w:rPr>
                <w:sz w:val="20"/>
                <w:szCs w:val="20"/>
                <w:color w:val="auto"/>
              </w:rPr>
            </w:pPr>
            <w:r>
              <w:rPr>
                <w:rFonts w:ascii="Times New Roman" w:cs="Times New Roman" w:eastAsia="Times New Roman" w:hAnsi="Times New Roman"/>
                <w:sz w:val="12"/>
                <w:szCs w:val="12"/>
                <w:b w:val="1"/>
                <w:bCs w:val="1"/>
                <w:color w:val="auto"/>
              </w:rPr>
              <w:t>(21,826,805</w:t>
            </w:r>
            <w:r>
              <w:rPr>
                <w:rFonts w:ascii="Times New Roman" w:cs="Times New Roman" w:eastAsia="Times New Roman" w:hAnsi="Times New Roman"/>
                <w:sz w:val="22"/>
                <w:szCs w:val="22"/>
                <w:b w:val="1"/>
                <w:bCs w:val="1"/>
                <w:color w:val="auto"/>
                <w:vertAlign w:val="subscript"/>
              </w:rPr>
              <w:t>)</w:t>
            </w:r>
          </w:p>
        </w:tc>
        <w:tc>
          <w:tcPr>
            <w:tcW w:w="1140" w:type="dxa"/>
            <w:vAlign w:val="bottom"/>
            <w:shd w:val="clear" w:color="auto" w:fill="CFF0FC"/>
          </w:tcPr>
          <w:p>
            <w:pPr>
              <w:spacing w:after="0"/>
              <w:rPr>
                <w:sz w:val="20"/>
                <w:szCs w:val="20"/>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180" w:firstLine="468"/>
        <w:spacing w:after="0" w:line="241" w:lineRule="auto"/>
        <w:rPr>
          <w:sz w:val="20"/>
          <w:szCs w:val="20"/>
          <w:color w:val="auto"/>
        </w:rPr>
      </w:pPr>
      <w:r>
        <w:rPr>
          <w:rFonts w:ascii="Times New Roman" w:cs="Times New Roman" w:eastAsia="Times New Roman" w:hAnsi="Times New Roman"/>
          <w:sz w:val="16"/>
          <w:szCs w:val="16"/>
          <w:color w:val="auto"/>
        </w:rPr>
        <w:t>Interest expense decreased by $0.90 million for the six months ended June 30, 2025 compared to the six months ended June 30, 2024. This was primarily due a decrease in the outstanding balance of the convertible debt. On December 27, 2024, 10,840,974 ordinary shares were issued to settle $20,756,439 and $925,510 of interest, respectively, related to the outstanding convertible notes of Apeiron Investment Group. On January 15, 2025 and February 13, 2025, respectively, a further 3,009,849 and 7,987,374 ordinary shares were issued to settle $20,756,439 and $925,510 of principle and interest, respectively, related to the outstanding convertible notes of Bradley Wickens. Refer to the Liquidity and Resources section below for more information.</w:t>
      </w:r>
    </w:p>
    <w:p>
      <w:pPr>
        <w:ind w:right="100" w:firstLine="468"/>
        <w:spacing w:after="0" w:line="247" w:lineRule="auto"/>
        <w:rPr>
          <w:sz w:val="20"/>
          <w:szCs w:val="20"/>
          <w:color w:val="auto"/>
        </w:rPr>
      </w:pPr>
      <w:r>
        <w:rPr>
          <w:rFonts w:ascii="Times New Roman" w:cs="Times New Roman" w:eastAsia="Times New Roman" w:hAnsi="Times New Roman"/>
          <w:sz w:val="16"/>
          <w:szCs w:val="16"/>
          <w:color w:val="auto"/>
        </w:rPr>
        <w:t>The loss on derivatives of $1.52 million is primarily due to the remeasurement of derivative liabilities at fair value through profit and loss. The outstanding derivative liabilities as at June 30, 2025 were triggered by conversion features embedded in promissory notes issued by advisors J.V.B. Financial Group and Northlands Securities. On August 15, 2024, the Company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19" w:right="640" w:bottom="1440" w:gutter="0" w:footer="0" w:header="0"/>
        </w:sectPr>
      </w:pPr>
    </w:p>
    <w:bookmarkStart w:id="49" w:name="page50"/>
    <w:bookmarkEnd w:id="49"/>
    <w:p>
      <w:pPr>
        <w:ind w:right="20"/>
        <w:spacing w:after="0" w:line="280" w:lineRule="auto"/>
        <w:rPr>
          <w:sz w:val="20"/>
          <w:szCs w:val="20"/>
          <w:color w:val="auto"/>
        </w:rPr>
      </w:pPr>
      <w:r>
        <w:rPr>
          <w:rFonts w:ascii="Times New Roman" w:cs="Times New Roman" w:eastAsia="Times New Roman" w:hAnsi="Times New Roman"/>
          <w:sz w:val="14"/>
          <w:szCs w:val="14"/>
          <w:color w:val="auto"/>
        </w:rPr>
        <w:t>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1"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The loss on extinguishment of $27.18 million is primarily due to conversion of the outstanding convertible notes of Bradley Wickens and the settlement of the outstanding debt balance with Western Alliance Bank.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Losses</w:t>
      </w:r>
    </w:p>
    <w:p>
      <w:pPr>
        <w:spacing w:after="0" w:line="96" w:lineRule="exact"/>
        <w:rPr>
          <w:sz w:val="20"/>
          <w:szCs w:val="20"/>
          <w:color w:val="auto"/>
        </w:rPr>
      </w:pPr>
    </w:p>
    <w:p>
      <w:pPr>
        <w:ind w:right="80" w:firstLine="468"/>
        <w:spacing w:after="0" w:line="259" w:lineRule="auto"/>
        <w:rPr>
          <w:sz w:val="20"/>
          <w:szCs w:val="20"/>
          <w:color w:val="auto"/>
        </w:rPr>
      </w:pPr>
      <w:r>
        <w:rPr>
          <w:rFonts w:ascii="Times New Roman" w:cs="Times New Roman" w:eastAsia="Times New Roman" w:hAnsi="Times New Roman"/>
          <w:sz w:val="16"/>
          <w:szCs w:val="16"/>
          <w:color w:val="auto"/>
        </w:rPr>
        <w:t>Operating losses increased to $32.42 million for the six months ended June 30, 2025, as compared to $9.72 million for the six months ended June 30, 2024. This was primarily due to the increase in operating expenses partially offset by the increase in revenue as detailed above.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EBITDA</w:t>
      </w:r>
    </w:p>
    <w:p>
      <w:pPr>
        <w:spacing w:after="0" w:line="96" w:lineRule="exact"/>
        <w:rPr>
          <w:sz w:val="20"/>
          <w:szCs w:val="20"/>
          <w:color w:val="auto"/>
        </w:rPr>
      </w:pPr>
    </w:p>
    <w:p>
      <w:pPr>
        <w:ind w:right="220" w:firstLine="468"/>
        <w:spacing w:after="0" w:line="243" w:lineRule="auto"/>
        <w:rPr>
          <w:sz w:val="20"/>
          <w:szCs w:val="20"/>
          <w:color w:val="auto"/>
        </w:rPr>
      </w:pPr>
      <w:r>
        <w:rPr>
          <w:rFonts w:ascii="Times New Roman" w:cs="Times New Roman" w:eastAsia="Times New Roman" w:hAnsi="Times New Roman"/>
          <w:sz w:val="16"/>
          <w:szCs w:val="16"/>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•EBITDA does not reflect changes in, or cash requirements for, our working capital needs or contractual commitments;</w:t>
      </w:r>
    </w:p>
    <w:p>
      <w:pPr>
        <w:spacing w:after="0" w:line="92" w:lineRule="exact"/>
        <w:rPr>
          <w:sz w:val="20"/>
          <w:szCs w:val="20"/>
          <w:color w:val="auto"/>
        </w:rPr>
      </w:pPr>
    </w:p>
    <w:p>
      <w:pPr>
        <w:ind w:left="480" w:right="1680"/>
        <w:spacing w:after="0" w:line="360" w:lineRule="auto"/>
        <w:rPr>
          <w:sz w:val="20"/>
          <w:szCs w:val="20"/>
          <w:color w:val="auto"/>
        </w:rPr>
      </w:pPr>
      <w:r>
        <w:rPr>
          <w:rFonts w:ascii="Times New Roman" w:cs="Times New Roman" w:eastAsia="Times New Roman" w:hAnsi="Times New Roman"/>
          <w:sz w:val="16"/>
          <w:szCs w:val="16"/>
          <w:color w:val="auto"/>
        </w:rPr>
        <w:t>•EBITDA does not reflect our interest expense, or the cash requirements to service interest or principal payments on, our indebtedness;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6"/>
          <w:szCs w:val="16"/>
          <w:color w:val="auto"/>
        </w:rPr>
        <w:t>•EBITDA does not reflect the impact on earnings or changes resulting from matters that we consider not to be indicative of our future operations;</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•although depreciation and amortization are non -cash charges, the assets being depreciated or amortized will often need to be replaced in the future, and EBITDA does not reflect any cash requirements for these replacements;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companies may calculate EBITDA differently than we do.</w:t>
      </w:r>
    </w:p>
    <w:p>
      <w:pPr>
        <w:spacing w:after="0" w:line="188" w:lineRule="exact"/>
        <w:rPr>
          <w:sz w:val="20"/>
          <w:szCs w:val="20"/>
          <w:color w:val="auto"/>
        </w:rPr>
      </w:pPr>
    </w:p>
    <w:p>
      <w:pPr>
        <w:ind w:right="580" w:firstLine="468"/>
        <w:spacing w:after="0" w:line="259" w:lineRule="auto"/>
        <w:rPr>
          <w:sz w:val="20"/>
          <w:szCs w:val="20"/>
          <w:color w:val="auto"/>
        </w:rPr>
      </w:pPr>
      <w:r>
        <w:rPr>
          <w:rFonts w:ascii="Times New Roman" w:cs="Times New Roman" w:eastAsia="Times New Roman" w:hAnsi="Times New Roman"/>
          <w:sz w:val="16"/>
          <w:szCs w:val="16"/>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table below provides a reconciliation of our net income (loss) to EBITDA (non GAAP):</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160" w:type="dxa"/>
            <w:vAlign w:val="bottom"/>
          </w:tcPr>
          <w:p>
            <w:pPr>
              <w:spacing w:after="0"/>
              <w:rPr>
                <w:sz w:val="13"/>
                <w:szCs w:val="13"/>
                <w:color w:val="auto"/>
              </w:rPr>
            </w:pPr>
          </w:p>
        </w:tc>
      </w:tr>
      <w:tr>
        <w:trPr>
          <w:trHeight w:val="170"/>
        </w:trPr>
        <w:tc>
          <w:tcPr>
            <w:tcW w:w="4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tcPr>
          <w:p>
            <w:pPr>
              <w:jc w:val="right"/>
              <w:ind w:right="7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20" w:type="dxa"/>
            <w:vAlign w:val="bottom"/>
          </w:tcPr>
          <w:p>
            <w:pPr>
              <w:spacing w:after="0"/>
              <w:rPr>
                <w:sz w:val="14"/>
                <w:szCs w:val="14"/>
                <w:color w:val="auto"/>
              </w:rPr>
            </w:pPr>
          </w:p>
        </w:tc>
        <w:tc>
          <w:tcPr>
            <w:tcW w:w="1160" w:type="dxa"/>
            <w:vAlign w:val="bottom"/>
          </w:tcPr>
          <w:p>
            <w:pPr>
              <w:jc w:val="right"/>
              <w:ind w:right="70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270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(57,852,518)</w:t>
            </w:r>
          </w:p>
        </w:tc>
        <w:tc>
          <w:tcPr>
            <w:tcW w:w="820" w:type="dxa"/>
            <w:vAlign w:val="bottom"/>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(12,967,097)</w:t>
            </w:r>
          </w:p>
        </w:tc>
      </w:tr>
      <w:tr>
        <w:trPr>
          <w:trHeight w:val="180"/>
        </w:trPr>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 (subtract)</w:t>
            </w:r>
          </w:p>
        </w:tc>
        <w:tc>
          <w:tcPr>
            <w:tcW w:w="2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70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105"/>
              <w:spacing w:after="0" w:line="180" w:lineRule="exact"/>
              <w:rPr>
                <w:sz w:val="20"/>
                <w:szCs w:val="20"/>
                <w:color w:val="auto"/>
              </w:rPr>
            </w:pPr>
            <w:r>
              <w:rPr>
                <w:rFonts w:ascii="Times New Roman" w:cs="Times New Roman" w:eastAsia="Times New Roman" w:hAnsi="Times New Roman"/>
                <w:sz w:val="16"/>
                <w:szCs w:val="16"/>
                <w:color w:val="auto"/>
              </w:rPr>
              <w:t>2,109,570</w:t>
            </w:r>
          </w:p>
        </w:tc>
        <w:tc>
          <w:tcPr>
            <w:tcW w:w="8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3,008,131</w:t>
            </w:r>
          </w:p>
        </w:tc>
      </w:tr>
      <w:tr>
        <w:trPr>
          <w:trHeight w:val="180"/>
        </w:trPr>
        <w:tc>
          <w:tcPr>
            <w:tcW w:w="4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 for income tax expense</w:t>
            </w:r>
          </w:p>
        </w:tc>
        <w:tc>
          <w:tcPr>
            <w:tcW w:w="2700" w:type="dxa"/>
            <w:vAlign w:val="bottom"/>
          </w:tcPr>
          <w:p>
            <w:pPr>
              <w:spacing w:after="0"/>
              <w:rPr>
                <w:sz w:val="15"/>
                <w:szCs w:val="15"/>
                <w:color w:val="auto"/>
              </w:rPr>
            </w:pPr>
          </w:p>
        </w:tc>
        <w:tc>
          <w:tcPr>
            <w:tcW w:w="1520" w:type="dxa"/>
            <w:vAlign w:val="bottom"/>
          </w:tcPr>
          <w:p>
            <w:pPr>
              <w:jc w:val="right"/>
              <w:ind w:right="85"/>
              <w:spacing w:after="0" w:line="180" w:lineRule="exact"/>
              <w:rPr>
                <w:sz w:val="20"/>
                <w:szCs w:val="20"/>
                <w:color w:val="auto"/>
              </w:rPr>
            </w:pPr>
            <w:r>
              <w:rPr>
                <w:rFonts w:ascii="Times New Roman" w:cs="Times New Roman" w:eastAsia="Times New Roman" w:hAnsi="Times New Roman"/>
                <w:sz w:val="16"/>
                <w:szCs w:val="16"/>
                <w:color w:val="auto"/>
              </w:rPr>
              <w:t>494,247</w:t>
            </w:r>
          </w:p>
        </w:tc>
        <w:tc>
          <w:tcPr>
            <w:tcW w:w="820" w:type="dxa"/>
            <w:vAlign w:val="bottom"/>
          </w:tcPr>
          <w:p>
            <w:pPr>
              <w:spacing w:after="0"/>
              <w:rPr>
                <w:sz w:val="15"/>
                <w:szCs w:val="15"/>
                <w:color w:val="auto"/>
              </w:rPr>
            </w:pPr>
          </w:p>
        </w:tc>
        <w:tc>
          <w:tcPr>
            <w:tcW w:w="116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142,856</w:t>
            </w:r>
          </w:p>
        </w:tc>
      </w:tr>
      <w:tr>
        <w:trPr>
          <w:trHeight w:val="180"/>
        </w:trPr>
        <w:tc>
          <w:tcPr>
            <w:tcW w:w="4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70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105"/>
              <w:spacing w:after="0" w:line="180" w:lineRule="exact"/>
              <w:rPr>
                <w:sz w:val="20"/>
                <w:szCs w:val="20"/>
                <w:color w:val="auto"/>
              </w:rPr>
            </w:pPr>
            <w:r>
              <w:rPr>
                <w:rFonts w:ascii="Times New Roman" w:cs="Times New Roman" w:eastAsia="Times New Roman" w:hAnsi="Times New Roman"/>
                <w:sz w:val="16"/>
                <w:szCs w:val="16"/>
                <w:color w:val="auto"/>
              </w:rPr>
              <w:t>1,550,777</w:t>
            </w:r>
          </w:p>
        </w:tc>
        <w:tc>
          <w:tcPr>
            <w:tcW w:w="8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121,895</w:t>
            </w:r>
          </w:p>
        </w:tc>
      </w:tr>
      <w:tr>
        <w:trPr>
          <w:trHeight w:val="205"/>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 (non-GAAP)</w:t>
            </w:r>
          </w:p>
        </w:tc>
        <w:tc>
          <w:tcPr>
            <w:tcW w:w="27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(53,697,924)</w:t>
            </w:r>
          </w:p>
        </w:tc>
        <w:tc>
          <w:tcPr>
            <w:tcW w:w="820" w:type="dxa"/>
            <w:vAlign w:val="bottom"/>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(9,694,215)</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96" w:lineRule="exact"/>
        <w:rPr>
          <w:sz w:val="20"/>
          <w:szCs w:val="20"/>
          <w:color w:val="auto"/>
        </w:rPr>
      </w:pPr>
    </w:p>
    <w:p>
      <w:pPr>
        <w:ind w:right="280" w:firstLine="468"/>
        <w:spacing w:after="0" w:line="259" w:lineRule="auto"/>
        <w:rPr>
          <w:sz w:val="20"/>
          <w:szCs w:val="20"/>
          <w:color w:val="auto"/>
        </w:rPr>
      </w:pPr>
      <w:r>
        <w:rPr>
          <w:rFonts w:ascii="Times New Roman" w:cs="Times New Roman" w:eastAsia="Times New Roman" w:hAnsi="Times New Roman"/>
          <w:sz w:val="16"/>
          <w:szCs w:val="16"/>
          <w:color w:val="auto"/>
        </w:rPr>
        <w:t>Adjusted EBITDA is a non-GAAP financial measure. We define Adjusted EBITDA as EBITDA adjusted for the items listed below. Although it is frequently used by investors and securities analysts in their evaluations of companies, Adjusted EBITDA has limitations as an analytical tool, including:</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•Adjusted EBITDA does not reflect changes in, or cash requirements for, our working capital needs or contractual commitments;</w:t>
      </w:r>
    </w:p>
    <w:p>
      <w:pPr>
        <w:spacing w:after="0" w:line="92" w:lineRule="exact"/>
        <w:rPr>
          <w:sz w:val="20"/>
          <w:szCs w:val="20"/>
          <w:color w:val="auto"/>
        </w:rPr>
      </w:pPr>
    </w:p>
    <w:p>
      <w:pPr>
        <w:ind w:left="480" w:right="1080"/>
        <w:spacing w:after="0" w:line="384" w:lineRule="auto"/>
        <w:rPr>
          <w:sz w:val="20"/>
          <w:szCs w:val="20"/>
          <w:color w:val="auto"/>
        </w:rPr>
      </w:pPr>
      <w:r>
        <w:rPr>
          <w:rFonts w:ascii="Times New Roman" w:cs="Times New Roman" w:eastAsia="Times New Roman" w:hAnsi="Times New Roman"/>
          <w:sz w:val="16"/>
          <w:szCs w:val="16"/>
          <w:color w:val="auto"/>
        </w:rPr>
        <w:t>•Adjusted EBITDA does not reflect our interest expense, or the cash requirements to service interest or principal payments on, our indebtedness; •Adjusted EBITDA does not reflect our tax expense or the cash requirements to pay our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57" w:right="660" w:bottom="1440" w:gutter="0" w:footer="0" w:header="0"/>
        </w:sectPr>
      </w:pPr>
    </w:p>
    <w:bookmarkStart w:id="50" w:name="page51"/>
    <w:bookmarkEnd w:id="50"/>
    <w:p>
      <w:pPr>
        <w:ind w:left="480"/>
        <w:spacing w:after="0"/>
        <w:rPr>
          <w:sz w:val="20"/>
          <w:szCs w:val="20"/>
          <w:color w:val="auto"/>
        </w:rPr>
      </w:pPr>
      <w:r>
        <w:rPr>
          <w:rFonts w:ascii="Times New Roman" w:cs="Times New Roman" w:eastAsia="Times New Roman" w:hAnsi="Times New Roman"/>
          <w:sz w:val="16"/>
          <w:szCs w:val="16"/>
          <w:color w:val="auto"/>
        </w:rPr>
        <w:t>•Adjusted EBITDA does not reflect the impact on earnings or changes resulting from matters that we consider not to be indicative of our future operations;</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•although depreciation and amortization are non -cash charges, the assets being depreciated or amortized will often need to be replaced in the future, and Adjusted EBITDA does not reflect any cash requirements for these replacements;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companies may calculate Adjusted EBITDA differently than we do.</w:t>
      </w:r>
    </w:p>
    <w:p>
      <w:pPr>
        <w:spacing w:after="0" w:line="188" w:lineRule="exact"/>
        <w:rPr>
          <w:sz w:val="20"/>
          <w:szCs w:val="20"/>
          <w:color w:val="auto"/>
        </w:rPr>
      </w:pPr>
    </w:p>
    <w:p>
      <w:pPr>
        <w:jc w:val="both"/>
        <w:ind w:right="540" w:firstLine="468"/>
        <w:spacing w:after="0" w:line="331" w:lineRule="auto"/>
        <w:rPr>
          <w:sz w:val="20"/>
          <w:szCs w:val="20"/>
          <w:color w:val="auto"/>
        </w:rPr>
      </w:pPr>
      <w:r>
        <w:rPr>
          <w:rFonts w:ascii="Times New Roman" w:cs="Times New Roman" w:eastAsia="Times New Roman" w:hAnsi="Times New Roman"/>
          <w:sz w:val="14"/>
          <w:szCs w:val="14"/>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8"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55" w:lineRule="exact"/>
        <w:rPr>
          <w:sz w:val="20"/>
          <w:szCs w:val="20"/>
          <w:color w:val="auto"/>
        </w:rPr>
      </w:pPr>
    </w:p>
    <w:p>
      <w:pPr>
        <w:ind w:right="540" w:firstLine="468"/>
        <w:spacing w:after="0" w:line="259" w:lineRule="auto"/>
        <w:rPr>
          <w:sz w:val="20"/>
          <w:szCs w:val="20"/>
          <w:color w:val="auto"/>
        </w:rPr>
      </w:pPr>
      <w:r>
        <w:rPr>
          <w:rFonts w:ascii="Times New Roman" w:cs="Times New Roman" w:eastAsia="Times New Roman" w:hAnsi="Times New Roman"/>
          <w:sz w:val="16"/>
          <w:szCs w:val="16"/>
          <w:color w:val="auto"/>
        </w:rPr>
        <w:t>Adjusted EBITDA is used by management to understand and track underlying earnings performance by excluding one-time and non-recurring costs. The Company believe it is appropriate to exclude these costs from Adjusted EBITDA as they relate to:</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•Unrealized foreign exchange (gain)/loss are one-time costs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•Share based compensation related to employees, consultants and related parties;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•Loss/(gain) resulting from the remeasurement of derivative assets and derivative liabilities at fair value at the end of each reporting period.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•Loss/(gain) resulting from extinguishment of debt obligations.</w:t>
      </w:r>
    </w:p>
    <w:p>
      <w:pPr>
        <w:spacing w:after="0" w:line="92" w:lineRule="exact"/>
        <w:rPr>
          <w:sz w:val="20"/>
          <w:szCs w:val="20"/>
          <w:color w:val="auto"/>
        </w:rPr>
      </w:pPr>
    </w:p>
    <w:p>
      <w:pPr>
        <w:ind w:left="480" w:right="4760"/>
        <w:spacing w:after="0" w:line="360" w:lineRule="auto"/>
        <w:rPr>
          <w:sz w:val="20"/>
          <w:szCs w:val="20"/>
          <w:color w:val="auto"/>
        </w:rPr>
      </w:pPr>
      <w:r>
        <w:rPr>
          <w:rFonts w:ascii="Times New Roman" w:cs="Times New Roman" w:eastAsia="Times New Roman" w:hAnsi="Times New Roman"/>
          <w:sz w:val="16"/>
          <w:szCs w:val="16"/>
          <w:color w:val="auto"/>
        </w:rPr>
        <w:t>•Loss/(gain) resulting from the remeasurement of financial assets carried at fair value •Ordinary shares issued in lieu of cash payment for services</w:t>
      </w:r>
    </w:p>
    <w:p>
      <w:pPr>
        <w:ind w:left="480" w:right="4260"/>
        <w:spacing w:after="0" w:line="360" w:lineRule="auto"/>
        <w:rPr>
          <w:sz w:val="20"/>
          <w:szCs w:val="20"/>
          <w:color w:val="auto"/>
        </w:rPr>
      </w:pPr>
      <w:r>
        <w:rPr>
          <w:rFonts w:ascii="Times New Roman" w:cs="Times New Roman" w:eastAsia="Times New Roman" w:hAnsi="Times New Roman"/>
          <w:sz w:val="16"/>
          <w:szCs w:val="16"/>
          <w:color w:val="auto"/>
        </w:rPr>
        <w:t>•Ordinary shares issued to Radio Group to settle termination of ANY acquisition in Germany •Legal costs incurred in connection with the Company’s SPAC transaction •Costs related to the demerger of Rezolve Limited</w:t>
      </w:r>
    </w:p>
    <w:p>
      <w:pPr>
        <w:ind w:left="480"/>
        <w:spacing w:after="0"/>
        <w:rPr>
          <w:sz w:val="20"/>
          <w:szCs w:val="20"/>
          <w:color w:val="auto"/>
        </w:rPr>
      </w:pPr>
      <w:r>
        <w:rPr>
          <w:rFonts w:ascii="Times New Roman" w:cs="Times New Roman" w:eastAsia="Times New Roman" w:hAnsi="Times New Roman"/>
          <w:sz w:val="16"/>
          <w:szCs w:val="16"/>
          <w:color w:val="auto"/>
        </w:rPr>
        <w:t>•Legal and professional cost associated with acquisitions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•Costs incurred within business development expenses to close former businesses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Internally adjusted EBITDA and contribution margins are significant measures used by management for purposes of:</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•Supplementing the financial results and forecasts reported to the Company’s board of directors;</w:t>
      </w:r>
    </w:p>
    <w:p>
      <w:pPr>
        <w:spacing w:after="0" w:line="92"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•Evaluating the operating performance of which includes direct and incrementally controllable revenue and costs of operations but excludes items considered by management to be non-cash or non-operating;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•Establishing internal operating budgets and target.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provides a reconciliation of our net income (loss) to Adjusted EBITDA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56"/>
        </w:trPr>
        <w:tc>
          <w:tcPr>
            <w:tcW w:w="6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40" w:type="dxa"/>
            <w:vAlign w:val="bottom"/>
          </w:tcPr>
          <w:p>
            <w:pPr>
              <w:spacing w:after="0"/>
              <w:rPr>
                <w:sz w:val="13"/>
                <w:szCs w:val="13"/>
                <w:color w:val="auto"/>
              </w:rPr>
            </w:pPr>
          </w:p>
        </w:tc>
      </w:tr>
      <w:tr>
        <w:trPr>
          <w:trHeight w:val="170"/>
        </w:trPr>
        <w:tc>
          <w:tcPr>
            <w:tcW w:w="6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6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4"/>
                <w:szCs w:val="14"/>
                <w:color w:val="auto"/>
              </w:rPr>
            </w:pPr>
          </w:p>
        </w:tc>
        <w:tc>
          <w:tcPr>
            <w:tcW w:w="1040" w:type="dxa"/>
            <w:vAlign w:val="bottom"/>
          </w:tcPr>
          <w:p>
            <w:pPr>
              <w:jc w:val="right"/>
              <w:ind w:right="66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(57,852,518)</w:t>
            </w:r>
          </w:p>
        </w:tc>
        <w:tc>
          <w:tcPr>
            <w:tcW w:w="760" w:type="dxa"/>
            <w:vAlign w:val="bottom"/>
            <w:shd w:val="clear" w:color="auto" w:fill="CFF0FC"/>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(12,967,097)</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 (subtract)</w:t>
            </w: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2,109,570</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3,008,131</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 for income tax expense</w:t>
            </w:r>
          </w:p>
        </w:tc>
        <w:tc>
          <w:tcPr>
            <w:tcW w:w="1040" w:type="dxa"/>
            <w:vAlign w:val="bottom"/>
          </w:tcPr>
          <w:p>
            <w:pPr>
              <w:spacing w:after="0"/>
              <w:rPr>
                <w:sz w:val="15"/>
                <w:szCs w:val="15"/>
                <w:color w:val="auto"/>
              </w:rPr>
            </w:pPr>
          </w:p>
        </w:tc>
        <w:tc>
          <w:tcPr>
            <w:tcW w:w="13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494,247</w:t>
            </w:r>
          </w:p>
        </w:tc>
        <w:tc>
          <w:tcPr>
            <w:tcW w:w="760" w:type="dxa"/>
            <w:vAlign w:val="bottom"/>
          </w:tcPr>
          <w:p>
            <w:pPr>
              <w:spacing w:after="0"/>
              <w:rPr>
                <w:sz w:val="15"/>
                <w:szCs w:val="15"/>
                <w:color w:val="auto"/>
              </w:rPr>
            </w:pP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142,856</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1,550,777</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121,895</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EBITDA (non-GAAP)</w:t>
            </w:r>
          </w:p>
        </w:tc>
        <w:tc>
          <w:tcPr>
            <w:tcW w:w="104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(53,697,924)</w:t>
            </w:r>
          </w:p>
        </w:tc>
        <w:tc>
          <w:tcPr>
            <w:tcW w:w="760" w:type="dxa"/>
            <w:vAlign w:val="bottom"/>
          </w:tcPr>
          <w:p>
            <w:pPr>
              <w:jc w:val="right"/>
              <w:ind w:right="58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(9,694,215)</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Add (subtract)</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foreign exchange (gain) loss</w:t>
            </w:r>
          </w:p>
        </w:tc>
        <w:tc>
          <w:tcPr>
            <w:tcW w:w="104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415,544</w:t>
            </w:r>
          </w:p>
        </w:tc>
        <w:tc>
          <w:tcPr>
            <w:tcW w:w="760" w:type="dxa"/>
            <w:vAlign w:val="bottom"/>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(133,245)</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6,043,937</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2,190,482</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Share-based compensation for employees</w:t>
            </w:r>
          </w:p>
        </w:tc>
        <w:tc>
          <w:tcPr>
            <w:tcW w:w="1040" w:type="dxa"/>
            <w:vAlign w:val="bottom"/>
          </w:tcPr>
          <w:p>
            <w:pPr>
              <w:spacing w:after="0"/>
              <w:rPr>
                <w:sz w:val="15"/>
                <w:szCs w:val="15"/>
                <w:color w:val="auto"/>
              </w:rPr>
            </w:pPr>
          </w:p>
        </w:tc>
        <w:tc>
          <w:tcPr>
            <w:tcW w:w="13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2,341,249</w:t>
            </w:r>
          </w:p>
        </w:tc>
        <w:tc>
          <w:tcPr>
            <w:tcW w:w="760" w:type="dxa"/>
            <w:vAlign w:val="bottom"/>
          </w:tcPr>
          <w:p>
            <w:pPr>
              <w:spacing w:after="0"/>
              <w:rPr>
                <w:sz w:val="15"/>
                <w:szCs w:val="15"/>
                <w:color w:val="auto"/>
              </w:rPr>
            </w:pP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1,852,702</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Gain on derivatives</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1,521,136</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on extinguishment</w:t>
            </w:r>
          </w:p>
        </w:tc>
        <w:tc>
          <w:tcPr>
            <w:tcW w:w="1040" w:type="dxa"/>
            <w:vAlign w:val="bottom"/>
          </w:tcPr>
          <w:p>
            <w:pPr>
              <w:spacing w:after="0"/>
              <w:rPr>
                <w:sz w:val="15"/>
                <w:szCs w:val="15"/>
                <w:color w:val="auto"/>
              </w:rPr>
            </w:pPr>
          </w:p>
        </w:tc>
        <w:tc>
          <w:tcPr>
            <w:tcW w:w="13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27,183,375</w:t>
            </w:r>
          </w:p>
        </w:tc>
        <w:tc>
          <w:tcPr>
            <w:tcW w:w="760" w:type="dxa"/>
            <w:vAlign w:val="bottom"/>
          </w:tcPr>
          <w:p>
            <w:pPr>
              <w:spacing w:after="0"/>
              <w:rPr>
                <w:sz w:val="15"/>
                <w:szCs w:val="15"/>
                <w:color w:val="auto"/>
              </w:rPr>
            </w:pP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Gain/(loss) on revaluation of financial asset</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(5,710,714)</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040" w:type="dxa"/>
            <w:vAlign w:val="bottom"/>
          </w:tcPr>
          <w:p>
            <w:pPr>
              <w:spacing w:after="0"/>
              <w:rPr>
                <w:sz w:val="15"/>
                <w:szCs w:val="15"/>
                <w:color w:val="auto"/>
              </w:rPr>
            </w:pPr>
          </w:p>
        </w:tc>
        <w:tc>
          <w:tcPr>
            <w:tcW w:w="13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222,486</w:t>
            </w:r>
          </w:p>
        </w:tc>
        <w:tc>
          <w:tcPr>
            <w:tcW w:w="760" w:type="dxa"/>
            <w:vAlign w:val="bottom"/>
          </w:tcPr>
          <w:p>
            <w:pPr>
              <w:spacing w:after="0"/>
              <w:rPr>
                <w:sz w:val="15"/>
                <w:szCs w:val="15"/>
                <w:color w:val="auto"/>
              </w:rPr>
            </w:pP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Ordinary shares issued to Radio Group to settle termination of ANY acquisition in Germany</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876,000</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Legal costs incurred in connection with the Company’s SPAC transaction</w:t>
            </w:r>
          </w:p>
        </w:tc>
        <w:tc>
          <w:tcPr>
            <w:tcW w:w="1040" w:type="dxa"/>
            <w:vAlign w:val="bottom"/>
          </w:tcPr>
          <w:p>
            <w:pPr>
              <w:spacing w:after="0"/>
              <w:rPr>
                <w:sz w:val="15"/>
                <w:szCs w:val="15"/>
                <w:color w:val="auto"/>
              </w:rPr>
            </w:pPr>
          </w:p>
        </w:tc>
        <w:tc>
          <w:tcPr>
            <w:tcW w:w="13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1,398,866</w:t>
            </w:r>
          </w:p>
        </w:tc>
        <w:tc>
          <w:tcPr>
            <w:tcW w:w="760" w:type="dxa"/>
            <w:vAlign w:val="bottom"/>
          </w:tcPr>
          <w:p>
            <w:pPr>
              <w:spacing w:after="0"/>
              <w:rPr>
                <w:sz w:val="15"/>
                <w:szCs w:val="15"/>
                <w:color w:val="auto"/>
              </w:rPr>
            </w:pP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Costs related to the demerger of Rezolve Limited</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517,798</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Legal and professional cost associated with acquisitions</w:t>
            </w:r>
          </w:p>
        </w:tc>
        <w:tc>
          <w:tcPr>
            <w:tcW w:w="1040" w:type="dxa"/>
            <w:vAlign w:val="bottom"/>
          </w:tcPr>
          <w:p>
            <w:pPr>
              <w:spacing w:after="0"/>
              <w:rPr>
                <w:sz w:val="15"/>
                <w:szCs w:val="15"/>
                <w:color w:val="auto"/>
              </w:rPr>
            </w:pPr>
          </w:p>
        </w:tc>
        <w:tc>
          <w:tcPr>
            <w:tcW w:w="13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1,000,000</w:t>
            </w:r>
          </w:p>
        </w:tc>
        <w:tc>
          <w:tcPr>
            <w:tcW w:w="760" w:type="dxa"/>
            <w:vAlign w:val="bottom"/>
          </w:tcPr>
          <w:p>
            <w:pPr>
              <w:spacing w:after="0"/>
              <w:rPr>
                <w:sz w:val="15"/>
                <w:szCs w:val="15"/>
                <w:color w:val="auto"/>
              </w:rPr>
            </w:pPr>
          </w:p>
        </w:tc>
        <w:tc>
          <w:tcPr>
            <w:tcW w:w="10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Costs incurred within business development expenses to close former businesses</w:t>
            </w:r>
          </w:p>
        </w:tc>
        <w:tc>
          <w:tcPr>
            <w:tcW w:w="104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151,353</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5"/>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0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(17,736,894)</w:t>
            </w: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(5,784,276)</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Total Number of Merchants</w:t>
      </w:r>
    </w:p>
    <w:p>
      <w:pPr>
        <w:spacing w:after="0" w:line="96"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Total Number of contracted consultants</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 the future we believe that the number contracted consultants will be an indicator of our market penetration and revenue.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4"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Despite our losses, the Company has raised $270.6 million in the third quarter of 2025, from the following transactions:</w:t>
      </w:r>
    </w:p>
    <w:p>
      <w:pPr>
        <w:spacing w:after="0" w:line="92" w:lineRule="exact"/>
        <w:rPr>
          <w:sz w:val="20"/>
          <w:szCs w:val="20"/>
          <w:color w:val="auto"/>
        </w:rPr>
      </w:pPr>
    </w:p>
    <w:p>
      <w:pPr>
        <w:ind w:left="480" w:right="60"/>
        <w:spacing w:after="0" w:line="243" w:lineRule="auto"/>
        <w:rPr>
          <w:sz w:val="20"/>
          <w:szCs w:val="20"/>
          <w:color w:val="auto"/>
        </w:rPr>
      </w:pPr>
      <w:r>
        <w:rPr>
          <w:rFonts w:ascii="Times New Roman" w:cs="Times New Roman" w:eastAsia="Times New Roman" w:hAnsi="Times New Roman"/>
          <w:sz w:val="16"/>
          <w:szCs w:val="16"/>
          <w:color w:val="auto"/>
        </w:rPr>
        <w:t>•On July 24, 2025, the Company entered into securities purchase agreements with certain investors pursuant to which the Company agreed to sell and issue to these investors in a private placement offering (the “PIPE Financing”) 20,000,000 Ordinary Shares, par value £0.0001 per share, at an offering price of $2.50 per Ordinary Share. The PIPE Financing closed on July 25, 2025, resulting in aggregate gross proceeds to the Company of $50 million, before deducting the placement agent’s fee and offering expenses payable by the Company.</w:t>
      </w:r>
    </w:p>
    <w:p>
      <w:pPr>
        <w:spacing w:after="0" w:line="71" w:lineRule="exact"/>
        <w:rPr>
          <w:sz w:val="20"/>
          <w:szCs w:val="20"/>
          <w:color w:val="auto"/>
        </w:rPr>
      </w:pPr>
    </w:p>
    <w:p>
      <w:pPr>
        <w:ind w:left="480" w:right="60" w:hanging="6"/>
        <w:spacing w:after="0" w:line="241" w:lineRule="auto"/>
        <w:tabs>
          <w:tab w:leader="none" w:pos="57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entered into a subscription letter with Western Alliance Bank (“WAB”) pursuant to which the Company agreed to issue to WAB a number of Ordinary Shares which is equal to $12,300,000 in order to settle debt owed by Groupby to WAB. In accordance with the terms of the subscription letter, WAB is to return any money received in excess of $12,300,000 from the subsequent sale of the 5,857,143 Ordinary shares. On August 22, 2025, WAB completed its sale of the 5,857,143 Ordinary shares and realized proceeds of $17,955,271 from sale of these Ordinary Shares. This resulted in an excess of $5,655,271, which was returned to the Company. See below for more information.</w:t>
      </w:r>
    </w:p>
    <w:p>
      <w:pPr>
        <w:spacing w:after="0" w:line="73"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•On September 18, 2025, the holders of all 5,000,000 warrants issued in a registered offering in December 2024 (the "Offering Warrants") elected to exercise their Offering Warrants, at an exercise price of $3.00 per Offering Warrant, for 5,000,000 ordinary shares of the "Company, generating aggregate gross proceeds to the Company of $15 million.</w:t>
      </w:r>
    </w:p>
    <w:p>
      <w:pPr>
        <w:spacing w:after="0" w:line="68" w:lineRule="exact"/>
        <w:rPr>
          <w:sz w:val="20"/>
          <w:szCs w:val="20"/>
          <w:color w:val="auto"/>
        </w:rPr>
      </w:pPr>
    </w:p>
    <w:p>
      <w:pPr>
        <w:ind w:left="480" w:right="100"/>
        <w:spacing w:after="0" w:line="243" w:lineRule="auto"/>
        <w:rPr>
          <w:sz w:val="20"/>
          <w:szCs w:val="20"/>
          <w:color w:val="auto"/>
        </w:rPr>
      </w:pPr>
      <w:r>
        <w:rPr>
          <w:rFonts w:ascii="Times New Roman" w:cs="Times New Roman" w:eastAsia="Times New Roman" w:hAnsi="Times New Roman"/>
          <w:sz w:val="16"/>
          <w:szCs w:val="16"/>
          <w:color w:val="auto"/>
        </w:rPr>
        <w:t>•On September 24, 2025, the Company entered into securities purchase agreements with certain qualified institutional investors, for the purchase and sale of 37,000,000 Ordinary Shares in a private placement (the “PIPE Financing”) at a price of $5.40 per Ordinary Share for aggregate gross proceeds of approximately $200 million, before deducting placement agent fees and other offering expenses. The Company intends to use the net proceeds of the PIPE Financing for accelerated investment into its sales organization, potential accretive M&amp;A opportunities, working capital and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406400</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56" w:right="660" w:bottom="1440" w:gutter="0" w:footer="0" w:header="0"/>
        </w:sectPr>
      </w:pPr>
    </w:p>
    <w:bookmarkStart w:id="52" w:name="page53"/>
    <w:bookmarkEnd w:id="52"/>
    <w:p>
      <w:pPr>
        <w:jc w:val="both"/>
        <w:ind w:left="480" w:right="200"/>
        <w:spacing w:after="0" w:line="247" w:lineRule="auto"/>
        <w:rPr>
          <w:sz w:val="20"/>
          <w:szCs w:val="20"/>
          <w:color w:val="auto"/>
        </w:rPr>
      </w:pPr>
      <w:r>
        <w:rPr>
          <w:rFonts w:ascii="Times New Roman" w:cs="Times New Roman" w:eastAsia="Times New Roman" w:hAnsi="Times New Roman"/>
          <w:sz w:val="16"/>
          <w:szCs w:val="16"/>
          <w:color w:val="auto"/>
        </w:rPr>
        <w:t>corporate purposes, including further development of its Brain Commerce Platform, and expansion of Visual Search and Brain Checkout. The PIPE Financing closed on September 25, 2025, resulting in aggregate gross proceeds to the Company of $200 million, before deducting the placement agent’s fee and offering expenses payable by the Company.</w:t>
      </w:r>
    </w:p>
    <w:p>
      <w:pPr>
        <w:spacing w:after="0" w:line="164"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Furthermore, the review of the strategic plan and budget, including expected developments in liquidity and capital from definitive agreements entered into, were considered. As of the date of issuance of the interim condensed consolidated financial statements for the six months ended June 30, 2025, the Company has a further $234.6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The Company may continue to seek capital through the issuance of equity securities using the remaining undrawn capital commitment facility.</w:t>
      </w:r>
    </w:p>
    <w:p>
      <w:pPr>
        <w:spacing w:after="0" w:line="173" w:lineRule="exact"/>
        <w:rPr>
          <w:sz w:val="20"/>
          <w:szCs w:val="20"/>
          <w:color w:val="auto"/>
        </w:rPr>
      </w:pPr>
    </w:p>
    <w:p>
      <w:pPr>
        <w:ind w:right="60" w:firstLine="468"/>
        <w:spacing w:after="0" w:line="243" w:lineRule="auto"/>
        <w:rPr>
          <w:sz w:val="20"/>
          <w:szCs w:val="20"/>
          <w:color w:val="auto"/>
        </w:rPr>
      </w:pPr>
      <w:r>
        <w:rPr>
          <w:rFonts w:ascii="Times New Roman" w:cs="Times New Roman" w:eastAsia="Times New Roman" w:hAnsi="Times New Roman"/>
          <w:sz w:val="16"/>
          <w:szCs w:val="16"/>
          <w:color w:val="auto"/>
        </w:rPr>
        <w:t>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7" w:lineRule="exact"/>
        <w:rPr>
          <w:sz w:val="20"/>
          <w:szCs w:val="20"/>
          <w:color w:val="auto"/>
        </w:rPr>
      </w:pPr>
    </w:p>
    <w:p>
      <w:pPr>
        <w:ind w:right="100" w:firstLine="468"/>
        <w:spacing w:after="0" w:line="259" w:lineRule="auto"/>
        <w:rPr>
          <w:sz w:val="20"/>
          <w:szCs w:val="20"/>
          <w:color w:val="auto"/>
        </w:rPr>
      </w:pPr>
      <w:r>
        <w:rPr>
          <w:rFonts w:ascii="Times New Roman" w:cs="Times New Roman" w:eastAsia="Times New Roman" w:hAnsi="Times New Roman"/>
          <w:sz w:val="16"/>
          <w:szCs w:val="16"/>
          <w:color w:val="auto"/>
        </w:rPr>
        <w:t>During six months ended June 30, 2025, we financed our operations in large part with cash flows from financing activities through cash proceeds $27.0 million from the senior-secured term-loan facility (see below) and $1.4 million from the SEPA (noted above).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Short-term debt and other liabilities</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6"/>
        </w:trPr>
        <w:tc>
          <w:tcPr>
            <w:tcW w:w="51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Short-term debt</w:t>
            </w: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28,745,993</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Short-term debt to related parties</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5,102,211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Ordinary shares payable</w:t>
            </w:r>
          </w:p>
        </w:tc>
        <w:tc>
          <w:tcPr>
            <w:tcW w:w="15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1,206,609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Convertible debt</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111,837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10,288,123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Short term convertible debt to related party</w:t>
            </w:r>
          </w:p>
        </w:tc>
        <w:tc>
          <w:tcPr>
            <w:tcW w:w="15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108,047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95,309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 liability</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Convertible promissory notes</w:t>
            </w:r>
          </w:p>
        </w:tc>
        <w:tc>
          <w:tcPr>
            <w:tcW w:w="15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538,524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6,428,825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Advisors loans</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3,865,447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12,812,366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Long-term debt and other liabilities</w:t>
            </w:r>
          </w:p>
        </w:tc>
        <w:tc>
          <w:tcPr>
            <w:tcW w:w="15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121,140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14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short-term and long-term debt and other liabilities</w:t>
            </w:r>
          </w:p>
        </w:tc>
        <w:tc>
          <w:tcPr>
            <w:tcW w:w="1540" w:type="dxa"/>
            <w:vAlign w:val="bottom"/>
            <w:tcBorders>
              <w:bottom w:val="single" w:sz="8" w:color="CFF0FC"/>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34,890,988</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37,333,443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and long-term debt</w:t>
            </w: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Short-term debt</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6"/>
        </w:trPr>
        <w:tc>
          <w:tcPr>
            <w:tcW w:w="51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Senior-secured term-loan facility (the "Facility")</w:t>
            </w:r>
          </w:p>
        </w:tc>
        <w:tc>
          <w:tcPr>
            <w:tcW w:w="20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4"/>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28,629,626</w:t>
            </w:r>
          </w:p>
        </w:tc>
        <w:tc>
          <w:tcPr>
            <w:tcW w:w="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Non-Banking Financial Company loan (Prediqt)</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gridSpan w:val="4"/>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116,367</w:t>
            </w:r>
          </w:p>
        </w:tc>
        <w:tc>
          <w:tcPr>
            <w:tcW w:w="200" w:type="dxa"/>
            <w:vAlign w:val="bottom"/>
          </w:tcPr>
          <w:p>
            <w:pPr>
              <w:spacing w:after="0"/>
              <w:rPr>
                <w:sz w:val="15"/>
                <w:szCs w:val="15"/>
                <w:color w:val="auto"/>
              </w:rPr>
            </w:pPr>
          </w:p>
        </w:tc>
        <w:tc>
          <w:tcPr>
            <w:tcW w:w="1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short-term debt</w:t>
            </w:r>
          </w:p>
        </w:tc>
        <w:tc>
          <w:tcPr>
            <w:tcW w:w="20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4"/>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28,745,993</w:t>
            </w:r>
          </w:p>
        </w:tc>
        <w:tc>
          <w:tcPr>
            <w:tcW w:w="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Long-term debt</w:t>
            </w:r>
          </w:p>
        </w:tc>
        <w:tc>
          <w:tcPr>
            <w:tcW w:w="1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Non-Banking Financial Company loan (Prediqt)</w:t>
            </w:r>
          </w:p>
        </w:tc>
        <w:tc>
          <w:tcPr>
            <w:tcW w:w="20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4"/>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121,140</w:t>
            </w:r>
          </w:p>
        </w:tc>
        <w:tc>
          <w:tcPr>
            <w:tcW w:w="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121,140</w:t>
            </w:r>
          </w:p>
        </w:tc>
        <w:tc>
          <w:tcPr>
            <w:tcW w:w="20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Senior-secured term-loan facility</w:t>
      </w:r>
    </w:p>
    <w:p>
      <w:pPr>
        <w:spacing w:after="0" w:line="94"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On January 23, 2025, the Company entered into a senior -secured term- 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60" w:firstLine="507"/>
        <w:spacing w:after="0" w:line="259" w:lineRule="auto"/>
        <w:rPr>
          <w:sz w:val="20"/>
          <w:szCs w:val="20"/>
          <w:color w:val="auto"/>
        </w:rPr>
      </w:pPr>
      <w:r>
        <w:rPr>
          <w:rFonts w:ascii="Times New Roman" w:cs="Times New Roman" w:eastAsia="Times New Roman" w:hAnsi="Times New Roman"/>
          <w:sz w:val="16"/>
          <w:szCs w:val="16"/>
          <w:color w:val="auto"/>
        </w:rPr>
        <w:t>The committed amount of the Facility is $ 30,000,000 (the “Committed Amount”). The Company may draw the Committed Amount, in full but not in part, until February 20, 2025 upon the satisfaction or waiver of certain customary conditions precedent.</w:t>
      </w:r>
    </w:p>
    <w:p>
      <w:pPr>
        <w:spacing w:after="0" w:line="59" w:lineRule="exact"/>
        <w:rPr>
          <w:sz w:val="20"/>
          <w:szCs w:val="20"/>
          <w:color w:val="auto"/>
        </w:rPr>
      </w:pPr>
    </w:p>
    <w:p>
      <w:pPr>
        <w:ind w:right="220" w:firstLine="507"/>
        <w:spacing w:after="0" w:line="247" w:lineRule="auto"/>
        <w:rPr>
          <w:sz w:val="20"/>
          <w:szCs w:val="20"/>
          <w:color w:val="auto"/>
        </w:rPr>
      </w:pPr>
      <w:r>
        <w:rPr>
          <w:rFonts w:ascii="Times New Roman" w:cs="Times New Roman" w:eastAsia="Times New Roman" w:hAnsi="Times New Roman"/>
          <w:sz w:val="16"/>
          <w:szCs w:val="16"/>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Facility bears no interest. However, the Company will pay a $3,000,000 arrangement fee to the Lender on the earlier 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53" w:name="page54"/>
    <w:bookmarkEnd w:id="53"/>
    <w:p>
      <w:pPr>
        <w:ind w:right="40"/>
        <w:spacing w:after="0" w:line="259" w:lineRule="auto"/>
        <w:rPr>
          <w:sz w:val="20"/>
          <w:szCs w:val="20"/>
          <w:color w:val="auto"/>
        </w:rPr>
      </w:pPr>
      <w:r>
        <w:rPr>
          <w:rFonts w:ascii="Times New Roman" w:cs="Times New Roman" w:eastAsia="Times New Roman" w:hAnsi="Times New Roman"/>
          <w:sz w:val="16"/>
          <w:szCs w:val="16"/>
          <w:color w:val="auto"/>
        </w:rPr>
        <w:t>the drawing the Committed Amount and (ii) February 21, 2025. The arrangement fee was deducted from the Committed Amount disbursed to the Company. As set forth in the Facility, the arrangement fee will be reduced in connection with any prepayments made by the Company.</w:t>
      </w:r>
    </w:p>
    <w:p>
      <w:pPr>
        <w:spacing w:after="0" w:line="59" w:lineRule="exact"/>
        <w:rPr>
          <w:sz w:val="20"/>
          <w:szCs w:val="20"/>
          <w:color w:val="auto"/>
        </w:rPr>
      </w:pPr>
    </w:p>
    <w:p>
      <w:pPr>
        <w:ind w:right="180" w:firstLine="507"/>
        <w:spacing w:after="0" w:line="243" w:lineRule="auto"/>
        <w:rPr>
          <w:sz w:val="20"/>
          <w:szCs w:val="20"/>
          <w:color w:val="auto"/>
        </w:rPr>
      </w:pPr>
      <w:r>
        <w:rPr>
          <w:rFonts w:ascii="Times New Roman" w:cs="Times New Roman" w:eastAsia="Times New Roman" w:hAnsi="Times New Roman"/>
          <w:sz w:val="16"/>
          <w:szCs w:val="16"/>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1" w:lineRule="exact"/>
        <w:rPr>
          <w:sz w:val="20"/>
          <w:szCs w:val="20"/>
          <w:color w:val="auto"/>
        </w:rPr>
      </w:pPr>
    </w:p>
    <w:p>
      <w:pPr>
        <w:ind w:right="20" w:firstLine="468"/>
        <w:spacing w:after="0" w:line="247" w:lineRule="auto"/>
        <w:rPr>
          <w:sz w:val="20"/>
          <w:szCs w:val="20"/>
          <w:color w:val="auto"/>
        </w:rPr>
      </w:pPr>
      <w:r>
        <w:rPr>
          <w:rFonts w:ascii="Times New Roman" w:cs="Times New Roman" w:eastAsia="Times New Roman" w:hAnsi="Times New Roman"/>
          <w:sz w:val="16"/>
          <w:szCs w:val="16"/>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Lender or its affiliates have in the past provided and may from time to time in the future provide, investment banking and other services to the Company.</w:t>
      </w:r>
    </w:p>
    <w:p>
      <w:pPr>
        <w:spacing w:after="0" w:line="92"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The Company has recognized interest expense on the Facility using the effective interest method. In accordance with ASC 470 and ASC 835, the arrangement fee is accounted for as a debt discount and amortized to interest expense over the term of the Facility using the effective interest method. As a result, the Facility has an effective interest rate of approximately 14.2%.</w:t>
      </w:r>
    </w:p>
    <w:p>
      <w:pPr>
        <w:spacing w:after="0" w:line="68" w:lineRule="exact"/>
        <w:rPr>
          <w:sz w:val="20"/>
          <w:szCs w:val="20"/>
          <w:color w:val="auto"/>
        </w:rPr>
      </w:pPr>
    </w:p>
    <w:p>
      <w:pPr>
        <w:ind w:right="120" w:firstLine="468"/>
        <w:spacing w:after="0" w:line="247" w:lineRule="auto"/>
        <w:rPr>
          <w:sz w:val="20"/>
          <w:szCs w:val="20"/>
          <w:color w:val="auto"/>
        </w:rPr>
      </w:pPr>
      <w:r>
        <w:rPr>
          <w:rFonts w:ascii="Times New Roman" w:cs="Times New Roman" w:eastAsia="Times New Roman" w:hAnsi="Times New Roman"/>
          <w:sz w:val="16"/>
          <w:szCs w:val="16"/>
          <w:color w:val="auto"/>
        </w:rPr>
        <w:t>The Company received net cash proceeds of $27.0 million upon issuance and recorded the Facility at its face value of $30.0 million, net of the $3.0 million debt discount. The carrying amount of the Facility was $28.6 million as of June 30, 2025. Interest expense recognized from the amortization of the debt discount for the period ended June 30 , 2025, was $1.6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Prediqt acquisition</w:t>
      </w:r>
    </w:p>
    <w:p>
      <w:pPr>
        <w:spacing w:after="0" w:line="94" w:lineRule="exact"/>
        <w:rPr>
          <w:sz w:val="20"/>
          <w:szCs w:val="20"/>
          <w:color w:val="auto"/>
        </w:rPr>
      </w:pPr>
    </w:p>
    <w:p>
      <w:pPr>
        <w:jc w:val="both"/>
        <w:ind w:right="120" w:firstLine="468"/>
        <w:spacing w:after="0" w:line="247" w:lineRule="auto"/>
        <w:rPr>
          <w:sz w:val="20"/>
          <w:szCs w:val="20"/>
          <w:color w:val="auto"/>
        </w:rPr>
      </w:pPr>
      <w:r>
        <w:rPr>
          <w:rFonts w:ascii="Times New Roman" w:cs="Times New Roman" w:eastAsia="Times New Roman" w:hAnsi="Times New Roman"/>
          <w:sz w:val="16"/>
          <w:szCs w:val="16"/>
          <w:color w:val="auto"/>
        </w:rPr>
        <w:t>As a result of the Prediqt acquisition (Note 4), the Company acquired loans owed to Non-Banking Financial Companies (NBFCs) in India. These loans carry an interest rate ranging between 17% to 22%. Amounts due within the next 12 months have been classified in short-term debt. Amounts due beyond 12 months have been classified as long-term debt.</w:t>
      </w:r>
    </w:p>
    <w:p>
      <w:pPr>
        <w:spacing w:after="0" w:line="68"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Additionally, as part of the Prediqt acquisition, the Company acquired as interest free loans owed to directors of Prediqt. These loans are repayable on demand and presented within "Short-term debt".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debt to related parties</w:t>
      </w:r>
    </w:p>
    <w:p>
      <w:pPr>
        <w:spacing w:after="0" w:line="96"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Unsecured interest free loans taken from related parties DBLP Sea Cow Ltd are repayable on demand. During the six months ended June 30, 2025, the Company settled short-term debt owed to DBLP Sea Cow Ltd. of $5,958,593 by paying cash of $5,148,553 and issuing 800,000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Ordinary shares payable</w:t>
      </w:r>
    </w:p>
    <w:p>
      <w:pPr>
        <w:spacing w:after="0" w:line="96" w:lineRule="exact"/>
        <w:rPr>
          <w:sz w:val="20"/>
          <w:szCs w:val="20"/>
          <w:color w:val="auto"/>
        </w:rPr>
      </w:pPr>
    </w:p>
    <w:p>
      <w:pPr>
        <w:ind w:right="180" w:firstLine="468"/>
        <w:spacing w:after="0" w:line="239" w:lineRule="auto"/>
        <w:rPr>
          <w:sz w:val="20"/>
          <w:szCs w:val="20"/>
          <w:color w:val="auto"/>
        </w:rPr>
      </w:pPr>
      <w:r>
        <w:rPr>
          <w:rFonts w:ascii="Times New Roman" w:cs="Times New Roman" w:eastAsia="Times New Roman" w:hAnsi="Times New Roman"/>
          <w:sz w:val="16"/>
          <w:szCs w:val="16"/>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 On April 16, 2025, the Company issued 4,150,000 ordinary shares to DBLP Sea Cow Ltd, a related party, to settle the outstanding liability. No further amounts remain owing.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debt</w:t>
      </w:r>
    </w:p>
    <w:p>
      <w:pPr>
        <w:spacing w:after="0" w:line="288"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67"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maturity, with interest accrued at 20% per annum,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29" w:right="660" w:bottom="1440" w:gutter="0" w:footer="0" w:header="0"/>
        </w:sectPr>
      </w:pPr>
    </w:p>
    <w:bookmarkStart w:id="54" w:name="page55"/>
    <w:bookmarkEnd w:id="54"/>
    <w:p>
      <w:pPr>
        <w:ind w:left="480" w:right="480"/>
        <w:spacing w:after="0" w:line="331" w:lineRule="auto"/>
        <w:rPr>
          <w:sz w:val="20"/>
          <w:szCs w:val="20"/>
          <w:color w:val="auto"/>
        </w:rPr>
      </w:pPr>
      <w:r>
        <w:rPr>
          <w:rFonts w:ascii="Times New Roman" w:cs="Times New Roman" w:eastAsia="Times New Roman" w:hAnsi="Times New Roman"/>
          <w:sz w:val="14"/>
          <w:szCs w:val="14"/>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8" w:lineRule="exact"/>
        <w:rPr>
          <w:sz w:val="20"/>
          <w:szCs w:val="20"/>
          <w:color w:val="auto"/>
        </w:rPr>
      </w:pPr>
    </w:p>
    <w:p>
      <w:pPr>
        <w:ind w:right="120" w:firstLine="468"/>
        <w:spacing w:after="0" w:line="259" w:lineRule="auto"/>
        <w:rPr>
          <w:sz w:val="20"/>
          <w:szCs w:val="20"/>
          <w:color w:val="auto"/>
        </w:rPr>
      </w:pPr>
      <w:r>
        <w:rPr>
          <w:rFonts w:ascii="Times New Roman" w:cs="Times New Roman" w:eastAsia="Times New Roman" w:hAnsi="Times New Roman"/>
          <w:sz w:val="16"/>
          <w:szCs w:val="16"/>
          <w:color w:val="auto"/>
        </w:rPr>
        <w:t>Immediately prior to an IPO or SPAC transaction, the principal amount and accrued interest is converted into ordinary shares at a 30% discount to the pre-close equity value of the Company.</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interest rate is 20% per annum, and is reduced in the following events to:</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 per annum if the IPO or SPAC transaction occurred prior to December 16, 2022,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•15% per annum if the IPO or SPAC transaction occurs between December 16, 2022 and June 16,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Upon the issuance of the notes, the amount pre-funded by each participating investor reduces their remaining respective commitment in the PIPE.</w:t>
      </w:r>
    </w:p>
    <w:p>
      <w:pPr>
        <w:spacing w:after="0" w:line="188" w:lineRule="exact"/>
        <w:rPr>
          <w:sz w:val="20"/>
          <w:szCs w:val="20"/>
          <w:color w:val="auto"/>
        </w:rPr>
      </w:pPr>
    </w:p>
    <w:p>
      <w:pPr>
        <w:ind w:right="20" w:firstLine="468"/>
        <w:spacing w:after="0" w:line="238" w:lineRule="auto"/>
        <w:rPr>
          <w:sz w:val="20"/>
          <w:szCs w:val="20"/>
          <w:color w:val="auto"/>
        </w:rPr>
      </w:pPr>
      <w:r>
        <w:rPr>
          <w:rFonts w:ascii="Times New Roman" w:cs="Times New Roman" w:eastAsia="Times New Roman" w:hAnsi="Times New Roman"/>
          <w:sz w:val="16"/>
          <w:szCs w:val="16"/>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 has not incurred any significant debt issuance costs and has expensed them as incurred.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May 23, 2023, the Company executed a further amendment to the secured convertible loan notes.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amendments are as follows: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additional $15,625,000 commitment has been added to the principal amount of the notes, split between a</w:t>
      </w:r>
    </w:p>
    <w:p>
      <w:pPr>
        <w:spacing w:after="0" w:line="9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•Conversion of accrued interest of $3,000,000 into loan principal. Additionally $1.5m of Loans for no value , plus $1,040,989 of interest foregone giving total of $4,041,989 of total interest capitalized.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•$1,250,000 of loan principal previously advanced in February 2023</w:t>
      </w:r>
    </w:p>
    <w:p>
      <w:pPr>
        <w:spacing w:after="0" w:line="92" w:lineRule="exact"/>
        <w:rPr>
          <w:sz w:val="20"/>
          <w:szCs w:val="20"/>
          <w:color w:val="auto"/>
        </w:rPr>
      </w:pPr>
    </w:p>
    <w:p>
      <w:pPr>
        <w:ind w:left="480" w:right="4720"/>
        <w:spacing w:after="0" w:line="360" w:lineRule="auto"/>
        <w:rPr>
          <w:sz w:val="20"/>
          <w:szCs w:val="20"/>
          <w:color w:val="auto"/>
        </w:rPr>
      </w:pPr>
      <w:r>
        <w:rPr>
          <w:rFonts w:ascii="Times New Roman" w:cs="Times New Roman" w:eastAsia="Times New Roman" w:hAnsi="Times New Roman"/>
          <w:sz w:val="16"/>
          <w:szCs w:val="16"/>
          <w:color w:val="auto"/>
        </w:rPr>
        <w:t>•$125,000 of loan principal advanced by a director and related party in February 2023 •An additional $2,750,000 of loan notes to be advanced, and</w:t>
      </w:r>
    </w:p>
    <w:p>
      <w:pPr>
        <w:ind w:left="480"/>
        <w:spacing w:after="0"/>
        <w:rPr>
          <w:sz w:val="20"/>
          <w:szCs w:val="20"/>
          <w:color w:val="auto"/>
        </w:rPr>
      </w:pPr>
      <w:r>
        <w:rPr>
          <w:rFonts w:ascii="Times New Roman" w:cs="Times New Roman" w:eastAsia="Times New Roman" w:hAnsi="Times New Roman"/>
          <w:sz w:val="16"/>
          <w:szCs w:val="16"/>
          <w:color w:val="auto"/>
        </w:rPr>
        <w:t>•$8,500,000 in notes upon completion of the Demerger, for which no monetary consideration will be received by the Company</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interest rate was reduced to 7.5% per annum from the date that the amendment was executed.</w:t>
      </w:r>
    </w:p>
    <w:p>
      <w:pPr>
        <w:spacing w:after="0" w:line="92" w:lineRule="exact"/>
        <w:rPr>
          <w:sz w:val="20"/>
          <w:szCs w:val="20"/>
          <w:color w:val="auto"/>
        </w:rPr>
      </w:pPr>
    </w:p>
    <w:p>
      <w:pPr>
        <w:ind w:left="480" w:right="560"/>
        <w:spacing w:after="0" w:line="259" w:lineRule="auto"/>
        <w:rPr>
          <w:sz w:val="20"/>
          <w:szCs w:val="20"/>
          <w:color w:val="auto"/>
        </w:rPr>
      </w:pPr>
      <w:r>
        <w:rPr>
          <w:rFonts w:ascii="Times New Roman" w:cs="Times New Roman" w:eastAsia="Times New Roman" w:hAnsi="Times New Roman"/>
          <w:sz w:val="16"/>
          <w:szCs w:val="16"/>
          <w:color w:val="auto"/>
        </w:rPr>
        <w:t>•Conversion into ordinary shares of the Company is at the option of the investor from any date of an IPO or Business Combination with a publicly listed company.</w:t>
      </w:r>
    </w:p>
    <w:p>
      <w:pPr>
        <w:spacing w:after="0" w:line="59" w:lineRule="exact"/>
        <w:rPr>
          <w:sz w:val="20"/>
          <w:szCs w:val="20"/>
          <w:color w:val="auto"/>
        </w:rPr>
      </w:pPr>
    </w:p>
    <w:p>
      <w:pPr>
        <w:jc w:val="both"/>
        <w:ind w:left="480" w:right="220"/>
        <w:spacing w:after="0" w:line="247" w:lineRule="auto"/>
        <w:rPr>
          <w:sz w:val="20"/>
          <w:szCs w:val="20"/>
          <w:color w:val="auto"/>
        </w:rPr>
      </w:pPr>
      <w:r>
        <w:rPr>
          <w:rFonts w:ascii="Times New Roman" w:cs="Times New Roman" w:eastAsia="Times New Roman" w:hAnsi="Times New Roman"/>
          <w:sz w:val="16"/>
          <w:szCs w:val="16"/>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68" w:lineRule="exact"/>
        <w:rPr>
          <w:sz w:val="20"/>
          <w:szCs w:val="20"/>
          <w:color w:val="auto"/>
        </w:rPr>
      </w:pPr>
    </w:p>
    <w:p>
      <w:pPr>
        <w:ind w:left="480" w:right="20"/>
        <w:spacing w:after="0" w:line="239" w:lineRule="auto"/>
        <w:rPr>
          <w:sz w:val="20"/>
          <w:szCs w:val="20"/>
          <w:color w:val="auto"/>
        </w:rPr>
      </w:pPr>
      <w:r>
        <w:rPr>
          <w:rFonts w:ascii="Times New Roman" w:cs="Times New Roman" w:eastAsia="Times New Roman" w:hAnsi="Times New Roman"/>
          <w:sz w:val="16"/>
          <w:szCs w:val="16"/>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410210</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55" w:name="page56"/>
    <w:bookmarkEnd w:id="55"/>
    <w:p>
      <w:pPr>
        <w:ind w:left="480"/>
        <w:spacing w:after="0"/>
        <w:rPr>
          <w:sz w:val="20"/>
          <w:szCs w:val="20"/>
          <w:color w:val="auto"/>
        </w:rPr>
      </w:pPr>
      <w:r>
        <w:rPr>
          <w:rFonts w:ascii="Times New Roman" w:cs="Times New Roman" w:eastAsia="Times New Roman" w:hAnsi="Times New Roman"/>
          <w:sz w:val="16"/>
          <w:szCs w:val="16"/>
          <w:color w:val="auto"/>
        </w:rPr>
        <w:t>the Rezolve group shall not enter into any Extraordinary Transactions (as defined below) without the prior consent of a Noteholder Majority.</w:t>
      </w:r>
    </w:p>
    <w:p>
      <w:pPr>
        <w:spacing w:after="0" w:line="188" w:lineRule="exact"/>
        <w:rPr>
          <w:sz w:val="20"/>
          <w:szCs w:val="20"/>
          <w:color w:val="auto"/>
        </w:rPr>
      </w:pPr>
    </w:p>
    <w:p>
      <w:pPr>
        <w:ind w:firstLine="468"/>
        <w:spacing w:after="0" w:line="237" w:lineRule="auto"/>
        <w:rPr>
          <w:sz w:val="20"/>
          <w:szCs w:val="20"/>
          <w:color w:val="auto"/>
        </w:rPr>
      </w:pPr>
      <w:r>
        <w:rPr>
          <w:rFonts w:ascii="Times New Roman" w:cs="Times New Roman" w:eastAsia="Times New Roman" w:hAnsi="Times New Roman"/>
          <w:sz w:val="16"/>
          <w:szCs w:val="16"/>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Upon execution of the amendment the secured convertible notes are then referred to as “the senior secured convertible notes”.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execution of the senior secured convertible note has been accounted for as a troubled debt restructuring since May 23, 2023. No gain has been recognized.</w:t>
      </w:r>
    </w:p>
    <w:p>
      <w:pPr>
        <w:spacing w:after="0" w:line="211" w:lineRule="exact"/>
        <w:rPr>
          <w:sz w:val="20"/>
          <w:szCs w:val="20"/>
          <w:color w:val="auto"/>
        </w:rPr>
      </w:pPr>
    </w:p>
    <w:p>
      <w:pPr>
        <w:ind w:right="160" w:firstLine="468"/>
        <w:spacing w:after="0" w:line="289" w:lineRule="auto"/>
        <w:rPr>
          <w:sz w:val="20"/>
          <w:szCs w:val="20"/>
          <w:color w:val="auto"/>
        </w:rPr>
      </w:pPr>
      <w:r>
        <w:rPr>
          <w:rFonts w:ascii="Times New Roman" w:cs="Times New Roman" w:eastAsia="Times New Roman" w:hAnsi="Times New Roman"/>
          <w:sz w:val="14"/>
          <w:szCs w:val="14"/>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On December 5, 2024, pursuant to the terms of the Loan Note Instrument, one of the holders of the Senior Secured Convertible Notes converted all of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$8,000,000 outstanding Convertible Notes at a conversion price of $7 per ordinary share. The Company recognized a gain on extinguishment of $1,306,077, equal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book value of the debt less the fair value of the ordinary shares issued on conversion.</w:t>
      </w:r>
    </w:p>
    <w:p>
      <w:pPr>
        <w:spacing w:after="0" w:line="170" w:lineRule="exact"/>
        <w:rPr>
          <w:sz w:val="20"/>
          <w:szCs w:val="20"/>
          <w:color w:val="auto"/>
        </w:rPr>
      </w:pPr>
    </w:p>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to amend the Loan Note Instrument (the “</w:t>
      </w:r>
      <w:r>
        <w:rPr>
          <w:rFonts w:ascii="Times New Roman" w:cs="Times New Roman" w:eastAsia="Times New Roman" w:hAnsi="Times New Roman"/>
          <w:sz w:val="16"/>
          <w:szCs w:val="16"/>
          <w:b w:val="1"/>
          <w:bCs w:val="1"/>
          <w:i w:val="1"/>
          <w:iCs w:val="1"/>
          <w:color w:val="auto"/>
        </w:rPr>
        <w:t>Amendment</w:t>
      </w:r>
      <w:r>
        <w:rPr>
          <w:rFonts w:ascii="Times New Roman" w:cs="Times New Roman" w:eastAsia="Times New Roman" w:hAnsi="Times New Roman"/>
          <w:sz w:val="16"/>
          <w:szCs w:val="16"/>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67"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Pursuant to the Agreement, Apeiron Investment Group and Bradley Wickens will also procure that the registered nominees holding $ 41,512,877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On January 15, 2025 and February 13, 2025, respectively, a further 3,009,849 and 7,987,374 ordinary shares were issued to settle $20,756,439 and $925,510 of principle and interest. Debt conversion expense of $20,554,446 was recognized within "Loss on extinguishment" in the Company's Condensed Interim Combined Consolidated Statement of Operations in the six months ended June 30, 2025.</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carrying amount of the convertible debt under troubled debt restructuring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716915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Convertible debt</w:t>
            </w:r>
          </w:p>
        </w:tc>
        <w:tc>
          <w:tcPr>
            <w:tcW w:w="17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Convertible debt under troubled debt restructuring</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130,000</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12,103,565</w:t>
            </w:r>
          </w:p>
        </w:tc>
        <w:tc>
          <w:tcPr>
            <w:tcW w:w="80" w:type="dxa"/>
            <w:vAlign w:val="bottom"/>
          </w:tcPr>
          <w:p>
            <w:pPr>
              <w:spacing w:after="0"/>
              <w:rPr>
                <w:sz w:val="15"/>
                <w:szCs w:val="15"/>
                <w:color w:val="auto"/>
              </w:rPr>
            </w:pP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Accrued interest on debt under troubled debt restructuring</w:t>
            </w:r>
          </w:p>
        </w:tc>
        <w:tc>
          <w:tcPr>
            <w:tcW w:w="172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54,585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7,176,741</w:t>
            </w:r>
          </w:p>
        </w:tc>
        <w:tc>
          <w:tcPr>
            <w:tcW w:w="80" w:type="dxa"/>
            <w:vAlign w:val="bottom"/>
            <w:shd w:val="clear" w:color="auto" w:fill="CFF0FC"/>
          </w:tcPr>
          <w:p>
            <w:pPr>
              <w:spacing w:after="0"/>
              <w:rPr>
                <w:sz w:val="15"/>
                <w:szCs w:val="15"/>
                <w:color w:val="auto"/>
              </w:rPr>
            </w:pP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Discount on convertible debt under troubled debt restructuring</w:t>
            </w:r>
          </w:p>
        </w:tc>
        <w:tc>
          <w:tcPr>
            <w:tcW w:w="1720" w:type="dxa"/>
            <w:vAlign w:val="bottom"/>
          </w:tcPr>
          <w:p>
            <w:pPr>
              <w:spacing w:after="0"/>
              <w:rPr>
                <w:sz w:val="15"/>
                <w:szCs w:val="15"/>
                <w:color w:val="auto"/>
              </w:rPr>
            </w:pP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(72,747)</w:t>
            </w:r>
          </w:p>
        </w:tc>
        <w:tc>
          <w:tcPr>
            <w:tcW w:w="160" w:type="dxa"/>
            <w:vAlign w:val="bottom"/>
          </w:tcPr>
          <w:p>
            <w:pPr>
              <w:spacing w:after="0"/>
              <w:rPr>
                <w:sz w:val="15"/>
                <w:szCs w:val="15"/>
                <w:color w:val="auto"/>
              </w:rPr>
            </w:pPr>
          </w:p>
        </w:tc>
        <w:tc>
          <w:tcPr>
            <w:tcW w:w="15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(7,401,611)</w:t>
            </w: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Debt issuance costs on debt under troubled debt restructuring</w:t>
            </w:r>
          </w:p>
        </w:tc>
        <w:tc>
          <w:tcPr>
            <w:tcW w:w="17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(1,590,572)</w:t>
            </w: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convertible debt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111,837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10,288,123</w:t>
            </w:r>
          </w:p>
        </w:tc>
        <w:tc>
          <w:tcPr>
            <w:tcW w:w="80" w:type="dxa"/>
            <w:vAlign w:val="bottom"/>
          </w:tcPr>
          <w:p>
            <w:pPr>
              <w:spacing w:after="0"/>
              <w:rPr>
                <w:sz w:val="15"/>
                <w:szCs w:val="15"/>
                <w:color w:val="auto"/>
              </w:rPr>
            </w:pP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Short term convertible debt to related party</w:t>
            </w:r>
          </w:p>
        </w:tc>
        <w:tc>
          <w:tcPr>
            <w:tcW w:w="17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125,000</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125,000</w:t>
            </w: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interest on convertible debt to related party</w:t>
            </w:r>
          </w:p>
        </w:tc>
        <w:tc>
          <w:tcPr>
            <w:tcW w:w="172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17,221</w:t>
            </w:r>
          </w:p>
        </w:tc>
        <w:tc>
          <w:tcPr>
            <w:tcW w:w="80" w:type="dxa"/>
            <w:vAlign w:val="bottom"/>
          </w:tcPr>
          <w:p>
            <w:pPr>
              <w:spacing w:after="0"/>
              <w:rPr>
                <w:sz w:val="15"/>
                <w:szCs w:val="15"/>
                <w:color w:val="auto"/>
              </w:rPr>
            </w:pPr>
          </w:p>
        </w:tc>
      </w:tr>
      <w:tr>
        <w:trPr>
          <w:trHeight w:val="180"/>
        </w:trPr>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Discount on convertible debt to related party</w:t>
            </w:r>
          </w:p>
        </w:tc>
        <w:tc>
          <w:tcPr>
            <w:tcW w:w="17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(39,352)</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(46,912)</w:t>
            </w:r>
          </w:p>
        </w:tc>
      </w:tr>
      <w:tr>
        <w:trPr>
          <w:trHeight w:val="180"/>
        </w:trPr>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short term convertible debt to related party</w:t>
            </w:r>
          </w:p>
        </w:tc>
        <w:tc>
          <w:tcPr>
            <w:tcW w:w="1720" w:type="dxa"/>
            <w:vAlign w:val="bottom"/>
          </w:tcPr>
          <w:p>
            <w:pPr>
              <w:spacing w:after="0"/>
              <w:rPr>
                <w:sz w:val="15"/>
                <w:szCs w:val="15"/>
                <w:color w:val="auto"/>
              </w:rPr>
            </w:pPr>
          </w:p>
        </w:tc>
        <w:tc>
          <w:tcPr>
            <w:tcW w:w="16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108,047</w:t>
            </w:r>
          </w:p>
        </w:tc>
        <w:tc>
          <w:tcPr>
            <w:tcW w:w="16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95,309</w:t>
            </w:r>
          </w:p>
        </w:tc>
        <w:tc>
          <w:tcPr>
            <w:tcW w:w="80" w:type="dxa"/>
            <w:vAlign w:val="bottom"/>
          </w:tcPr>
          <w:p>
            <w:pPr>
              <w:spacing w:after="0"/>
              <w:rPr>
                <w:sz w:val="15"/>
                <w:szCs w:val="15"/>
                <w:color w:val="auto"/>
              </w:rPr>
            </w:pPr>
          </w:p>
        </w:tc>
      </w:tr>
      <w:tr>
        <w:trPr>
          <w:trHeight w:val="200"/>
        </w:trPr>
        <w:tc>
          <w:tcPr>
            <w:tcW w:w="55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convertible debt under troubled debt restructuring</w:t>
            </w:r>
          </w:p>
        </w:tc>
        <w:tc>
          <w:tcPr>
            <w:tcW w:w="17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219,884</w:t>
            </w:r>
          </w:p>
        </w:tc>
        <w:tc>
          <w:tcPr>
            <w:tcW w:w="1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10,383,432</w:t>
            </w:r>
          </w:p>
        </w:tc>
        <w:tc>
          <w:tcPr>
            <w:tcW w:w="80" w:type="dxa"/>
            <w:vAlign w:val="bottom"/>
            <w:shd w:val="clear" w:color="auto" w:fill="CFF0FC"/>
          </w:tcPr>
          <w:p>
            <w:pPr>
              <w:spacing w:after="0"/>
              <w:rPr>
                <w:sz w:val="17"/>
                <w:szCs w:val="17"/>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 term convertible debt to a related party</w:t>
      </w:r>
    </w:p>
    <w:p>
      <w:pPr>
        <w:spacing w:after="0" w:line="192" w:lineRule="exact"/>
        <w:rPr>
          <w:sz w:val="20"/>
          <w:szCs w:val="20"/>
          <w:color w:val="auto"/>
        </w:rPr>
      </w:pPr>
    </w:p>
    <w:p>
      <w:pPr>
        <w:ind w:right="300" w:firstLine="468"/>
        <w:spacing w:after="0" w:line="259" w:lineRule="auto"/>
        <w:rPr>
          <w:sz w:val="20"/>
          <w:szCs w:val="20"/>
          <w:color w:val="auto"/>
        </w:rPr>
      </w:pPr>
      <w:r>
        <w:rPr>
          <w:rFonts w:ascii="Times New Roman" w:cs="Times New Roman" w:eastAsia="Times New Roman" w:hAnsi="Times New Roman"/>
          <w:sz w:val="16"/>
          <w:szCs w:val="16"/>
          <w:color w:val="auto"/>
        </w:rPr>
        <w:t>Short term convertible debt to a related party of $108,047, included in the Company’s senior secured convertible note includes $125,000 of convertible debt, $22,399 of accrued interest and a debt discount of $39,352.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payment liability</w:t>
      </w:r>
    </w:p>
    <w:p>
      <w:pPr>
        <w:spacing w:after="0" w:line="192" w:lineRule="exact"/>
        <w:rPr>
          <w:sz w:val="20"/>
          <w:szCs w:val="20"/>
          <w:color w:val="auto"/>
        </w:rPr>
      </w:pPr>
    </w:p>
    <w:p>
      <w:pPr>
        <w:ind w:right="20" w:firstLine="468"/>
        <w:spacing w:after="0" w:line="239" w:lineRule="auto"/>
        <w:rPr>
          <w:sz w:val="20"/>
          <w:szCs w:val="20"/>
          <w:color w:val="auto"/>
        </w:rPr>
      </w:pPr>
      <w:r>
        <w:rPr>
          <w:rFonts w:ascii="Times New Roman" w:cs="Times New Roman" w:eastAsia="Times New Roman" w:hAnsi="Times New Roman"/>
          <w:sz w:val="16"/>
          <w:szCs w:val="16"/>
          <w:color w:val="auto"/>
        </w:rPr>
        <w:t>On October 7, 2021, the Group acquired Jaymax International Service Inc. (“Jaymax”) (later renamed to “Rezolve Taiwan Limited”). As part of the 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 -compete agreement. The share-based payment liability is to be settled by a fixed dollar amount of shares and therefore represents a liability in accordance with ASC 480. At December 31, 2024 and June 30, 2025 the liability is equal its present value of $1,400,000 as the term of the non-compete agreement ended on October 7, 2024. The Company has yet to settle it in ordinary shares as at June 30,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Promissory notes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Advisors loans</w:t>
            </w:r>
          </w:p>
        </w:tc>
        <w:tc>
          <w:tcPr>
            <w:tcW w:w="29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Northland Securities</w:t>
            </w:r>
          </w:p>
        </w:tc>
        <w:tc>
          <w:tcPr>
            <w:tcW w:w="2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5,491,806</w:t>
            </w:r>
          </w:p>
        </w:tc>
        <w:tc>
          <w:tcPr>
            <w:tcW w:w="80" w:type="dxa"/>
            <w:vAlign w:val="bottom"/>
          </w:tcPr>
          <w:p>
            <w:pPr>
              <w:spacing w:after="0"/>
              <w:rPr>
                <w:sz w:val="15"/>
                <w:szCs w:val="15"/>
                <w:color w:val="auto"/>
              </w:rPr>
            </w:pP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J.V.B Financial Group</w:t>
            </w:r>
          </w:p>
        </w:tc>
        <w:tc>
          <w:tcPr>
            <w:tcW w:w="29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3,865,447</w:t>
            </w: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7,320,560</w:t>
            </w: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3,865,447</w:t>
            </w:r>
          </w:p>
        </w:tc>
        <w:tc>
          <w:tcPr>
            <w:tcW w:w="2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12,812,366</w:t>
            </w:r>
          </w:p>
        </w:tc>
        <w:tc>
          <w:tcPr>
            <w:tcW w:w="80" w:type="dxa"/>
            <w:vAlign w:val="bottom"/>
          </w:tcPr>
          <w:p>
            <w:pPr>
              <w:spacing w:after="0"/>
              <w:rPr>
                <w:sz w:val="15"/>
                <w:szCs w:val="15"/>
                <w:color w:val="auto"/>
              </w:rPr>
            </w:pPr>
          </w:p>
        </w:tc>
      </w:tr>
      <w:tr>
        <w:trPr>
          <w:trHeight w:val="20"/>
        </w:trPr>
        <w:tc>
          <w:tcPr>
            <w:tcW w:w="4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Yorkville Standby Equity Purchase Agreement (“SEPA”)</w:t>
      </w:r>
    </w:p>
    <w:p>
      <w:pPr>
        <w:spacing w:after="0" w:line="190" w:lineRule="exact"/>
        <w:rPr>
          <w:sz w:val="20"/>
          <w:szCs w:val="20"/>
          <w:color w:val="auto"/>
        </w:rPr>
      </w:pPr>
    </w:p>
    <w:p>
      <w:pPr>
        <w:jc w:val="both"/>
        <w:ind w:right="40" w:firstLine="468"/>
        <w:spacing w:after="0" w:line="247" w:lineRule="auto"/>
        <w:rPr>
          <w:sz w:val="20"/>
          <w:szCs w:val="20"/>
          <w:color w:val="auto"/>
        </w:rPr>
      </w:pPr>
      <w:r>
        <w:rPr>
          <w:rFonts w:ascii="Times New Roman" w:cs="Times New Roman" w:eastAsia="Times New Roman" w:hAnsi="Times New Roman"/>
          <w:sz w:val="16"/>
          <w:szCs w:val="16"/>
          <w:color w:val="auto"/>
        </w:rPr>
        <w:t>On February 2, 2024, the Company obtained an unsecured loan of $2,000,000 from YA II PN, LTD (“Yorkville” or “YA”) with principal amount of $ 2,500,000. The Yorkville Note was issued at a 20% discount to the principal amount, and has a maturity date falling 6 months from the date of issue (unless extended by Yorkville) subject to acceleration upon the occurrence of an event of default.</w:t>
      </w:r>
    </w:p>
    <w:p>
      <w:pPr>
        <w:spacing w:after="0" w:line="164" w:lineRule="exact"/>
        <w:rPr>
          <w:sz w:val="20"/>
          <w:szCs w:val="20"/>
          <w:color w:val="auto"/>
        </w:rPr>
      </w:pPr>
    </w:p>
    <w:p>
      <w:pPr>
        <w:ind w:right="20" w:firstLine="468"/>
        <w:spacing w:after="0" w:line="247" w:lineRule="auto"/>
        <w:rPr>
          <w:sz w:val="20"/>
          <w:szCs w:val="20"/>
          <w:color w:val="auto"/>
        </w:rPr>
      </w:pPr>
      <w:r>
        <w:rPr>
          <w:rFonts w:ascii="Times New Roman" w:cs="Times New Roman" w:eastAsia="Times New Roman" w:hAnsi="Times New Roman"/>
          <w:sz w:val="16"/>
          <w:szCs w:val="16"/>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64" w:lineRule="exact"/>
        <w:rPr>
          <w:sz w:val="20"/>
          <w:szCs w:val="20"/>
          <w:color w:val="auto"/>
        </w:rPr>
      </w:pPr>
    </w:p>
    <w:p>
      <w:pPr>
        <w:ind w:right="160" w:firstLine="468"/>
        <w:spacing w:after="0" w:line="243" w:lineRule="auto"/>
        <w:rPr>
          <w:sz w:val="20"/>
          <w:szCs w:val="20"/>
          <w:color w:val="auto"/>
        </w:rPr>
      </w:pPr>
      <w:r>
        <w:rPr>
          <w:rFonts w:ascii="Times New Roman" w:cs="Times New Roman" w:eastAsia="Times New Roman" w:hAnsi="Times New Roman"/>
          <w:sz w:val="16"/>
          <w:szCs w:val="16"/>
          <w:color w:val="auto"/>
        </w:rPr>
        <w:t>The Yorkville Note is convertible into ordinary shares in Rezolve AI plc upon public listing (or if an event of default occurs or the note reaches maturity) .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67" w:lineRule="exact"/>
        <w:rPr>
          <w:sz w:val="20"/>
          <w:szCs w:val="20"/>
          <w:color w:val="auto"/>
        </w:rPr>
      </w:pPr>
    </w:p>
    <w:p>
      <w:pPr>
        <w:ind w:right="300" w:firstLine="468"/>
        <w:spacing w:after="0" w:line="281" w:lineRule="auto"/>
        <w:rPr>
          <w:sz w:val="20"/>
          <w:szCs w:val="20"/>
          <w:color w:val="auto"/>
        </w:rPr>
      </w:pPr>
      <w:r>
        <w:rPr>
          <w:rFonts w:ascii="Times New Roman" w:cs="Times New Roman" w:eastAsia="Times New Roman" w:hAnsi="Times New Roman"/>
          <w:sz w:val="14"/>
          <w:szCs w:val="14"/>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w:t>
      </w:r>
    </w:p>
    <w:p>
      <w:pPr>
        <w:spacing w:after="0" w:line="1"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6"/>
          <w:szCs w:val="16"/>
          <w:color w:val="auto"/>
        </w:rPr>
        <w:t>10.0% per annum from the date the agreement was executed. Interest increases to 18% upon the occurrence of an event of default. The Other Promissory notes have a maturity date six months from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407670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57" w:name="page58"/>
    <w:bookmarkEnd w:id="57"/>
    <w:p>
      <w:pPr>
        <w:ind w:right="140" w:firstLine="468"/>
        <w:spacing w:after="0" w:line="243" w:lineRule="auto"/>
        <w:rPr>
          <w:sz w:val="20"/>
          <w:szCs w:val="20"/>
          <w:color w:val="auto"/>
        </w:rPr>
      </w:pPr>
      <w:r>
        <w:rPr>
          <w:rFonts w:ascii="Times New Roman" w:cs="Times New Roman" w:eastAsia="Times New Roman" w:hAnsi="Times New Roman"/>
          <w:sz w:val="16"/>
          <w:szCs w:val="16"/>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67" w:lineRule="exact"/>
        <w:rPr>
          <w:sz w:val="20"/>
          <w:szCs w:val="20"/>
          <w:color w:val="auto"/>
        </w:rPr>
      </w:pPr>
    </w:p>
    <w:p>
      <w:pPr>
        <w:ind w:right="20" w:firstLine="468"/>
        <w:spacing w:after="0" w:line="238" w:lineRule="auto"/>
        <w:rPr>
          <w:sz w:val="20"/>
          <w:szCs w:val="20"/>
          <w:color w:val="auto"/>
        </w:rPr>
      </w:pPr>
      <w:r>
        <w:rPr>
          <w:rFonts w:ascii="Times New Roman" w:cs="Times New Roman" w:eastAsia="Times New Roman" w:hAnsi="Times New Roman"/>
          <w:sz w:val="16"/>
          <w:szCs w:val="16"/>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73"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6"/>
          <w:szCs w:val="16"/>
          <w:b w:val="1"/>
          <w:bCs w:val="1"/>
          <w:i w:val="1"/>
          <w:iCs w:val="1"/>
          <w:color w:val="auto"/>
        </w:rPr>
        <w:t>Third YA Note</w:t>
      </w:r>
      <w:r>
        <w:rPr>
          <w:rFonts w:ascii="Times New Roman" w:cs="Times New Roman" w:eastAsia="Times New Roman" w:hAnsi="Times New Roman"/>
          <w:sz w:val="16"/>
          <w:szCs w:val="16"/>
          <w:color w:val="auto"/>
        </w:rPr>
        <w:t xml:space="preserve">”, and together with the </w:t>
      </w:r>
      <w:r>
        <w:rPr>
          <w:rFonts w:ascii="Times New Roman" w:cs="Times New Roman" w:eastAsia="Times New Roman" w:hAnsi="Times New Roman"/>
          <w:sz w:val="16"/>
          <w:szCs w:val="16"/>
          <w:b w:val="1"/>
          <w:bCs w:val="1"/>
          <w:i w:val="1"/>
          <w:iCs w:val="1"/>
          <w:color w:val="auto"/>
        </w:rPr>
        <w:t>First YA Note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Second YA Note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YA Notes</w:t>
      </w:r>
      <w:r>
        <w:rPr>
          <w:rFonts w:ascii="Times New Roman" w:cs="Times New Roman" w:eastAsia="Times New Roman" w:hAnsi="Times New Roman"/>
          <w:sz w:val="16"/>
          <w:szCs w:val="16"/>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December 2024, the Company received the Noteholder's request to convert of all of the principal and interest outstanding under the YA Notes. In connection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therewith, the Company issued an aggregate of 4,310,208 Ordinary Shares (including in payment of a fee to YA) in December 2024. As of December 31, 2024,</w:t>
      </w:r>
    </w:p>
    <w:p>
      <w:pPr>
        <w:spacing w:after="0"/>
        <w:rPr>
          <w:sz w:val="20"/>
          <w:szCs w:val="20"/>
          <w:color w:val="auto"/>
        </w:rPr>
      </w:pPr>
      <w:r>
        <w:rPr>
          <w:rFonts w:ascii="Times New Roman" w:cs="Times New Roman" w:eastAsia="Times New Roman" w:hAnsi="Times New Roman"/>
          <w:sz w:val="14"/>
          <w:szCs w:val="14"/>
          <w:color w:val="auto"/>
        </w:rPr>
        <w:t>$2,705,929 in principal and interest was outstanding, which was subsequently settled in 1,413,946 Ordinary Shares on February 5, 2025, and no further amounts remain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 loss on extinguishment of $1,496,889 was recognized in the Company's Condensed Interim Combined Consolidated Statements of Operations for the six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months ended June 30, 2025.</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Promissory notes</w:t>
      </w:r>
    </w:p>
    <w:p>
      <w:pPr>
        <w:spacing w:after="0" w:line="94" w:lineRule="exact"/>
        <w:rPr>
          <w:sz w:val="20"/>
          <w:szCs w:val="20"/>
          <w:color w:val="auto"/>
        </w:rPr>
      </w:pPr>
    </w:p>
    <w:p>
      <w:pPr>
        <w:ind w:right="320" w:firstLine="468"/>
        <w:spacing w:after="0" w:line="247" w:lineRule="auto"/>
        <w:rPr>
          <w:sz w:val="20"/>
          <w:szCs w:val="20"/>
          <w:color w:val="auto"/>
        </w:rPr>
      </w:pPr>
      <w:r>
        <w:rPr>
          <w:rFonts w:ascii="Times New Roman" w:cs="Times New Roman" w:eastAsia="Times New Roman" w:hAnsi="Times New Roman"/>
          <w:sz w:val="16"/>
          <w:szCs w:val="16"/>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Promissory Notes were issued during the course of February, 2024, pursuant to the terms of the Promissory Note Instruments.</w:t>
      </w:r>
    </w:p>
    <w:p>
      <w:pPr>
        <w:spacing w:after="0" w:line="92" w:lineRule="exact"/>
        <w:rPr>
          <w:sz w:val="20"/>
          <w:szCs w:val="20"/>
          <w:color w:val="auto"/>
        </w:rPr>
      </w:pPr>
    </w:p>
    <w:p>
      <w:pPr>
        <w:ind w:right="540" w:firstLine="468"/>
        <w:spacing w:after="0" w:line="259" w:lineRule="auto"/>
        <w:rPr>
          <w:sz w:val="20"/>
          <w:szCs w:val="20"/>
          <w:color w:val="auto"/>
        </w:rPr>
      </w:pPr>
      <w:r>
        <w:rPr>
          <w:rFonts w:ascii="Times New Roman" w:cs="Times New Roman" w:eastAsia="Times New Roman" w:hAnsi="Times New Roman"/>
          <w:sz w:val="16"/>
          <w:szCs w:val="16"/>
          <w:color w:val="auto"/>
        </w:rPr>
        <w:t>With effect from the completion of the Pre-Closing Demerger, the rights and obligations of Rezolve Limited under the Subscription Agreements and the Promissory Note Instruments were novated to Rezolve AI plc.</w:t>
      </w:r>
    </w:p>
    <w:p>
      <w:pPr>
        <w:spacing w:after="0" w:line="59" w:lineRule="exact"/>
        <w:rPr>
          <w:sz w:val="20"/>
          <w:szCs w:val="20"/>
          <w:color w:val="auto"/>
        </w:rPr>
      </w:pPr>
    </w:p>
    <w:p>
      <w:pPr>
        <w:ind w:right="20" w:firstLine="468"/>
        <w:spacing w:after="0" w:line="243" w:lineRule="auto"/>
        <w:rPr>
          <w:sz w:val="20"/>
          <w:szCs w:val="20"/>
          <w:color w:val="auto"/>
        </w:rPr>
      </w:pPr>
      <w:r>
        <w:rPr>
          <w:rFonts w:ascii="Times New Roman" w:cs="Times New Roman" w:eastAsia="Times New Roman" w:hAnsi="Times New Roman"/>
          <w:sz w:val="16"/>
          <w:szCs w:val="16"/>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1"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1" w:lineRule="exact"/>
        <w:rPr>
          <w:sz w:val="20"/>
          <w:szCs w:val="20"/>
          <w:color w:val="auto"/>
        </w:rPr>
      </w:pPr>
    </w:p>
    <w:p>
      <w:pPr>
        <w:ind w:right="60" w:firstLine="468"/>
        <w:spacing w:after="0" w:line="289" w:lineRule="auto"/>
        <w:rPr>
          <w:sz w:val="20"/>
          <w:szCs w:val="20"/>
          <w:color w:val="auto"/>
        </w:rPr>
      </w:pPr>
      <w:r>
        <w:rPr>
          <w:rFonts w:ascii="Times New Roman" w:cs="Times New Roman" w:eastAsia="Times New Roman" w:hAnsi="Times New Roman"/>
          <w:sz w:val="14"/>
          <w:szCs w:val="14"/>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41"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Following the public listing of the ordinary shares in Rezolve AI plc, if a “Promissory Note Trigger Event” occurs (being where (i) the daily VWAP is less than the Floor Price for five (5) trading days during a period of seven (7) consecutive trading days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25" w:right="720" w:bottom="1440" w:gutter="0" w:footer="0" w:header="0"/>
        </w:sectPr>
      </w:pPr>
    </w:p>
    <w:bookmarkStart w:id="58" w:name="page59"/>
    <w:bookmarkEnd w:id="58"/>
    <w:p>
      <w:pPr>
        <w:spacing w:after="0" w:line="238" w:lineRule="auto"/>
        <w:rPr>
          <w:sz w:val="20"/>
          <w:szCs w:val="20"/>
          <w:color w:val="auto"/>
        </w:rPr>
      </w:pPr>
      <w:r>
        <w:rPr>
          <w:rFonts w:ascii="Times New Roman" w:cs="Times New Roman" w:eastAsia="Times New Roman" w:hAnsi="Times New Roman"/>
          <w:sz w:val="16"/>
          <w:szCs w:val="16"/>
          <w:color w:val="auto"/>
        </w:rPr>
        <w:t>“Promissory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74" w:lineRule="exact"/>
        <w:rPr>
          <w:sz w:val="20"/>
          <w:szCs w:val="20"/>
          <w:color w:val="auto"/>
        </w:rPr>
      </w:pPr>
    </w:p>
    <w:p>
      <w:pPr>
        <w:ind w:right="300" w:firstLine="468"/>
        <w:spacing w:after="0" w:line="247" w:lineRule="auto"/>
        <w:rPr>
          <w:sz w:val="20"/>
          <w:szCs w:val="20"/>
          <w:color w:val="auto"/>
        </w:rPr>
      </w:pPr>
      <w:r>
        <w:rPr>
          <w:rFonts w:ascii="Times New Roman" w:cs="Times New Roman" w:eastAsia="Times New Roman" w:hAnsi="Times New Roman"/>
          <w:sz w:val="16"/>
          <w:szCs w:val="16"/>
          <w:color w:val="auto"/>
        </w:rPr>
        <w:t>On December 30, 2024, the Company repaid $ 1,472,231 of principal and interest to noteholders and related persons. As at December 31, 2024, certain noteholders and related parties have agreed to convert an aggregate of $1,189,096 of principal and interest into 425,288 Ordinary Shares. The outstanding balance at June 30, 2025 is $538,524 (net of debt discount), which the Company intends to settle by conversion into Ordinary Shares.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Cohen &amp; Company Financial Management LLC</w:t>
      </w:r>
    </w:p>
    <w:p>
      <w:pPr>
        <w:spacing w:after="0" w:line="94" w:lineRule="exact"/>
        <w:rPr>
          <w:sz w:val="20"/>
          <w:szCs w:val="20"/>
          <w:color w:val="auto"/>
        </w:rPr>
      </w:pPr>
    </w:p>
    <w:p>
      <w:pPr>
        <w:ind w:right="40" w:firstLine="468"/>
        <w:spacing w:after="0" w:line="237" w:lineRule="auto"/>
        <w:rPr>
          <w:sz w:val="20"/>
          <w:szCs w:val="20"/>
          <w:color w:val="auto"/>
        </w:rPr>
      </w:pPr>
      <w:r>
        <w:rPr>
          <w:rFonts w:ascii="Times New Roman" w:cs="Times New Roman" w:eastAsia="Times New Roman" w:hAnsi="Times New Roman"/>
          <w:sz w:val="16"/>
          <w:szCs w:val="16"/>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1,257,632 ordinary shares, and no further amounts remain outstanding. A loss on extinguishment of $1,066,346 was recognized in the Company's Condensed Interim Combined Consolidated Statement of Operations in the six months ending June 30,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Advisors loans</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Company issued the following promissory notes to financial advisors for fees payable contingent on the close of the Business Combination with Armada: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Northland Securities</w:t>
      </w:r>
    </w:p>
    <w:p>
      <w:pPr>
        <w:spacing w:after="0" w:line="94" w:lineRule="exact"/>
        <w:rPr>
          <w:sz w:val="20"/>
          <w:szCs w:val="20"/>
          <w:color w:val="auto"/>
        </w:rPr>
      </w:pPr>
    </w:p>
    <w:p>
      <w:pPr>
        <w:ind w:firstLine="468"/>
        <w:spacing w:after="0" w:line="236" w:lineRule="auto"/>
        <w:rPr>
          <w:sz w:val="20"/>
          <w:szCs w:val="20"/>
          <w:color w:val="auto"/>
        </w:rPr>
      </w:pPr>
      <w:r>
        <w:rPr>
          <w:rFonts w:ascii="Times New Roman" w:cs="Times New Roman" w:eastAsia="Times New Roman" w:hAnsi="Times New Roman"/>
          <w:sz w:val="16"/>
          <w:szCs w:val="16"/>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A gain of $1,011,950 was recognized within "Loss on extinguishment" in the Company's Interim Combined Consolidated combined Statement of Operations in the six months ending June 30, 2025. No further amounts remain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J.V.B. Financial Group</w:t>
      </w:r>
    </w:p>
    <w:p>
      <w:pPr>
        <w:spacing w:after="0" w:line="94"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On August 14, 2024 the Company issued a promissory note to J.V.B. Financial Group, LLC (“JVB”) ) for an amount of $7,500,000 and agreed to pay interest on the principal amount outstanding from time to time from August 14, 2024 until the note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29" w:right="660" w:bottom="1440" w:gutter="0" w:footer="0" w:header="0"/>
        </w:sectPr>
      </w:pPr>
    </w:p>
    <w:bookmarkStart w:id="59" w:name="page60"/>
    <w:bookmarkEnd w:id="59"/>
    <w:p>
      <w:pPr>
        <w:ind w:right="140"/>
        <w:spacing w:after="0" w:line="239" w:lineRule="auto"/>
        <w:rPr>
          <w:sz w:val="20"/>
          <w:szCs w:val="20"/>
          <w:color w:val="auto"/>
        </w:rPr>
      </w:pPr>
      <w:r>
        <w:rPr>
          <w:rFonts w:ascii="Times New Roman" w:cs="Times New Roman" w:eastAsia="Times New Roman" w:hAnsi="Times New Roman"/>
          <w:sz w:val="16"/>
          <w:szCs w:val="16"/>
          <w:color w:val="auto"/>
        </w:rPr>
        <w:t>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amounts for advisors loans remain outstanding as of June 30, 2025: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Advisors loans</w:t>
            </w:r>
          </w:p>
        </w:tc>
        <w:tc>
          <w:tcPr>
            <w:tcW w:w="29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Northland Securities</w:t>
            </w:r>
          </w:p>
        </w:tc>
        <w:tc>
          <w:tcPr>
            <w:tcW w:w="2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5,491,806</w:t>
            </w:r>
          </w:p>
        </w:tc>
        <w:tc>
          <w:tcPr>
            <w:tcW w:w="80" w:type="dxa"/>
            <w:vAlign w:val="bottom"/>
          </w:tcPr>
          <w:p>
            <w:pPr>
              <w:spacing w:after="0"/>
              <w:rPr>
                <w:sz w:val="15"/>
                <w:szCs w:val="15"/>
                <w:color w:val="auto"/>
              </w:rPr>
            </w:pP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J.V.B Financial Group</w:t>
            </w:r>
          </w:p>
        </w:tc>
        <w:tc>
          <w:tcPr>
            <w:tcW w:w="29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3,865,447</w:t>
            </w: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7,320,560</w:t>
            </w:r>
          </w:p>
        </w:tc>
        <w:tc>
          <w:tcPr>
            <w:tcW w:w="80" w:type="dxa"/>
            <w:vAlign w:val="bottom"/>
            <w:shd w:val="clear" w:color="auto" w:fill="CFF0FC"/>
          </w:tcPr>
          <w:p>
            <w:pPr>
              <w:spacing w:after="0"/>
              <w:rPr>
                <w:sz w:val="15"/>
                <w:szCs w:val="15"/>
                <w:color w:val="auto"/>
              </w:rPr>
            </w:pPr>
          </w:p>
        </w:tc>
      </w:tr>
      <w:tr>
        <w:trPr>
          <w:trHeight w:val="180"/>
        </w:trPr>
        <w:tc>
          <w:tcPr>
            <w:tcW w:w="426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3,865,447</w:t>
            </w:r>
          </w:p>
        </w:tc>
        <w:tc>
          <w:tcPr>
            <w:tcW w:w="2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12,812,366</w:t>
            </w:r>
          </w:p>
        </w:tc>
        <w:tc>
          <w:tcPr>
            <w:tcW w:w="80" w:type="dxa"/>
            <w:vAlign w:val="bottom"/>
          </w:tcPr>
          <w:p>
            <w:pPr>
              <w:spacing w:after="0"/>
              <w:rPr>
                <w:sz w:val="15"/>
                <w:szCs w:val="15"/>
                <w:color w:val="auto"/>
              </w:rPr>
            </w:pPr>
          </w:p>
        </w:tc>
      </w:tr>
      <w:tr>
        <w:trPr>
          <w:trHeight w:val="20"/>
        </w:trPr>
        <w:tc>
          <w:tcPr>
            <w:tcW w:w="4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w:t>
      </w:r>
    </w:p>
    <w:p>
      <w:pPr>
        <w:spacing w:after="0" w:line="192" w:lineRule="exact"/>
        <w:rPr>
          <w:sz w:val="20"/>
          <w:szCs w:val="20"/>
          <w:color w:val="auto"/>
        </w:rPr>
      </w:pPr>
    </w:p>
    <w:p>
      <w:pPr>
        <w:ind w:right="200" w:firstLine="468"/>
        <w:spacing w:after="0" w:line="241" w:lineRule="auto"/>
        <w:rPr>
          <w:sz w:val="20"/>
          <w:szCs w:val="20"/>
          <w:color w:val="auto"/>
        </w:rPr>
      </w:pPr>
      <w:r>
        <w:rPr>
          <w:rFonts w:ascii="Times New Roman" w:cs="Times New Roman" w:eastAsia="Times New Roman" w:hAnsi="Times New Roman"/>
          <w:sz w:val="16"/>
          <w:szCs w:val="16"/>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69" w:lineRule="exact"/>
        <w:rPr>
          <w:sz w:val="20"/>
          <w:szCs w:val="20"/>
          <w:color w:val="auto"/>
        </w:rPr>
      </w:pPr>
    </w:p>
    <w:p>
      <w:pPr>
        <w:ind w:right="80" w:firstLine="468"/>
        <w:spacing w:after="0" w:line="241" w:lineRule="auto"/>
        <w:rPr>
          <w:sz w:val="20"/>
          <w:szCs w:val="20"/>
          <w:color w:val="auto"/>
        </w:rPr>
      </w:pPr>
      <w:r>
        <w:rPr>
          <w:rFonts w:ascii="Times New Roman" w:cs="Times New Roman" w:eastAsia="Times New Roman" w:hAnsi="Times New Roman"/>
          <w:sz w:val="16"/>
          <w:szCs w:val="16"/>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3"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Level 1—Inputs are quoted prices (unadjusted) in active markets for identical assets or liabilities that the Company has the ability to access at the measurement date.</w:t>
      </w:r>
    </w:p>
    <w:p>
      <w:pPr>
        <w:spacing w:after="0" w:line="59"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Level 3—Inputs are unobservable inputs for the asset or liability.</w:t>
      </w:r>
    </w:p>
    <w:p>
      <w:pPr>
        <w:spacing w:after="0" w:line="188"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The level in the fair value hierarchy within which a fair value measurement in its entirety falls is based on the lowest-level input that is significant to the fair value measurement in its entirety.</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Fair value measurements at reporting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100" w:type="dxa"/>
            <w:vAlign w:val="bottom"/>
          </w:tcPr>
          <w:p>
            <w:pPr>
              <w:spacing w:after="0"/>
              <w:rPr>
                <w:sz w:val="14"/>
                <w:szCs w:val="14"/>
                <w:color w:val="auto"/>
              </w:rPr>
            </w:pPr>
          </w:p>
        </w:tc>
        <w:tc>
          <w:tcPr>
            <w:tcW w:w="120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80" w:type="dxa"/>
            <w:vAlign w:val="bottom"/>
          </w:tcPr>
          <w:p>
            <w:pPr>
              <w:spacing w:after="0"/>
              <w:rPr>
                <w:sz w:val="14"/>
                <w:szCs w:val="14"/>
                <w:color w:val="auto"/>
              </w:rPr>
            </w:pPr>
          </w:p>
        </w:tc>
        <w:tc>
          <w:tcPr>
            <w:tcW w:w="120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4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80"/>
        </w:trPr>
        <w:tc>
          <w:tcPr>
            <w:tcW w:w="38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June 30, 2025</w:t>
            </w:r>
          </w:p>
        </w:tc>
        <w:tc>
          <w:tcPr>
            <w:tcW w:w="2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Fair value on recurring basis</w:t>
            </w:r>
          </w:p>
        </w:tc>
        <w:tc>
          <w:tcPr>
            <w:tcW w:w="2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6"/>
              </w:rPr>
              <w:t>(1)</w:t>
            </w:r>
          </w:p>
        </w:tc>
        <w:tc>
          <w:tcPr>
            <w:tcW w:w="3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Share-based payment liability</w:t>
            </w:r>
          </w:p>
        </w:tc>
        <w:tc>
          <w:tcPr>
            <w:tcW w:w="2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3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6"/>
              </w:rPr>
              <w:t>(2)</w:t>
            </w:r>
          </w:p>
        </w:tc>
        <w:tc>
          <w:tcPr>
            <w:tcW w:w="36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 liability</w:t>
            </w:r>
          </w:p>
        </w:tc>
        <w:tc>
          <w:tcPr>
            <w:tcW w:w="2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1,513,430</w:t>
            </w:r>
          </w:p>
        </w:tc>
        <w:tc>
          <w:tcPr>
            <w:tcW w:w="4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6"/>
              </w:rPr>
              <w:t>(3)</w:t>
            </w:r>
          </w:p>
        </w:tc>
        <w:tc>
          <w:tcPr>
            <w:tcW w:w="3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Other receivable</w:t>
            </w:r>
          </w:p>
        </w:tc>
        <w:tc>
          <w:tcPr>
            <w:tcW w:w="2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5,710,714</w:t>
            </w:r>
          </w:p>
        </w:tc>
        <w:tc>
          <w:tcPr>
            <w:tcW w:w="3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2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388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Fair value on recurring basis</w:t>
            </w:r>
          </w:p>
        </w:tc>
        <w:tc>
          <w:tcPr>
            <w:tcW w:w="2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r>
      <w:tr>
        <w:trPr>
          <w:trHeight w:val="180"/>
        </w:trPr>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6"/>
              </w:rPr>
              <w:t>(1)</w:t>
            </w:r>
          </w:p>
        </w:tc>
        <w:tc>
          <w:tcPr>
            <w:tcW w:w="36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Share-based payment liability</w:t>
            </w:r>
          </w:p>
        </w:tc>
        <w:tc>
          <w:tcPr>
            <w:tcW w:w="2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1,400,000</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180"/>
        </w:trPr>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6"/>
              </w:rPr>
              <w:t>(2)</w:t>
            </w:r>
          </w:p>
        </w:tc>
        <w:tc>
          <w:tcPr>
            <w:tcW w:w="3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Derivative liability</w:t>
            </w:r>
          </w:p>
        </w:tc>
        <w:tc>
          <w:tcPr>
            <w:tcW w:w="2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2,579,875</w:t>
            </w:r>
          </w:p>
        </w:tc>
        <w:tc>
          <w:tcPr>
            <w:tcW w:w="4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ind w:left="1220"/>
              <w:spacing w:after="0" w:line="180" w:lineRule="exact"/>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w w:val="96"/>
              </w:rPr>
              <w:t>(2)</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1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2,587,581</w:t>
            </w: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220"/>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29" w:right="640" w:bottom="1440" w:gutter="0" w:footer="0" w:header="0"/>
        </w:sectPr>
      </w:pPr>
    </w:p>
    <w:bookmarkStart w:id="60" w:name="page61"/>
    <w:bookmarkEnd w:id="60"/>
    <w:p>
      <w:pPr>
        <w:ind w:right="120"/>
        <w:spacing w:after="0"/>
        <w:rPr>
          <w:sz w:val="20"/>
          <w:szCs w:val="20"/>
          <w:color w:val="auto"/>
        </w:rPr>
      </w:pPr>
      <w:r>
        <w:rPr>
          <w:rFonts w:ascii="Times New Roman" w:cs="Times New Roman" w:eastAsia="Times New Roman" w:hAnsi="Times New Roman"/>
          <w:sz w:val="16"/>
          <w:szCs w:val="16"/>
          <w:color w:val="auto"/>
        </w:rPr>
        <w:t>(2)The derivative asset and the derivative liability were valued by a third-party valuation expert using a Geometric Brownian Motion based Monte Carlo simulation to project the underlying metric value to ultimately determine the fair value upon the date of issuance. This model incorporates the most recent data available including risk -free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(3)See note 8.9.</w:t>
      </w:r>
    </w:p>
    <w:p>
      <w:pPr>
        <w:spacing w:after="0" w:line="158" w:lineRule="exact"/>
        <w:rPr>
          <w:sz w:val="20"/>
          <w:szCs w:val="20"/>
          <w:color w:val="auto"/>
        </w:rPr>
      </w:pPr>
    </w:p>
    <w:p>
      <w:pPr>
        <w:ind w:right="60" w:firstLine="234"/>
        <w:spacing w:after="0" w:line="243" w:lineRule="auto"/>
        <w:rPr>
          <w:sz w:val="20"/>
          <w:szCs w:val="20"/>
          <w:color w:val="auto"/>
        </w:rPr>
      </w:pPr>
      <w:r>
        <w:rPr>
          <w:rFonts w:ascii="Times New Roman" w:cs="Times New Roman" w:eastAsia="Times New Roman" w:hAnsi="Times New Roman"/>
          <w:sz w:val="16"/>
          <w:szCs w:val="16"/>
          <w:color w:val="auto"/>
        </w:rPr>
        <w:t>The derivative asset at December 31, 2024 pertained to an option held by the Company to convert a promissory note payable to Northland Securities (see note 8). In the event that the Company and its direct and indirect parent companies after completion of the Business Combination have less than $ 20,000,000 in cash, cash equivalents and marketable securities as of December 31, 2024, the Company may, at its option, on or before March 31, 2025, convert all of the advisor's loan payable but $1,135,000 into shares of the Company’s common stock at a price of $10.00 per share.</w:t>
      </w:r>
    </w:p>
    <w:p>
      <w:pPr>
        <w:spacing w:after="0" w:line="167" w:lineRule="exact"/>
        <w:rPr>
          <w:sz w:val="20"/>
          <w:szCs w:val="20"/>
          <w:color w:val="auto"/>
        </w:rPr>
      </w:pPr>
    </w:p>
    <w:p>
      <w:pPr>
        <w:ind w:right="60" w:firstLine="468"/>
        <w:spacing w:after="0" w:line="239" w:lineRule="auto"/>
        <w:rPr>
          <w:sz w:val="20"/>
          <w:szCs w:val="20"/>
          <w:color w:val="auto"/>
        </w:rPr>
      </w:pPr>
      <w:r>
        <w:rPr>
          <w:rFonts w:ascii="Times New Roman" w:cs="Times New Roman" w:eastAsia="Times New Roman" w:hAnsi="Times New Roman"/>
          <w:sz w:val="16"/>
          <w:szCs w:val="16"/>
          <w:color w:val="auto"/>
        </w:rPr>
        <w:t>The derivative liabilities were triggered by conversion features embedded in promissory notes held by investors Cohen &amp; Company Financial Management LLC (see note 8), J.V.B. Financial Group and Northlands Securities (see note 8). On August 15, 2024, the Company recognized derivative liabilities and an offsetting debt discount associated with the embedded conversion features in its senior secured convertible notes (see note 8), convertible promissory notes (see note 8) and advisors loans (see note 8). The Company previously did not bifurcate the embedded conversion features as derivatives due to the lack of an underlying share price prior to the Company's acquisition of Armada and listing of its Ordinary Shares on the NASDAQ. The Company no longer recognized a derivative liability associated with the following debt liabilities due to the investors having exercised their conversion features by December 31, 2024:</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•Senior secured convertible notes (note 8.4);</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•YA notes (note 8.7);</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•Promissory notes (note 8.7)</w:t>
      </w:r>
    </w:p>
    <w:p>
      <w:pPr>
        <w:spacing w:after="0" w:line="188" w:lineRule="exact"/>
        <w:rPr>
          <w:sz w:val="20"/>
          <w:szCs w:val="20"/>
          <w:color w:val="auto"/>
        </w:rPr>
      </w:pPr>
    </w:p>
    <w:p>
      <w:pPr>
        <w:ind w:right="120" w:firstLine="468"/>
        <w:spacing w:after="0" w:line="259" w:lineRule="auto"/>
        <w:rPr>
          <w:sz w:val="20"/>
          <w:szCs w:val="20"/>
          <w:color w:val="auto"/>
        </w:rPr>
      </w:pPr>
      <w:r>
        <w:rPr>
          <w:rFonts w:ascii="Times New Roman" w:cs="Times New Roman" w:eastAsia="Times New Roman" w:hAnsi="Times New Roman"/>
          <w:sz w:val="16"/>
          <w:szCs w:val="16"/>
          <w:color w:val="auto"/>
        </w:rPr>
        <w:t>The carrying amount of the Company’s cash, accounts receivable, accounts payable and accrued expenses approximated their fair values due to their short term to maturity.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Balance Sheet Information</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sets forth our unrestricted cash and cash equivalents on our balance sheet and undrawn amounts under our revolving credit facility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right"/>
              <w:ind w:right="48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80" w:type="dxa"/>
            <w:vAlign w:val="bottom"/>
          </w:tcPr>
          <w:p>
            <w:pPr>
              <w:spacing w:after="0"/>
              <w:rPr>
                <w:sz w:val="14"/>
                <w:szCs w:val="14"/>
                <w:color w:val="auto"/>
              </w:rPr>
            </w:pPr>
          </w:p>
        </w:tc>
        <w:tc>
          <w:tcPr>
            <w:tcW w:w="164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Unrestricted cash and cash equivalents</w:t>
            </w:r>
          </w:p>
        </w:tc>
        <w:tc>
          <w:tcPr>
            <w:tcW w:w="11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9,857,390</w:t>
            </w:r>
          </w:p>
        </w:tc>
        <w:tc>
          <w:tcPr>
            <w:tcW w:w="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9,729,546</w:t>
            </w: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Available liquidity</w:t>
            </w:r>
          </w:p>
        </w:tc>
        <w:tc>
          <w:tcPr>
            <w:tcW w:w="11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9,857,390</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9,729,546</w:t>
            </w:r>
          </w:p>
        </w:tc>
      </w:tr>
      <w:tr>
        <w:trPr>
          <w:trHeight w:val="287"/>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6"/>
        </w:trPr>
        <w:tc>
          <w:tcPr>
            <w:tcW w:w="5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6"/>
        </w:trPr>
        <w:tc>
          <w:tcPr>
            <w:tcW w:w="5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00" w:type="dxa"/>
            <w:vAlign w:val="bottom"/>
            <w:gridSpan w:val="3"/>
          </w:tcPr>
          <w:p>
            <w:pPr>
              <w:jc w:val="right"/>
              <w:ind w:right="1145"/>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70"/>
        </w:trPr>
        <w:tc>
          <w:tcPr>
            <w:tcW w:w="5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right"/>
              <w:ind w:right="7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4"/>
                <w:szCs w:val="14"/>
                <w:color w:val="auto"/>
              </w:rPr>
            </w:pPr>
          </w:p>
        </w:tc>
        <w:tc>
          <w:tcPr>
            <w:tcW w:w="1640" w:type="dxa"/>
            <w:vAlign w:val="bottom"/>
          </w:tcPr>
          <w:p>
            <w:pPr>
              <w:jc w:val="right"/>
              <w:ind w:right="70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11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(19,809,939)</w:t>
            </w:r>
          </w:p>
        </w:tc>
        <w:tc>
          <w:tcPr>
            <w:tcW w:w="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(4,900,193)</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160" w:type="dxa"/>
            <w:vAlign w:val="bottom"/>
          </w:tcPr>
          <w:p>
            <w:pPr>
              <w:spacing w:after="0"/>
              <w:rPr>
                <w:sz w:val="15"/>
                <w:szCs w:val="15"/>
                <w:color w:val="auto"/>
              </w:rPr>
            </w:pPr>
          </w:p>
        </w:tc>
        <w:tc>
          <w:tcPr>
            <w:tcW w:w="158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91,470</w:t>
            </w:r>
          </w:p>
        </w:tc>
        <w:tc>
          <w:tcPr>
            <w:tcW w:w="28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(1,364,375)</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20,017,435</w:t>
            </w: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6,274,161</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16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(171,122)</w:t>
            </w:r>
          </w:p>
        </w:tc>
        <w:tc>
          <w:tcPr>
            <w:tcW w:w="280" w:type="dxa"/>
            <w:vAlign w:val="bottom"/>
          </w:tcPr>
          <w:p>
            <w:pPr>
              <w:spacing w:after="0"/>
              <w:rPr>
                <w:sz w:val="15"/>
                <w:szCs w:val="15"/>
                <w:color w:val="auto"/>
              </w:rPr>
            </w:pPr>
          </w:p>
        </w:tc>
        <w:tc>
          <w:tcPr>
            <w:tcW w:w="164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38,522</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11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b w:val="1"/>
                <w:bCs w:val="1"/>
                <w:color w:val="auto"/>
              </w:rPr>
              <w:t>127,844</w:t>
            </w:r>
          </w:p>
        </w:tc>
        <w:tc>
          <w:tcPr>
            <w:tcW w:w="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b w:val="1"/>
                <w:bCs w:val="1"/>
                <w:color w:val="auto"/>
              </w:rPr>
              <w:t>48,115</w:t>
            </w: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94"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Net cash used in operating activities was $19.8 million for the six months ended June 30, 2025 which resulted primarily from a net loss of $57.9 million from operating activities, adjusted for non -cash items such as share- based compensation expenses of $8.4 million, losses on extinguishments of debt of $27.3 million, loss on remeasurement of derivatives to fair value of $1.6 million and a gain on the remeasurement of financial assets at fair value of $5.7 million.</w:t>
      </w:r>
    </w:p>
    <w:p>
      <w:pPr>
        <w:spacing w:after="0" w:line="68" w:lineRule="exact"/>
        <w:rPr>
          <w:sz w:val="20"/>
          <w:szCs w:val="20"/>
          <w:color w:val="auto"/>
        </w:rPr>
      </w:pPr>
    </w:p>
    <w:p>
      <w:pPr>
        <w:jc w:val="both"/>
        <w:ind w:right="280" w:firstLine="468"/>
        <w:spacing w:after="0" w:line="247" w:lineRule="auto"/>
        <w:rPr>
          <w:sz w:val="20"/>
          <w:szCs w:val="20"/>
          <w:color w:val="auto"/>
        </w:rPr>
      </w:pPr>
      <w:r>
        <w:rPr>
          <w:rFonts w:ascii="Times New Roman" w:cs="Times New Roman" w:eastAsia="Times New Roman" w:hAnsi="Times New Roman"/>
          <w:sz w:val="16"/>
          <w:szCs w:val="16"/>
          <w:color w:val="auto"/>
        </w:rPr>
        <w:t>Net cash used in operating activities was $4.9 million for the six months ended June 30, 2024, which resulted from a net loss of $12.8 million from operating activities, adjusted for non-cash items such as share based compensation of $ 4.0 million, interest expense of $3.0 million, unrealized foreign exchange losses of $0.1 million and of changes in working capital of $0.7 million primarily due to an increase in trade and 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3" w:right="68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94" w:lineRule="exact"/>
        <w:rPr>
          <w:sz w:val="20"/>
          <w:szCs w:val="20"/>
          <w:color w:val="auto"/>
        </w:rPr>
      </w:pPr>
    </w:p>
    <w:p>
      <w:pPr>
        <w:ind w:right="420" w:firstLine="468"/>
        <w:spacing w:after="0" w:line="259" w:lineRule="auto"/>
        <w:rPr>
          <w:sz w:val="20"/>
          <w:szCs w:val="20"/>
          <w:color w:val="auto"/>
        </w:rPr>
      </w:pPr>
      <w:r>
        <w:rPr>
          <w:rFonts w:ascii="Times New Roman" w:cs="Times New Roman" w:eastAsia="Times New Roman" w:hAnsi="Times New Roman"/>
          <w:sz w:val="16"/>
          <w:szCs w:val="16"/>
          <w:color w:val="auto"/>
        </w:rPr>
        <w:t>Net cash provided by investing activities was $0.1 million for the six months ended June 30, 2025 which resulted primarily from cash acquired in business combinations partially offset by costs incurred to continue the development of our Rezolve platform and related technology.</w:t>
      </w:r>
    </w:p>
    <w:p>
      <w:pPr>
        <w:spacing w:after="0" w:line="59" w:lineRule="exact"/>
        <w:rPr>
          <w:sz w:val="20"/>
          <w:szCs w:val="20"/>
          <w:color w:val="auto"/>
        </w:rPr>
      </w:pPr>
    </w:p>
    <w:p>
      <w:pPr>
        <w:ind w:right="660" w:firstLine="468"/>
        <w:spacing w:after="0" w:line="259" w:lineRule="auto"/>
        <w:rPr>
          <w:sz w:val="20"/>
          <w:szCs w:val="20"/>
          <w:color w:val="auto"/>
        </w:rPr>
      </w:pPr>
      <w:r>
        <w:rPr>
          <w:rFonts w:ascii="Times New Roman" w:cs="Times New Roman" w:eastAsia="Times New Roman" w:hAnsi="Times New Roman"/>
          <w:sz w:val="16"/>
          <w:szCs w:val="16"/>
          <w:color w:val="auto"/>
        </w:rPr>
        <w:t>Net cash used in investing activities was $ 1.4 million for six months ended June 30, 2024, which resulted primarily from costs incurred to continue the development of our Rezolve platform and related technology.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94" w:lineRule="exact"/>
        <w:rPr>
          <w:sz w:val="20"/>
          <w:szCs w:val="20"/>
          <w:color w:val="auto"/>
        </w:rPr>
      </w:pPr>
    </w:p>
    <w:p>
      <w:pPr>
        <w:ind w:right="220" w:firstLine="468"/>
        <w:spacing w:after="0" w:line="331" w:lineRule="auto"/>
        <w:rPr>
          <w:sz w:val="20"/>
          <w:szCs w:val="20"/>
          <w:color w:val="auto"/>
        </w:rPr>
      </w:pPr>
      <w:r>
        <w:rPr>
          <w:rFonts w:ascii="Times New Roman" w:cs="Times New Roman" w:eastAsia="Times New Roman" w:hAnsi="Times New Roman"/>
          <w:sz w:val="14"/>
          <w:szCs w:val="14"/>
          <w:color w:val="auto"/>
        </w:rPr>
        <w:t>Net cash provided by financing activities of $20.0 million for the six months ended June 30, 2025 was primarily due to proceeds from convertible promissory notes and proceeds from the issuance ordinary shares parties partially offset by repayments of debt obligations to related parties and repayments of advisor loans.</w:t>
      </w:r>
    </w:p>
    <w:p>
      <w:pPr>
        <w:spacing w:after="0" w:line="192" w:lineRule="exact"/>
        <w:rPr>
          <w:sz w:val="20"/>
          <w:szCs w:val="20"/>
          <w:color w:val="auto"/>
        </w:rPr>
      </w:pPr>
    </w:p>
    <w:p>
      <w:pPr>
        <w:ind w:right="280" w:firstLine="468"/>
        <w:spacing w:after="0" w:line="259" w:lineRule="auto"/>
        <w:rPr>
          <w:sz w:val="20"/>
          <w:szCs w:val="20"/>
          <w:color w:val="auto"/>
        </w:rPr>
      </w:pPr>
      <w:r>
        <w:rPr>
          <w:rFonts w:ascii="Times New Roman" w:cs="Times New Roman" w:eastAsia="Times New Roman" w:hAnsi="Times New Roman"/>
          <w:sz w:val="16"/>
          <w:szCs w:val="16"/>
          <w:color w:val="auto"/>
        </w:rPr>
        <w:t>Net cash provided by financing activities of $6.3 million for the six months ended June 30, 2024 was due to proceeds from rights issues of $1.4 million, $0.4 million of short term loans and $4.3 million from convertible loans.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Legal Proceedings</w:t>
      </w:r>
    </w:p>
    <w:p>
      <w:pPr>
        <w:spacing w:after="0" w:line="94" w:lineRule="exact"/>
        <w:rPr>
          <w:sz w:val="20"/>
          <w:szCs w:val="20"/>
          <w:color w:val="auto"/>
        </w:rPr>
      </w:pPr>
    </w:p>
    <w:p>
      <w:pPr>
        <w:jc w:val="both"/>
        <w:ind w:right="20" w:firstLine="468"/>
        <w:spacing w:after="0" w:line="247" w:lineRule="auto"/>
        <w:rPr>
          <w:sz w:val="20"/>
          <w:szCs w:val="20"/>
          <w:color w:val="auto"/>
        </w:rPr>
      </w:pPr>
      <w:r>
        <w:rPr>
          <w:rFonts w:ascii="Times New Roman" w:cs="Times New Roman" w:eastAsia="Times New Roman" w:hAnsi="Times New Roman"/>
          <w:sz w:val="16"/>
          <w:szCs w:val="16"/>
          <w:color w:val="auto"/>
        </w:rPr>
        <w:t>From time to time, we may become involved in legal or regulatory proceedings arising in the ordinary course of our business. Other than as described below,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8" w:lineRule="exact"/>
        <w:rPr>
          <w:sz w:val="20"/>
          <w:szCs w:val="20"/>
          <w:color w:val="auto"/>
        </w:rPr>
      </w:pPr>
    </w:p>
    <w:p>
      <w:pPr>
        <w:ind w:right="80" w:firstLine="468"/>
        <w:spacing w:after="0" w:line="259" w:lineRule="auto"/>
        <w:rPr>
          <w:sz w:val="20"/>
          <w:szCs w:val="20"/>
          <w:color w:val="auto"/>
        </w:rPr>
      </w:pPr>
      <w:r>
        <w:rPr>
          <w:rFonts w:ascii="Times New Roman" w:cs="Times New Roman" w:eastAsia="Times New Roman" w:hAnsi="Times New Roman"/>
          <w:sz w:val="16"/>
          <w:szCs w:val="16"/>
          <w:color w:val="auto"/>
        </w:rPr>
        <w:t>The Company is party to litigation in New York arising out of a proposed financing transaction that never closed. The Company believes the claims are without merit and does not consider the matter to have any impact on its operations, financial position, or strategic plans.</w:t>
      </w:r>
    </w:p>
    <w:p>
      <w:pPr>
        <w:spacing w:after="0" w:line="59"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As previously reported on its Report of Foreign Private Issuer on Form 6-K, filed on July 25, 2025, the Company has been notified that a civil complaint (the “Complaint”) was filed against the Company and Daniel Wagner on July 16, 2025 in the Supreme Court of the State of New York, New York County, by JBAAM Special Opportunities Fund II LLC and YA II PN, Ltd. (collectively, the “Plaintiffs”), in connection with the parties’ securities purchase agreement dated February 21, 2025 (the “February SPA”).</w:t>
      </w:r>
    </w:p>
    <w:p>
      <w:pPr>
        <w:spacing w:after="0" w:line="71" w:lineRule="exact"/>
        <w:rPr>
          <w:sz w:val="20"/>
          <w:szCs w:val="20"/>
          <w:color w:val="auto"/>
        </w:rPr>
      </w:pPr>
    </w:p>
    <w:p>
      <w:pPr>
        <w:ind w:right="40" w:firstLine="468"/>
        <w:spacing w:after="0" w:line="243" w:lineRule="auto"/>
        <w:rPr>
          <w:sz w:val="20"/>
          <w:szCs w:val="20"/>
          <w:color w:val="auto"/>
        </w:rPr>
      </w:pPr>
      <w:r>
        <w:rPr>
          <w:rFonts w:ascii="Times New Roman" w:cs="Times New Roman" w:eastAsia="Times New Roman" w:hAnsi="Times New Roman"/>
          <w:sz w:val="16"/>
          <w:szCs w:val="16"/>
          <w:color w:val="auto"/>
        </w:rPr>
        <w:t>The Company believes the Complaint is without merit and intends to vigorously defend the matter through all appropriate legal channels, including the potential pursuit of counterclaims. The Company does not consider the litigation to have any bearing on its operational performance, strategic direction, financial liquidity, or other business activities. On August 25, 2025, the Company filed a motion to dismiss the Complaint in the Supreme Court of the State of New York, New York County and will vigorously defend its position, including pursuing counterclaims where appropriate.</w:t>
      </w:r>
    </w:p>
    <w:p>
      <w:pPr>
        <w:spacing w:after="0" w:line="71" w:lineRule="exact"/>
        <w:rPr>
          <w:sz w:val="20"/>
          <w:szCs w:val="20"/>
          <w:color w:val="auto"/>
        </w:rPr>
      </w:pPr>
    </w:p>
    <w:p>
      <w:pPr>
        <w:ind w:right="100" w:firstLine="468"/>
        <w:spacing w:after="0" w:line="247" w:lineRule="auto"/>
        <w:rPr>
          <w:sz w:val="20"/>
          <w:szCs w:val="20"/>
          <w:color w:val="auto"/>
        </w:rPr>
      </w:pPr>
      <w:r>
        <w:rPr>
          <w:rFonts w:ascii="Times New Roman" w:cs="Times New Roman" w:eastAsia="Times New Roman" w:hAnsi="Times New Roman"/>
          <w:sz w:val="16"/>
          <w:szCs w:val="16"/>
          <w:color w:val="auto"/>
        </w:rPr>
        <w:t>The February SPA contemplated a potential $1 billion financing through convertible notes, the proceeds of which would have been used by a subsidiary to purchase Bitcoin. These transactions did not close, no investor capital was contributed, and no Company shares were issued. The Company has not recorded an accrual related to this matter as of June 30, 2025 as it determined that any such loss contingency was not probable or reasonably estimable.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Wondr Gaming Corporation</w:t>
      </w:r>
    </w:p>
    <w:p>
      <w:pPr>
        <w:spacing w:after="0" w:line="106" w:lineRule="exact"/>
        <w:rPr>
          <w:sz w:val="20"/>
          <w:szCs w:val="20"/>
          <w:color w:val="auto"/>
        </w:rPr>
      </w:pPr>
    </w:p>
    <w:p>
      <w:pPr>
        <w:ind w:right="260" w:firstLine="507"/>
        <w:spacing w:after="0" w:line="331" w:lineRule="auto"/>
        <w:rPr>
          <w:sz w:val="20"/>
          <w:szCs w:val="20"/>
          <w:color w:val="auto"/>
        </w:rPr>
      </w:pPr>
      <w:r>
        <w:rPr>
          <w:rFonts w:ascii="Times New Roman" w:cs="Times New Roman" w:eastAsia="Times New Roman" w:hAnsi="Times New Roman"/>
          <w:sz w:val="14"/>
          <w:szCs w:val="14"/>
          <w:color w:val="auto"/>
        </w:rPr>
        <w:t>On July 27, 2021, GroupBy, Inc. issued a Statement of Claim against Wondr Gaming Corporation for breach of contract and in the alternative for unjust enrichment. As this gain is not yet realizable or realized, the Company has not recognized a gain contingency for the amount of damages sought as of June 30, 2025.</w:t>
      </w:r>
    </w:p>
    <w:p>
      <w:pPr>
        <w:spacing w:after="0" w:line="12" w:lineRule="exact"/>
        <w:rPr>
          <w:sz w:val="20"/>
          <w:szCs w:val="20"/>
          <w:color w:val="auto"/>
        </w:rPr>
      </w:pPr>
    </w:p>
    <w:p>
      <w:pPr>
        <w:ind w:right="200" w:firstLine="468"/>
        <w:spacing w:after="0" w:line="247" w:lineRule="auto"/>
        <w:rPr>
          <w:sz w:val="20"/>
          <w:szCs w:val="20"/>
          <w:color w:val="auto"/>
        </w:rPr>
      </w:pPr>
      <w:r>
        <w:rPr>
          <w:rFonts w:ascii="Times New Roman" w:cs="Times New Roman" w:eastAsia="Times New Roman" w:hAnsi="Times New Roman"/>
          <w:sz w:val="16"/>
          <w:szCs w:val="16"/>
          <w:color w:val="auto"/>
        </w:rPr>
        <w:t>Wondr Gaming Corporation has defended and made a counterclaim against GroupBy, Inc. The Company believes that there is very little merit to the counterclaim and intends to vigorously defend the matter through all appropriate legal channels. The Company has not recorded an accrual related to this matter as of June 30, 2025 as it determined that any such loss contingency was not probable or reasonably estimable.</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CVS Pharmacy</w:t>
      </w:r>
    </w:p>
    <w:p>
      <w:pPr>
        <w:spacing w:after="0" w:line="130" w:lineRule="exact"/>
        <w:rPr>
          <w:sz w:val="20"/>
          <w:szCs w:val="20"/>
          <w:color w:val="auto"/>
        </w:rPr>
      </w:pPr>
    </w:p>
    <w:p>
      <w:pPr>
        <w:ind w:firstLine="516"/>
        <w:spacing w:after="0" w:line="244" w:lineRule="auto"/>
        <w:rPr>
          <w:sz w:val="20"/>
          <w:szCs w:val="20"/>
          <w:color w:val="auto"/>
        </w:rPr>
      </w:pPr>
      <w:r>
        <w:rPr>
          <w:rFonts w:ascii="Times New Roman" w:cs="Times New Roman" w:eastAsia="Times New Roman" w:hAnsi="Times New Roman"/>
          <w:sz w:val="16"/>
          <w:szCs w:val="16"/>
          <w:color w:val="auto"/>
        </w:rPr>
        <w:t>On April 28, 2022, R2 Solutions LLC sued CVS Pharmacy, Inc. for patent infringement. The claim of infringement relates to, among other things, online search technologies. On July 21, 2022, CVS Pharmacy, Inc. notified GroupBy Inc. that it was of the view that the Hosting Services Agreement between the two parties requires GroupBy Inc. to indemnify CVS Pharmacy, Inc. in respect of the R2 Solutions LLC claim. To the Company's knowledge, no specific amount of damages or compensation has been sought from GroupBy Inc. to date. The status of the litigation is that R2 Solutions LLC and CVS Pharmacy, Inc. settled. Since that time, and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407670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9" w:right="700" w:bottom="1440" w:gutter="0" w:footer="0" w:header="0"/>
        </w:sectPr>
      </w:pPr>
    </w:p>
    <w:bookmarkStart w:id="62" w:name="page63"/>
    <w:bookmarkEnd w:id="62"/>
    <w:p>
      <w:pPr>
        <w:ind w:right="100"/>
        <w:spacing w:after="0" w:line="259" w:lineRule="auto"/>
        <w:rPr>
          <w:sz w:val="20"/>
          <w:szCs w:val="20"/>
          <w:color w:val="auto"/>
        </w:rPr>
      </w:pPr>
      <w:r>
        <w:rPr>
          <w:rFonts w:ascii="Times New Roman" w:cs="Times New Roman" w:eastAsia="Times New Roman" w:hAnsi="Times New Roman"/>
          <w:sz w:val="16"/>
          <w:szCs w:val="16"/>
          <w:color w:val="auto"/>
        </w:rPr>
        <w:t>Company's knowledge, CVS Pharmacy, Inc. has not contacted GroupBy Inc. to pursue any claim for indemnification in respect of this litigation. The Company has not recorded an accrual related to this matter as of June 30, 2025 as it determined that any such loss contingency was not probable or reasonably estimable.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June 30, 2025, we did not have any significant off-balance sheet arrangements, as defined in Item 303(a)(4)(ii) of Regulation S-K.</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b w:val="1"/>
          <w:bCs w:val="1"/>
          <w:i w:val="1"/>
          <w:iCs w:val="1"/>
          <w:color w:val="auto"/>
        </w:rPr>
        <w:t>Research and development, patents and licenses, etc</w:t>
      </w:r>
      <w:r>
        <w:rPr>
          <w:rFonts w:ascii="Times New Roman" w:cs="Times New Roman" w:eastAsia="Times New Roman" w:hAnsi="Times New Roman"/>
          <w:sz w:val="16"/>
          <w:szCs w:val="16"/>
          <w:b w:val="1"/>
          <w:bCs w:val="1"/>
          <w:color w:val="auto"/>
        </w:rPr>
        <w:t>.</w:t>
      </w:r>
    </w:p>
    <w:p>
      <w:pPr>
        <w:spacing w:after="0" w:line="178" w:lineRule="exact"/>
        <w:rPr>
          <w:sz w:val="20"/>
          <w:szCs w:val="20"/>
          <w:color w:val="auto"/>
        </w:rPr>
      </w:pPr>
    </w:p>
    <w:p>
      <w:pPr>
        <w:ind w:right="300" w:firstLine="696"/>
        <w:spacing w:after="0" w:line="262" w:lineRule="auto"/>
        <w:rPr>
          <w:sz w:val="20"/>
          <w:szCs w:val="20"/>
          <w:color w:val="auto"/>
        </w:rPr>
      </w:pPr>
      <w:r>
        <w:rPr>
          <w:rFonts w:ascii="Times New Roman" w:cs="Times New Roman" w:eastAsia="Times New Roman" w:hAnsi="Times New Roman"/>
          <w:sz w:val="16"/>
          <w:szCs w:val="16"/>
          <w:color w:val="auto"/>
        </w:rPr>
        <w:t>Please refer to “</w:t>
      </w:r>
      <w:r>
        <w:rPr>
          <w:rFonts w:ascii="Times New Roman" w:cs="Times New Roman" w:eastAsia="Times New Roman" w:hAnsi="Times New Roman"/>
          <w:sz w:val="16"/>
          <w:szCs w:val="16"/>
          <w:i w:val="1"/>
          <w:iCs w:val="1"/>
          <w:color w:val="auto"/>
        </w:rPr>
        <w:t>Item 4. Information on the Company-B. Business Overview</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4. Information on the Company-B. Business Overview-Intellectual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Property</w:t>
      </w:r>
      <w:r>
        <w:rPr>
          <w:rFonts w:ascii="Times New Roman" w:cs="Times New Roman" w:eastAsia="Times New Roman" w:hAnsi="Times New Roman"/>
          <w:sz w:val="16"/>
          <w:szCs w:val="16"/>
          <w:color w:val="auto"/>
        </w:rPr>
        <w:t>” of Form 20-F for the year ended December 31, 2024.</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b w:val="1"/>
          <w:bCs w:val="1"/>
          <w:i w:val="1"/>
          <w:iCs w:val="1"/>
          <w:color w:val="auto"/>
        </w:rPr>
        <w:t>Trend information</w:t>
      </w:r>
      <w:r>
        <w:rPr>
          <w:rFonts w:ascii="Times New Roman" w:cs="Times New Roman" w:eastAsia="Times New Roman" w:hAnsi="Times New Roman"/>
          <w:sz w:val="16"/>
          <w:szCs w:val="16"/>
          <w:b w:val="1"/>
          <w:bCs w:val="1"/>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Please refer to </w:t>
      </w:r>
      <w:r>
        <w:rPr>
          <w:rFonts w:ascii="Times New Roman" w:cs="Times New Roman" w:eastAsia="Times New Roman" w:hAnsi="Times New Roman"/>
          <w:sz w:val="16"/>
          <w:szCs w:val="16"/>
          <w:i w:val="1"/>
          <w:iCs w:val="1"/>
          <w:color w:val="auto"/>
        </w:rPr>
        <w:t>“Item 4.B—Business Overview—Industry Overview and Trends”</w:t>
      </w:r>
      <w:r>
        <w:rPr>
          <w:rFonts w:ascii="Times New Roman" w:cs="Times New Roman" w:eastAsia="Times New Roman" w:hAnsi="Times New Roman"/>
          <w:sz w:val="16"/>
          <w:szCs w:val="16"/>
          <w:color w:val="auto"/>
        </w:rPr>
        <w:t>included in Form 20-F for the year ended December 31, 2024 filed.</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b w:val="1"/>
          <w:bCs w:val="1"/>
          <w:i w:val="1"/>
          <w:iCs w:val="1"/>
          <w:color w:val="auto"/>
        </w:rPr>
        <w:t>Critical Accounting Estimates.</w:t>
      </w:r>
    </w:p>
    <w:p>
      <w:pPr>
        <w:spacing w:after="0" w:line="96" w:lineRule="exact"/>
        <w:rPr>
          <w:sz w:val="20"/>
          <w:szCs w:val="20"/>
          <w:color w:val="auto"/>
        </w:rPr>
      </w:pPr>
    </w:p>
    <w:p>
      <w:pPr>
        <w:ind w:right="20" w:firstLine="468"/>
        <w:spacing w:after="0" w:line="241" w:lineRule="auto"/>
        <w:rPr>
          <w:sz w:val="20"/>
          <w:szCs w:val="20"/>
          <w:color w:val="auto"/>
        </w:rPr>
      </w:pPr>
      <w:r>
        <w:rPr>
          <w:rFonts w:ascii="Times New Roman" w:cs="Times New Roman" w:eastAsia="Times New Roman" w:hAnsi="Times New Roman"/>
          <w:sz w:val="16"/>
          <w:szCs w:val="16"/>
          <w:color w:val="auto"/>
        </w:rPr>
        <w:t>The Rezolve AI plc and Subsidiaries condensed interim combined consolidated are prepared in conformity with U.S. generally accepted accounting principles. In preparing the Rezolve AI plc and Subsidiaries condensed interim combined consolidated, we make assumptions, judgments and estimates that can have a significant impact on amounts reported in the Rezolve AI plc and Subsidiaries condensed interim combined consolidated.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73" w:lineRule="exact"/>
        <w:rPr>
          <w:sz w:val="20"/>
          <w:szCs w:val="20"/>
          <w:color w:val="auto"/>
        </w:rPr>
      </w:pPr>
    </w:p>
    <w:p>
      <w:pPr>
        <w:ind w:right="200" w:firstLine="468"/>
        <w:spacing w:after="0" w:line="247" w:lineRule="auto"/>
        <w:rPr>
          <w:sz w:val="20"/>
          <w:szCs w:val="20"/>
          <w:color w:val="auto"/>
        </w:rPr>
      </w:pPr>
      <w:r>
        <w:rPr>
          <w:rFonts w:ascii="Times New Roman" w:cs="Times New Roman" w:eastAsia="Times New Roman" w:hAnsi="Times New Roman"/>
          <w:sz w:val="16"/>
          <w:szCs w:val="16"/>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68" w:lineRule="exact"/>
        <w:rPr>
          <w:sz w:val="20"/>
          <w:szCs w:val="20"/>
          <w:color w:val="auto"/>
        </w:rPr>
      </w:pPr>
    </w:p>
    <w:p>
      <w:pPr>
        <w:ind w:right="20" w:firstLine="468"/>
        <w:spacing w:after="0" w:line="259" w:lineRule="auto"/>
        <w:rPr>
          <w:sz w:val="20"/>
          <w:szCs w:val="20"/>
          <w:color w:val="auto"/>
        </w:rPr>
      </w:pPr>
      <w:r>
        <w:rPr>
          <w:rFonts w:ascii="Times New Roman" w:cs="Times New Roman" w:eastAsia="Times New Roman" w:hAnsi="Times New Roman"/>
          <w:sz w:val="16"/>
          <w:szCs w:val="16"/>
          <w:color w:val="auto"/>
        </w:rPr>
        <w:t>Our significant accounting policies are described in Note 2, “Basis of presentation and summary of significant accounting policies” in the notes to the Rezolve AI plc and Subsidiaries condensed interim combined consolidated for the six months ended June 30, 2025 included in Exhibit 99-1 of this Form 6-K.</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Valuation of assets and liabilities</w:t>
      </w:r>
    </w:p>
    <w:p>
      <w:pPr>
        <w:spacing w:after="0" w:line="94"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7" w:lineRule="exact"/>
        <w:rPr>
          <w:sz w:val="20"/>
          <w:szCs w:val="20"/>
          <w:color w:val="auto"/>
        </w:rPr>
      </w:pPr>
    </w:p>
    <w:p>
      <w:pPr>
        <w:ind w:right="200" w:firstLine="468"/>
        <w:spacing w:after="0" w:line="247" w:lineRule="auto"/>
        <w:rPr>
          <w:sz w:val="20"/>
          <w:szCs w:val="20"/>
          <w:color w:val="auto"/>
        </w:rPr>
      </w:pPr>
      <w:r>
        <w:rPr>
          <w:rFonts w:ascii="Times New Roman" w:cs="Times New Roman" w:eastAsia="Times New Roman" w:hAnsi="Times New Roman"/>
          <w:sz w:val="16"/>
          <w:szCs w:val="16"/>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Deferred income taxes and related valuation allowances</w:t>
      </w:r>
    </w:p>
    <w:p>
      <w:pPr>
        <w:spacing w:after="0" w:line="94"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9"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Capitalized software</w:t>
      </w:r>
    </w:p>
    <w:p>
      <w:pPr>
        <w:spacing w:after="0" w:line="94" w:lineRule="exact"/>
        <w:rPr>
          <w:sz w:val="20"/>
          <w:szCs w:val="20"/>
          <w:color w:val="auto"/>
        </w:rPr>
      </w:pPr>
    </w:p>
    <w:p>
      <w:pPr>
        <w:jc w:val="both"/>
        <w:ind w:right="200" w:firstLine="468"/>
        <w:spacing w:after="0" w:line="247" w:lineRule="auto"/>
        <w:rPr>
          <w:sz w:val="20"/>
          <w:szCs w:val="20"/>
          <w:color w:val="auto"/>
        </w:rPr>
      </w:pPr>
      <w:r>
        <w:rPr>
          <w:rFonts w:ascii="Times New Roman" w:cs="Times New Roman" w:eastAsia="Times New Roman" w:hAnsi="Times New Roman"/>
          <w:sz w:val="16"/>
          <w:szCs w:val="16"/>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29" w:right="660" w:bottom="1440" w:gutter="0" w:footer="0" w:header="0"/>
        </w:sectPr>
      </w:pPr>
    </w:p>
    <w:bookmarkStart w:id="63" w:name="page64"/>
    <w:bookmarkEnd w:id="63"/>
    <w:p>
      <w:pPr>
        <w:ind w:right="440"/>
        <w:spacing w:after="0" w:line="259" w:lineRule="auto"/>
        <w:rPr>
          <w:sz w:val="20"/>
          <w:szCs w:val="20"/>
          <w:color w:val="auto"/>
        </w:rPr>
      </w:pPr>
      <w:r>
        <w:rPr>
          <w:rFonts w:ascii="Times New Roman" w:cs="Times New Roman" w:eastAsia="Times New Roman" w:hAnsi="Times New Roman"/>
          <w:sz w:val="16"/>
          <w:szCs w:val="16"/>
          <w:color w:val="auto"/>
        </w:rPr>
        <w:t>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Share-based compensation</w:t>
      </w:r>
    </w:p>
    <w:p>
      <w:pPr>
        <w:spacing w:after="0" w:line="94" w:lineRule="exact"/>
        <w:rPr>
          <w:sz w:val="20"/>
          <w:szCs w:val="20"/>
          <w:color w:val="auto"/>
        </w:rPr>
      </w:pPr>
    </w:p>
    <w:p>
      <w:pPr>
        <w:ind w:firstLine="468"/>
        <w:spacing w:after="0" w:line="284" w:lineRule="auto"/>
        <w:rPr>
          <w:sz w:val="20"/>
          <w:szCs w:val="20"/>
          <w:color w:val="auto"/>
        </w:rPr>
      </w:pPr>
      <w:r>
        <w:rPr>
          <w:rFonts w:ascii="Times New Roman" w:cs="Times New Roman" w:eastAsia="Times New Roman" w:hAnsi="Times New Roman"/>
          <w:sz w:val="14"/>
          <w:szCs w:val="14"/>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and Adopted Accounting Pronouncements</w:t>
      </w:r>
    </w:p>
    <w:p>
      <w:pPr>
        <w:spacing w:after="0" w:line="94" w:lineRule="exact"/>
        <w:rPr>
          <w:sz w:val="20"/>
          <w:szCs w:val="20"/>
          <w:color w:val="auto"/>
        </w:rPr>
      </w:pPr>
    </w:p>
    <w:p>
      <w:pPr>
        <w:jc w:val="both"/>
        <w:ind w:right="20" w:firstLine="468"/>
        <w:spacing w:after="0" w:line="247" w:lineRule="auto"/>
        <w:rPr>
          <w:sz w:val="20"/>
          <w:szCs w:val="20"/>
          <w:color w:val="auto"/>
        </w:rPr>
      </w:pPr>
      <w:r>
        <w:rPr>
          <w:rFonts w:ascii="Times New Roman" w:cs="Times New Roman" w:eastAsia="Times New Roman" w:hAnsi="Times New Roman"/>
          <w:sz w:val="16"/>
          <w:szCs w:val="16"/>
          <w:color w:val="auto"/>
        </w:rPr>
        <w:t>A description of recently issued accounting pronouncements that may potentially impact our financial position, results of operations or cash flows is disclosed in Note 3 to the Rezolve AI plc and Subsidiaries condensed interim combined consolidated for the six months ended June 30, 2025 included in Exhibit 99-1 of this Form 6-K.</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Risk</w:t>
      </w:r>
    </w:p>
    <w:p>
      <w:pPr>
        <w:spacing w:after="0" w:line="96" w:lineRule="exact"/>
        <w:rPr>
          <w:sz w:val="20"/>
          <w:szCs w:val="20"/>
          <w:color w:val="auto"/>
        </w:rPr>
      </w:pPr>
    </w:p>
    <w:p>
      <w:pPr>
        <w:ind w:right="100" w:firstLine="468"/>
        <w:spacing w:after="0" w:line="247" w:lineRule="auto"/>
        <w:rPr>
          <w:sz w:val="20"/>
          <w:szCs w:val="20"/>
          <w:color w:val="auto"/>
        </w:rPr>
      </w:pPr>
      <w:r>
        <w:rPr>
          <w:rFonts w:ascii="Times New Roman" w:cs="Times New Roman" w:eastAsia="Times New Roman" w:hAnsi="Times New Roman"/>
          <w:sz w:val="16"/>
          <w:szCs w:val="16"/>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192"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concentrations of credit risk consist primarily of cash and accounts receivables. The Company’s cash in deposited in accounts at large financial institutions. The Company believes it is not exposed to significant credit risk due to the financial strength of the depository institutions in which the cash are held.</w:t>
      </w:r>
    </w:p>
    <w:p>
      <w:pPr>
        <w:spacing w:after="0" w:line="68"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Accounts receivable are potentially subject to credit risk concentration. The Company has not experienced any material losses related to concentrations during the periods presented.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 June 30, 2025 and December 31, 2024, the following customers represented more than 10% of total accounts receivable.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3220" w:type="dxa"/>
            <w:vAlign w:val="bottom"/>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600" w:type="dxa"/>
            <w:vAlign w:val="bottom"/>
          </w:tcPr>
          <w:p>
            <w:pPr>
              <w:spacing w:after="0"/>
              <w:rPr>
                <w:sz w:val="14"/>
                <w:szCs w:val="14"/>
                <w:color w:val="auto"/>
              </w:rPr>
            </w:pPr>
          </w:p>
        </w:tc>
        <w:tc>
          <w:tcPr>
            <w:tcW w:w="2160" w:type="dxa"/>
            <w:vAlign w:val="bottom"/>
          </w:tcPr>
          <w:p>
            <w:pPr>
              <w:jc w:val="right"/>
              <w:ind w:right="608"/>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Wondr Gaming (1)</w:t>
            </w:r>
          </w:p>
        </w:tc>
        <w:tc>
          <w:tcPr>
            <w:tcW w:w="3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60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w:t>
            </w:r>
          </w:p>
        </w:tc>
      </w:tr>
      <w:tr>
        <w:trPr>
          <w:trHeight w:val="180"/>
        </w:trPr>
        <w:tc>
          <w:tcPr>
            <w:tcW w:w="4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Coles Supermarkets Australia Pty Ltd (2)</w:t>
            </w:r>
          </w:p>
        </w:tc>
        <w:tc>
          <w:tcPr>
            <w:tcW w:w="3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w:t>
            </w:r>
          </w:p>
        </w:tc>
      </w:tr>
      <w:tr>
        <w:trPr>
          <w:trHeight w:val="180"/>
        </w:trPr>
        <w:tc>
          <w:tcPr>
            <w:tcW w:w="4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La Liga</w:t>
            </w:r>
          </w:p>
        </w:tc>
        <w:tc>
          <w:tcPr>
            <w:tcW w:w="3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Less than 10%</w:t>
            </w:r>
          </w:p>
        </w:tc>
        <w:tc>
          <w:tcPr>
            <w:tcW w:w="600" w:type="dxa"/>
            <w:vAlign w:val="bottom"/>
            <w:shd w:val="clear" w:color="auto" w:fill="CFF0FC"/>
          </w:tcPr>
          <w:p>
            <w:pPr>
              <w:spacing w:after="0"/>
              <w:rPr>
                <w:sz w:val="15"/>
                <w:szCs w:val="15"/>
                <w:color w:val="auto"/>
              </w:rPr>
            </w:pPr>
          </w:p>
        </w:tc>
        <w:tc>
          <w:tcPr>
            <w:tcW w:w="2160" w:type="dxa"/>
            <w:vAlign w:val="bottom"/>
            <w:shd w:val="clear" w:color="auto" w:fill="CFF0FC"/>
          </w:tcPr>
          <w:p>
            <w:pPr>
              <w:jc w:val="right"/>
              <w:ind w:right="188"/>
              <w:spacing w:after="0" w:line="180" w:lineRule="exact"/>
              <w:rPr>
                <w:sz w:val="20"/>
                <w:szCs w:val="20"/>
                <w:color w:val="auto"/>
              </w:rPr>
            </w:pPr>
            <w:r>
              <w:rPr>
                <w:rFonts w:ascii="Times New Roman" w:cs="Times New Roman" w:eastAsia="Times New Roman" w:hAnsi="Times New Roman"/>
                <w:sz w:val="16"/>
                <w:szCs w:val="16"/>
                <w:color w:val="auto"/>
              </w:rPr>
              <w:t>100  %</w:t>
            </w:r>
          </w:p>
        </w:tc>
      </w:tr>
    </w:tbl>
    <w:p>
      <w:pPr>
        <w:spacing w:after="0" w:line="83" w:lineRule="exact"/>
        <w:rPr>
          <w:sz w:val="20"/>
          <w:szCs w:val="20"/>
          <w:color w:val="auto"/>
        </w:rPr>
      </w:pPr>
    </w:p>
    <w:p>
      <w:pPr>
        <w:ind w:right="240" w:firstLine="468"/>
        <w:spacing w:after="0" w:line="259" w:lineRule="auto"/>
        <w:rPr>
          <w:sz w:val="20"/>
          <w:szCs w:val="20"/>
          <w:color w:val="auto"/>
        </w:rPr>
      </w:pPr>
      <w:r>
        <w:rPr>
          <w:rFonts w:ascii="Times New Roman" w:cs="Times New Roman" w:eastAsia="Times New Roman" w:hAnsi="Times New Roman"/>
          <w:sz w:val="16"/>
          <w:szCs w:val="16"/>
          <w:color w:val="auto"/>
        </w:rPr>
        <w:t>(1) A full expected credit loss allowance has been recorded against the outstanding balance of this accounts receivable. See note 2.14. and Note 13 of the Unaudited condensed interim combined consolidated financial statements of Rezolve AI PLC and subsidiaries for the six months ended June 30, 2025.</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 The outstanding balance was settled in full in July 2025</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Accounts payable include balances for work incurred by third parties for the benefit of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risk</w:t>
      </w:r>
    </w:p>
    <w:p>
      <w:pPr>
        <w:spacing w:after="0" w:line="96" w:lineRule="exact"/>
        <w:rPr>
          <w:sz w:val="20"/>
          <w:szCs w:val="20"/>
          <w:color w:val="auto"/>
        </w:rPr>
      </w:pPr>
    </w:p>
    <w:p>
      <w:pPr>
        <w:ind w:right="120" w:firstLine="468"/>
        <w:spacing w:after="0" w:line="259" w:lineRule="auto"/>
        <w:rPr>
          <w:sz w:val="20"/>
          <w:szCs w:val="20"/>
          <w:color w:val="auto"/>
        </w:rPr>
      </w:pPr>
      <w:r>
        <w:rPr>
          <w:rFonts w:ascii="Times New Roman" w:cs="Times New Roman" w:eastAsia="Times New Roman" w:hAnsi="Times New Roman"/>
          <w:sz w:val="16"/>
          <w:szCs w:val="16"/>
          <w:color w:val="auto"/>
        </w:rPr>
        <w:t>During the six months ended June 30, 2025, the Company’s revenue was denominated in the Euro (“EUR”), Australian Dollars (“AUD”), Polish Zloty (“PLN”) and Indian Rupees (“INR”). Based upon the Company’s level of operations 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29" w:right="660" w:bottom="1440" w:gutter="0" w:footer="0" w:header="0"/>
        </w:sectPr>
      </w:pPr>
    </w:p>
    <w:bookmarkStart w:id="64" w:name="page65"/>
    <w:bookmarkEnd w:id="64"/>
    <w:p>
      <w:pPr>
        <w:ind w:right="540"/>
        <w:spacing w:after="0" w:line="259" w:lineRule="auto"/>
        <w:rPr>
          <w:sz w:val="20"/>
          <w:szCs w:val="20"/>
          <w:color w:val="auto"/>
        </w:rPr>
      </w:pPr>
      <w:r>
        <w:rPr>
          <w:rFonts w:ascii="Times New Roman" w:cs="Times New Roman" w:eastAsia="Times New Roman" w:hAnsi="Times New Roman"/>
          <w:sz w:val="16"/>
          <w:szCs w:val="16"/>
          <w:color w:val="auto"/>
        </w:rPr>
        <w:t>June 30, 2025, a sensitivity analysis shows that a 10% appreciation or depreciation in these currencies against the US dollar would have increased or decreased, respectively, the Company’s revenue for the six months ended June 30, 2025 by the following:</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•EUR against the US dollar by $15,333</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•AUD against the US dollar $29,014</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•PLN against the US dollar by $18,672</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•INR against the US dollar by $7,418</w:t>
      </w:r>
    </w:p>
    <w:p>
      <w:pPr>
        <w:spacing w:after="0" w:line="272" w:lineRule="exact"/>
        <w:rPr>
          <w:sz w:val="20"/>
          <w:szCs w:val="20"/>
          <w:color w:val="auto"/>
        </w:rPr>
      </w:pPr>
    </w:p>
    <w:p>
      <w:pPr>
        <w:ind w:firstLine="507"/>
        <w:spacing w:after="0" w:line="239" w:lineRule="auto"/>
        <w:rPr>
          <w:sz w:val="20"/>
          <w:szCs w:val="20"/>
          <w:color w:val="auto"/>
        </w:rPr>
      </w:pPr>
      <w:r>
        <w:rPr>
          <w:rFonts w:ascii="Times New Roman" w:cs="Times New Roman" w:eastAsia="Times New Roman" w:hAnsi="Times New Roman"/>
          <w:sz w:val="16"/>
          <w:szCs w:val="16"/>
          <w:color w:val="auto"/>
        </w:rPr>
        <w:t>During the six months ended June 30, 2024, all of Rezolve’s revenue was denominated in the EUR since the sales of the Company was in Spain. Based upon the Company’s level of operations for the six months ended June 30, 2024, a sensitivity analysis shows that a 10% appreciation or depreciation in the EUR against the dollar would have increased or decreased, respectively, the Company’s revenue for the six months ended June 30, 2024 by approximately $ 5,339. Bluedot Industries’ revenue for the six months ended June 30, 2024, was denominated in US dollar and AUD. Based upon Bluedot Industries’ level of operations for the six months ended June 30, 2024, a sensitivity analysis shows that a 10% appreciation or depreciation in the AUD against the dollar would have increased or decreased, respectively, Bluedot Industries’ revenue for the six months ended June 30, 2024 by approximately $46,471.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524510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GROUPBY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interim combined consolidated financial statements</w:t>
      </w: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40" w:type="dxa"/>
            <w:vAlign w:val="bottom"/>
            <w:gridSpan w:val="5"/>
          </w:tcPr>
          <w:p>
            <w:pPr>
              <w:ind w:left="2780"/>
              <w:spacing w:after="0"/>
              <w:rPr>
                <w:sz w:val="20"/>
                <w:szCs w:val="20"/>
                <w:color w:val="auto"/>
              </w:rPr>
            </w:pPr>
            <w:r>
              <w:rPr>
                <w:rFonts w:ascii="Times New Roman" w:cs="Times New Roman" w:eastAsia="Times New Roman" w:hAnsi="Times New Roman"/>
                <w:sz w:val="16"/>
                <w:szCs w:val="16"/>
                <w:color w:val="auto"/>
              </w:rPr>
              <w:t>For the six months ended June 30, 2025 and 2024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2"/>
        </w:trPr>
        <w:tc>
          <w:tcPr>
            <w:tcW w:w="82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7"/>
              </w:rPr>
            </w:pPr>
            <w:hyperlink w:anchor="page67">
              <w:r>
                <w:rPr>
                  <w:rFonts w:ascii="Times New Roman" w:cs="Times New Roman" w:eastAsia="Times New Roman" w:hAnsi="Times New Roman"/>
                  <w:sz w:val="16"/>
                  <w:szCs w:val="16"/>
                  <w:color w:val="0000FF"/>
                  <w:w w:val="97"/>
                </w:rPr>
                <w:t>Condensed interim combined consolidated statements of financial position as of June 30, 2025 (Unaudited) and December 31, 2024</w:t>
              </w:r>
            </w:hyperlink>
          </w:p>
        </w:tc>
        <w:tc>
          <w:tcPr>
            <w:tcW w:w="1180" w:type="dxa"/>
            <w:vAlign w:val="bottom"/>
            <w:gridSpan w:val="2"/>
          </w:tcPr>
          <w:p>
            <w:pPr>
              <w:spacing w:after="0"/>
              <w:rPr>
                <w:sz w:val="24"/>
                <w:szCs w:val="24"/>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w w:val="89"/>
              </w:rPr>
              <w:t>F-2</w:t>
            </w:r>
          </w:p>
        </w:tc>
        <w:tc>
          <w:tcPr>
            <w:tcW w:w="0" w:type="dxa"/>
            <w:vAlign w:val="bottom"/>
          </w:tcPr>
          <w:p>
            <w:pPr>
              <w:spacing w:after="0"/>
              <w:rPr>
                <w:sz w:val="1"/>
                <w:szCs w:val="1"/>
                <w:color w:val="auto"/>
              </w:rPr>
            </w:pPr>
          </w:p>
        </w:tc>
      </w:tr>
      <w:tr>
        <w:trPr>
          <w:trHeight w:val="160"/>
        </w:trPr>
        <w:tc>
          <w:tcPr>
            <w:tcW w:w="9420" w:type="dxa"/>
            <w:vAlign w:val="bottom"/>
            <w:gridSpan w:val="7"/>
          </w:tcPr>
          <w:p>
            <w:pPr>
              <w:spacing w:after="0" w:line="160" w:lineRule="exact"/>
              <w:rPr>
                <w:rFonts w:ascii="Times New Roman" w:cs="Times New Roman" w:eastAsia="Times New Roman" w:hAnsi="Times New Roman"/>
                <w:sz w:val="16"/>
                <w:szCs w:val="16"/>
                <w:color w:val="0000FF"/>
                <w:w w:val="99"/>
              </w:rPr>
            </w:pPr>
            <w:hyperlink w:anchor="page68">
              <w:r>
                <w:rPr>
                  <w:rFonts w:ascii="Times New Roman" w:cs="Times New Roman" w:eastAsia="Times New Roman" w:hAnsi="Times New Roman"/>
                  <w:sz w:val="16"/>
                  <w:szCs w:val="16"/>
                  <w:color w:val="0000FF"/>
                  <w:w w:val="99"/>
                </w:rPr>
                <w:t>Condensed interim combined consolidated statements of loss and comprehensive loss for the six months ended June 30, 2025 and 2024 (Unaudited)</w:t>
              </w:r>
            </w:hyperlink>
          </w:p>
        </w:tc>
        <w:tc>
          <w:tcPr>
            <w:tcW w:w="1140" w:type="dxa"/>
            <w:vAlign w:val="bottom"/>
          </w:tcPr>
          <w:p>
            <w:pPr>
              <w:ind w:left="920"/>
              <w:spacing w:after="0" w:line="160" w:lineRule="exact"/>
              <w:rPr>
                <w:sz w:val="20"/>
                <w:szCs w:val="20"/>
                <w:color w:val="auto"/>
              </w:rPr>
            </w:pPr>
            <w:r>
              <w:rPr>
                <w:rFonts w:ascii="Times New Roman" w:cs="Times New Roman" w:eastAsia="Times New Roman" w:hAnsi="Times New Roman"/>
                <w:sz w:val="16"/>
                <w:szCs w:val="16"/>
                <w:color w:val="auto"/>
                <w:w w:val="89"/>
              </w:rPr>
              <w:t>F-3</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20" w:type="dxa"/>
            <w:vAlign w:val="bottom"/>
            <w:tcBorders>
              <w:bottom w:val="single" w:sz="8" w:color="0000FF"/>
            </w:tcBorders>
            <w:gridSpan w:val="7"/>
          </w:tcPr>
          <w:p>
            <w:pPr>
              <w:spacing w:after="0" w:line="160" w:lineRule="exact"/>
              <w:rPr>
                <w:rFonts w:ascii="Times New Roman" w:cs="Times New Roman" w:eastAsia="Times New Roman" w:hAnsi="Times New Roman"/>
                <w:sz w:val="16"/>
                <w:szCs w:val="16"/>
                <w:color w:val="0000FF"/>
                <w:w w:val="97"/>
              </w:rPr>
            </w:pPr>
            <w:hyperlink w:anchor="page69">
              <w:r>
                <w:rPr>
                  <w:rFonts w:ascii="Times New Roman" w:cs="Times New Roman" w:eastAsia="Times New Roman" w:hAnsi="Times New Roman"/>
                  <w:sz w:val="16"/>
                  <w:szCs w:val="16"/>
                  <w:color w:val="0000FF"/>
                  <w:w w:val="97"/>
                </w:rPr>
                <w:t>Condensed interim combined consolidated statements of changes in stockholders’ deficit for the six and the six months ended June 30, 2025 and 2024</w:t>
              </w:r>
            </w:hyperlink>
          </w:p>
        </w:tc>
        <w:tc>
          <w:tcPr>
            <w:tcW w:w="114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w w:val="89"/>
              </w:rPr>
              <w:t>F-4</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760" w:type="dxa"/>
            <w:vAlign w:val="bottom"/>
            <w:tcBorders>
              <w:bottom w:val="single" w:sz="8" w:color="0000FF"/>
            </w:tcBorders>
          </w:tcPr>
          <w:p>
            <w:pPr>
              <w:spacing w:after="0" w:line="160" w:lineRule="exact"/>
              <w:rPr>
                <w:rFonts w:ascii="Times New Roman" w:cs="Times New Roman" w:eastAsia="Times New Roman" w:hAnsi="Times New Roman"/>
                <w:sz w:val="16"/>
                <w:szCs w:val="16"/>
                <w:color w:val="0000FF"/>
                <w:w w:val="95"/>
              </w:rPr>
            </w:pPr>
            <w:hyperlink w:anchor="page69">
              <w:r>
                <w:rPr>
                  <w:rFonts w:ascii="Times New Roman" w:cs="Times New Roman" w:eastAsia="Times New Roman" w:hAnsi="Times New Roman"/>
                  <w:sz w:val="16"/>
                  <w:szCs w:val="16"/>
                  <w:color w:val="0000FF"/>
                  <w:w w:val="95"/>
                </w:rPr>
                <w:t>(Unaudited)</w:t>
              </w:r>
            </w:hyperlink>
          </w:p>
        </w:tc>
        <w:tc>
          <w:tcPr>
            <w:tcW w:w="8440" w:type="dxa"/>
            <w:vAlign w:val="bottom"/>
            <w:gridSpan w:val="5"/>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20" w:type="dxa"/>
            <w:vAlign w:val="bottom"/>
            <w:gridSpan w:val="7"/>
          </w:tcPr>
          <w:p>
            <w:pPr>
              <w:spacing w:after="0" w:line="160" w:lineRule="exact"/>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Condensed interim combined consolidated statements of cash flows for the six months ended June 30, 2025 and 2024</w:t>
              </w:r>
            </w:hyperlink>
          </w:p>
        </w:tc>
        <w:tc>
          <w:tcPr>
            <w:tcW w:w="1140" w:type="dxa"/>
            <w:vAlign w:val="bottom"/>
          </w:tcPr>
          <w:p>
            <w:pPr>
              <w:ind w:left="920"/>
              <w:spacing w:after="0" w:line="160" w:lineRule="exact"/>
              <w:rPr>
                <w:sz w:val="20"/>
                <w:szCs w:val="20"/>
                <w:color w:val="auto"/>
              </w:rPr>
            </w:pPr>
            <w:r>
              <w:rPr>
                <w:rFonts w:ascii="Times New Roman" w:cs="Times New Roman" w:eastAsia="Times New Roman" w:hAnsi="Times New Roman"/>
                <w:sz w:val="16"/>
                <w:szCs w:val="16"/>
                <w:color w:val="auto"/>
                <w:w w:val="89"/>
              </w:rPr>
              <w:t>F-5</w:t>
            </w:r>
          </w:p>
        </w:tc>
        <w:tc>
          <w:tcPr>
            <w:tcW w:w="0" w:type="dxa"/>
            <w:vAlign w:val="bottom"/>
          </w:tcPr>
          <w:p>
            <w:pPr>
              <w:spacing w:after="0"/>
              <w:rPr>
                <w:sz w:val="1"/>
                <w:szCs w:val="1"/>
                <w:color w:val="auto"/>
              </w:rPr>
            </w:pPr>
          </w:p>
        </w:tc>
      </w:tr>
      <w:tr>
        <w:trPr>
          <w:trHeight w:val="160"/>
        </w:trPr>
        <w:tc>
          <w:tcPr>
            <w:tcW w:w="4740" w:type="dxa"/>
            <w:vAlign w:val="bottom"/>
            <w:tcBorders>
              <w:top w:val="single" w:sz="8" w:color="0000FF"/>
              <w:bottom w:val="single" w:sz="8" w:color="0000FF"/>
            </w:tcBorders>
            <w:gridSpan w:val="3"/>
          </w:tcPr>
          <w:p>
            <w:pPr>
              <w:spacing w:after="0" w:line="160" w:lineRule="exact"/>
              <w:rPr>
                <w:rFonts w:ascii="Times New Roman" w:cs="Times New Roman" w:eastAsia="Times New Roman" w:hAnsi="Times New Roman"/>
                <w:sz w:val="16"/>
                <w:szCs w:val="16"/>
                <w:color w:val="0000FF"/>
                <w:w w:val="97"/>
              </w:rPr>
            </w:pPr>
            <w:hyperlink w:anchor="page71">
              <w:r>
                <w:rPr>
                  <w:rFonts w:ascii="Times New Roman" w:cs="Times New Roman" w:eastAsia="Times New Roman" w:hAnsi="Times New Roman"/>
                  <w:sz w:val="16"/>
                  <w:szCs w:val="16"/>
                  <w:color w:val="0000FF"/>
                  <w:w w:val="97"/>
                </w:rPr>
                <w:t>Notes to the condensed interim combined consolidated financial statements</w:t>
              </w:r>
            </w:hyperlink>
          </w:p>
        </w:tc>
        <w:tc>
          <w:tcPr>
            <w:tcW w:w="2640" w:type="dxa"/>
            <w:vAlign w:val="bottom"/>
            <w:tcBorders>
              <w:top w:val="single" w:sz="8" w:color="0000FF"/>
            </w:tcBorders>
          </w:tcPr>
          <w:p>
            <w:pPr>
              <w:spacing w:after="0"/>
              <w:rPr>
                <w:sz w:val="13"/>
                <w:szCs w:val="13"/>
                <w:color w:val="auto"/>
              </w:rPr>
            </w:pPr>
          </w:p>
        </w:tc>
        <w:tc>
          <w:tcPr>
            <w:tcW w:w="2040" w:type="dxa"/>
            <w:vAlign w:val="bottom"/>
            <w:gridSpan w:val="3"/>
          </w:tcPr>
          <w:p>
            <w:pPr>
              <w:spacing w:after="0"/>
              <w:rPr>
                <w:sz w:val="13"/>
                <w:szCs w:val="13"/>
                <w:color w:val="auto"/>
              </w:rPr>
            </w:pPr>
          </w:p>
        </w:tc>
        <w:tc>
          <w:tcPr>
            <w:tcW w:w="1140" w:type="dxa"/>
            <w:vAlign w:val="bottom"/>
          </w:tcPr>
          <w:p>
            <w:pPr>
              <w:ind w:left="920"/>
              <w:spacing w:after="0" w:line="160" w:lineRule="exact"/>
              <w:rPr>
                <w:sz w:val="20"/>
                <w:szCs w:val="20"/>
                <w:color w:val="auto"/>
              </w:rPr>
            </w:pPr>
            <w:r>
              <w:rPr>
                <w:rFonts w:ascii="Times New Roman" w:cs="Times New Roman" w:eastAsia="Times New Roman" w:hAnsi="Times New Roman"/>
                <w:sz w:val="16"/>
                <w:szCs w:val="16"/>
                <w:color w:val="auto"/>
                <w:w w:val="89"/>
              </w:rPr>
              <w:t>F-6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5109210</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66" w:name="page67"/>
    <w:bookmarkEnd w:id="66"/>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CONDENSED INTERIM COMBINED CONSOLIDATED STATEMENT OF FINANCIAL POSITION</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5,086,603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6,482,298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 xml:space="preserve">Accounts receivable </w:t>
            </w:r>
            <w:r>
              <w:rPr>
                <w:rFonts w:ascii="Times New Roman" w:cs="Times New Roman" w:eastAsia="Times New Roman" w:hAnsi="Times New Roman"/>
                <w:sz w:val="16"/>
                <w:szCs w:val="16"/>
                <w:i w:val="1"/>
                <w:iCs w:val="1"/>
                <w:color w:val="auto"/>
              </w:rPr>
              <w:t>(Note 5)</w:t>
            </w:r>
          </w:p>
        </w:tc>
        <w:tc>
          <w:tcPr>
            <w:tcW w:w="200" w:type="dxa"/>
            <w:vAlign w:val="bottom"/>
          </w:tcPr>
          <w:p>
            <w:pPr>
              <w:spacing w:after="0"/>
              <w:rPr>
                <w:sz w:val="15"/>
                <w:szCs w:val="15"/>
                <w:color w:val="auto"/>
              </w:rPr>
            </w:pPr>
          </w:p>
        </w:tc>
        <w:tc>
          <w:tcPr>
            <w:tcW w:w="15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601,063</w:t>
            </w: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1,148,861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 xml:space="preserve">Prepaid expenses and deposits </w:t>
            </w:r>
            <w:r>
              <w:rPr>
                <w:rFonts w:ascii="Times New Roman" w:cs="Times New Roman" w:eastAsia="Times New Roman" w:hAnsi="Times New Roman"/>
                <w:sz w:val="16"/>
                <w:szCs w:val="16"/>
                <w:i w:val="1"/>
                <w:iCs w:val="1"/>
                <w:color w:val="auto"/>
              </w:rPr>
              <w:t>(Note 19)</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1,589,820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1,146,327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tcPr>
          <w:p>
            <w:pPr>
              <w:spacing w:after="0"/>
              <w:rPr>
                <w:sz w:val="15"/>
                <w:szCs w:val="15"/>
                <w:color w:val="auto"/>
              </w:rPr>
            </w:pPr>
          </w:p>
        </w:tc>
        <w:tc>
          <w:tcPr>
            <w:tcW w:w="15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223,859</w:t>
            </w:r>
          </w:p>
        </w:tc>
        <w:tc>
          <w:tcPr>
            <w:tcW w:w="140" w:type="dxa"/>
            <w:vAlign w:val="bottom"/>
          </w:tcPr>
          <w:p>
            <w:pPr>
              <w:spacing w:after="0"/>
              <w:rPr>
                <w:sz w:val="15"/>
                <w:szCs w:val="15"/>
                <w:color w:val="auto"/>
              </w:rPr>
            </w:pPr>
          </w:p>
        </w:tc>
        <w:tc>
          <w:tcPr>
            <w:tcW w:w="14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222,222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7,501,345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8,999,708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Non-current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Right-of-use asset</w:t>
            </w:r>
          </w:p>
        </w:tc>
        <w:tc>
          <w:tcPr>
            <w:tcW w:w="200" w:type="dxa"/>
            <w:vAlign w:val="bottom"/>
          </w:tcPr>
          <w:p>
            <w:pPr>
              <w:spacing w:after="0"/>
              <w:rPr>
                <w:sz w:val="15"/>
                <w:szCs w:val="15"/>
                <w:color w:val="auto"/>
              </w:rPr>
            </w:pPr>
          </w:p>
        </w:tc>
        <w:tc>
          <w:tcPr>
            <w:tcW w:w="15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170,405</w:t>
            </w:r>
          </w:p>
        </w:tc>
        <w:tc>
          <w:tcPr>
            <w:tcW w:w="140" w:type="dxa"/>
            <w:vAlign w:val="bottom"/>
          </w:tcPr>
          <w:p>
            <w:pPr>
              <w:spacing w:after="0"/>
              <w:rPr>
                <w:sz w:val="15"/>
                <w:szCs w:val="15"/>
                <w:color w:val="auto"/>
              </w:rPr>
            </w:pPr>
          </w:p>
        </w:tc>
        <w:tc>
          <w:tcPr>
            <w:tcW w:w="14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174,568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Non-Current Assets</w:t>
            </w: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170,556</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174,568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7,671,901</w:t>
            </w:r>
          </w:p>
        </w:tc>
        <w:tc>
          <w:tcPr>
            <w:tcW w:w="2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9,174,276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xml:space="preserve">Bank indebtedness </w:t>
            </w:r>
            <w:r>
              <w:rPr>
                <w:rFonts w:ascii="Times New Roman" w:cs="Times New Roman" w:eastAsia="Times New Roman" w:hAnsi="Times New Roman"/>
                <w:sz w:val="16"/>
                <w:szCs w:val="16"/>
                <w:i w:val="1"/>
                <w:iCs w:val="1"/>
                <w:color w:val="auto"/>
              </w:rPr>
              <w:t>(Note 6)</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19,003,709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21,598,041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 xml:space="preserve">Deferred revenue </w:t>
            </w:r>
            <w:r>
              <w:rPr>
                <w:rFonts w:ascii="Times New Roman" w:cs="Times New Roman" w:eastAsia="Times New Roman" w:hAnsi="Times New Roman"/>
                <w:sz w:val="16"/>
                <w:szCs w:val="16"/>
                <w:i w:val="1"/>
                <w:iCs w:val="1"/>
                <w:color w:val="auto"/>
              </w:rPr>
              <w:t>(Note 12)</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13,992,407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8,584,886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Current portion of lease liabilities</w:t>
            </w:r>
          </w:p>
        </w:tc>
        <w:tc>
          <w:tcPr>
            <w:tcW w:w="200" w:type="dxa"/>
            <w:vAlign w:val="bottom"/>
          </w:tcPr>
          <w:p>
            <w:pPr>
              <w:spacing w:after="0"/>
              <w:rPr>
                <w:sz w:val="15"/>
                <w:szCs w:val="15"/>
                <w:color w:val="auto"/>
              </w:rPr>
            </w:pPr>
          </w:p>
        </w:tc>
        <w:tc>
          <w:tcPr>
            <w:tcW w:w="15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159,495</w:t>
            </w: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 xml:space="preserve">Warrant liability </w:t>
            </w:r>
            <w:r>
              <w:rPr>
                <w:rFonts w:ascii="Times New Roman" w:cs="Times New Roman" w:eastAsia="Times New Roman" w:hAnsi="Times New Roman"/>
                <w:sz w:val="16"/>
                <w:szCs w:val="16"/>
                <w:i w:val="1"/>
                <w:iCs w:val="1"/>
                <w:color w:val="auto"/>
              </w:rPr>
              <w:t>(Note 7)</w:t>
            </w: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20,149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33,155,611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42,246,145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Lease liabilities</w:t>
            </w:r>
          </w:p>
        </w:tc>
        <w:tc>
          <w:tcPr>
            <w:tcW w:w="200" w:type="dxa"/>
            <w:vAlign w:val="bottom"/>
          </w:tcPr>
          <w:p>
            <w:pPr>
              <w:spacing w:after="0"/>
              <w:rPr>
                <w:sz w:val="15"/>
                <w:szCs w:val="15"/>
                <w:color w:val="auto"/>
              </w:rPr>
            </w:pPr>
          </w:p>
        </w:tc>
        <w:tc>
          <w:tcPr>
            <w:tcW w:w="15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131,588</w:t>
            </w:r>
          </w:p>
        </w:tc>
        <w:tc>
          <w:tcPr>
            <w:tcW w:w="140" w:type="dxa"/>
            <w:vAlign w:val="bottom"/>
          </w:tcPr>
          <w:p>
            <w:pPr>
              <w:spacing w:after="0"/>
              <w:rPr>
                <w:sz w:val="15"/>
                <w:szCs w:val="15"/>
                <w:color w:val="auto"/>
              </w:rPr>
            </w:pPr>
          </w:p>
        </w:tc>
        <w:tc>
          <w:tcPr>
            <w:tcW w:w="14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148,945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33,287,199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42,395,090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Shareholders' Deficit</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 xml:space="preserve">Share capital </w:t>
            </w:r>
            <w:r>
              <w:rPr>
                <w:rFonts w:ascii="Times New Roman" w:cs="Times New Roman" w:eastAsia="Times New Roman" w:hAnsi="Times New Roman"/>
                <w:sz w:val="16"/>
                <w:szCs w:val="16"/>
                <w:i w:val="1"/>
                <w:iCs w:val="1"/>
                <w:color w:val="auto"/>
              </w:rPr>
              <w:t>(Note 9)</w:t>
            </w: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19,533,200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14,005,728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 xml:space="preserve">Warrants </w:t>
            </w:r>
            <w:r>
              <w:rPr>
                <w:rFonts w:ascii="Times New Roman" w:cs="Times New Roman" w:eastAsia="Times New Roman" w:hAnsi="Times New Roman"/>
                <w:sz w:val="16"/>
                <w:szCs w:val="16"/>
                <w:i w:val="1"/>
                <w:iCs w:val="1"/>
                <w:color w:val="auto"/>
              </w:rPr>
              <w:t>(Note 10)</w:t>
            </w:r>
          </w:p>
        </w:tc>
        <w:tc>
          <w:tcPr>
            <w:tcW w:w="200" w:type="dxa"/>
            <w:vAlign w:val="bottom"/>
          </w:tcPr>
          <w:p>
            <w:pPr>
              <w:spacing w:after="0"/>
              <w:rPr>
                <w:sz w:val="15"/>
                <w:szCs w:val="15"/>
                <w:color w:val="auto"/>
              </w:rPr>
            </w:pPr>
          </w:p>
        </w:tc>
        <w:tc>
          <w:tcPr>
            <w:tcW w:w="15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4,678,728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Deficit</w:t>
            </w: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(68,132,435)</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(58,196,350)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 xml:space="preserve">Contributed surplus </w:t>
            </w:r>
            <w:r>
              <w:rPr>
                <w:rFonts w:ascii="Times New Roman" w:cs="Times New Roman" w:eastAsia="Times New Roman" w:hAnsi="Times New Roman"/>
                <w:sz w:val="16"/>
                <w:szCs w:val="16"/>
                <w:i w:val="1"/>
                <w:iCs w:val="1"/>
                <w:color w:val="auto"/>
              </w:rPr>
              <w:t>(Note 6)</w:t>
            </w:r>
          </w:p>
        </w:tc>
        <w:tc>
          <w:tcPr>
            <w:tcW w:w="20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22,983,937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6,291,080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2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(25,615,298)</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(33,220,814)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7,671,901</w:t>
            </w:r>
          </w:p>
        </w:tc>
        <w:tc>
          <w:tcPr>
            <w:tcW w:w="2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9,174,276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707505"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going concern (Note 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 (Note 13)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Subsequent Events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6707505"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interim combined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7" w:name="page68"/>
    <w:bookmarkEnd w:id="67"/>
    <w:p>
      <w:pPr>
        <w:spacing w:after="0" w:line="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UNAUDITED CONDENSED INTERIM COMBINED CONSOLIDATED STATEMENTS OF LOSS AND COMPREHENSIVE LOSS</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2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9,272,808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9,577,238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1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3,534,277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3,444,763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and marketing</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1,723,318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1,974,673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administration</w:t>
            </w:r>
          </w:p>
        </w:tc>
        <w:tc>
          <w:tcPr>
            <w:tcW w:w="1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8,364,646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6,547,657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23,164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2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13,622,241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11,990,257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Loss before the undernoted</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(4,349,433)</w:t>
            </w:r>
          </w:p>
        </w:tc>
        <w:tc>
          <w:tcPr>
            <w:tcW w:w="160" w:type="dxa"/>
            <w:vAlign w:val="bottom"/>
          </w:tcPr>
          <w:p>
            <w:pPr>
              <w:spacing w:after="0"/>
              <w:rPr>
                <w:sz w:val="15"/>
                <w:szCs w:val="15"/>
                <w:color w:val="auto"/>
              </w:rPr>
            </w:pPr>
          </w:p>
        </w:tc>
        <w:tc>
          <w:tcPr>
            <w:tcW w:w="14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(2,413,019)</w:t>
            </w: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expenses (income)</w:t>
            </w:r>
          </w:p>
        </w:tc>
        <w:tc>
          <w:tcPr>
            <w:tcW w:w="1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xml:space="preserve">Interest and accretion </w:t>
            </w:r>
            <w:r>
              <w:rPr>
                <w:rFonts w:ascii="Times New Roman" w:cs="Times New Roman" w:eastAsia="Times New Roman" w:hAnsi="Times New Roman"/>
                <w:sz w:val="16"/>
                <w:szCs w:val="16"/>
                <w:i w:val="1"/>
                <w:iCs w:val="1"/>
                <w:color w:val="auto"/>
              </w:rPr>
              <w:t>(Note 6)</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272,096</w:t>
            </w:r>
          </w:p>
        </w:tc>
        <w:tc>
          <w:tcPr>
            <w:tcW w:w="16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600,071</w:t>
            </w: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Foreign exchange loss</w:t>
            </w:r>
          </w:p>
        </w:tc>
        <w:tc>
          <w:tcPr>
            <w:tcW w:w="1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109,296</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(4,809)</w:t>
            </w:r>
          </w:p>
        </w:tc>
        <w:tc>
          <w:tcPr>
            <w:tcW w:w="0" w:type="dxa"/>
            <w:vAlign w:val="bottom"/>
          </w:tcPr>
          <w:p>
            <w:pPr>
              <w:spacing w:after="0"/>
              <w:rPr>
                <w:sz w:val="1"/>
                <w:szCs w:val="1"/>
                <w:color w:val="auto"/>
              </w:rPr>
            </w:pP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16"/>
                <w:szCs w:val="16"/>
                <w:i w:val="1"/>
                <w:iCs w:val="1"/>
                <w:color w:val="auto"/>
              </w:rPr>
              <w:t>(Note 6)</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4,392,858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 xml:space="preserve">Derecognition of warrant liability </w:t>
            </w:r>
            <w:r>
              <w:rPr>
                <w:rFonts w:ascii="Times New Roman" w:cs="Times New Roman" w:eastAsia="Times New Roman" w:hAnsi="Times New Roman"/>
                <w:sz w:val="16"/>
                <w:szCs w:val="16"/>
                <w:i w:val="1"/>
                <w:iCs w:val="1"/>
                <w:color w:val="auto"/>
              </w:rPr>
              <w:t>(Note 7 and Note 10)</w:t>
            </w:r>
          </w:p>
        </w:tc>
        <w:tc>
          <w:tcPr>
            <w:tcW w:w="1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(719,526)</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Total other expenses (income)</w:t>
            </w:r>
          </w:p>
        </w:tc>
        <w:tc>
          <w:tcPr>
            <w:tcW w:w="2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4,054,724</w:t>
            </w:r>
          </w:p>
        </w:tc>
        <w:tc>
          <w:tcPr>
            <w:tcW w:w="260" w:type="dxa"/>
            <w:vAlign w:val="bottom"/>
          </w:tcPr>
          <w:p>
            <w:pPr>
              <w:spacing w:after="0"/>
              <w:rPr>
                <w:sz w:val="17"/>
                <w:szCs w:val="17"/>
                <w:color w:val="auto"/>
              </w:rPr>
            </w:pPr>
          </w:p>
        </w:tc>
        <w:tc>
          <w:tcPr>
            <w:tcW w:w="1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595,262</w:t>
            </w: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(8,404,157)</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(3,008,281)</w:t>
            </w:r>
          </w:p>
        </w:tc>
        <w:tc>
          <w:tcPr>
            <w:tcW w:w="0" w:type="dxa"/>
            <w:vAlign w:val="bottom"/>
          </w:tcPr>
          <w:p>
            <w:pPr>
              <w:spacing w:after="0"/>
              <w:rPr>
                <w:sz w:val="1"/>
                <w:szCs w:val="1"/>
                <w:color w:val="auto"/>
              </w:rPr>
            </w:pP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Provision for income taxes</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3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206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b w:val="1"/>
                <w:bCs w:val="1"/>
                <w:color w:val="auto"/>
              </w:rPr>
              <w:t>(8,404,157</w:t>
            </w:r>
            <w:r>
              <w:rPr>
                <w:rFonts w:ascii="Times New Roman" w:cs="Times New Roman" w:eastAsia="Times New Roman" w:hAnsi="Times New Roman"/>
                <w:sz w:val="18"/>
                <w:szCs w:val="18"/>
                <w:b w:val="1"/>
                <w:bCs w:val="1"/>
                <w:color w:val="auto"/>
                <w:vertAlign w:val="subscript"/>
              </w:rPr>
              <w:t>)</w:t>
            </w: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(3,008,281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interim combined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8" w:name="page69"/>
    <w:bookmarkEnd w:id="68"/>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CONDENSED INTERIM COMBINED CONSOLIDATED STATEMENTS OF CHANGES IN STOCKHOLDERS’ DEFICIT</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Share</w:t>
            </w:r>
          </w:p>
        </w:tc>
        <w:tc>
          <w:tcPr>
            <w:tcW w:w="300" w:type="dxa"/>
            <w:vAlign w:val="bottom"/>
          </w:tcPr>
          <w:p>
            <w:pPr>
              <w:spacing w:after="0"/>
              <w:rPr>
                <w:sz w:val="13"/>
                <w:szCs w:val="13"/>
                <w:color w:val="auto"/>
              </w:rPr>
            </w:pPr>
          </w:p>
        </w:tc>
        <w:tc>
          <w:tcPr>
            <w:tcW w:w="12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40" w:type="dxa"/>
            <w:vAlign w:val="bottom"/>
          </w:tcPr>
          <w:p>
            <w:pPr>
              <w:spacing w:after="0"/>
              <w:rPr>
                <w:sz w:val="13"/>
                <w:szCs w:val="13"/>
                <w:color w:val="auto"/>
              </w:rPr>
            </w:pP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Contributed</w:t>
            </w:r>
          </w:p>
        </w:tc>
        <w:tc>
          <w:tcPr>
            <w:tcW w:w="240" w:type="dxa"/>
            <w:vAlign w:val="bottom"/>
          </w:tcPr>
          <w:p>
            <w:pPr>
              <w:spacing w:after="0"/>
              <w:rPr>
                <w:sz w:val="13"/>
                <w:szCs w:val="13"/>
                <w:color w:val="auto"/>
              </w:rPr>
            </w:pPr>
          </w:p>
        </w:tc>
        <w:tc>
          <w:tcPr>
            <w:tcW w:w="12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3"/>
                <w:szCs w:val="13"/>
                <w:color w:val="auto"/>
              </w:rPr>
            </w:pPr>
          </w:p>
        </w:tc>
        <w:tc>
          <w:tcPr>
            <w:tcW w:w="124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240" w:type="dxa"/>
            <w:vAlign w:val="bottom"/>
          </w:tcPr>
          <w:p>
            <w:pPr>
              <w:spacing w:after="0"/>
              <w:rPr>
                <w:sz w:val="14"/>
                <w:szCs w:val="14"/>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124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5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3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14,005,728</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4,678,728</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6,215,028</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(49,263,493)</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(24,364,009)</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(3,008,281)</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(3,008,281)</w:t>
            </w:r>
          </w:p>
        </w:tc>
        <w:tc>
          <w:tcPr>
            <w:tcW w:w="0" w:type="dxa"/>
            <w:vAlign w:val="bottom"/>
          </w:tcPr>
          <w:p>
            <w:pPr>
              <w:spacing w:after="0"/>
              <w:rPr>
                <w:sz w:val="1"/>
                <w:szCs w:val="1"/>
                <w:color w:val="auto"/>
              </w:rPr>
            </w:pPr>
          </w:p>
        </w:tc>
      </w:tr>
      <w:tr>
        <w:trPr>
          <w:trHeight w:val="15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Recognition of share-based payments </w:t>
            </w:r>
            <w:r>
              <w:rPr>
                <w:rFonts w:ascii="Times New Roman" w:cs="Times New Roman" w:eastAsia="Times New Roman" w:hAnsi="Times New Roman"/>
                <w:sz w:val="13"/>
                <w:szCs w:val="13"/>
                <w:i w:val="1"/>
                <w:iCs w:val="1"/>
                <w:color w:val="auto"/>
              </w:rPr>
              <w:t>(Note 8)</w:t>
            </w: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76,052</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76,052</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at June 30, 2024</w:t>
            </w: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14,005,728</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4,678,728</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6,291,080</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(52,271,774)</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(27,296,238)</w:t>
            </w:r>
          </w:p>
        </w:tc>
        <w:tc>
          <w:tcPr>
            <w:tcW w:w="0" w:type="dxa"/>
            <w:vAlign w:val="bottom"/>
          </w:tcPr>
          <w:p>
            <w:pPr>
              <w:spacing w:after="0"/>
              <w:rPr>
                <w:sz w:val="1"/>
                <w:szCs w:val="1"/>
                <w:color w:val="auto"/>
              </w:rPr>
            </w:pPr>
          </w:p>
        </w:tc>
      </w:tr>
      <w:tr>
        <w:trPr>
          <w:trHeight w:val="15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3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14,005,728</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4,678,728</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6,291,080</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(58,196,350)</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(33,220,814)</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(8,404,157)</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(8,404,157)</w:t>
            </w:r>
          </w:p>
        </w:tc>
        <w:tc>
          <w:tcPr>
            <w:tcW w:w="0" w:type="dxa"/>
            <w:vAlign w:val="bottom"/>
          </w:tcPr>
          <w:p>
            <w:pPr>
              <w:spacing w:after="0"/>
              <w:rPr>
                <w:sz w:val="1"/>
                <w:szCs w:val="1"/>
                <w:color w:val="auto"/>
              </w:rPr>
            </w:pPr>
          </w:p>
        </w:tc>
      </w:tr>
      <w:tr>
        <w:trPr>
          <w:trHeight w:val="15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Dividends declared </w:t>
            </w:r>
            <w:r>
              <w:rPr>
                <w:rFonts w:ascii="Times New Roman" w:cs="Times New Roman" w:eastAsia="Times New Roman" w:hAnsi="Times New Roman"/>
                <w:sz w:val="13"/>
                <w:szCs w:val="13"/>
                <w:i w:val="1"/>
                <w:iCs w:val="1"/>
                <w:color w:val="auto"/>
              </w:rPr>
              <w:t>(Note 9)</w:t>
            </w: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(1,531,928)</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(1,531,928)</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Contribution to loan settlement </w:t>
            </w:r>
            <w:r>
              <w:rPr>
                <w:rFonts w:ascii="Times New Roman" w:cs="Times New Roman" w:eastAsia="Times New Roman" w:hAnsi="Times New Roman"/>
                <w:sz w:val="13"/>
                <w:szCs w:val="13"/>
                <w:i w:val="1"/>
                <w:iCs w:val="1"/>
                <w:color w:val="auto"/>
              </w:rPr>
              <w:t>(Note 6)</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16,692,857</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16,692,857</w:t>
            </w:r>
          </w:p>
        </w:tc>
        <w:tc>
          <w:tcPr>
            <w:tcW w:w="0" w:type="dxa"/>
            <w:vAlign w:val="bottom"/>
          </w:tcPr>
          <w:p>
            <w:pPr>
              <w:spacing w:after="0"/>
              <w:rPr>
                <w:sz w:val="1"/>
                <w:szCs w:val="1"/>
                <w:color w:val="auto"/>
              </w:rPr>
            </w:pPr>
          </w:p>
        </w:tc>
      </w:tr>
      <w:tr>
        <w:trPr>
          <w:trHeight w:val="144"/>
        </w:trPr>
        <w:tc>
          <w:tcPr>
            <w:tcW w:w="30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Conversion of equity-classified warrants to Class A</w:t>
            </w:r>
          </w:p>
        </w:tc>
        <w:tc>
          <w:tcPr>
            <w:tcW w:w="38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3,979,351</w:t>
            </w:r>
          </w:p>
        </w:tc>
        <w:tc>
          <w:tcPr>
            <w:tcW w:w="30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(4,678,728)</w:t>
            </w:r>
          </w:p>
        </w:tc>
        <w:tc>
          <w:tcPr>
            <w:tcW w:w="24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(699,377)</w:t>
            </w:r>
          </w:p>
        </w:tc>
        <w:tc>
          <w:tcPr>
            <w:tcW w:w="0" w:type="dxa"/>
            <w:vAlign w:val="bottom"/>
          </w:tcPr>
          <w:p>
            <w:pPr>
              <w:spacing w:after="0"/>
              <w:rPr>
                <w:sz w:val="1"/>
                <w:szCs w:val="1"/>
                <w:color w:val="auto"/>
              </w:rPr>
            </w:pPr>
          </w:p>
        </w:tc>
      </w:tr>
      <w:tr>
        <w:trPr>
          <w:trHeight w:val="168"/>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shares (Note 10)</w:t>
            </w:r>
          </w:p>
        </w:tc>
        <w:tc>
          <w:tcPr>
            <w:tcW w:w="38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Increase legal stated capital </w:t>
            </w:r>
            <w:r>
              <w:rPr>
                <w:rFonts w:ascii="Times New Roman" w:cs="Times New Roman" w:eastAsia="Times New Roman" w:hAnsi="Times New Roman"/>
                <w:sz w:val="13"/>
                <w:szCs w:val="13"/>
                <w:i w:val="1"/>
                <w:iCs w:val="1"/>
                <w:color w:val="auto"/>
              </w:rPr>
              <w:t>(Note 9)</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1,083,070</w:t>
            </w: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1,083,070</w:t>
            </w:r>
          </w:p>
        </w:tc>
        <w:tc>
          <w:tcPr>
            <w:tcW w:w="0" w:type="dxa"/>
            <w:vAlign w:val="bottom"/>
          </w:tcPr>
          <w:p>
            <w:pPr>
              <w:spacing w:after="0"/>
              <w:rPr>
                <w:sz w:val="1"/>
                <w:szCs w:val="1"/>
                <w:color w:val="auto"/>
              </w:rPr>
            </w:pPr>
          </w:p>
        </w:tc>
      </w:tr>
      <w:tr>
        <w:trPr>
          <w:trHeight w:val="15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Shares issued to settle exercise of stock options </w:t>
            </w:r>
            <w:r>
              <w:rPr>
                <w:rFonts w:ascii="Times New Roman" w:cs="Times New Roman" w:eastAsia="Times New Roman" w:hAnsi="Times New Roman"/>
                <w:sz w:val="13"/>
                <w:szCs w:val="13"/>
                <w:i w:val="1"/>
                <w:iCs w:val="1"/>
                <w:color w:val="auto"/>
              </w:rPr>
              <w:t>(Note 8)</w:t>
            </w: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465,051</w:t>
            </w: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465,051</w:t>
            </w:r>
          </w:p>
        </w:tc>
        <w:tc>
          <w:tcPr>
            <w:tcW w:w="0" w:type="dxa"/>
            <w:vAlign w:val="bottom"/>
          </w:tcPr>
          <w:p>
            <w:pPr>
              <w:spacing w:after="0"/>
              <w:rPr>
                <w:sz w:val="1"/>
                <w:szCs w:val="1"/>
                <w:color w:val="auto"/>
              </w:rPr>
            </w:pPr>
          </w:p>
        </w:tc>
      </w:tr>
      <w:tr>
        <w:trPr>
          <w:trHeight w:val="174"/>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at June 30, 2025</w:t>
            </w: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19,533,200</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22,983,937</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(68,132,435)</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(25,615,298)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interim combined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spacing w:after="0" w:line="51"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6"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4"/>
          <w:szCs w:val="14"/>
          <w:b w:val="1"/>
          <w:bCs w:val="1"/>
          <w:color w:val="auto"/>
        </w:rPr>
        <w:t>UNAUDITED CONDENSED INTERIM COMBINED CONSOLIDATED STATEMENTS OF CASH FLOWS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420" w:type="dxa"/>
            <w:vAlign w:val="bottom"/>
          </w:tcPr>
          <w:p>
            <w:pPr>
              <w:jc w:val="right"/>
              <w:ind w:right="844"/>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38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4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for) the following activities</w:t>
            </w:r>
          </w:p>
        </w:tc>
        <w:tc>
          <w:tcPr>
            <w:tcW w:w="3420" w:type="dxa"/>
            <w:vAlign w:val="bottom"/>
          </w:tcPr>
          <w:p>
            <w:pPr>
              <w:spacing w:after="0"/>
              <w:rPr>
                <w:sz w:val="15"/>
                <w:szCs w:val="15"/>
                <w:color w:val="auto"/>
              </w:rPr>
            </w:pPr>
          </w:p>
        </w:tc>
        <w:tc>
          <w:tcPr>
            <w:tcW w:w="154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820" w:type="dxa"/>
            <w:vAlign w:val="bottom"/>
            <w:vMerge w:val="continue"/>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3420" w:type="dxa"/>
            <w:vAlign w:val="bottom"/>
          </w:tcPr>
          <w:p>
            <w:pPr>
              <w:spacing w:after="0"/>
              <w:rPr>
                <w:sz w:val="15"/>
                <w:szCs w:val="15"/>
                <w:color w:val="auto"/>
              </w:rPr>
            </w:pPr>
          </w:p>
        </w:tc>
        <w:tc>
          <w:tcPr>
            <w:tcW w:w="154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(8,404,157)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34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payments</w:t>
            </w:r>
          </w:p>
        </w:tc>
        <w:tc>
          <w:tcPr>
            <w:tcW w:w="3420" w:type="dxa"/>
            <w:vAlign w:val="bottom"/>
          </w:tcPr>
          <w:p>
            <w:pPr>
              <w:spacing w:after="0"/>
              <w:rPr>
                <w:sz w:val="15"/>
                <w:szCs w:val="15"/>
                <w:color w:val="auto"/>
              </w:rPr>
            </w:pPr>
          </w:p>
        </w:tc>
        <w:tc>
          <w:tcPr>
            <w:tcW w:w="15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420" w:type="dxa"/>
            <w:vAlign w:val="bottom"/>
          </w:tcPr>
          <w:p>
            <w:pPr>
              <w:spacing w:after="0"/>
              <w:rPr>
                <w:sz w:val="15"/>
                <w:szCs w:val="15"/>
                <w:color w:val="auto"/>
              </w:rPr>
            </w:pPr>
          </w:p>
        </w:tc>
        <w:tc>
          <w:tcPr>
            <w:tcW w:w="15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xml:space="preserve">Gain on converted warrants </w:t>
            </w:r>
            <w:r>
              <w:rPr>
                <w:rFonts w:ascii="Times New Roman" w:cs="Times New Roman" w:eastAsia="Times New Roman" w:hAnsi="Times New Roman"/>
                <w:sz w:val="16"/>
                <w:szCs w:val="16"/>
                <w:i w:val="1"/>
                <w:iCs w:val="1"/>
                <w:color w:val="auto"/>
              </w:rPr>
              <w:t>(Note 10)</w:t>
            </w:r>
          </w:p>
        </w:tc>
        <w:tc>
          <w:tcPr>
            <w:tcW w:w="3420" w:type="dxa"/>
            <w:vAlign w:val="bottom"/>
          </w:tcPr>
          <w:p>
            <w:pPr>
              <w:spacing w:after="0"/>
              <w:rPr>
                <w:sz w:val="15"/>
                <w:szCs w:val="15"/>
                <w:color w:val="auto"/>
              </w:rPr>
            </w:pPr>
          </w:p>
        </w:tc>
        <w:tc>
          <w:tcPr>
            <w:tcW w:w="15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rPr>
              <w:t>(719,526)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 xml:space="preserve">Derecognition of warrant liability </w:t>
            </w:r>
            <w:r>
              <w:rPr>
                <w:rFonts w:ascii="Times New Roman" w:cs="Times New Roman" w:eastAsia="Times New Roman" w:hAnsi="Times New Roman"/>
                <w:sz w:val="16"/>
                <w:szCs w:val="16"/>
                <w:i w:val="1"/>
                <w:iCs w:val="1"/>
                <w:color w:val="auto"/>
              </w:rPr>
              <w:t>(Note 7)</w:t>
            </w:r>
          </w:p>
        </w:tc>
        <w:tc>
          <w:tcPr>
            <w:tcW w:w="3420" w:type="dxa"/>
            <w:vAlign w:val="bottom"/>
          </w:tcPr>
          <w:p>
            <w:pPr>
              <w:spacing w:after="0"/>
              <w:rPr>
                <w:sz w:val="15"/>
                <w:szCs w:val="15"/>
                <w:color w:val="auto"/>
              </w:rPr>
            </w:pPr>
          </w:p>
        </w:tc>
        <w:tc>
          <w:tcPr>
            <w:tcW w:w="1540" w:type="dxa"/>
            <w:vAlign w:val="bottom"/>
          </w:tcPr>
          <w:p>
            <w:pPr>
              <w:jc w:val="right"/>
              <w:ind w:right="64"/>
              <w:spacing w:after="0" w:line="182" w:lineRule="exact"/>
              <w:rPr>
                <w:sz w:val="20"/>
                <w:szCs w:val="20"/>
                <w:color w:val="auto"/>
              </w:rPr>
            </w:pPr>
            <w:r>
              <w:rPr>
                <w:rFonts w:ascii="Times New Roman" w:cs="Times New Roman" w:eastAsia="Times New Roman" w:hAnsi="Times New Roman"/>
                <w:sz w:val="16"/>
                <w:szCs w:val="16"/>
                <w:b w:val="1"/>
                <w:bCs w:val="1"/>
                <w:color w:val="auto"/>
              </w:rPr>
              <w:t>20,149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Changes in working capital accounts:</w:t>
            </w:r>
          </w:p>
        </w:tc>
        <w:tc>
          <w:tcPr>
            <w:tcW w:w="3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Accounts receivable </w:t>
            </w:r>
            <w:r>
              <w:rPr>
                <w:rFonts w:ascii="Times New Roman" w:cs="Times New Roman" w:eastAsia="Times New Roman" w:hAnsi="Times New Roman"/>
                <w:sz w:val="16"/>
                <w:szCs w:val="16"/>
                <w:i w:val="1"/>
                <w:iCs w:val="1"/>
                <w:color w:val="auto"/>
              </w:rPr>
              <w:t>(Note 5)</w:t>
            </w:r>
          </w:p>
        </w:tc>
        <w:tc>
          <w:tcPr>
            <w:tcW w:w="3420" w:type="dxa"/>
            <w:vAlign w:val="bottom"/>
          </w:tcPr>
          <w:p>
            <w:pPr>
              <w:spacing w:after="0"/>
              <w:rPr>
                <w:sz w:val="18"/>
                <w:szCs w:val="18"/>
                <w:color w:val="auto"/>
              </w:rPr>
            </w:pPr>
          </w:p>
        </w:tc>
        <w:tc>
          <w:tcPr>
            <w:tcW w:w="15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547,798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taxes payable (net)</w:t>
            </w:r>
          </w:p>
        </w:tc>
        <w:tc>
          <w:tcPr>
            <w:tcW w:w="3420" w:type="dxa"/>
            <w:vAlign w:val="bottom"/>
          </w:tcPr>
          <w:p>
            <w:pPr>
              <w:spacing w:after="0"/>
              <w:rPr>
                <w:sz w:val="15"/>
                <w:szCs w:val="15"/>
                <w:color w:val="auto"/>
              </w:rPr>
            </w:pPr>
          </w:p>
        </w:tc>
        <w:tc>
          <w:tcPr>
            <w:tcW w:w="15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rPr>
              <w:t>(1,637)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deposits</w:t>
            </w:r>
          </w:p>
        </w:tc>
        <w:tc>
          <w:tcPr>
            <w:tcW w:w="3420" w:type="dxa"/>
            <w:vAlign w:val="bottom"/>
          </w:tcPr>
          <w:p>
            <w:pPr>
              <w:spacing w:after="0"/>
              <w:rPr>
                <w:sz w:val="24"/>
                <w:szCs w:val="24"/>
                <w:color w:val="auto"/>
              </w:rPr>
            </w:pPr>
          </w:p>
        </w:tc>
        <w:tc>
          <w:tcPr>
            <w:tcW w:w="1540" w:type="dxa"/>
            <w:vAlign w:val="bottom"/>
          </w:tcPr>
          <w:p>
            <w:pPr>
              <w:jc w:val="right"/>
              <w:ind w:right="24"/>
              <w:spacing w:after="0" w:line="275" w:lineRule="exact"/>
              <w:rPr>
                <w:sz w:val="20"/>
                <w:szCs w:val="20"/>
                <w:color w:val="auto"/>
              </w:rPr>
            </w:pPr>
            <w:r>
              <w:rPr>
                <w:rFonts w:ascii="Times New Roman" w:cs="Times New Roman" w:eastAsia="Times New Roman" w:hAnsi="Times New Roman"/>
                <w:sz w:val="16"/>
                <w:szCs w:val="16"/>
                <w:b w:val="1"/>
                <w:bCs w:val="1"/>
                <w:color w:val="auto"/>
              </w:rPr>
              <w:t>(443,493</w:t>
            </w:r>
            <w:r>
              <w:rPr>
                <w:rFonts w:ascii="Times New Roman" w:cs="Times New Roman" w:eastAsia="Times New Roman" w:hAnsi="Times New Roman"/>
                <w:sz w:val="31"/>
                <w:szCs w:val="31"/>
                <w:b w:val="1"/>
                <w:bCs w:val="1"/>
                <w:color w:val="auto"/>
                <w:vertAlign w:val="superscript"/>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payable and accrued liabilities</w:t>
            </w:r>
          </w:p>
        </w:tc>
        <w:tc>
          <w:tcPr>
            <w:tcW w:w="3420" w:type="dxa"/>
            <w:vAlign w:val="bottom"/>
          </w:tcPr>
          <w:p>
            <w:pPr>
              <w:spacing w:after="0"/>
              <w:rPr>
                <w:sz w:val="15"/>
                <w:szCs w:val="15"/>
                <w:color w:val="auto"/>
              </w:rPr>
            </w:pPr>
          </w:p>
        </w:tc>
        <w:tc>
          <w:tcPr>
            <w:tcW w:w="15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rPr>
              <w:t>(2,594,332)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xml:space="preserve">Deferred revenue </w:t>
            </w:r>
            <w:r>
              <w:rPr>
                <w:rFonts w:ascii="Times New Roman" w:cs="Times New Roman" w:eastAsia="Times New Roman" w:hAnsi="Times New Roman"/>
                <w:sz w:val="16"/>
                <w:szCs w:val="16"/>
                <w:i w:val="1"/>
                <w:iCs w:val="1"/>
                <w:color w:val="auto"/>
              </w:rPr>
              <w:t>(Note 12)</w:t>
            </w:r>
          </w:p>
        </w:tc>
        <w:tc>
          <w:tcPr>
            <w:tcW w:w="3420" w:type="dxa"/>
            <w:vAlign w:val="bottom"/>
          </w:tcPr>
          <w:p>
            <w:pPr>
              <w:spacing w:after="0"/>
              <w:rPr>
                <w:sz w:val="15"/>
                <w:szCs w:val="15"/>
                <w:color w:val="auto"/>
              </w:rPr>
            </w:pPr>
          </w:p>
        </w:tc>
        <w:tc>
          <w:tcPr>
            <w:tcW w:w="15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b w:val="1"/>
                <w:bCs w:val="1"/>
                <w:color w:val="auto"/>
              </w:rPr>
              <w:t>5,407,521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xml:space="preserve">Loss on extinguishment </w:t>
            </w:r>
            <w:r>
              <w:rPr>
                <w:rFonts w:ascii="Times New Roman" w:cs="Times New Roman" w:eastAsia="Times New Roman" w:hAnsi="Times New Roman"/>
                <w:sz w:val="16"/>
                <w:szCs w:val="16"/>
                <w:i w:val="1"/>
                <w:iCs w:val="1"/>
                <w:color w:val="auto"/>
              </w:rPr>
              <w:t>(Note 6)</w:t>
            </w:r>
          </w:p>
        </w:tc>
        <w:tc>
          <w:tcPr>
            <w:tcW w:w="3420" w:type="dxa"/>
            <w:vAlign w:val="bottom"/>
          </w:tcPr>
          <w:p>
            <w:pPr>
              <w:spacing w:after="0"/>
              <w:rPr>
                <w:sz w:val="15"/>
                <w:szCs w:val="15"/>
                <w:color w:val="auto"/>
              </w:rPr>
            </w:pPr>
          </w:p>
        </w:tc>
        <w:tc>
          <w:tcPr>
            <w:tcW w:w="15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b w:val="1"/>
                <w:bCs w:val="1"/>
                <w:color w:val="auto"/>
              </w:rPr>
              <w:t>4,692,857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34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rPr>
              <w:t>(1,494,820)</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5"/>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-1949450</wp:posOffset>
            </wp:positionV>
            <wp:extent cx="6707505"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-1720850</wp:posOffset>
            </wp:positionV>
            <wp:extent cx="6707505" cy="1295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-1477010</wp:posOffset>
            </wp:positionV>
            <wp:extent cx="6707505"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-1248410</wp:posOffset>
            </wp:positionV>
            <wp:extent cx="6707505"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-981075</wp:posOffset>
            </wp:positionV>
            <wp:extent cx="6707505"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-752475</wp:posOffset>
            </wp:positionV>
            <wp:extent cx="6707505" cy="175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752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-462915</wp:posOffset>
            </wp:positionV>
            <wp:extent cx="6707505"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-234315</wp:posOffset>
            </wp:positionV>
            <wp:extent cx="6707505" cy="114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35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(3,008,281)</w:t>
      </w:r>
    </w:p>
    <w:p>
      <w:pPr>
        <w:spacing w:after="0" w:line="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76,052</w:t>
      </w:r>
    </w:p>
    <w:p>
      <w:pPr>
        <w:jc w:val="right"/>
        <w:ind w:right="100"/>
        <w:spacing w:after="0" w:line="234" w:lineRule="auto"/>
        <w:rPr>
          <w:sz w:val="20"/>
          <w:szCs w:val="20"/>
          <w:color w:val="auto"/>
        </w:rPr>
      </w:pPr>
      <w:r>
        <w:rPr>
          <w:rFonts w:ascii="Times New Roman" w:cs="Times New Roman" w:eastAsia="Times New Roman" w:hAnsi="Times New Roman"/>
          <w:sz w:val="16"/>
          <w:szCs w:val="16"/>
          <w:color w:val="auto"/>
        </w:rPr>
        <w:t>23,164</w:t>
      </w:r>
    </w:p>
    <w:p>
      <w:pPr>
        <w:jc w:val="right"/>
        <w:ind w:right="100"/>
        <w:spacing w:after="0" w:line="235" w:lineRule="auto"/>
        <w:rPr>
          <w:sz w:val="20"/>
          <w:szCs w:val="20"/>
          <w:color w:val="auto"/>
        </w:rPr>
      </w:pPr>
      <w:r>
        <w:rPr>
          <w:rFonts w:ascii="Times New Roman" w:cs="Times New Roman" w:eastAsia="Times New Roman" w:hAnsi="Times New Roman"/>
          <w:sz w:val="16"/>
          <w:szCs w:val="16"/>
          <w:b w:val="1"/>
          <w:bCs w:val="1"/>
          <w:color w:val="auto"/>
        </w:rPr>
        <w:t>—</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1,991</w:t>
      </w:r>
    </w:p>
    <w:p>
      <w:pPr>
        <w:spacing w:after="0" w:line="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(320,760)</w:t>
      </w:r>
    </w:p>
    <w:p>
      <w:pPr>
        <w:spacing w:after="0" w:line="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91,667</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1,727,360</w:t>
      </w:r>
    </w:p>
    <w:p>
      <w:pPr>
        <w:ind w:left="660"/>
        <w:spacing w:after="0"/>
        <w:rPr>
          <w:sz w:val="20"/>
          <w:szCs w:val="20"/>
          <w:color w:val="auto"/>
        </w:rPr>
      </w:pPr>
      <w:r>
        <w:rPr>
          <w:rFonts w:ascii="Times New Roman" w:cs="Times New Roman" w:eastAsia="Times New Roman" w:hAnsi="Times New Roman"/>
          <w:sz w:val="16"/>
          <w:szCs w:val="16"/>
          <w:color w:val="auto"/>
        </w:rPr>
        <w:t>1,480,904</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72,097</w:t>
      </w:r>
    </w:p>
    <w:p>
      <w:pPr>
        <w:spacing w:after="0" w:line="317" w:lineRule="exact"/>
        <w:rPr>
          <w:sz w:val="20"/>
          <w:szCs w:val="20"/>
          <w:color w:val="auto"/>
        </w:rPr>
      </w:pPr>
    </w:p>
    <w:p>
      <w:pPr>
        <w:sectPr>
          <w:pgSz w:w="11900" w:h="16840" w:orient="portrait"/>
          <w:cols w:equalWidth="0" w:num="2">
            <w:col w:w="8960" w:space="220"/>
            <w:col w:w="1380"/>
          </w:cols>
          <w:pgMar w:left="660" w:top="1440" w:right="680" w:bottom="1440" w:gutter="0" w:footer="0" w:header="0"/>
        </w:sectPr>
      </w:pPr>
    </w:p>
    <w:tbl>
      <w:tblPr>
        <w:tblLayout w:type="fixed"/>
        <w:tblInd w:w="0" w:type="dxa"/>
        <w:tblCellMar>
          <w:top w:w="0" w:type="dxa"/>
          <w:left w:w="0" w:type="dxa"/>
          <w:bottom w:w="0" w:type="dxa"/>
          <w:right w:w="0" w:type="dxa"/>
        </w:tblCellMar>
      </w:tblPr>
      <w:tr>
        <w:trPr>
          <w:trHeight w:val="184"/>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of lease liabilities</w:t>
            </w:r>
          </w:p>
        </w:tc>
        <w:tc>
          <w:tcPr>
            <w:tcW w:w="29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99,273</w:t>
            </w:r>
          </w:p>
        </w:tc>
        <w:tc>
          <w:tcPr>
            <w:tcW w:w="6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80,281</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90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rPr>
              <w:t>99,273</w:t>
            </w:r>
          </w:p>
        </w:tc>
        <w:tc>
          <w:tcPr>
            <w:tcW w:w="6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80,281</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Investing activities</w:t>
            </w:r>
          </w:p>
        </w:tc>
        <w:tc>
          <w:tcPr>
            <w:tcW w:w="29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 of property and equipment</w:t>
            </w:r>
          </w:p>
        </w:tc>
        <w:tc>
          <w:tcPr>
            <w:tcW w:w="290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(148)</w:t>
            </w:r>
          </w:p>
        </w:tc>
        <w:tc>
          <w:tcPr>
            <w:tcW w:w="62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90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(148)</w:t>
            </w:r>
          </w:p>
        </w:tc>
        <w:tc>
          <w:tcPr>
            <w:tcW w:w="620" w:type="dxa"/>
            <w:vAlign w:val="bottom"/>
            <w:shd w:val="clear" w:color="auto" w:fill="CFF0FC"/>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Increase/(decrease) in cash</w:t>
            </w:r>
          </w:p>
        </w:tc>
        <w:tc>
          <w:tcPr>
            <w:tcW w:w="290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(1,395,695)</w:t>
            </w:r>
          </w:p>
        </w:tc>
        <w:tc>
          <w:tcPr>
            <w:tcW w:w="62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152,378</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beginning of period</w:t>
            </w:r>
          </w:p>
        </w:tc>
        <w:tc>
          <w:tcPr>
            <w:tcW w:w="29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rPr>
              <w:t>6,482,298</w:t>
            </w:r>
          </w:p>
        </w:tc>
        <w:tc>
          <w:tcPr>
            <w:tcW w:w="6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3,376,896</w:t>
            </w:r>
          </w:p>
        </w:tc>
      </w:tr>
      <w:tr>
        <w:trPr>
          <w:trHeight w:val="205"/>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end of period</w:t>
            </w:r>
          </w:p>
        </w:tc>
        <w:tc>
          <w:tcPr>
            <w:tcW w:w="290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5,086,603</w:t>
            </w:r>
          </w:p>
        </w:tc>
        <w:tc>
          <w:tcPr>
            <w:tcW w:w="6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3,529,274</w:t>
            </w: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interim combined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1.Nature of Business</w:t>
      </w:r>
    </w:p>
    <w:p>
      <w:pPr>
        <w:spacing w:after="0" w:line="190" w:lineRule="exact"/>
        <w:rPr>
          <w:sz w:val="20"/>
          <w:szCs w:val="20"/>
          <w:color w:val="auto"/>
        </w:rPr>
      </w:pPr>
    </w:p>
    <w:p>
      <w:pPr>
        <w:ind w:right="700" w:firstLine="480"/>
        <w:spacing w:after="0" w:line="259" w:lineRule="auto"/>
        <w:rPr>
          <w:sz w:val="20"/>
          <w:szCs w:val="20"/>
          <w:color w:val="auto"/>
        </w:rPr>
      </w:pPr>
      <w:r>
        <w:rPr>
          <w:rFonts w:ascii="Times New Roman" w:cs="Times New Roman" w:eastAsia="Times New Roman" w:hAnsi="Times New Roman"/>
          <w:sz w:val="16"/>
          <w:szCs w:val="16"/>
          <w:color w:val="auto"/>
        </w:rPr>
        <w:t>GroupBy Group of Companies (the “Group”) provides e-commerce software solutions that help their customers better connect with their customers by creating a more relevant user experience.</w:t>
      </w:r>
    </w:p>
    <w:p>
      <w:pPr>
        <w:spacing w:after="0" w:line="155" w:lineRule="exact"/>
        <w:rPr>
          <w:sz w:val="20"/>
          <w:szCs w:val="20"/>
          <w:color w:val="auto"/>
        </w:rPr>
      </w:pPr>
    </w:p>
    <w:p>
      <w:pPr>
        <w:ind w:right="260" w:firstLine="480"/>
        <w:spacing w:after="0" w:line="247" w:lineRule="auto"/>
        <w:rPr>
          <w:sz w:val="20"/>
          <w:szCs w:val="20"/>
          <w:color w:val="auto"/>
        </w:rPr>
      </w:pPr>
      <w:r>
        <w:rPr>
          <w:rFonts w:ascii="Times New Roman" w:cs="Times New Roman" w:eastAsia="Times New Roman" w:hAnsi="Times New Roman"/>
          <w:sz w:val="16"/>
          <w:szCs w:val="16"/>
          <w:color w:val="auto"/>
        </w:rPr>
        <w:t>On February 11, 2025, Rezolve Ai Limited ("Rezolve") entered into a purchase agreement to acquire all issued and outstanding shares of the Group in exchange for 3,999,902 shares in Rezolve. The acquisition closed on March 25, 2025. Upon acquisition of the shares, the Group entered into a novation agreement to novate its rights, benefits, obligations, and liabilities under the bank indebtedness to Rezolve.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2.Statement of Compliance</w:t>
      </w:r>
    </w:p>
    <w:p>
      <w:pPr>
        <w:spacing w:after="0" w:line="190" w:lineRule="exact"/>
        <w:rPr>
          <w:sz w:val="20"/>
          <w:szCs w:val="20"/>
          <w:color w:val="auto"/>
        </w:rPr>
      </w:pPr>
    </w:p>
    <w:p>
      <w:pPr>
        <w:ind w:right="280" w:firstLine="480"/>
        <w:spacing w:after="0" w:line="284" w:lineRule="auto"/>
        <w:rPr>
          <w:sz w:val="20"/>
          <w:szCs w:val="20"/>
          <w:color w:val="auto"/>
        </w:rPr>
      </w:pPr>
      <w:r>
        <w:rPr>
          <w:rFonts w:ascii="Times New Roman" w:cs="Times New Roman" w:eastAsia="Times New Roman" w:hAnsi="Times New Roman"/>
          <w:sz w:val="14"/>
          <w:szCs w:val="14"/>
          <w:color w:val="auto"/>
        </w:rPr>
        <w:t>These unaudited condensed interim combined consolidated financial statements have been prepared in accordance with IAS 34 Interim Financial Reporting issued by the International Accounting Standards Board (“IASB”) and IFRIC® Interpretations of the IFRS Interpretations Committee.. These condensed interim combined consolidated financial statements do not include all disclosures that otherwise be required in a complete set of financial statements in accordance with IFRS® Accounting Standards issued by the International Accounting Standards Board (“IASB”) and IFRIC® Interpretations of the IFRS Interpretations Committee. and should be read in conjunction with the Group’s audited combined consolidated financial statements for the year ended December 31, 2024.</w:t>
      </w:r>
    </w:p>
    <w:p>
      <w:pPr>
        <w:spacing w:after="0" w:line="140" w:lineRule="exact"/>
        <w:rPr>
          <w:sz w:val="20"/>
          <w:szCs w:val="20"/>
          <w:color w:val="auto"/>
        </w:rPr>
      </w:pPr>
    </w:p>
    <w:p>
      <w:pPr>
        <w:ind w:right="320" w:firstLine="480"/>
        <w:spacing w:after="0" w:line="331" w:lineRule="auto"/>
        <w:rPr>
          <w:sz w:val="20"/>
          <w:szCs w:val="20"/>
          <w:color w:val="auto"/>
        </w:rPr>
      </w:pPr>
      <w:r>
        <w:rPr>
          <w:rFonts w:ascii="Times New Roman" w:cs="Times New Roman" w:eastAsia="Times New Roman" w:hAnsi="Times New Roman"/>
          <w:sz w:val="14"/>
          <w:szCs w:val="14"/>
          <w:color w:val="auto"/>
        </w:rPr>
        <w:t>Accordingly, accounting policies, estimates, and judgments applied are the same as those applied in the Group’s combined consolidated financial statements for the year ended December 31, 2024, unless otherwise indicated. The Group assesses its accounting estimates and judgments every reporting period.</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These unaudited condensed interim combined consolidated financial statements were approved by the Group’s board of directors on October 1, 2025.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Basis of preparation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measurement and going concern</w:t>
      </w:r>
    </w:p>
    <w:p>
      <w:pPr>
        <w:spacing w:after="0" w:line="192"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The unaudited condensed interim combined consolidated financial statements were prepared on a going concern basis under the historical cost basis except for the revaluation of certain financial instruments.</w:t>
      </w:r>
    </w:p>
    <w:p>
      <w:pPr>
        <w:spacing w:after="0" w:line="155" w:lineRule="exact"/>
        <w:rPr>
          <w:sz w:val="20"/>
          <w:szCs w:val="20"/>
          <w:color w:val="auto"/>
        </w:rPr>
      </w:pPr>
    </w:p>
    <w:p>
      <w:pPr>
        <w:ind w:right="200" w:firstLine="468"/>
        <w:spacing w:after="0" w:line="259" w:lineRule="auto"/>
        <w:rPr>
          <w:sz w:val="20"/>
          <w:szCs w:val="20"/>
          <w:color w:val="auto"/>
        </w:rPr>
      </w:pPr>
      <w:r>
        <w:rPr>
          <w:rFonts w:ascii="Times New Roman" w:cs="Times New Roman" w:eastAsia="Times New Roman" w:hAnsi="Times New Roman"/>
          <w:sz w:val="16"/>
          <w:szCs w:val="16"/>
          <w:color w:val="auto"/>
        </w:rPr>
        <w:t>These unaudited condensed interim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39" w:lineRule="exact"/>
        <w:rPr>
          <w:sz w:val="20"/>
          <w:szCs w:val="20"/>
          <w:color w:val="auto"/>
        </w:rPr>
      </w:pPr>
    </w:p>
    <w:p>
      <w:pPr>
        <w:jc w:val="both"/>
        <w:ind w:right="80" w:firstLine="468"/>
        <w:spacing w:after="0" w:line="192" w:lineRule="exact"/>
        <w:rPr>
          <w:sz w:val="20"/>
          <w:szCs w:val="20"/>
          <w:color w:val="auto"/>
        </w:rPr>
      </w:pPr>
      <w:r>
        <w:rPr>
          <w:rFonts w:ascii="Times New Roman" w:cs="Times New Roman" w:eastAsia="Times New Roman" w:hAnsi="Times New Roman"/>
          <w:sz w:val="14"/>
          <w:szCs w:val="14"/>
          <w:color w:val="auto"/>
        </w:rPr>
        <w:t xml:space="preserve">During the six months period ended June 30, 2025, the Group incurred a net loss before other expenses and income taxes of $4,349,433 (2024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$ 2,413,019) and a net loss and comprehensive loss of $8,404,157 (2024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$3,008,281). As at June 30, 2025, the Group has a deficit of $68,132,435 (December 31, 2024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$58,196,350), negative working capital of $25,654,266 (December 31, 2024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$33,246,437) and was not in compliance with their financial covenants as at December 31, 2024 (Note</w:t>
      </w:r>
    </w:p>
    <w:p>
      <w:pPr>
        <w:spacing w:after="0" w:line="237" w:lineRule="auto"/>
        <w:rPr>
          <w:sz w:val="20"/>
          <w:szCs w:val="20"/>
          <w:color w:val="auto"/>
        </w:rPr>
      </w:pPr>
      <w:r>
        <w:rPr>
          <w:rFonts w:ascii="Times New Roman" w:cs="Times New Roman" w:eastAsia="Times New Roman" w:hAnsi="Times New Roman"/>
          <w:sz w:val="16"/>
          <w:szCs w:val="16"/>
          <w:color w:val="auto"/>
        </w:rPr>
        <w:t>6) . These conditions, among others, create substantial doubt about the Group's ability to continue as a going concern. The Group is actively seeking new equity financing to relieve its debt load and provide sufficient capital to allow the Group to achieve positive operating cash flows. In addition, following the acquisition by Rezolve, the Group has access to capital through its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521970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362" w:lineRule="exact"/>
        <w:rPr>
          <w:sz w:val="20"/>
          <w:szCs w:val="20"/>
          <w:color w:val="auto"/>
        </w:rPr>
      </w:pPr>
    </w:p>
    <w:p>
      <w:pPr>
        <w:jc w:val="both"/>
        <w:ind w:left="20" w:right="160" w:firstLine="468"/>
        <w:spacing w:after="0" w:line="247" w:lineRule="auto"/>
        <w:rPr>
          <w:sz w:val="20"/>
          <w:szCs w:val="20"/>
          <w:color w:val="auto"/>
        </w:rPr>
      </w:pPr>
      <w:r>
        <w:rPr>
          <w:rFonts w:ascii="Times New Roman" w:cs="Times New Roman" w:eastAsia="Times New Roman" w:hAnsi="Times New Roman"/>
          <w:sz w:val="16"/>
          <w:szCs w:val="16"/>
          <w:color w:val="auto"/>
        </w:rPr>
        <w:t>Management believes that the going concern assumption is appropriate for these unaudited condensed interim combined consolidated financial statements. The going concern assumption is further supported by the acquisition from Rezolve. If the Group were unable to continue operations, material adjustments to the carrying amounts and classification of assets and liabilities would be necessary.</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Basis of consolidation</w:t>
      </w:r>
    </w:p>
    <w:p>
      <w:pPr>
        <w:spacing w:after="0" w:line="192" w:lineRule="exact"/>
        <w:rPr>
          <w:sz w:val="20"/>
          <w:szCs w:val="20"/>
          <w:color w:val="auto"/>
        </w:rPr>
      </w:pPr>
    </w:p>
    <w:p>
      <w:pPr>
        <w:ind w:left="20" w:right="400" w:firstLine="480"/>
        <w:spacing w:after="0" w:line="259" w:lineRule="auto"/>
        <w:rPr>
          <w:sz w:val="20"/>
          <w:szCs w:val="20"/>
          <w:color w:val="auto"/>
        </w:rPr>
      </w:pPr>
      <w:r>
        <w:rPr>
          <w:rFonts w:ascii="Times New Roman" w:cs="Times New Roman" w:eastAsia="Times New Roman" w:hAnsi="Times New Roman"/>
          <w:sz w:val="16"/>
          <w:szCs w:val="16"/>
          <w:color w:val="auto"/>
        </w:rPr>
        <w:t>The unaudited condensed interim consolidated financial statements of the Company include the consolidated financial statements of GroupBy International Ltd. and its subsidiaries, GroupBy UK ltd., a wholly owned subsidiary along with its wholly owned subsidiary, GroupBy USA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Material accounting policy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Significant accounting judgments, estimates and assumptions</w:t>
      </w:r>
    </w:p>
    <w:p>
      <w:pPr>
        <w:spacing w:after="0" w:line="192" w:lineRule="exact"/>
        <w:rPr>
          <w:sz w:val="20"/>
          <w:szCs w:val="20"/>
          <w:color w:val="auto"/>
        </w:rPr>
      </w:pPr>
    </w:p>
    <w:p>
      <w:pPr>
        <w:ind w:left="20" w:right="440" w:firstLine="480"/>
        <w:spacing w:after="0" w:line="243" w:lineRule="auto"/>
        <w:rPr>
          <w:sz w:val="20"/>
          <w:szCs w:val="20"/>
          <w:color w:val="auto"/>
        </w:rPr>
      </w:pPr>
      <w:r>
        <w:rPr>
          <w:rFonts w:ascii="Times New Roman" w:cs="Times New Roman" w:eastAsia="Times New Roman" w:hAnsi="Times New Roman"/>
          <w:sz w:val="16"/>
          <w:szCs w:val="16"/>
          <w:color w:val="auto"/>
        </w:rPr>
        <w:t>The preparation of the Group’s unaudited condensed interim combined consolidated financial statements requires management to make judgments, 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Judgments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92" w:lineRule="exact"/>
        <w:rPr>
          <w:sz w:val="20"/>
          <w:szCs w:val="20"/>
          <w:color w:val="auto"/>
        </w:rPr>
      </w:pPr>
    </w:p>
    <w:p>
      <w:pPr>
        <w:ind w:left="20" w:firstLine="468"/>
        <w:spacing w:after="0" w:line="243" w:lineRule="auto"/>
        <w:rPr>
          <w:sz w:val="20"/>
          <w:szCs w:val="20"/>
          <w:color w:val="auto"/>
        </w:rPr>
      </w:pPr>
      <w:r>
        <w:rPr>
          <w:rFonts w:ascii="Times New Roman" w:cs="Times New Roman" w:eastAsia="Times New Roman" w:hAnsi="Times New Roman"/>
          <w:sz w:val="16"/>
          <w:szCs w:val="16"/>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Embedded derivative and warrant liability</w:t>
      </w:r>
    </w:p>
    <w:p>
      <w:pPr>
        <w:spacing w:after="0" w:line="192" w:lineRule="exact"/>
        <w:rPr>
          <w:sz w:val="20"/>
          <w:szCs w:val="20"/>
          <w:color w:val="auto"/>
        </w:rPr>
      </w:pPr>
    </w:p>
    <w:p>
      <w:pPr>
        <w:ind w:left="20" w:right="280" w:firstLine="468"/>
        <w:spacing w:after="0" w:line="247" w:lineRule="auto"/>
        <w:rPr>
          <w:sz w:val="20"/>
          <w:szCs w:val="20"/>
          <w:color w:val="auto"/>
        </w:rPr>
      </w:pPr>
      <w:r>
        <w:rPr>
          <w:rFonts w:ascii="Times New Roman" w:cs="Times New Roman" w:eastAsia="Times New Roman" w:hAnsi="Times New Roman"/>
          <w:sz w:val="16"/>
          <w:szCs w:val="16"/>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Functional currency</w:t>
      </w:r>
    </w:p>
    <w:p>
      <w:pPr>
        <w:spacing w:after="0" w:line="192" w:lineRule="exact"/>
        <w:rPr>
          <w:sz w:val="20"/>
          <w:szCs w:val="20"/>
          <w:color w:val="auto"/>
        </w:rPr>
      </w:pPr>
    </w:p>
    <w:p>
      <w:pPr>
        <w:ind w:left="20" w:right="420" w:firstLine="468"/>
        <w:spacing w:after="0" w:line="331" w:lineRule="auto"/>
        <w:rPr>
          <w:sz w:val="20"/>
          <w:szCs w:val="20"/>
          <w:color w:val="auto"/>
        </w:rPr>
      </w:pPr>
      <w:r>
        <w:rPr>
          <w:rFonts w:ascii="Times New Roman" w:cs="Times New Roman" w:eastAsia="Times New Roman" w:hAnsi="Times New Roman"/>
          <w:sz w:val="14"/>
          <w:szCs w:val="14"/>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Identification of cash-generating units</w:t>
      </w:r>
    </w:p>
    <w:p>
      <w:pPr>
        <w:spacing w:after="0" w:line="192" w:lineRule="exact"/>
        <w:rPr>
          <w:sz w:val="20"/>
          <w:szCs w:val="20"/>
          <w:color w:val="auto"/>
        </w:rPr>
      </w:pPr>
    </w:p>
    <w:p>
      <w:pPr>
        <w:ind w:left="20" w:right="360" w:firstLine="468"/>
        <w:spacing w:after="0" w:line="259" w:lineRule="auto"/>
        <w:rPr>
          <w:sz w:val="20"/>
          <w:szCs w:val="20"/>
          <w:color w:val="auto"/>
        </w:rPr>
      </w:pPr>
      <w:r>
        <w:rPr>
          <w:rFonts w:ascii="Times New Roman" w:cs="Times New Roman" w:eastAsia="Times New Roman" w:hAnsi="Times New Roman"/>
          <w:sz w:val="16"/>
          <w:szCs w:val="16"/>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Group assesses its current liquidity and operational environment to determine if the going concern assumption is appropriate.</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Key sources of estimation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535305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131" w:right="660"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3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Share-based payments</w:t>
      </w:r>
    </w:p>
    <w:p>
      <w:pPr>
        <w:spacing w:after="0" w:line="192"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Deferred taxes</w:t>
      </w:r>
    </w:p>
    <w:p>
      <w:pPr>
        <w:spacing w:after="0" w:line="192"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16"/>
          <w:szCs w:val="16"/>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64" w:lineRule="exact"/>
        <w:rPr>
          <w:sz w:val="20"/>
          <w:szCs w:val="20"/>
          <w:color w:val="auto"/>
        </w:rPr>
      </w:pPr>
    </w:p>
    <w:p>
      <w:pPr>
        <w:ind w:right="60" w:firstLine="468"/>
        <w:spacing w:after="0" w:line="259" w:lineRule="auto"/>
        <w:rPr>
          <w:sz w:val="20"/>
          <w:szCs w:val="20"/>
          <w:color w:val="auto"/>
        </w:rPr>
      </w:pPr>
      <w:r>
        <w:rPr>
          <w:rFonts w:ascii="Times New Roman" w:cs="Times New Roman" w:eastAsia="Times New Roman" w:hAnsi="Times New Roman"/>
          <w:sz w:val="16"/>
          <w:szCs w:val="16"/>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Investment tax credits</w:t>
      </w:r>
    </w:p>
    <w:p>
      <w:pPr>
        <w:spacing w:after="0" w:line="192"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Valuation of financial instruments</w:t>
      </w:r>
    </w:p>
    <w:p>
      <w:pPr>
        <w:spacing w:after="0" w:line="192" w:lineRule="exact"/>
        <w:rPr>
          <w:sz w:val="20"/>
          <w:szCs w:val="20"/>
          <w:color w:val="auto"/>
        </w:rPr>
      </w:pPr>
    </w:p>
    <w:p>
      <w:pPr>
        <w:ind w:right="360" w:firstLine="468"/>
        <w:spacing w:after="0" w:line="331" w:lineRule="auto"/>
        <w:rPr>
          <w:sz w:val="20"/>
          <w:szCs w:val="20"/>
          <w:color w:val="auto"/>
        </w:rPr>
      </w:pPr>
      <w:r>
        <w:rPr>
          <w:rFonts w:ascii="Times New Roman" w:cs="Times New Roman" w:eastAsia="Times New Roman" w:hAnsi="Times New Roman"/>
          <w:sz w:val="14"/>
          <w:szCs w:val="14"/>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Expected credit losses</w:t>
      </w:r>
    </w:p>
    <w:p>
      <w:pPr>
        <w:spacing w:after="0" w:line="192" w:lineRule="exact"/>
        <w:rPr>
          <w:sz w:val="20"/>
          <w:szCs w:val="20"/>
          <w:color w:val="auto"/>
        </w:rPr>
      </w:pPr>
    </w:p>
    <w:p>
      <w:pPr>
        <w:ind w:right="60" w:firstLine="468"/>
        <w:spacing w:after="0" w:line="289" w:lineRule="auto"/>
        <w:rPr>
          <w:sz w:val="20"/>
          <w:szCs w:val="20"/>
          <w:color w:val="auto"/>
        </w:rPr>
      </w:pPr>
      <w:r>
        <w:rPr>
          <w:rFonts w:ascii="Times New Roman" w:cs="Times New Roman" w:eastAsia="Times New Roman" w:hAnsi="Times New Roman"/>
          <w:sz w:val="14"/>
          <w:szCs w:val="14"/>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137" w:lineRule="exact"/>
        <w:rPr>
          <w:sz w:val="20"/>
          <w:szCs w:val="20"/>
          <w:color w:val="auto"/>
        </w:rPr>
      </w:pPr>
    </w:p>
    <w:p>
      <w:pPr>
        <w:ind w:right="500" w:firstLine="480"/>
        <w:spacing w:after="0" w:line="247" w:lineRule="auto"/>
        <w:rPr>
          <w:sz w:val="20"/>
          <w:szCs w:val="20"/>
          <w:color w:val="auto"/>
        </w:rPr>
      </w:pPr>
      <w:r>
        <w:rPr>
          <w:rFonts w:ascii="Times New Roman" w:cs="Times New Roman" w:eastAsia="Times New Roman" w:hAnsi="Times New Roman"/>
          <w:sz w:val="16"/>
          <w:szCs w:val="16"/>
          <w:color w:val="auto"/>
        </w:rPr>
        <w:t>The principle accounting policies adopted in the preparation of the unaudited condensed interim combined consolidated financial statements are set out in the Company’s combined consolidated financial statements for the year ended December 31, 2024. The policies have been consistently applied to all the years presented, unless otherwise stated.</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Accounting standards issued but not yet effective</w:t>
      </w:r>
    </w:p>
    <w:p>
      <w:pPr>
        <w:spacing w:after="0" w:line="192" w:lineRule="exact"/>
        <w:rPr>
          <w:sz w:val="20"/>
          <w:szCs w:val="20"/>
          <w:color w:val="auto"/>
        </w:rPr>
      </w:pPr>
    </w:p>
    <w:p>
      <w:pPr>
        <w:ind w:right="440" w:firstLine="480"/>
        <w:spacing w:after="0" w:line="259" w:lineRule="auto"/>
        <w:rPr>
          <w:sz w:val="20"/>
          <w:szCs w:val="20"/>
          <w:color w:val="auto"/>
        </w:rPr>
      </w:pPr>
      <w:r>
        <w:rPr>
          <w:rFonts w:ascii="Times New Roman" w:cs="Times New Roman" w:eastAsia="Times New Roman" w:hAnsi="Times New Roman"/>
          <w:sz w:val="16"/>
          <w:szCs w:val="16"/>
          <w:color w:val="auto"/>
        </w:rPr>
        <w:t>The Group has reviewed new and revised accounting pronouncements that have been issued but are not yet effective. The Group has not early adopted any new standards and determined that there are no standards that are relevant to the Group.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5.Accounts Receivable</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Group had the following receivables at the end of each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648335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Trade receivables</w:t>
            </w:r>
          </w:p>
        </w:tc>
        <w:tc>
          <w:tcPr>
            <w:tcW w:w="252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1,443,289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2,094,161</w:t>
            </w:r>
          </w:p>
        </w:tc>
        <w:tc>
          <w:tcPr>
            <w:tcW w:w="80" w:type="dxa"/>
            <w:vAlign w:val="bottom"/>
            <w:shd w:val="clear" w:color="auto" w:fill="CFF0FC"/>
          </w:tcPr>
          <w:p>
            <w:pPr>
              <w:spacing w:after="0"/>
              <w:rPr>
                <w:sz w:val="15"/>
                <w:szCs w:val="15"/>
                <w:color w:val="auto"/>
              </w:rPr>
            </w:pPr>
          </w:p>
        </w:tc>
      </w:tr>
      <w:tr>
        <w:trPr>
          <w:trHeight w:val="180"/>
        </w:trPr>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Harmonized sales tax receivable</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407,280</w:t>
            </w:r>
          </w:p>
        </w:tc>
        <w:tc>
          <w:tcPr>
            <w:tcW w:w="160" w:type="dxa"/>
            <w:vAlign w:val="bottom"/>
          </w:tcPr>
          <w:p>
            <w:pPr>
              <w:spacing w:after="0"/>
              <w:rPr>
                <w:sz w:val="15"/>
                <w:szCs w:val="15"/>
                <w:color w:val="auto"/>
              </w:rPr>
            </w:pPr>
          </w:p>
        </w:tc>
        <w:tc>
          <w:tcPr>
            <w:tcW w:w="14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304,206</w:t>
            </w:r>
          </w:p>
        </w:tc>
      </w:tr>
      <w:tr>
        <w:trPr>
          <w:trHeight w:val="180"/>
        </w:trPr>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Sub-total</w:t>
            </w:r>
          </w:p>
        </w:tc>
        <w:tc>
          <w:tcPr>
            <w:tcW w:w="2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1,850,569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2,398,367</w:t>
            </w:r>
          </w:p>
        </w:tc>
        <w:tc>
          <w:tcPr>
            <w:tcW w:w="80" w:type="dxa"/>
            <w:vAlign w:val="bottom"/>
            <w:shd w:val="clear" w:color="auto" w:fill="CFF0FC"/>
          </w:tcPr>
          <w:p>
            <w:pPr>
              <w:spacing w:after="0"/>
              <w:rPr>
                <w:sz w:val="15"/>
                <w:szCs w:val="15"/>
                <w:color w:val="auto"/>
              </w:rPr>
            </w:pPr>
          </w:p>
        </w:tc>
      </w:tr>
      <w:tr>
        <w:trPr>
          <w:trHeight w:val="180"/>
        </w:trPr>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provision for expected credit losses</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1,249,506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1,249,506</w:t>
            </w:r>
          </w:p>
        </w:tc>
        <w:tc>
          <w:tcPr>
            <w:tcW w:w="80" w:type="dxa"/>
            <w:vAlign w:val="bottom"/>
          </w:tcPr>
          <w:p>
            <w:pPr>
              <w:spacing w:after="0"/>
              <w:rPr>
                <w:sz w:val="15"/>
                <w:szCs w:val="15"/>
                <w:color w:val="auto"/>
              </w:rPr>
            </w:pPr>
          </w:p>
        </w:tc>
      </w:tr>
      <w:tr>
        <w:trPr>
          <w:trHeight w:val="220"/>
        </w:trPr>
        <w:tc>
          <w:tcPr>
            <w:tcW w:w="490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601,063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1,148,861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6.Bank indebtedness</w:t>
      </w:r>
    </w:p>
    <w:p>
      <w:pPr>
        <w:spacing w:after="0" w:line="190" w:lineRule="exact"/>
        <w:rPr>
          <w:sz w:val="20"/>
          <w:szCs w:val="20"/>
          <w:color w:val="auto"/>
        </w:rPr>
      </w:pPr>
    </w:p>
    <w:p>
      <w:pPr>
        <w:ind w:right="320" w:firstLine="480"/>
        <w:spacing w:after="0" w:line="281" w:lineRule="auto"/>
        <w:rPr>
          <w:sz w:val="20"/>
          <w:szCs w:val="20"/>
          <w:color w:val="auto"/>
        </w:rPr>
      </w:pPr>
      <w:r>
        <w:rPr>
          <w:rFonts w:ascii="Times New Roman" w:cs="Times New Roman" w:eastAsia="Times New Roman" w:hAnsi="Times New Roman"/>
          <w:sz w:val="14"/>
          <w:szCs w:val="14"/>
          <w:color w:val="auto"/>
        </w:rPr>
        <w:t>Prior to the acquisition by Rezolve, the Group had access to a revolving credit facility with Bridge Bank, a division of Western Alliance. This credit facility had a maximum credit limit of $12,000,000. As at December 31, 2024, the Group had utilized $12,000,000 of this facility. The facility bore interest at the greater of</w:t>
      </w:r>
    </w:p>
    <w:p>
      <w:pPr>
        <w:spacing w:after="0" w:line="1" w:lineRule="exact"/>
        <w:rPr>
          <w:sz w:val="20"/>
          <w:szCs w:val="20"/>
          <w:color w:val="auto"/>
        </w:rPr>
      </w:pPr>
    </w:p>
    <w:p>
      <w:pPr>
        <w:ind w:right="700" w:firstLine="6"/>
        <w:spacing w:after="0" w:line="238" w:lineRule="auto"/>
        <w:tabs>
          <w:tab w:leader="none" w:pos="18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3.25% and; (ii) bank's prime rate plus 1.25% per annum. The facility was secured by a first priority security interest over all rights, title and interests of the Group.</w:t>
      </w:r>
    </w:p>
    <w:p>
      <w:pPr>
        <w:spacing w:after="0" w:line="141" w:lineRule="exact"/>
        <w:rPr>
          <w:sz w:val="20"/>
          <w:szCs w:val="20"/>
          <w:color w:val="auto"/>
        </w:rPr>
      </w:pPr>
    </w:p>
    <w:p>
      <w:pPr>
        <w:ind w:right="400"/>
        <w:spacing w:after="0" w:line="200" w:lineRule="exact"/>
        <w:rPr>
          <w:sz w:val="20"/>
          <w:szCs w:val="20"/>
          <w:color w:val="auto"/>
        </w:rPr>
      </w:pPr>
      <w:r>
        <w:rPr>
          <w:rFonts w:ascii="Times New Roman" w:cs="Times New Roman" w:eastAsia="Times New Roman" w:hAnsi="Times New Roman"/>
          <w:sz w:val="16"/>
          <w:szCs w:val="16"/>
          <w:color w:val="auto"/>
        </w:rPr>
        <w:t xml:space="preserve">During the six months ended June 30, 2025, the Group recognized interest expense of $262,333 (2024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$594,750) related to the above facilities, which is included in interest and accretion expense on the unaudited condensed interim combined consolidated statement of loss and other comprehensive loss.</w:t>
      </w:r>
    </w:p>
    <w:p>
      <w:pPr>
        <w:spacing w:after="0" w:line="169"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6"/>
          <w:szCs w:val="16"/>
          <w:color w:val="auto"/>
        </w:rPr>
        <w:t>As part of the novation agreement entered into with Rezolve, on March 25, 2025, Rezolve entered into a subscription letter with Western Alliance where Rezolve, on behalf of the Group, agreed to issue Rezolve’s shares in exchange for Western Alliance to irrevocably and unconditionally releasing and discharging the Group from the obligations owed to Western Alliance which consists of the $12,000,000 balance and a $300,000 forbearance fee. The value of the shares issued by Rezolve is $16,692,857 and is treated as a contribution of capital. The difference between the capital contribution and the carrying amount of debt owed to Western Alliance is incurred as a loss of $4,392,858.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7.Warrant liability</w:t>
      </w:r>
    </w:p>
    <w:p>
      <w:pPr>
        <w:spacing w:after="0" w:line="190"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The Group has issued warrants to Silicon Valley Bank in connection to a credit facility that was fully repaid and closed during the year ended December 31, 2023. Each warrant is exchangeable for one Class A preferred share of GroupBy International Ltd. and GroupBy Inc. with an exercise price of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167" w:lineRule="exact"/>
        <w:rPr>
          <w:sz w:val="20"/>
          <w:szCs w:val="20"/>
          <w:color w:val="auto"/>
        </w:rPr>
      </w:pPr>
    </w:p>
    <w:p>
      <w:pPr>
        <w:ind w:right="720" w:firstLine="468"/>
        <w:spacing w:after="0" w:line="331" w:lineRule="auto"/>
        <w:rPr>
          <w:sz w:val="20"/>
          <w:szCs w:val="20"/>
          <w:color w:val="auto"/>
        </w:rPr>
      </w:pPr>
      <w:r>
        <w:rPr>
          <w:rFonts w:ascii="Times New Roman" w:cs="Times New Roman" w:eastAsia="Times New Roman" w:hAnsi="Times New Roman"/>
          <w:sz w:val="14"/>
          <w:szCs w:val="14"/>
          <w:color w:val="auto"/>
        </w:rPr>
        <w:t>As part of the conditions for the acquisition by Rezolve on March 25, 2025, all warrant liabilities to which the Group is a party were cancelled for no consideration. During the six months ended June 30, 2025, the Company recognized $20,149 as a gain on revaluation and derecognition of warrant liabilities.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8.Share-based payments</w:t>
      </w:r>
    </w:p>
    <w:p>
      <w:pPr>
        <w:spacing w:after="0" w:line="202" w:lineRule="exact"/>
        <w:rPr>
          <w:sz w:val="20"/>
          <w:szCs w:val="20"/>
          <w:color w:val="auto"/>
        </w:rPr>
      </w:pPr>
    </w:p>
    <w:p>
      <w:pPr>
        <w:ind w:left="6960"/>
        <w:spacing w:after="0"/>
        <w:tabs>
          <w:tab w:leader="none" w:pos="8520" w:val="left"/>
        </w:tabs>
        <w:rPr>
          <w:sz w:val="20"/>
          <w:szCs w:val="20"/>
          <w:color w:val="auto"/>
        </w:rPr>
      </w:pPr>
      <w:r>
        <w:rPr>
          <w:rFonts w:ascii="Times New Roman" w:cs="Times New Roman" w:eastAsia="Times New Roman" w:hAnsi="Times New Roman"/>
          <w:sz w:val="13"/>
          <w:szCs w:val="13"/>
          <w:b w:val="1"/>
          <w:bCs w:val="1"/>
          <w:color w:val="auto"/>
        </w:rPr>
        <w:t>Number of</w:t>
      </w:r>
      <w:r>
        <w:rPr>
          <w:sz w:val="20"/>
          <w:szCs w:val="20"/>
          <w:color w:val="auto"/>
        </w:rPr>
        <w:tab/>
      </w:r>
      <w:r>
        <w:rPr>
          <w:rFonts w:ascii="Times New Roman" w:cs="Times New Roman" w:eastAsia="Times New Roman" w:hAnsi="Times New Roman"/>
          <w:sz w:val="13"/>
          <w:szCs w:val="13"/>
          <w:b w:val="1"/>
          <w:bCs w:val="1"/>
          <w:color w:val="auto"/>
        </w:rPr>
        <w:t>Weighted Average Exercise Price</w:t>
      </w:r>
    </w:p>
    <w:p>
      <w:pPr>
        <w:spacing w:after="0" w:line="23" w:lineRule="exact"/>
        <w:rPr>
          <w:sz w:val="20"/>
          <w:szCs w:val="20"/>
          <w:color w:val="auto"/>
        </w:rPr>
      </w:pPr>
    </w:p>
    <w:p>
      <w:pPr>
        <w:ind w:left="7040"/>
        <w:spacing w:after="0"/>
        <w:tabs>
          <w:tab w:leader="none" w:pos="9440" w:val="left"/>
        </w:tabs>
        <w:rPr>
          <w:sz w:val="20"/>
          <w:szCs w:val="20"/>
          <w:color w:val="auto"/>
        </w:rPr>
      </w:pPr>
      <w:r>
        <w:rPr>
          <w:rFonts w:ascii="Times New Roman" w:cs="Times New Roman" w:eastAsia="Times New Roman" w:hAnsi="Times New Roman"/>
          <w:sz w:val="13"/>
          <w:szCs w:val="13"/>
          <w:b w:val="1"/>
          <w:bCs w:val="1"/>
          <w:color w:val="auto"/>
        </w:rPr>
        <w:t>Options</w:t>
      </w:r>
      <w:r>
        <w:rPr>
          <w:sz w:val="20"/>
          <w:szCs w:val="20"/>
          <w:color w:val="auto"/>
        </w:rPr>
        <w:tab/>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07505" cy="11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Options outstanding, December 31,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Cancelled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Options outstanding,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99"/>
              </w:rPr>
              <w:t>14,725,556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180"/>
        </w:trPr>
        <w:tc>
          <w:tcPr>
            <w:tcW w:w="1700" w:type="dxa"/>
            <w:vAlign w:val="bottom"/>
          </w:tcPr>
          <w:p>
            <w:pPr>
              <w:jc w:val="right"/>
              <w:ind w:right="822"/>
              <w:spacing w:after="0" w:line="180" w:lineRule="exact"/>
              <w:rPr>
                <w:sz w:val="20"/>
                <w:szCs w:val="20"/>
                <w:color w:val="auto"/>
              </w:rPr>
            </w:pPr>
            <w:r>
              <w:rPr>
                <w:rFonts w:ascii="Times New Roman" w:cs="Times New Roman" w:eastAsia="Times New Roman" w:hAnsi="Times New Roman"/>
                <w:sz w:val="16"/>
                <w:szCs w:val="16"/>
                <w:color w:val="auto"/>
                <w:w w:val="94"/>
              </w:rPr>
              <w:t>(14,725,556)</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0.50</w:t>
            </w:r>
          </w:p>
        </w:tc>
      </w:tr>
      <w:tr>
        <w:trPr>
          <w:trHeight w:val="203"/>
        </w:trPr>
        <w:tc>
          <w:tcPr>
            <w:tcW w:w="170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-4821555</wp:posOffset>
            </wp:positionH>
            <wp:positionV relativeFrom="paragraph">
              <wp:posOffset>636270</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-120015</wp:posOffset>
            </wp:positionV>
            <wp:extent cx="6707505"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2">
            <w:col w:w="6860" w:space="720"/>
            <w:col w:w="2980"/>
          </w:cols>
          <w:pgMar w:left="660" w:top="1131" w:right="680"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362" w:lineRule="exact"/>
        <w:rPr>
          <w:sz w:val="20"/>
          <w:szCs w:val="20"/>
          <w:color w:val="auto"/>
        </w:rPr>
      </w:pPr>
    </w:p>
    <w:p>
      <w:pPr>
        <w:ind w:right="480" w:firstLine="480"/>
        <w:spacing w:after="0" w:line="188" w:lineRule="exact"/>
        <w:rPr>
          <w:sz w:val="20"/>
          <w:szCs w:val="20"/>
          <w:color w:val="auto"/>
        </w:rPr>
      </w:pPr>
      <w:r>
        <w:rPr>
          <w:rFonts w:ascii="Times New Roman" w:cs="Times New Roman" w:eastAsia="Times New Roman" w:hAnsi="Times New Roman"/>
          <w:sz w:val="16"/>
          <w:szCs w:val="16"/>
          <w:color w:val="auto"/>
        </w:rPr>
        <w:t>As at December 31, 2024, the weighted average exercise price of the outstanding and exercisable options is $0.50. The remaining contractual lives of outstanding and exercisable options and range between 0.1 and 1.4 years.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based payment expense for the six months ended June 30, 2025 was $nil (2024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$76,052).</w:t>
      </w:r>
    </w:p>
    <w:p>
      <w:pPr>
        <w:spacing w:after="0" w:line="171" w:lineRule="exact"/>
        <w:rPr>
          <w:sz w:val="20"/>
          <w:szCs w:val="20"/>
          <w:color w:val="auto"/>
        </w:rPr>
      </w:pPr>
    </w:p>
    <w:p>
      <w:pPr>
        <w:ind w:right="220" w:firstLine="480"/>
        <w:spacing w:after="0" w:line="247" w:lineRule="auto"/>
        <w:rPr>
          <w:sz w:val="20"/>
          <w:szCs w:val="20"/>
          <w:color w:val="auto"/>
        </w:rPr>
      </w:pPr>
      <w:r>
        <w:rPr>
          <w:rFonts w:ascii="Times New Roman" w:cs="Times New Roman" w:eastAsia="Times New Roman" w:hAnsi="Times New Roman"/>
          <w:sz w:val="16"/>
          <w:szCs w:val="16"/>
          <w:color w:val="auto"/>
        </w:rPr>
        <w:t>All options were deemed to be underwater and were cancelled on the closing date, in accordance with the terms of the option plan and existing option agreements. All option awards were fully vested at the time of their cancellation. In accordance with IFRS 2, no reversal of expense occurs on options cancelled after vesting and any previous amounts recognized remains in contributed surplus.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13.Share capital</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Group's authorized capital consists of:</w:t>
      </w:r>
    </w:p>
    <w:p>
      <w:pPr>
        <w:spacing w:after="0" w:line="188" w:lineRule="exact"/>
        <w:rPr>
          <w:sz w:val="20"/>
          <w:szCs w:val="20"/>
          <w:color w:val="auto"/>
        </w:rPr>
      </w:pPr>
    </w:p>
    <w:p>
      <w:pPr>
        <w:ind w:left="560" w:hanging="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unlimited number of Class A common shares in the capital of GroupBy Inc. and GroupBy International Ltd.</w:t>
      </w:r>
    </w:p>
    <w:p>
      <w:pPr>
        <w:spacing w:after="0" w:line="188"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unlimited number of Class B common shares in the capital of GroupBy Inc. and GroupBy International Ltd.</w:t>
      </w:r>
    </w:p>
    <w:p>
      <w:pPr>
        <w:spacing w:after="0" w:line="188"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unlimited number of Class C common shares in the capital of GroupBy Inc. and GroupBy International Ltd.</w:t>
      </w:r>
    </w:p>
    <w:p>
      <w:pPr>
        <w:spacing w:after="0" w:line="188"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unlimited number of Class D common shares in the capital of GroupBy Inc. and GroupBy International Ltd.</w:t>
      </w:r>
    </w:p>
    <w:p>
      <w:pPr>
        <w:spacing w:after="0" w:line="188"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unlimited number of Class A preferred shares in the capital of GroupBy Inc. and GroupBy International Ltd.</w:t>
      </w:r>
    </w:p>
    <w:p>
      <w:pPr>
        <w:spacing w:after="0" w:line="188" w:lineRule="exact"/>
        <w:rPr>
          <w:rFonts w:ascii="Times New Roman" w:cs="Times New Roman" w:eastAsia="Times New Roman" w:hAnsi="Times New Roman"/>
          <w:sz w:val="16"/>
          <w:szCs w:val="16"/>
          <w:color w:val="auto"/>
        </w:rPr>
      </w:pPr>
    </w:p>
    <w:p>
      <w:pPr>
        <w:ind w:left="480" w:right="2840" w:hanging="6"/>
        <w:spacing w:after="0" w:line="485" w:lineRule="auto"/>
        <w:tabs>
          <w:tab w:leader="none" w:pos="57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unlimited number of Class A-1 preferred shares in the capital of GroupBy Inc. and GroupBy International Ltd. Class A common shares</w:t>
      </w:r>
    </w:p>
    <w:p>
      <w:pPr>
        <w:spacing w:after="0" w:line="1"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64" w:lineRule="exact"/>
        <w:rPr>
          <w:sz w:val="20"/>
          <w:szCs w:val="20"/>
          <w:color w:val="auto"/>
        </w:rPr>
      </w:pPr>
    </w:p>
    <w:p>
      <w:pPr>
        <w:jc w:val="both"/>
        <w:ind w:firstLine="468"/>
        <w:spacing w:after="0" w:line="331" w:lineRule="auto"/>
        <w:rPr>
          <w:sz w:val="20"/>
          <w:szCs w:val="20"/>
          <w:color w:val="auto"/>
        </w:rPr>
      </w:pPr>
      <w:r>
        <w:rPr>
          <w:rFonts w:ascii="Times New Roman" w:cs="Times New Roman" w:eastAsia="Times New Roman" w:hAnsi="Times New Roman"/>
          <w:sz w:val="14"/>
          <w:szCs w:val="14"/>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08" w:lineRule="exact"/>
        <w:rPr>
          <w:sz w:val="20"/>
          <w:szCs w:val="20"/>
          <w:color w:val="auto"/>
        </w:rPr>
      </w:pPr>
    </w:p>
    <w:p>
      <w:pPr>
        <w:ind w:right="120" w:firstLine="468"/>
        <w:spacing w:after="0" w:line="259" w:lineRule="auto"/>
        <w:rPr>
          <w:sz w:val="20"/>
          <w:szCs w:val="20"/>
          <w:color w:val="auto"/>
        </w:rPr>
      </w:pPr>
      <w:r>
        <w:rPr>
          <w:rFonts w:ascii="Times New Roman" w:cs="Times New Roman" w:eastAsia="Times New Roman" w:hAnsi="Times New Roman"/>
          <w:sz w:val="16"/>
          <w:szCs w:val="16"/>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Class B common shares</w:t>
      </w:r>
    </w:p>
    <w:p>
      <w:pPr>
        <w:spacing w:after="0" w:line="188"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64" w:lineRule="exact"/>
        <w:rPr>
          <w:sz w:val="20"/>
          <w:szCs w:val="20"/>
          <w:color w:val="auto"/>
        </w:rPr>
      </w:pPr>
    </w:p>
    <w:p>
      <w:pPr>
        <w:ind w:firstLine="468"/>
        <w:spacing w:after="0" w:line="331" w:lineRule="auto"/>
        <w:rPr>
          <w:sz w:val="20"/>
          <w:szCs w:val="20"/>
          <w:color w:val="auto"/>
        </w:rPr>
      </w:pPr>
      <w:r>
        <w:rPr>
          <w:rFonts w:ascii="Times New Roman" w:cs="Times New Roman" w:eastAsia="Times New Roman" w:hAnsi="Times New Roman"/>
          <w:sz w:val="14"/>
          <w:szCs w:val="14"/>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08" w:lineRule="exact"/>
        <w:rPr>
          <w:sz w:val="20"/>
          <w:szCs w:val="20"/>
          <w:color w:val="auto"/>
        </w:rPr>
      </w:pPr>
    </w:p>
    <w:p>
      <w:pPr>
        <w:ind w:right="180" w:firstLine="468"/>
        <w:spacing w:after="0" w:line="259" w:lineRule="auto"/>
        <w:rPr>
          <w:sz w:val="20"/>
          <w:szCs w:val="20"/>
          <w:color w:val="auto"/>
        </w:rPr>
      </w:pPr>
      <w:r>
        <w:rPr>
          <w:rFonts w:ascii="Times New Roman" w:cs="Times New Roman" w:eastAsia="Times New Roman" w:hAnsi="Times New Roman"/>
          <w:sz w:val="16"/>
          <w:szCs w:val="16"/>
          <w:color w:val="auto"/>
        </w:rPr>
        <w:t>The holders of the Class B common share shall be entitled to receive notice of and attend any meeting of the shareholders of the Group and shall be entitled to 1.0000000000001 votes in respect of each Class B common share held at all meetings of shareholders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513080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1" w:right="70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362"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During the six months ended June 30, 2025, in connection with the acquisition, the Group declared dividends of $1,531,928 ($CAD 2,192,368) on its Class B common shares.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Class C common shares</w:t>
      </w:r>
    </w:p>
    <w:p>
      <w:pPr>
        <w:spacing w:after="0" w:line="188"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64" w:lineRule="exact"/>
        <w:rPr>
          <w:sz w:val="20"/>
          <w:szCs w:val="20"/>
          <w:color w:val="auto"/>
        </w:rPr>
      </w:pPr>
    </w:p>
    <w:p>
      <w:pPr>
        <w:jc w:val="both"/>
        <w:ind w:firstLine="468"/>
        <w:spacing w:after="0" w:line="331" w:lineRule="auto"/>
        <w:rPr>
          <w:sz w:val="20"/>
          <w:szCs w:val="20"/>
          <w:color w:val="auto"/>
        </w:rPr>
      </w:pPr>
      <w:r>
        <w:rPr>
          <w:rFonts w:ascii="Times New Roman" w:cs="Times New Roman" w:eastAsia="Times New Roman" w:hAnsi="Times New Roman"/>
          <w:sz w:val="14"/>
          <w:szCs w:val="14"/>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08" w:lineRule="exact"/>
        <w:rPr>
          <w:sz w:val="20"/>
          <w:szCs w:val="20"/>
          <w:color w:val="auto"/>
        </w:rPr>
      </w:pPr>
    </w:p>
    <w:p>
      <w:pPr>
        <w:ind w:right="180" w:firstLine="468"/>
        <w:spacing w:after="0" w:line="259" w:lineRule="auto"/>
        <w:rPr>
          <w:sz w:val="20"/>
          <w:szCs w:val="20"/>
          <w:color w:val="auto"/>
        </w:rPr>
      </w:pPr>
      <w:r>
        <w:rPr>
          <w:rFonts w:ascii="Times New Roman" w:cs="Times New Roman" w:eastAsia="Times New Roman" w:hAnsi="Times New Roman"/>
          <w:sz w:val="16"/>
          <w:szCs w:val="16"/>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55" w:lineRule="exact"/>
        <w:rPr>
          <w:sz w:val="20"/>
          <w:szCs w:val="20"/>
          <w:color w:val="auto"/>
        </w:rPr>
      </w:pPr>
    </w:p>
    <w:p>
      <w:pPr>
        <w:ind w:right="540" w:firstLine="480"/>
        <w:spacing w:after="0" w:line="259" w:lineRule="auto"/>
        <w:rPr>
          <w:sz w:val="20"/>
          <w:szCs w:val="20"/>
          <w:color w:val="auto"/>
        </w:rPr>
      </w:pPr>
      <w:r>
        <w:rPr>
          <w:rFonts w:ascii="Times New Roman" w:cs="Times New Roman" w:eastAsia="Times New Roman" w:hAnsi="Times New Roman"/>
          <w:sz w:val="16"/>
          <w:szCs w:val="16"/>
          <w:color w:val="auto"/>
        </w:rPr>
        <w:t>During the six months ended June 30, 2025, in connection with the acquisition, the holders of Class B common share exchanged their shares for Class C common shares, increasing the legal stated of Class C common shares by $1,083,070 ($CAD 1,549,000).</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Class D common shares</w:t>
      </w:r>
    </w:p>
    <w:p>
      <w:pPr>
        <w:spacing w:after="0" w:line="188" w:lineRule="exact"/>
        <w:rPr>
          <w:sz w:val="20"/>
          <w:szCs w:val="20"/>
          <w:color w:val="auto"/>
        </w:rPr>
      </w:pPr>
    </w:p>
    <w:p>
      <w:pPr>
        <w:ind w:right="160" w:firstLine="468"/>
        <w:spacing w:after="0" w:line="247" w:lineRule="auto"/>
        <w:rPr>
          <w:sz w:val="20"/>
          <w:szCs w:val="20"/>
          <w:color w:val="auto"/>
        </w:rPr>
      </w:pPr>
      <w:r>
        <w:rPr>
          <w:rFonts w:ascii="Times New Roman" w:cs="Times New Roman" w:eastAsia="Times New Roman" w:hAnsi="Times New Roman"/>
          <w:sz w:val="16"/>
          <w:szCs w:val="16"/>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64" w:lineRule="exact"/>
        <w:rPr>
          <w:sz w:val="20"/>
          <w:szCs w:val="20"/>
          <w:color w:val="auto"/>
        </w:rPr>
      </w:pPr>
    </w:p>
    <w:p>
      <w:pPr>
        <w:jc w:val="both"/>
        <w:ind w:firstLine="468"/>
        <w:spacing w:after="0" w:line="331" w:lineRule="auto"/>
        <w:rPr>
          <w:sz w:val="20"/>
          <w:szCs w:val="20"/>
          <w:color w:val="auto"/>
        </w:rPr>
      </w:pPr>
      <w:r>
        <w:rPr>
          <w:rFonts w:ascii="Times New Roman" w:cs="Times New Roman" w:eastAsia="Times New Roman" w:hAnsi="Times New Roman"/>
          <w:sz w:val="14"/>
          <w:szCs w:val="14"/>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w:t>
      </w:r>
    </w:p>
    <w:p>
      <w:pPr>
        <w:spacing w:after="0" w:line="108"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The holders of the Class D common share shall be entitled to receive notice of and attend any meeting of the shareholders of the Group and shall be entitled to 1.0000000000003 votes in respect of each Class D common share held at all meetings of shareholders of the Group.</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Class A preferred shares and Class A-1 preferred shares</w:t>
      </w:r>
    </w:p>
    <w:p>
      <w:pPr>
        <w:spacing w:after="0" w:line="188"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w:t>
      </w:r>
    </w:p>
    <w:p>
      <w:pPr>
        <w:spacing w:after="0" w:line="155"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A- 1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67" w:lineRule="exact"/>
        <w:rPr>
          <w:sz w:val="20"/>
          <w:szCs w:val="20"/>
          <w:color w:val="auto"/>
        </w:rPr>
      </w:pPr>
    </w:p>
    <w:p>
      <w:pPr>
        <w:ind w:firstLine="468"/>
        <w:spacing w:after="0" w:line="247" w:lineRule="auto"/>
        <w:rPr>
          <w:sz w:val="20"/>
          <w:szCs w:val="20"/>
          <w:color w:val="auto"/>
        </w:rPr>
      </w:pPr>
      <w:r>
        <w:rPr>
          <w:rFonts w:ascii="Times New Roman" w:cs="Times New Roman" w:eastAsia="Times New Roman" w:hAnsi="Times New Roman"/>
          <w:sz w:val="16"/>
          <w:szCs w:val="16"/>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64" w:lineRule="exact"/>
        <w:rPr>
          <w:sz w:val="20"/>
          <w:szCs w:val="20"/>
          <w:color w:val="auto"/>
        </w:rPr>
      </w:pPr>
    </w:p>
    <w:p>
      <w:pPr>
        <w:jc w:val="both"/>
        <w:ind w:right="220" w:firstLine="468"/>
        <w:spacing w:after="0" w:line="247" w:lineRule="auto"/>
        <w:rPr>
          <w:sz w:val="20"/>
          <w:szCs w:val="20"/>
          <w:color w:val="auto"/>
        </w:rPr>
      </w:pPr>
      <w:r>
        <w:rPr>
          <w:rFonts w:ascii="Times New Roman" w:cs="Times New Roman" w:eastAsia="Times New Roman" w:hAnsi="Times New Roman"/>
          <w:sz w:val="16"/>
          <w:szCs w:val="16"/>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518795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1" w:right="70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362"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of the Group. Upon specific trigger events as specified in the articles of amendment, all outstanding Class A and Class A-1 preferred shares shall automatically be converted into common shares.</w:t>
      </w:r>
    </w:p>
    <w:p>
      <w:pPr>
        <w:spacing w:after="0" w:line="155"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10.Warrants</w:t>
      </w:r>
    </w:p>
    <w:p>
      <w:pPr>
        <w:spacing w:after="0" w:line="190" w:lineRule="exact"/>
        <w:rPr>
          <w:sz w:val="20"/>
          <w:szCs w:val="20"/>
          <w:color w:val="auto"/>
        </w:rPr>
      </w:pPr>
    </w:p>
    <w:p>
      <w:pPr>
        <w:ind w:right="280" w:firstLine="480"/>
        <w:spacing w:after="0" w:line="247" w:lineRule="auto"/>
        <w:rPr>
          <w:sz w:val="20"/>
          <w:szCs w:val="20"/>
          <w:color w:val="auto"/>
        </w:rPr>
      </w:pPr>
      <w:r>
        <w:rPr>
          <w:rFonts w:ascii="Times New Roman" w:cs="Times New Roman" w:eastAsia="Times New Roman" w:hAnsi="Times New Roman"/>
          <w:sz w:val="16"/>
          <w:szCs w:val="16"/>
          <w:color w:val="auto"/>
        </w:rPr>
        <w:t>The total warrants included in equity as at December 31, 2024 included 135,000 warrants exchangeable for one class A common share of GroupBy International Ltd. and GroupBy Inc. with an exercise price of $2.14 and 11,294,093 warrants exchangeable for one class A preferred share of GroupBy International Ltd. and GroupBy Inc.</w:t>
      </w:r>
    </w:p>
    <w:p>
      <w:pPr>
        <w:spacing w:after="0" w:line="164" w:lineRule="exact"/>
        <w:rPr>
          <w:sz w:val="20"/>
          <w:szCs w:val="20"/>
          <w:color w:val="auto"/>
        </w:rPr>
      </w:pPr>
    </w:p>
    <w:p>
      <w:pPr>
        <w:ind w:right="280" w:firstLine="480"/>
        <w:spacing w:after="0" w:line="247" w:lineRule="auto"/>
        <w:rPr>
          <w:sz w:val="20"/>
          <w:szCs w:val="20"/>
          <w:color w:val="auto"/>
        </w:rPr>
      </w:pPr>
      <w:r>
        <w:rPr>
          <w:rFonts w:ascii="Times New Roman" w:cs="Times New Roman" w:eastAsia="Times New Roman" w:hAnsi="Times New Roman"/>
          <w:sz w:val="16"/>
          <w:szCs w:val="16"/>
          <w:color w:val="auto"/>
        </w:rPr>
        <w:t>During the six months ended June 30, 2025, in connection with the acquisition by Rezolve, all warrants recognized in equity to which the Group is a party to were cancelled upon closing. All equity-classified warrants were converted into Class A preferred shares which were then exchanged for Rezolve shares. The deemed price of Class A preferred shares issued at the closing date is $3,979,351. The Group incurred a loss of $699,377.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11.Related party transactions and balances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Key management compensation of the Group</w:t>
      </w:r>
    </w:p>
    <w:p>
      <w:pPr>
        <w:spacing w:after="0" w:line="200" w:lineRule="exact"/>
        <w:rPr>
          <w:sz w:val="20"/>
          <w:szCs w:val="20"/>
          <w:color w:val="auto"/>
        </w:rPr>
      </w:pPr>
    </w:p>
    <w:p>
      <w:pPr>
        <w:spacing w:after="0" w:line="204" w:lineRule="exact"/>
        <w:rPr>
          <w:sz w:val="20"/>
          <w:szCs w:val="20"/>
          <w:color w:val="auto"/>
        </w:rPr>
      </w:pPr>
    </w:p>
    <w:p>
      <w:pPr>
        <w:jc w:val="both"/>
        <w:ind w:right="20" w:firstLine="468"/>
        <w:spacing w:after="0" w:line="193" w:lineRule="exact"/>
        <w:rPr>
          <w:sz w:val="20"/>
          <w:szCs w:val="20"/>
          <w:color w:val="auto"/>
        </w:rPr>
      </w:pPr>
      <w:r>
        <w:rPr>
          <w:rFonts w:ascii="Times New Roman" w:cs="Times New Roman" w:eastAsia="Times New Roman" w:hAnsi="Times New Roman"/>
          <w:sz w:val="16"/>
          <w:szCs w:val="16"/>
          <w:color w:val="auto"/>
        </w:rPr>
        <w:t xml:space="preserve">Key management personnel are comprised of two (December 31, 2024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four) of the Group’s directors and executive officers. In addition to salaries and benefits, key management personnel also receive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based payments, which are further described in Note 8, and management fees. Key management personnel compensation for the six months period ended June 30, 2025 and 2024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30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right"/>
              <w:ind w:right="74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Share-based payments</w:t>
            </w:r>
          </w:p>
        </w:tc>
        <w:tc>
          <w:tcPr>
            <w:tcW w:w="2300" w:type="dxa"/>
            <w:vAlign w:val="bottom"/>
            <w:shd w:val="clear" w:color="auto" w:fill="CFF0FC"/>
          </w:tcPr>
          <w:p>
            <w:pPr>
              <w:jc w:val="right"/>
              <w:ind w:right="906"/>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84"/>
              <w:spacing w:after="0" w:line="180" w:lineRule="exact"/>
              <w:rPr>
                <w:sz w:val="20"/>
                <w:szCs w:val="20"/>
                <w:color w:val="auto"/>
              </w:rPr>
            </w:pPr>
            <w:r>
              <w:rPr>
                <w:rFonts w:ascii="Times New Roman" w:cs="Times New Roman" w:eastAsia="Times New Roman" w:hAnsi="Times New Roman"/>
                <w:sz w:val="16"/>
                <w:szCs w:val="16"/>
                <w:color w:val="auto"/>
              </w:rPr>
              <w:t>72,874</w:t>
            </w:r>
          </w:p>
        </w:tc>
      </w:tr>
      <w:tr>
        <w:trPr>
          <w:trHeight w:val="228"/>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 (included in general and administrative expenses)</w:t>
            </w:r>
          </w:p>
        </w:tc>
        <w:tc>
          <w:tcPr>
            <w:tcW w:w="2300" w:type="dxa"/>
            <w:vAlign w:val="bottom"/>
          </w:tcPr>
          <w:p>
            <w:pPr>
              <w:spacing w:after="0"/>
              <w:rPr>
                <w:sz w:val="19"/>
                <w:szCs w:val="19"/>
                <w:color w:val="auto"/>
              </w:rPr>
            </w:pP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145,128</w:t>
            </w:r>
          </w:p>
        </w:tc>
        <w:tc>
          <w:tcPr>
            <w:tcW w:w="500" w:type="dxa"/>
            <w:vAlign w:val="bottom"/>
          </w:tcPr>
          <w:p>
            <w:pPr>
              <w:spacing w:after="0"/>
              <w:rPr>
                <w:sz w:val="19"/>
                <w:szCs w:val="19"/>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129,678</w:t>
            </w:r>
          </w:p>
        </w:tc>
      </w:tr>
      <w:tr>
        <w:trPr>
          <w:trHeight w:val="180"/>
        </w:trPr>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Management fees (included in general and administrative expenses)</w:t>
            </w:r>
          </w:p>
        </w:tc>
        <w:tc>
          <w:tcPr>
            <w:tcW w:w="23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250,000</w:t>
            </w:r>
          </w:p>
        </w:tc>
        <w:tc>
          <w:tcPr>
            <w:tcW w:w="50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84"/>
              <w:spacing w:after="0" w:line="180" w:lineRule="exact"/>
              <w:rPr>
                <w:sz w:val="20"/>
                <w:szCs w:val="20"/>
                <w:color w:val="auto"/>
              </w:rPr>
            </w:pPr>
            <w:r>
              <w:rPr>
                <w:rFonts w:ascii="Times New Roman" w:cs="Times New Roman" w:eastAsia="Times New Roman" w:hAnsi="Times New Roman"/>
                <w:sz w:val="16"/>
                <w:szCs w:val="16"/>
                <w:color w:val="auto"/>
              </w:rPr>
              <w:t>260,552</w:t>
            </w:r>
          </w:p>
        </w:tc>
      </w:tr>
      <w:tr>
        <w:trPr>
          <w:trHeight w:val="205"/>
        </w:trPr>
        <w:tc>
          <w:tcPr>
            <w:tcW w:w="5680" w:type="dxa"/>
            <w:vAlign w:val="bottom"/>
          </w:tcPr>
          <w:p>
            <w:pPr>
              <w:spacing w:after="0"/>
              <w:rPr>
                <w:sz w:val="17"/>
                <w:szCs w:val="17"/>
                <w:color w:val="auto"/>
              </w:rPr>
            </w:pPr>
          </w:p>
        </w:tc>
        <w:tc>
          <w:tcPr>
            <w:tcW w:w="2300" w:type="dxa"/>
            <w:vAlign w:val="bottom"/>
          </w:tcPr>
          <w:p>
            <w:pPr>
              <w:jc w:val="right"/>
              <w:ind w:right="906"/>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395,128</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463,104</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12.Revenue</w:t>
      </w:r>
    </w:p>
    <w:p>
      <w:pPr>
        <w:spacing w:after="0" w:line="190" w:lineRule="exact"/>
        <w:rPr>
          <w:sz w:val="20"/>
          <w:szCs w:val="20"/>
          <w:color w:val="auto"/>
        </w:rPr>
      </w:pPr>
    </w:p>
    <w:p>
      <w:pPr>
        <w:jc w:val="both"/>
        <w:ind w:right="140" w:firstLine="468"/>
        <w:spacing w:after="0" w:line="247" w:lineRule="auto"/>
        <w:rPr>
          <w:sz w:val="20"/>
          <w:szCs w:val="20"/>
          <w:color w:val="auto"/>
        </w:rPr>
      </w:pPr>
      <w:r>
        <w:rPr>
          <w:rFonts w:ascii="Times New Roman" w:cs="Times New Roman" w:eastAsia="Times New Roman" w:hAnsi="Times New Roman"/>
          <w:sz w:val="16"/>
          <w:szCs w:val="16"/>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755015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COMBINED CONSOLIDATED FINANCIAL STATEMENTS</w:t>
      </w:r>
    </w:p>
    <w:p>
      <w:pPr>
        <w:jc w:val="center"/>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50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260" w:type="dxa"/>
            <w:vAlign w:val="bottom"/>
          </w:tcPr>
          <w:p>
            <w:pPr>
              <w:spacing w:after="0"/>
              <w:rPr>
                <w:sz w:val="13"/>
                <w:szCs w:val="13"/>
                <w:color w:val="auto"/>
              </w:rPr>
            </w:pPr>
          </w:p>
        </w:tc>
        <w:tc>
          <w:tcPr>
            <w:tcW w:w="148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5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0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60" w:type="dxa"/>
            <w:vAlign w:val="bottom"/>
          </w:tcPr>
          <w:p>
            <w:pPr>
              <w:spacing w:after="0"/>
              <w:rPr>
                <w:sz w:val="14"/>
                <w:szCs w:val="14"/>
                <w:color w:val="auto"/>
              </w:rPr>
            </w:pPr>
          </w:p>
        </w:tc>
        <w:tc>
          <w:tcPr>
            <w:tcW w:w="148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June 30, 2024</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 by geography</w:t>
            </w:r>
          </w:p>
        </w:tc>
        <w:tc>
          <w:tcPr>
            <w:tcW w:w="18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1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119,816</w:t>
            </w: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117,377</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8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3,519,464</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4,353,521</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Mexico</w:t>
            </w:r>
          </w:p>
        </w:tc>
        <w:tc>
          <w:tcPr>
            <w:tcW w:w="1840" w:type="dxa"/>
            <w:vAlign w:val="bottom"/>
          </w:tcPr>
          <w:p>
            <w:pPr>
              <w:spacing w:after="0"/>
              <w:rPr>
                <w:sz w:val="15"/>
                <w:szCs w:val="15"/>
                <w:color w:val="auto"/>
              </w:rPr>
            </w:pPr>
          </w:p>
        </w:tc>
        <w:tc>
          <w:tcPr>
            <w:tcW w:w="15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3,728,006</w:t>
            </w:r>
          </w:p>
        </w:tc>
        <w:tc>
          <w:tcPr>
            <w:tcW w:w="260" w:type="dxa"/>
            <w:vAlign w:val="bottom"/>
          </w:tcPr>
          <w:p>
            <w:pPr>
              <w:spacing w:after="0"/>
              <w:rPr>
                <w:sz w:val="15"/>
                <w:szCs w:val="15"/>
                <w:color w:val="auto"/>
              </w:rPr>
            </w:pPr>
          </w:p>
        </w:tc>
        <w:tc>
          <w:tcPr>
            <w:tcW w:w="14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2,902,950</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18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436,529</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500,785</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840" w:type="dxa"/>
            <w:vAlign w:val="bottom"/>
          </w:tcPr>
          <w:p>
            <w:pPr>
              <w:spacing w:after="0"/>
              <w:rPr>
                <w:sz w:val="15"/>
                <w:szCs w:val="15"/>
                <w:color w:val="auto"/>
              </w:rPr>
            </w:pPr>
          </w:p>
        </w:tc>
        <w:tc>
          <w:tcPr>
            <w:tcW w:w="15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1,452,500</w:t>
            </w:r>
          </w:p>
        </w:tc>
        <w:tc>
          <w:tcPr>
            <w:tcW w:w="260" w:type="dxa"/>
            <w:vAlign w:val="bottom"/>
          </w:tcPr>
          <w:p>
            <w:pPr>
              <w:spacing w:after="0"/>
              <w:rPr>
                <w:sz w:val="15"/>
                <w:szCs w:val="15"/>
                <w:color w:val="auto"/>
              </w:rPr>
            </w:pPr>
          </w:p>
        </w:tc>
        <w:tc>
          <w:tcPr>
            <w:tcW w:w="14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1,550,205</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Japan</w:t>
            </w:r>
          </w:p>
        </w:tc>
        <w:tc>
          <w:tcPr>
            <w:tcW w:w="18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16,493</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152,400</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9,272,808</w:t>
            </w: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9,577,238</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Contract costs (included in prepaid expenses and deposits)</w:t>
            </w:r>
          </w:p>
        </w:tc>
        <w:tc>
          <w:tcPr>
            <w:tcW w:w="18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year</w:t>
            </w:r>
          </w:p>
        </w:tc>
        <w:tc>
          <w:tcPr>
            <w:tcW w:w="18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666,994</w:t>
            </w:r>
          </w:p>
        </w:tc>
        <w:tc>
          <w:tcPr>
            <w:tcW w:w="2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422,123</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8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494,608</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831,259</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 (included in sales and marketing expenses)</w:t>
            </w:r>
          </w:p>
        </w:tc>
        <w:tc>
          <w:tcPr>
            <w:tcW w:w="184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(360,681)</w:t>
            </w:r>
          </w:p>
        </w:tc>
        <w:tc>
          <w:tcPr>
            <w:tcW w:w="260" w:type="dxa"/>
            <w:vAlign w:val="bottom"/>
          </w:tcPr>
          <w:p>
            <w:pPr>
              <w:spacing w:after="0"/>
              <w:rPr>
                <w:sz w:val="15"/>
                <w:szCs w:val="15"/>
                <w:color w:val="auto"/>
              </w:rPr>
            </w:pP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(692,297)</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end of year</w:t>
            </w:r>
          </w:p>
        </w:tc>
        <w:tc>
          <w:tcPr>
            <w:tcW w:w="1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800,921</w:t>
            </w: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561,085</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Deferred revenue</w:t>
            </w:r>
          </w:p>
        </w:tc>
        <w:tc>
          <w:tcPr>
            <w:tcW w:w="1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year</w:t>
            </w:r>
          </w:p>
        </w:tc>
        <w:tc>
          <w:tcPr>
            <w:tcW w:w="18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8,584,886</w:t>
            </w:r>
          </w:p>
        </w:tc>
        <w:tc>
          <w:tcPr>
            <w:tcW w:w="2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8,118,419</w:t>
            </w:r>
          </w:p>
        </w:tc>
      </w:tr>
      <w:tr>
        <w:trPr>
          <w:trHeight w:val="180"/>
        </w:trPr>
        <w:tc>
          <w:tcPr>
            <w:tcW w:w="5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Additions</w:t>
            </w:r>
          </w:p>
        </w:tc>
        <w:tc>
          <w:tcPr>
            <w:tcW w:w="1840" w:type="dxa"/>
            <w:vAlign w:val="bottom"/>
          </w:tcPr>
          <w:p>
            <w:pPr>
              <w:spacing w:after="0"/>
              <w:rPr>
                <w:sz w:val="15"/>
                <w:szCs w:val="15"/>
                <w:color w:val="auto"/>
              </w:rPr>
            </w:pPr>
          </w:p>
        </w:tc>
        <w:tc>
          <w:tcPr>
            <w:tcW w:w="15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b w:val="1"/>
                <w:bCs w:val="1"/>
                <w:color w:val="auto"/>
              </w:rPr>
              <w:t>15,795,042</w:t>
            </w:r>
          </w:p>
        </w:tc>
        <w:tc>
          <w:tcPr>
            <w:tcW w:w="260" w:type="dxa"/>
            <w:vAlign w:val="bottom"/>
          </w:tcPr>
          <w:p>
            <w:pPr>
              <w:spacing w:after="0"/>
              <w:rPr>
                <w:sz w:val="15"/>
                <w:szCs w:val="15"/>
                <w:color w:val="auto"/>
              </w:rPr>
            </w:pPr>
          </w:p>
        </w:tc>
        <w:tc>
          <w:tcPr>
            <w:tcW w:w="14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19,785,348</w:t>
            </w:r>
          </w:p>
        </w:tc>
      </w:tr>
      <w:tr>
        <w:trPr>
          <w:trHeight w:val="180"/>
        </w:trPr>
        <w:tc>
          <w:tcPr>
            <w:tcW w:w="5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Amounts recognized to revenue</w:t>
            </w:r>
          </w:p>
        </w:tc>
        <w:tc>
          <w:tcPr>
            <w:tcW w:w="18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(9,620,721)</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(19,318,881)</w:t>
            </w: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Balance, end of year</w:t>
            </w:r>
          </w:p>
        </w:tc>
        <w:tc>
          <w:tcPr>
            <w:tcW w:w="1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14,759,207</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8,584,886</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13.Contingencies</w:t>
      </w:r>
    </w:p>
    <w:p>
      <w:pPr>
        <w:spacing w:after="0" w:line="190" w:lineRule="exact"/>
        <w:rPr>
          <w:sz w:val="20"/>
          <w:szCs w:val="20"/>
          <w:color w:val="auto"/>
        </w:rPr>
      </w:pPr>
    </w:p>
    <w:p>
      <w:pPr>
        <w:jc w:val="both"/>
        <w:ind w:firstLine="468"/>
        <w:spacing w:after="0" w:line="247" w:lineRule="auto"/>
        <w:rPr>
          <w:sz w:val="20"/>
          <w:szCs w:val="20"/>
          <w:color w:val="auto"/>
        </w:rPr>
      </w:pPr>
      <w:r>
        <w:rPr>
          <w:rFonts w:ascii="Times New Roman" w:cs="Times New Roman" w:eastAsia="Times New Roman" w:hAnsi="Times New Roman"/>
          <w:sz w:val="16"/>
          <w:szCs w:val="16"/>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Statement of claim - July 27, 2021</w:t>
      </w:r>
    </w:p>
    <w:p>
      <w:pPr>
        <w:spacing w:after="0" w:line="190" w:lineRule="exact"/>
        <w:rPr>
          <w:sz w:val="20"/>
          <w:szCs w:val="20"/>
          <w:color w:val="auto"/>
        </w:rPr>
      </w:pPr>
    </w:p>
    <w:p>
      <w:pPr>
        <w:ind w:right="560" w:firstLine="468"/>
        <w:spacing w:after="0" w:line="259" w:lineRule="auto"/>
        <w:rPr>
          <w:sz w:val="20"/>
          <w:szCs w:val="20"/>
          <w:color w:val="auto"/>
        </w:rPr>
      </w:pPr>
      <w:r>
        <w:rPr>
          <w:rFonts w:ascii="Times New Roman" w:cs="Times New Roman" w:eastAsia="Times New Roman" w:hAnsi="Times New Roman"/>
          <w:sz w:val="16"/>
          <w:szCs w:val="16"/>
          <w:color w:val="auto"/>
        </w:rPr>
        <w:t>On July 27, 2021, the Group filed a claim against Wondr Gaming Corp (the "Defendant"), alleging breach of contract and unjust enrichment and seeking $4,136,807 plus interest and costs. The Defendant is contesting the claim.</w:t>
      </w:r>
    </w:p>
    <w:p>
      <w:pPr>
        <w:spacing w:after="0" w:line="155"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On September 7, 2021, the Defendant filed a Statement of Defence and Counterclaim in the Ontario Superior Court of Justice against GroupBy Inc. The Defendant claims, among other things, the Group's failure to perform the services and misrepresentation and seeks dismissal of the action. Furthermore, the Company is counterclaiming seeking damages of $400,000 plus costs for breach of contract and negligent misrepresentation.</w:t>
      </w:r>
    </w:p>
    <w:p>
      <w:pPr>
        <w:spacing w:after="0" w:line="164" w:lineRule="exact"/>
        <w:rPr>
          <w:sz w:val="20"/>
          <w:szCs w:val="20"/>
          <w:color w:val="auto"/>
        </w:rPr>
      </w:pPr>
    </w:p>
    <w:p>
      <w:pPr>
        <w:ind w:right="200" w:firstLine="468"/>
        <w:spacing w:after="0" w:line="247" w:lineRule="auto"/>
        <w:rPr>
          <w:sz w:val="20"/>
          <w:szCs w:val="20"/>
          <w:color w:val="auto"/>
        </w:rPr>
      </w:pPr>
      <w:r>
        <w:rPr>
          <w:rFonts w:ascii="Times New Roman" w:cs="Times New Roman" w:eastAsia="Times New Roman" w:hAnsi="Times New Roman"/>
          <w:sz w:val="16"/>
          <w:szCs w:val="16"/>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Statement of claim - May 16, 2024</w:t>
      </w:r>
    </w:p>
    <w:p>
      <w:pPr>
        <w:spacing w:after="0" w:line="190" w:lineRule="exact"/>
        <w:rPr>
          <w:sz w:val="20"/>
          <w:szCs w:val="20"/>
          <w:color w:val="auto"/>
        </w:rPr>
      </w:pPr>
    </w:p>
    <w:p>
      <w:pPr>
        <w:ind w:right="20" w:firstLine="468"/>
        <w:spacing w:after="0" w:line="259" w:lineRule="auto"/>
        <w:rPr>
          <w:sz w:val="20"/>
          <w:szCs w:val="20"/>
          <w:color w:val="auto"/>
        </w:rPr>
      </w:pPr>
      <w:r>
        <w:rPr>
          <w:rFonts w:ascii="Times New Roman" w:cs="Times New Roman" w:eastAsia="Times New Roman" w:hAnsi="Times New Roman"/>
          <w:sz w:val="16"/>
          <w:szCs w:val="16"/>
          <w:color w:val="auto"/>
        </w:rPr>
        <w:t>On May 16, 2024, the Group was named as a defendant in a case to recover a payment of $2,500,000 made by Bed Bath &amp; Beyond Inc. ("BBB") to the Company on February 20, 2023.</w:t>
      </w:r>
    </w:p>
    <w:p>
      <w:pPr>
        <w:spacing w:after="0" w:line="155" w:lineRule="exact"/>
        <w:rPr>
          <w:sz w:val="20"/>
          <w:szCs w:val="20"/>
          <w:color w:val="auto"/>
        </w:rPr>
      </w:pPr>
    </w:p>
    <w:p>
      <w:pPr>
        <w:ind w:right="200" w:firstLine="468"/>
        <w:spacing w:after="0" w:line="247" w:lineRule="auto"/>
        <w:rPr>
          <w:sz w:val="20"/>
          <w:szCs w:val="20"/>
          <w:color w:val="auto"/>
        </w:rPr>
      </w:pPr>
      <w:r>
        <w:rPr>
          <w:rFonts w:ascii="Times New Roman" w:cs="Times New Roman" w:eastAsia="Times New Roman" w:hAnsi="Times New Roman"/>
          <w:sz w:val="16"/>
          <w:szCs w:val="16"/>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755015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8" w:name="page79"/>
    <w:bookmarkEnd w:id="78"/>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GROUPBY GROUP OF COMPANIES</w:t>
      </w:r>
    </w:p>
    <w:p>
      <w:pPr>
        <w:spacing w:after="0" w:line="1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4"/>
          <w:szCs w:val="14"/>
          <w:b w:val="1"/>
          <w:bCs w:val="1"/>
          <w:color w:val="auto"/>
        </w:rPr>
        <w:t>NOTES TO UNAUDITED CONDENSED INTERIM COMBINED CONSOLIDATED FINANCIAL STATEMENTS</w:t>
      </w:r>
    </w:p>
    <w:p>
      <w:pPr>
        <w:spacing w:after="0" w:line="1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2025</w:t>
      </w:r>
    </w:p>
    <w:p>
      <w:pPr>
        <w:spacing w:after="0" w:line="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4"/>
          <w:szCs w:val="14"/>
          <w:i w:val="1"/>
          <w:iCs w:val="1"/>
          <w:color w:val="auto"/>
        </w:rPr>
        <w:t>(Expressed in United States dollars)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14.Subsequent events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subsequent events are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131"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9"/>
          <w:szCs w:val="19"/>
          <w:b w:val="1"/>
          <w:bCs w:val="1"/>
          <w:color w:val="auto"/>
        </w:rPr>
        <w:t>Exhibit 99.4</w:t>
      </w:r>
    </w:p>
    <w:p>
      <w:pPr>
        <w:spacing w:after="0" w:line="1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Information</w:t>
      </w:r>
    </w:p>
    <w:p>
      <w:pPr>
        <w:spacing w:after="0" w:line="16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i w:val="1"/>
          <w:iCs w:val="1"/>
          <w:color w:val="auto"/>
        </w:rPr>
        <w:t>Defined terms included below have the same meaning as terms defined and included elsewhere in this Report.</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94" w:lineRule="exact"/>
        <w:rPr>
          <w:sz w:val="20"/>
          <w:szCs w:val="20"/>
          <w:color w:val="auto"/>
        </w:rPr>
      </w:pPr>
    </w:p>
    <w:p>
      <w:pPr>
        <w:jc w:val="both"/>
        <w:ind w:right="100" w:firstLine="468"/>
        <w:spacing w:after="0" w:line="243" w:lineRule="auto"/>
        <w:rPr>
          <w:sz w:val="20"/>
          <w:szCs w:val="20"/>
          <w:color w:val="auto"/>
        </w:rPr>
      </w:pPr>
      <w:r>
        <w:rPr>
          <w:rFonts w:ascii="Times New Roman" w:cs="Times New Roman" w:eastAsia="Times New Roman" w:hAnsi="Times New Roman"/>
          <w:sz w:val="16"/>
          <w:szCs w:val="16"/>
          <w:color w:val="auto"/>
        </w:rPr>
        <w:t>As previously disclosed in its Current Reports on Form 6- K furnished with the Securities and Exchange Commission (“SEC”) on March 31, 2025 and February 21, 2025, on February 11, 2025, Rezolve AI plc ( "the Company" or "Rezolve")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GroupBy is an eCommerce Search and Product Discovery SaaS technology provider that powers some of the largest B2B and B2C brands.</w:t>
      </w:r>
    </w:p>
    <w:p>
      <w:pPr>
        <w:spacing w:after="0" w:line="92"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On March 25, 2025, Rezolve closed the GroupBy acquisition. As consideration for the GroupBy acquisition, the Company issued an aggregate of 3,999,902 of its ordinary shares of the Company to the Sellers.</w:t>
      </w:r>
    </w:p>
    <w:p>
      <w:pPr>
        <w:spacing w:after="0" w:line="155" w:lineRule="exact"/>
        <w:rPr>
          <w:sz w:val="20"/>
          <w:szCs w:val="20"/>
          <w:color w:val="auto"/>
        </w:rPr>
      </w:pPr>
    </w:p>
    <w:p>
      <w:pPr>
        <w:ind w:right="140" w:firstLine="468"/>
        <w:spacing w:after="0" w:line="259" w:lineRule="auto"/>
        <w:rPr>
          <w:sz w:val="20"/>
          <w:szCs w:val="20"/>
          <w:color w:val="auto"/>
        </w:rPr>
      </w:pPr>
      <w:r>
        <w:rPr>
          <w:rFonts w:ascii="Times New Roman" w:cs="Times New Roman" w:eastAsia="Times New Roman" w:hAnsi="Times New Roman"/>
          <w:sz w:val="16"/>
          <w:szCs w:val="16"/>
          <w:color w:val="auto"/>
        </w:rPr>
        <w:t>The acquisition of GroupBy was deemed significant under Rule 3-05 and separate unaudited condensed interim combined consolidated financial statements for GroupBy as of, and for the six months ended June 30, 2025, included elsewhere in this Report</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Unaudited Pro Forma Condensed Combined Financial Information</w:t>
      </w:r>
    </w:p>
    <w:p>
      <w:pPr>
        <w:spacing w:after="0" w:line="190" w:lineRule="exact"/>
        <w:rPr>
          <w:sz w:val="20"/>
          <w:szCs w:val="20"/>
          <w:color w:val="auto"/>
        </w:rPr>
      </w:pPr>
    </w:p>
    <w:p>
      <w:pPr>
        <w:ind w:right="20" w:firstLine="507"/>
        <w:spacing w:after="0" w:line="241" w:lineRule="auto"/>
        <w:rPr>
          <w:sz w:val="20"/>
          <w:szCs w:val="20"/>
          <w:color w:val="auto"/>
        </w:rPr>
      </w:pPr>
      <w:r>
        <w:rPr>
          <w:rFonts w:ascii="Times New Roman" w:cs="Times New Roman" w:eastAsia="Times New Roman" w:hAnsi="Times New Roman"/>
          <w:sz w:val="16"/>
          <w:szCs w:val="16"/>
          <w:color w:val="auto"/>
        </w:rPr>
        <w:t>The Unaudited Pro Forma Condensed Combined Balance Sheet as of December 31, 2024 gives effect to the GroupBy acquisition as if it had been completed on December 31, 2024. The Unaudited Pro Forma Condensed Combined Statement of Operations for the year ended December 31, 2024 gives effect to the GroupBy acquisition as if it had been completed on January 1, 2024. The Unaudited Pro Forma Condensed Combined Balance Sheet as of December 31, 2024 and the Unaudited Pro Forma Condensed Combined Statement of Operations for the year ended December 31, 2024 are incorporated by reference from the Company's Registration Statement on Form F-3, filed with the SEC on September 26, 2025.</w:t>
      </w:r>
    </w:p>
    <w:p>
      <w:pPr>
        <w:spacing w:after="0" w:line="169" w:lineRule="exact"/>
        <w:rPr>
          <w:sz w:val="20"/>
          <w:szCs w:val="20"/>
          <w:color w:val="auto"/>
        </w:rPr>
      </w:pPr>
    </w:p>
    <w:p>
      <w:pPr>
        <w:ind w:right="80" w:firstLine="468"/>
        <w:spacing w:after="0" w:line="247" w:lineRule="auto"/>
        <w:rPr>
          <w:sz w:val="20"/>
          <w:szCs w:val="20"/>
          <w:color w:val="auto"/>
        </w:rPr>
      </w:pPr>
      <w:r>
        <w:rPr>
          <w:rFonts w:ascii="Times New Roman" w:cs="Times New Roman" w:eastAsia="Times New Roman" w:hAnsi="Times New Roman"/>
          <w:sz w:val="16"/>
          <w:szCs w:val="16"/>
          <w:color w:val="auto"/>
        </w:rPr>
        <w:t>The Unaudited Pro Forma Condensed Combined Statement of Operations for the six months ended June 30, 2025 is presented below. An Unaudited Pro Forma Condensed Combined Balance Sheet as of June 30, 2025 is not presented as the assets and liabilities of GroupBy are already included in the Company's Unaudited Condensed Interim Combined Consolidated Balance Sheet as of June 30, 2025, included elsewhere in this Report.</w:t>
      </w:r>
    </w:p>
    <w:p>
      <w:pPr>
        <w:spacing w:after="0" w:line="164" w:lineRule="exact"/>
        <w:rPr>
          <w:sz w:val="20"/>
          <w:szCs w:val="20"/>
          <w:color w:val="auto"/>
        </w:rPr>
      </w:pPr>
    </w:p>
    <w:p>
      <w:pPr>
        <w:ind w:right="40" w:firstLine="468"/>
        <w:spacing w:after="0" w:line="239" w:lineRule="auto"/>
        <w:rPr>
          <w:sz w:val="20"/>
          <w:szCs w:val="20"/>
          <w:color w:val="auto"/>
        </w:rPr>
      </w:pPr>
      <w:r>
        <w:rPr>
          <w:rFonts w:ascii="Times New Roman" w:cs="Times New Roman" w:eastAsia="Times New Roman" w:hAnsi="Times New Roman"/>
          <w:sz w:val="16"/>
          <w:szCs w:val="16"/>
          <w:color w:val="auto"/>
        </w:rPr>
        <w:t>Assumptions and estimates underlying the pro forma adjustments are described in the accompanying notes, which should be read in conjunction with the unaudited pro forma condensed combined financial statements. The unaudited pro forma condensed combined financial information is provided for illustrative purposes only and does not purport to represent what the actual consolidated results of operations of Rezolve would have been had the GroupBy acquisition occurred on the date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73" w:lineRule="exact"/>
        <w:rPr>
          <w:sz w:val="20"/>
          <w:szCs w:val="20"/>
          <w:color w:val="auto"/>
        </w:rPr>
      </w:pPr>
    </w:p>
    <w:p>
      <w:pPr>
        <w:ind w:right="180" w:firstLine="468"/>
        <w:spacing w:after="0" w:line="247"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GroupBy acquisition and does not attempt to predict or suggest future results.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unaudited pro forma financial statements have been developed from and should be read in conjunction with:</w:t>
      </w:r>
    </w:p>
    <w:p>
      <w:pPr>
        <w:spacing w:after="0" w:line="92" w:lineRule="exact"/>
        <w:rPr>
          <w:sz w:val="20"/>
          <w:szCs w:val="20"/>
          <w:color w:val="auto"/>
        </w:rPr>
      </w:pPr>
    </w:p>
    <w:p>
      <w:pPr>
        <w:ind w:left="480" w:right="140"/>
        <w:spacing w:after="0" w:line="259" w:lineRule="auto"/>
        <w:rPr>
          <w:sz w:val="20"/>
          <w:szCs w:val="20"/>
          <w:color w:val="auto"/>
        </w:rPr>
      </w:pPr>
      <w:r>
        <w:rPr>
          <w:rFonts w:ascii="Times New Roman" w:cs="Times New Roman" w:eastAsia="Times New Roman" w:hAnsi="Times New Roman"/>
          <w:sz w:val="16"/>
          <w:szCs w:val="16"/>
          <w:color w:val="auto"/>
        </w:rPr>
        <w:t>•the historical unaudited condensed interim combined consolidated financial statements of Rezolve as of, and for the six months ended June 30, 2025, included elsewhere in this Report;</w:t>
      </w:r>
    </w:p>
    <w:p>
      <w:pPr>
        <w:spacing w:after="0" w:line="59"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•the historical unaudited condensed interim combined consolidated financial statements for GroupBy as of, and for the six months ended June 30, 2025, included elsewhere in this Report;</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section entitled “</w:t>
      </w:r>
      <w:r>
        <w:rPr>
          <w:rFonts w:ascii="Times New Roman" w:cs="Times New Roman" w:eastAsia="Times New Roman" w:hAnsi="Times New Roman"/>
          <w:sz w:val="16"/>
          <w:szCs w:val="16"/>
          <w:i w:val="1"/>
          <w:iCs w:val="1"/>
          <w:color w:val="auto"/>
        </w:rPr>
        <w:t>Management’s Discussion and Analysis of Financial Condition and Results of Operation</w:t>
      </w:r>
      <w:r>
        <w:rPr>
          <w:rFonts w:ascii="Times New Roman" w:cs="Times New Roman" w:eastAsia="Times New Roman" w:hAnsi="Times New Roman"/>
          <w:sz w:val="16"/>
          <w:szCs w:val="16"/>
          <w:color w:val="auto"/>
        </w:rPr>
        <w:t>s.”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7" w:right="680" w:bottom="1440" w:gutter="0" w:footer="0" w:header="0"/>
        </w:sectPr>
      </w:pPr>
    </w:p>
    <w:bookmarkStart w:id="80" w:name="page81"/>
    <w:bookmarkEnd w:id="80"/>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tcPr>
          <w:p>
            <w:pPr>
              <w:ind w:left="1040"/>
              <w:spacing w:after="0"/>
              <w:rPr>
                <w:sz w:val="20"/>
                <w:szCs w:val="20"/>
                <w:color w:val="auto"/>
              </w:rPr>
            </w:pPr>
            <w:r>
              <w:rPr>
                <w:rFonts w:ascii="Times New Roman" w:cs="Times New Roman" w:eastAsia="Times New Roman" w:hAnsi="Times New Roman"/>
                <w:sz w:val="11"/>
                <w:szCs w:val="11"/>
                <w:b w:val="1"/>
                <w:bCs w:val="1"/>
                <w:color w:val="auto"/>
              </w:rPr>
              <w:t>Proforma Combined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w w:val="95"/>
              </w:rPr>
              <w:t>GroupBy</w:t>
            </w: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7"/>
              </w:rPr>
              <w:t>Rezolve AI plc and Subsidiaries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4"/>
          </w:tcPr>
          <w:p>
            <w:pPr>
              <w:jc w:val="center"/>
              <w:ind w:right="586"/>
              <w:spacing w:after="0"/>
              <w:rPr>
                <w:sz w:val="20"/>
                <w:szCs w:val="20"/>
                <w:color w:val="auto"/>
              </w:rPr>
            </w:pPr>
            <w:r>
              <w:rPr>
                <w:rFonts w:ascii="Times New Roman" w:cs="Times New Roman" w:eastAsia="Times New Roman" w:hAnsi="Times New Roman"/>
                <w:sz w:val="11"/>
                <w:szCs w:val="11"/>
                <w:b w:val="1"/>
                <w:bCs w:val="1"/>
                <w:color w:val="auto"/>
                <w:w w:val="99"/>
              </w:rPr>
              <w:t>GroupBy</w:t>
            </w:r>
          </w:p>
        </w:tc>
        <w:tc>
          <w:tcPr>
            <w:tcW w:w="1360" w:type="dxa"/>
            <w:vAlign w:val="bottom"/>
            <w:gridSpan w:val="2"/>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w w:val="96"/>
              </w:rPr>
              <w:t>Transaction Accounting</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(Six months ended June 30, 2025)</w:t>
            </w:r>
          </w:p>
        </w:tc>
        <w:tc>
          <w:tcPr>
            <w:tcW w:w="1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(January 1, 2025 to March 25, 2025)</w:t>
            </w:r>
          </w:p>
        </w:tc>
        <w:tc>
          <w:tcPr>
            <w:tcW w:w="80" w:type="dxa"/>
            <w:vAlign w:val="bottom"/>
          </w:tcPr>
          <w:p>
            <w:pPr>
              <w:spacing w:after="0"/>
              <w:rPr>
                <w:sz w:val="13"/>
                <w:szCs w:val="13"/>
                <w:color w:val="auto"/>
              </w:rPr>
            </w:pPr>
          </w:p>
        </w:tc>
        <w:tc>
          <w:tcPr>
            <w:tcW w:w="180" w:type="dxa"/>
            <w:vAlign w:val="bottom"/>
            <w:tcBorders>
              <w:bottom w:val="single" w:sz="8" w:color="auto"/>
            </w:tcBorders>
            <w:gridSpan w:val="2"/>
          </w:tcPr>
          <w:p>
            <w:pPr>
              <w:spacing w:after="0"/>
              <w:rPr>
                <w:sz w:val="13"/>
                <w:szCs w:val="13"/>
                <w:color w:val="auto"/>
              </w:rPr>
            </w:pPr>
          </w:p>
        </w:tc>
        <w:tc>
          <w:tcPr>
            <w:tcW w:w="12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Pro Forma Combined</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vMerge w:val="restart"/>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74"/>
              </w:rPr>
              <w:t>A</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4"/>
            <w:vMerge w:val="restart"/>
          </w:tcPr>
          <w:p>
            <w:pPr>
              <w:jc w:val="center"/>
              <w:ind w:right="566"/>
              <w:spacing w:after="0"/>
              <w:rPr>
                <w:sz w:val="20"/>
                <w:szCs w:val="20"/>
                <w:color w:val="auto"/>
              </w:rPr>
            </w:pPr>
            <w:r>
              <w:rPr>
                <w:rFonts w:ascii="Times New Roman" w:cs="Times New Roman" w:eastAsia="Times New Roman" w:hAnsi="Times New Roman"/>
                <w:sz w:val="11"/>
                <w:szCs w:val="11"/>
                <w:b w:val="1"/>
                <w:bCs w:val="1"/>
                <w:color w:val="auto"/>
                <w:w w:val="81"/>
              </w:rPr>
              <w:t>B</w:t>
            </w:r>
          </w:p>
        </w:tc>
        <w:tc>
          <w:tcPr>
            <w:tcW w:w="1360" w:type="dxa"/>
            <w:vAlign w:val="bottom"/>
            <w:gridSpan w:val="2"/>
            <w:vMerge w:val="restart"/>
          </w:tcPr>
          <w:p>
            <w:pPr>
              <w:jc w:val="center"/>
              <w:ind w:right="122"/>
              <w:spacing w:after="0"/>
              <w:rPr>
                <w:sz w:val="20"/>
                <w:szCs w:val="20"/>
                <w:color w:val="auto"/>
              </w:rPr>
            </w:pPr>
            <w:r>
              <w:rPr>
                <w:rFonts w:ascii="Times New Roman" w:cs="Times New Roman" w:eastAsia="Times New Roman" w:hAnsi="Times New Roman"/>
                <w:sz w:val="11"/>
                <w:szCs w:val="11"/>
                <w:b w:val="1"/>
                <w:bCs w:val="1"/>
                <w:color w:val="auto"/>
              </w:rPr>
              <w:t>C</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D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40" w:type="dxa"/>
            <w:vAlign w:val="bottom"/>
            <w:gridSpan w:val="4"/>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A+B+C</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6,316,950</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4,373,387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10,690,337</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80" w:type="dxa"/>
            <w:vAlign w:val="bottom"/>
            <w:shd w:val="clear" w:color="auto" w:fill="CFF0FC"/>
          </w:tcPr>
          <w:p>
            <w:pPr>
              <w:spacing w:after="0"/>
              <w:rPr>
                <w:sz w:val="11"/>
                <w:szCs w:val="11"/>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276,049</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1"/>
                <w:szCs w:val="11"/>
                <w:color w:val="auto"/>
              </w:rPr>
              <w:t>276,199</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Sales and marketing expense</w:t>
            </w:r>
          </w:p>
        </w:tc>
        <w:tc>
          <w:tcPr>
            <w:tcW w:w="8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3,619,675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778,133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4,397,808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8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33,263,730</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5,219,022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38,482,752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Other operating expenses</w:t>
            </w:r>
          </w:p>
        </w:tc>
        <w:tc>
          <w:tcPr>
            <w:tcW w:w="8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31,236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Depreciation and amortization expenses</w:t>
            </w:r>
          </w:p>
        </w:tc>
        <w:tc>
          <w:tcPr>
            <w:tcW w:w="8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1,550,777</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40" w:type="dxa"/>
            <w:vAlign w:val="bottom"/>
            <w:gridSpan w:val="4"/>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1,178,257</w:t>
            </w:r>
          </w:p>
        </w:tc>
        <w:tc>
          <w:tcPr>
            <w:tcW w:w="100" w:type="dxa"/>
            <w:vAlign w:val="bottom"/>
            <w:shd w:val="clear" w:color="auto" w:fill="CFF0FC"/>
          </w:tcPr>
          <w:p>
            <w:pPr>
              <w:spacing w:after="0"/>
              <w:rPr>
                <w:sz w:val="11"/>
                <w:szCs w:val="11"/>
                <w:color w:val="auto"/>
              </w:rPr>
            </w:pP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b w:val="1"/>
                <w:bCs w:val="1"/>
                <w:color w:val="auto"/>
              </w:rPr>
              <w:t>A</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2,729,034</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8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38,741,467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5,997,305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1,178,257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45,917,029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80" w:type="dxa"/>
            <w:vAlign w:val="bottom"/>
            <w:gridSpan w:val="2"/>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loss</w:t>
            </w:r>
          </w:p>
        </w:tc>
        <w:tc>
          <w:tcPr>
            <w:tcW w:w="80" w:type="dxa"/>
            <w:vAlign w:val="bottom"/>
          </w:tcPr>
          <w:p>
            <w:pPr>
              <w:spacing w:after="0"/>
              <w:rPr>
                <w:sz w:val="11"/>
                <w:szCs w:val="11"/>
                <w:color w:val="auto"/>
              </w:rPr>
            </w:pPr>
          </w:p>
        </w:tc>
        <w:tc>
          <w:tcPr>
            <w:tcW w:w="1760" w:type="dxa"/>
            <w:vAlign w:val="bottom"/>
            <w:gridSpan w:val="3"/>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(32,424,517)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(1,623,918)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(1,178,257)</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(35,226,692)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Other (expense) income</w:t>
            </w:r>
          </w:p>
        </w:tc>
        <w:tc>
          <w:tcPr>
            <w:tcW w:w="8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80" w:type="dxa"/>
            <w:vAlign w:val="bottom"/>
          </w:tcPr>
          <w:p>
            <w:pPr>
              <w:spacing w:after="0"/>
              <w:rPr>
                <w:sz w:val="11"/>
                <w:szCs w:val="11"/>
                <w:color w:val="auto"/>
              </w:rPr>
            </w:pPr>
          </w:p>
        </w:tc>
        <w:tc>
          <w:tcPr>
            <w:tcW w:w="1760" w:type="dxa"/>
            <w:vAlign w:val="bottom"/>
            <w:gridSpan w:val="3"/>
          </w:tcPr>
          <w:p>
            <w:pPr>
              <w:jc w:val="right"/>
              <w:ind w:right="55"/>
              <w:spacing w:after="0"/>
              <w:rPr>
                <w:sz w:val="20"/>
                <w:szCs w:val="20"/>
                <w:color w:val="auto"/>
              </w:rPr>
            </w:pPr>
            <w:r>
              <w:rPr>
                <w:rFonts w:ascii="Times New Roman" w:cs="Times New Roman" w:eastAsia="Times New Roman" w:hAnsi="Times New Roman"/>
                <w:sz w:val="11"/>
                <w:szCs w:val="11"/>
                <w:color w:val="auto"/>
              </w:rPr>
              <w:t>(2,109,570)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color w:val="auto"/>
              </w:rPr>
              <w:t>(264,509)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262,333</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B</w:t>
            </w:r>
          </w:p>
        </w:tc>
        <w:tc>
          <w:tcPr>
            <w:tcW w:w="14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(2,111,746)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Loss on derivatives</w:t>
            </w:r>
          </w:p>
        </w:tc>
        <w:tc>
          <w:tcPr>
            <w:tcW w:w="80" w:type="dxa"/>
            <w:vAlign w:val="bottom"/>
            <w:shd w:val="clear" w:color="auto" w:fill="CFF0FC"/>
          </w:tcPr>
          <w:p>
            <w:pPr>
              <w:spacing w:after="0"/>
              <w:rPr>
                <w:sz w:val="11"/>
                <w:szCs w:val="11"/>
                <w:color w:val="auto"/>
              </w:rPr>
            </w:pPr>
          </w:p>
        </w:tc>
        <w:tc>
          <w:tcPr>
            <w:tcW w:w="17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1"/>
                <w:szCs w:val="11"/>
                <w:color w:val="auto"/>
              </w:rPr>
              <w:t>(1,521,136)</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40" w:type="dxa"/>
            <w:vAlign w:val="bottom"/>
            <w:gridSpan w:val="4"/>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(1,521,136)</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(Loss)/gain on extinguishment</w:t>
            </w:r>
          </w:p>
        </w:tc>
        <w:tc>
          <w:tcPr>
            <w:tcW w:w="80" w:type="dxa"/>
            <w:vAlign w:val="bottom"/>
          </w:tcPr>
          <w:p>
            <w:pPr>
              <w:spacing w:after="0"/>
              <w:rPr>
                <w:sz w:val="11"/>
                <w:szCs w:val="11"/>
                <w:color w:val="auto"/>
              </w:rPr>
            </w:pPr>
          </w:p>
        </w:tc>
        <w:tc>
          <w:tcPr>
            <w:tcW w:w="1760" w:type="dxa"/>
            <w:vAlign w:val="bottom"/>
            <w:gridSpan w:val="3"/>
          </w:tcPr>
          <w:p>
            <w:pPr>
              <w:jc w:val="right"/>
              <w:ind w:right="55"/>
              <w:spacing w:after="0"/>
              <w:rPr>
                <w:sz w:val="20"/>
                <w:szCs w:val="20"/>
                <w:color w:val="auto"/>
              </w:rPr>
            </w:pPr>
            <w:r>
              <w:rPr>
                <w:rFonts w:ascii="Times New Roman" w:cs="Times New Roman" w:eastAsia="Times New Roman" w:hAnsi="Times New Roman"/>
                <w:sz w:val="11"/>
                <w:szCs w:val="11"/>
                <w:color w:val="auto"/>
              </w:rPr>
              <w:t>(27,183,375)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rPr>
              <w:t>719,526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(719,526)</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w:t>
            </w:r>
          </w:p>
        </w:tc>
        <w:tc>
          <w:tcPr>
            <w:tcW w:w="14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(27,183,375)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Gain on revaluation of financial asset</w:t>
            </w:r>
          </w:p>
        </w:tc>
        <w:tc>
          <w:tcPr>
            <w:tcW w:w="80" w:type="dxa"/>
            <w:vAlign w:val="bottom"/>
            <w:shd w:val="clear" w:color="auto" w:fill="CFF0FC"/>
          </w:tcPr>
          <w:p>
            <w:pPr>
              <w:spacing w:after="0"/>
              <w:rPr>
                <w:sz w:val="11"/>
                <w:szCs w:val="1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5,710,714</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40" w:type="dxa"/>
            <w:vAlign w:val="bottom"/>
            <w:gridSpan w:val="4"/>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Other non-operating income (expense), net</w:t>
            </w:r>
          </w:p>
        </w:tc>
        <w:tc>
          <w:tcPr>
            <w:tcW w:w="80" w:type="dxa"/>
            <w:vAlign w:val="bottom"/>
          </w:tcPr>
          <w:p>
            <w:pPr>
              <w:spacing w:after="0"/>
              <w:rPr>
                <w:sz w:val="11"/>
                <w:szCs w:val="11"/>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169,613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1"/>
                <w:szCs w:val="11"/>
                <w:color w:val="auto"/>
              </w:rPr>
              <w:t>169,613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other (expenses) / income, net</w:t>
            </w:r>
          </w:p>
        </w:tc>
        <w:tc>
          <w:tcPr>
            <w:tcW w:w="80" w:type="dxa"/>
            <w:vAlign w:val="bottom"/>
            <w:shd w:val="clear" w:color="auto" w:fill="CFF0FC"/>
          </w:tcPr>
          <w:p>
            <w:pPr>
              <w:spacing w:after="0"/>
              <w:rPr>
                <w:sz w:val="11"/>
                <w:szCs w:val="11"/>
                <w:color w:val="auto"/>
              </w:rPr>
            </w:pPr>
          </w:p>
        </w:tc>
        <w:tc>
          <w:tcPr>
            <w:tcW w:w="17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(24,933,754)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455,017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(457,193)</w:t>
            </w: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Income (loss) before taxes</w:t>
            </w:r>
          </w:p>
        </w:tc>
        <w:tc>
          <w:tcPr>
            <w:tcW w:w="80" w:type="dxa"/>
            <w:vAlign w:val="bottom"/>
          </w:tcPr>
          <w:p>
            <w:pPr>
              <w:spacing w:after="0"/>
              <w:rPr>
                <w:sz w:val="11"/>
                <w:szCs w:val="11"/>
                <w:color w:val="auto"/>
              </w:rPr>
            </w:pPr>
          </w:p>
        </w:tc>
        <w:tc>
          <w:tcPr>
            <w:tcW w:w="1760" w:type="dxa"/>
            <w:vAlign w:val="bottom"/>
            <w:gridSpan w:val="3"/>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(57,358,271)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(1,168,901)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(1,635,450)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(60,162,622)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0" w:type="dxa"/>
            <w:vAlign w:val="bottom"/>
            <w:shd w:val="clear" w:color="auto" w:fill="CFF0FC"/>
          </w:tcPr>
          <w:p>
            <w:pPr>
              <w:spacing w:after="0"/>
              <w:rPr>
                <w:sz w:val="11"/>
                <w:szCs w:val="11"/>
                <w:color w:val="auto"/>
              </w:rPr>
            </w:pPr>
          </w:p>
        </w:tc>
        <w:tc>
          <w:tcPr>
            <w:tcW w:w="17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1"/>
                <w:szCs w:val="11"/>
                <w:color w:val="auto"/>
              </w:rPr>
              <w:t>(494,247)</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(494,247)</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8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color w:val="auto"/>
              </w:rPr>
              <w:t>Net (loss) income</w:t>
            </w: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80" w:type="dxa"/>
            <w:vAlign w:val="bottom"/>
            <w:tcBorders>
              <w:bottom w:val="single" w:sz="8" w:color="auto"/>
            </w:tcBorders>
            <w:gridSpan w:val="2"/>
          </w:tcPr>
          <w:p>
            <w:pPr>
              <w:jc w:val="right"/>
              <w:ind w:right="20"/>
              <w:spacing w:after="0" w:line="112" w:lineRule="exact"/>
              <w:rPr>
                <w:sz w:val="20"/>
                <w:szCs w:val="20"/>
                <w:color w:val="auto"/>
              </w:rPr>
            </w:pPr>
            <w:r>
              <w:rPr>
                <w:rFonts w:ascii="Times New Roman" w:cs="Times New Roman" w:eastAsia="Times New Roman" w:hAnsi="Times New Roman"/>
                <w:sz w:val="11"/>
                <w:szCs w:val="11"/>
                <w:b w:val="1"/>
                <w:bCs w:val="1"/>
                <w:color w:val="auto"/>
              </w:rPr>
              <w:t>(57,852,518</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rPr>
              <w:t>(1,168,901</w:t>
            </w:r>
          </w:p>
        </w:tc>
        <w:tc>
          <w:tcPr>
            <w:tcW w:w="180" w:type="dxa"/>
            <w:vAlign w:val="bottom"/>
            <w:gridSpan w:val="2"/>
          </w:tcPr>
          <w:p>
            <w:pPr>
              <w:jc w:val="right"/>
              <w:ind w:right="160"/>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rPr>
              <w:t>(1,635,450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line="112" w:lineRule="exact"/>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rPr>
              <w:t>(60,656,869</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Earnings Per Share</w:t>
            </w:r>
          </w:p>
        </w:tc>
        <w:tc>
          <w:tcPr>
            <w:tcW w:w="80" w:type="dxa"/>
            <w:vAlign w:val="bottom"/>
            <w:shd w:val="clear" w:color="auto" w:fill="CFF0FC"/>
          </w:tcPr>
          <w:p>
            <w:pPr>
              <w:spacing w:after="0"/>
              <w:rPr>
                <w:sz w:val="9"/>
                <w:szCs w:val="9"/>
                <w:color w:val="auto"/>
              </w:rPr>
            </w:pPr>
          </w:p>
        </w:tc>
        <w:tc>
          <w:tcPr>
            <w:tcW w:w="1760" w:type="dxa"/>
            <w:vAlign w:val="bottom"/>
            <w:gridSpan w:val="3"/>
            <w:shd w:val="clear" w:color="auto" w:fill="CFF0FC"/>
          </w:tcPr>
          <w:p>
            <w:pPr>
              <w:jc w:val="right"/>
              <w:ind w:right="55"/>
              <w:spacing w:after="0" w:line="109" w:lineRule="exact"/>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ind w:left="120"/>
              <w:spacing w:after="0" w:line="109" w:lineRule="exact"/>
              <w:rPr>
                <w:sz w:val="20"/>
                <w:szCs w:val="20"/>
                <w:color w:val="auto"/>
              </w:rPr>
            </w:pPr>
            <w:r>
              <w:rPr>
                <w:rFonts w:ascii="Times New Roman" w:cs="Times New Roman" w:eastAsia="Times New Roman" w:hAnsi="Times New Roman"/>
                <w:sz w:val="11"/>
                <w:szCs w:val="11"/>
                <w:b w:val="1"/>
                <w:bCs w:val="1"/>
                <w:color w:val="auto"/>
              </w:rPr>
              <w:t>D</w:t>
            </w:r>
          </w:p>
        </w:tc>
        <w:tc>
          <w:tcPr>
            <w:tcW w:w="140" w:type="dxa"/>
            <w:vAlign w:val="bottom"/>
            <w:shd w:val="clear" w:color="auto" w:fill="CFF0FC"/>
          </w:tcPr>
          <w:p>
            <w:pPr>
              <w:spacing w:after="0"/>
              <w:rPr>
                <w:sz w:val="9"/>
                <w:szCs w:val="9"/>
                <w:color w:val="auto"/>
              </w:rPr>
            </w:pPr>
          </w:p>
        </w:tc>
        <w:tc>
          <w:tcPr>
            <w:tcW w:w="1420" w:type="dxa"/>
            <w:vAlign w:val="bottom"/>
            <w:gridSpan w:val="2"/>
            <w:shd w:val="clear" w:color="auto" w:fill="CFF0FC"/>
          </w:tcPr>
          <w:p>
            <w:pPr>
              <w:jc w:val="right"/>
              <w:ind w:right="22"/>
              <w:spacing w:after="0" w:line="109" w:lineRule="exact"/>
              <w:rPr>
                <w:sz w:val="20"/>
                <w:szCs w:val="20"/>
                <w:color w:val="auto"/>
              </w:rPr>
            </w:pPr>
            <w:r>
              <w:rPr>
                <w:rFonts w:ascii="Times New Roman" w:cs="Times New Roman" w:eastAsia="Times New Roman" w:hAnsi="Times New Roman"/>
                <w:sz w:val="11"/>
                <w:szCs w:val="11"/>
                <w:color w:val="auto"/>
              </w:rPr>
              <w:t>(0.3)</w:t>
            </w: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Basic and diluted weighted average shares outstanding</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233,521,905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233,521,905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1196975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1" w:name="page82"/>
    <w:bookmarkEnd w:id="81"/>
    <w:p>
      <w:pPr>
        <w:ind w:left="240"/>
        <w:spacing w:after="0"/>
        <w:rPr>
          <w:sz w:val="20"/>
          <w:szCs w:val="20"/>
          <w:color w:val="auto"/>
        </w:rPr>
      </w:pPr>
      <w:r>
        <w:rPr>
          <w:rFonts w:ascii="Times New Roman" w:cs="Times New Roman" w:eastAsia="Times New Roman" w:hAnsi="Times New Roman"/>
          <w:sz w:val="16"/>
          <w:szCs w:val="16"/>
          <w:b w:val="1"/>
          <w:bCs w:val="1"/>
          <w:color w:val="auto"/>
        </w:rPr>
        <w:t>REZOLVE AI LIMITED AND SUBSIDIARIES NOTES TO UNAUDITED PRO FORMA CONDENSED COMBINED FINANCIAL INFORMATION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1—Basis of Presentation</w:t>
      </w:r>
    </w:p>
    <w:p>
      <w:pPr>
        <w:spacing w:after="0" w:line="190" w:lineRule="exact"/>
        <w:rPr>
          <w:sz w:val="20"/>
          <w:szCs w:val="20"/>
          <w:color w:val="auto"/>
        </w:rPr>
      </w:pPr>
    </w:p>
    <w:p>
      <w:pPr>
        <w:ind w:right="220" w:firstLine="468"/>
        <w:spacing w:after="0" w:line="259" w:lineRule="auto"/>
        <w:rPr>
          <w:sz w:val="20"/>
          <w:szCs w:val="20"/>
          <w:color w:val="auto"/>
        </w:rPr>
      </w:pPr>
      <w:r>
        <w:rPr>
          <w:rFonts w:ascii="Times New Roman" w:cs="Times New Roman" w:eastAsia="Times New Roman" w:hAnsi="Times New Roman"/>
          <w:sz w:val="16"/>
          <w:szCs w:val="16"/>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GroupBy acquisition</w:t>
      </w:r>
    </w:p>
    <w:p>
      <w:pPr>
        <w:spacing w:after="0" w:line="190"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64" w:lineRule="exact"/>
        <w:rPr>
          <w:sz w:val="20"/>
          <w:szCs w:val="20"/>
          <w:color w:val="auto"/>
        </w:rPr>
      </w:pPr>
    </w:p>
    <w:p>
      <w:pPr>
        <w:ind w:right="120" w:firstLine="468"/>
        <w:spacing w:after="0" w:line="239" w:lineRule="auto"/>
        <w:rPr>
          <w:sz w:val="20"/>
          <w:szCs w:val="20"/>
          <w:color w:val="auto"/>
        </w:rPr>
      </w:pPr>
      <w:r>
        <w:rPr>
          <w:rFonts w:ascii="Times New Roman" w:cs="Times New Roman" w:eastAsia="Times New Roman" w:hAnsi="Times New Roman"/>
          <w:sz w:val="16"/>
          <w:szCs w:val="16"/>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Unaudited Pro Forma financial information</w:t>
      </w:r>
    </w:p>
    <w:p>
      <w:pPr>
        <w:spacing w:after="0" w:line="190"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The Unaudited Pro Forma Condensed Combined Statement of Operations for the six months ended June 30, 2025 gives effect to the GroupBy acquisition as if the acquisition had been completed on January 1, 2024.</w:t>
      </w:r>
    </w:p>
    <w:p>
      <w:pPr>
        <w:spacing w:after="0" w:line="155" w:lineRule="exact"/>
        <w:rPr>
          <w:sz w:val="20"/>
          <w:szCs w:val="20"/>
          <w:color w:val="auto"/>
        </w:rPr>
      </w:pPr>
    </w:p>
    <w:p>
      <w:pPr>
        <w:ind w:right="100" w:firstLine="468"/>
        <w:spacing w:after="0" w:line="278"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reflects transaction related adjustments management believes are necessary to present fairly Rezolve’s pro forma results of operations and financial position following the closing of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GroupBy acquisition was completed on the date mentioned above. Therefore, the unaudited pro forma condensed combined financial information and related notes are presented for illustrative purposes only. If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47" w:lineRule="exact"/>
        <w:rPr>
          <w:sz w:val="20"/>
          <w:szCs w:val="20"/>
          <w:color w:val="auto"/>
        </w:rPr>
      </w:pPr>
    </w:p>
    <w:p>
      <w:pPr>
        <w:ind w:right="260" w:firstLine="468"/>
        <w:spacing w:after="0" w:line="241"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should not be relied upon as an indication of operating results that Rezolve would have achieved if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GroupBy acquisition. The unaudited pro forma condensed combined financial information does not give effect to any anticipated synergies, operating efficiencies, tax savings, or cost savings that may be associated with the GroupBy acquisition.</w:t>
      </w:r>
    </w:p>
    <w:p>
      <w:pPr>
        <w:spacing w:after="0" w:line="169" w:lineRule="exact"/>
        <w:rPr>
          <w:sz w:val="20"/>
          <w:szCs w:val="20"/>
          <w:color w:val="auto"/>
        </w:rPr>
      </w:pPr>
    </w:p>
    <w:p>
      <w:pPr>
        <w:ind w:right="240" w:firstLine="468"/>
        <w:spacing w:after="0" w:line="247" w:lineRule="auto"/>
        <w:rPr>
          <w:sz w:val="20"/>
          <w:szCs w:val="20"/>
          <w:color w:val="auto"/>
        </w:rPr>
      </w:pPr>
      <w:r>
        <w:rPr>
          <w:rFonts w:ascii="Times New Roman" w:cs="Times New Roman" w:eastAsia="Times New Roman" w:hAnsi="Times New Roman"/>
          <w:sz w:val="16"/>
          <w:szCs w:val="16"/>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Report.</w:t>
      </w:r>
    </w:p>
    <w:p>
      <w:pPr>
        <w:spacing w:after="0" w:line="164" w:lineRule="exact"/>
        <w:rPr>
          <w:sz w:val="20"/>
          <w:szCs w:val="20"/>
          <w:color w:val="auto"/>
        </w:rPr>
      </w:pPr>
    </w:p>
    <w:p>
      <w:pPr>
        <w:ind w:right="280" w:firstLine="468"/>
        <w:spacing w:after="0" w:line="247" w:lineRule="auto"/>
        <w:rPr>
          <w:sz w:val="20"/>
          <w:szCs w:val="20"/>
          <w:color w:val="auto"/>
        </w:rPr>
      </w:pPr>
      <w:r>
        <w:rPr>
          <w:rFonts w:ascii="Times New Roman" w:cs="Times New Roman" w:eastAsia="Times New Roman" w:hAnsi="Times New Roman"/>
          <w:sz w:val="16"/>
          <w:szCs w:val="16"/>
          <w:color w:val="auto"/>
        </w:rPr>
        <w:t>The historical unaudited condensed interim combined consolidated financial statements for GroupBy as of and for six months ended June 30, 2025 have been prepared in accordance with International Financial Reporting Standards (“IFRS”) and interpretations adopted by the International Accounting Standards Board (“IASB”).</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2—Unaudited pro forma condensed combined statements of operations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REZOLVE AI LIMITED AND SUBSIDIARIES NOTES TO UNAUDITED PRO FORMA CONDENSED COMBINED FINANCIAL INFORMATION</w:t>
      </w:r>
    </w:p>
    <w:p>
      <w:pPr>
        <w:spacing w:after="0" w:line="370" w:lineRule="exact"/>
        <w:rPr>
          <w:sz w:val="20"/>
          <w:szCs w:val="20"/>
          <w:color w:val="auto"/>
        </w:rPr>
      </w:pPr>
    </w:p>
    <w:p>
      <w:pPr>
        <w:ind w:right="280" w:firstLine="468"/>
        <w:spacing w:after="0" w:line="331" w:lineRule="auto"/>
        <w:rPr>
          <w:sz w:val="20"/>
          <w:szCs w:val="20"/>
          <w:color w:val="auto"/>
        </w:rPr>
      </w:pPr>
      <w:r>
        <w:rPr>
          <w:rFonts w:ascii="Times New Roman" w:cs="Times New Roman" w:eastAsia="Times New Roman" w:hAnsi="Times New Roman"/>
          <w:sz w:val="14"/>
          <w:szCs w:val="14"/>
          <w:color w:val="auto"/>
        </w:rPr>
        <w:t>In addition to the pro forma adjustments listed below, the unaudited pro forma condensed combined statement of operations for the period January 1, 2025 to March 25, 2025 also include adjustments to conform GroupBy's historical presentation of certain line items to the presentation of those line items by Rezolve.</w:t>
      </w:r>
    </w:p>
    <w:p>
      <w:pPr>
        <w:spacing w:after="0" w:line="1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(a)Adjustment to add incremental amortization expense for GroupBy based on the fair values assigned in the preliminary purchase price allocation to technology intellectual property and customer contract and related relationships.</w:t>
      </w:r>
    </w:p>
    <w:p>
      <w:pPr>
        <w:spacing w:after="0" w:line="59"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6"/>
          <w:szCs w:val="16"/>
          <w:color w:val="auto"/>
        </w:rPr>
        <w:t>(b)Adjustment to remove GroupBy's historical interest expense for the period January 1, 2025 to March 25, 2025, as a result of the settlement of $ 12,300,000 of outstanding debt due to Western Alliance Bank ("WAB"). In connection with the closing of the GroupBy acquisition, the Company entered into a subscription letter with WAB pursuant to which the Company agreed to issue to WAB a number of its Ordinary Shares which is equal to $12,300,000. In consideration for the allotment of these Ordinary Shares, WAB irrevocably and unconditionally released and discharged the Company from the obligations owed by the Company to WAB.</w:t>
      </w:r>
    </w:p>
    <w:p>
      <w:pPr>
        <w:spacing w:after="0" w:line="7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(c)Reflects an adjustment for the cancellation of all warrants, on acquisition date, to which GroupBy was a party which was one of the conditions for the closing of the GroupBy acquisition.</w:t>
      </w:r>
    </w:p>
    <w:p>
      <w:pPr>
        <w:spacing w:after="0" w:line="59" w:lineRule="exact"/>
        <w:rPr>
          <w:sz w:val="20"/>
          <w:szCs w:val="20"/>
          <w:color w:val="auto"/>
        </w:rPr>
      </w:pPr>
    </w:p>
    <w:p>
      <w:pPr>
        <w:ind w:left="480" w:right="80"/>
        <w:spacing w:after="0" w:line="289" w:lineRule="auto"/>
        <w:rPr>
          <w:sz w:val="20"/>
          <w:szCs w:val="20"/>
          <w:color w:val="auto"/>
        </w:rPr>
      </w:pPr>
      <w:r>
        <w:rPr>
          <w:rFonts w:ascii="Times New Roman" w:cs="Times New Roman" w:eastAsia="Times New Roman" w:hAnsi="Times New Roman"/>
          <w:sz w:val="14"/>
          <w:szCs w:val="14"/>
          <w:color w:val="auto"/>
        </w:rPr>
        <w:t>(d)Represents the net loss per share calculated using the historical weighted average shares outstanding, and the issuance of additional shares in connection with GroupBy acquisition, assuming the shares were outstanding since January 1, 2024. As the GroupBy acquisition are being reflected in the unaudited pro forma condensed combined statement of operations as if it had occurred on January 1, 2024, the calculation of weighted average shares outstanding for basic and diluted net loss per share assumes that the shares issuable in connection with the GroupBy acquisitions have been outstanding for the entire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730250</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83" w:name="page84"/>
    <w:bookmarkEnd w:id="8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6"/>
    </w:lvl>
  </w:abstractNum>
  <w:abstractNum w:abstractNumId="2">
    <w:nsid w:val="3D1B58BA"/>
    <w:multiLevelType w:val="hybridMultilevel"/>
    <w:lvl w:ilvl="0">
      <w:lvlJc w:val="left"/>
      <w:lvlText w:val="%1."/>
      <w:numFmt w:val="decimal"/>
      <w:start w:val="7"/>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2025-10-01T15:15:59Z</dcterms:created>
  <dcterms:modified xsi:type="dcterms:W3CDTF">2025-10-01T15:15:59Z</dcterms:modified>
</cp:coreProperties>
</file>