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For the month of February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365125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February 21,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Rezolve AI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with each of the investors listed on the Schedule of Buyers attached thereto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Capitalized terms used but not defined herein shall have the meanings ascribed to them in the SPA or the form of Convertible Note (as defined below), as applicable.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SPA, the Company has agreed to sell to the Buyers up to $1 billion of Convertible Notes. The Company has agreed to use all of the proceeds it receives from the sale of the Convertible Notes to cause a newly formed, wholly owned subsidiary of the Company (the “</w:t>
      </w:r>
      <w:r>
        <w:rPr>
          <w:rFonts w:ascii="Times New Roman" w:cs="Times New Roman" w:eastAsia="Times New Roman" w:hAnsi="Times New Roman"/>
          <w:sz w:val="18"/>
          <w:szCs w:val="18"/>
          <w:b w:val="1"/>
          <w:bCs w:val="1"/>
          <w:color w:val="auto"/>
        </w:rPr>
        <w:t>New SPV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to purchase and hold Bitcoin, subject to certain conditions being met, as set out in the terms of the Convertible Notes.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the Company will initially sell $100 million of Convertible Notes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 to the Buyers (the “</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In connection with the Initial Closing, the Company will also issue a number of ordinary shares (“</w:t>
      </w:r>
      <w:r>
        <w:rPr>
          <w:rFonts w:ascii="Times New Roman" w:cs="Times New Roman" w:eastAsia="Times New Roman" w:hAnsi="Times New Roman"/>
          <w:sz w:val="18"/>
          <w:szCs w:val="18"/>
          <w:b w:val="1"/>
          <w:bCs w:val="1"/>
          <w:color w:val="auto"/>
        </w:rPr>
        <w:t>Closing Commitment Shares</w:t>
      </w:r>
      <w:r>
        <w:rPr>
          <w:rFonts w:ascii="Times New Roman" w:cs="Times New Roman" w:eastAsia="Times New Roman" w:hAnsi="Times New Roman"/>
          <w:sz w:val="18"/>
          <w:szCs w:val="18"/>
          <w:color w:val="auto"/>
        </w:rPr>
        <w:t>”) of the Company, par value £0.0001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beginning on June 25, 2025 and until February 21, 2028, the Lead Buyer may cause the Company to participate in additional closings (each, an “</w:t>
      </w:r>
      <w:r>
        <w:rPr>
          <w:rFonts w:ascii="Times New Roman" w:cs="Times New Roman" w:eastAsia="Times New Roman" w:hAnsi="Times New Roman"/>
          <w:sz w:val="18"/>
          <w:szCs w:val="18"/>
          <w:b w:val="1"/>
          <w:bCs w:val="1"/>
          <w:color w:val="auto"/>
        </w:rPr>
        <w:t>Additional Closing</w:t>
      </w:r>
      <w:r>
        <w:rPr>
          <w:rFonts w:ascii="Times New Roman" w:cs="Times New Roman" w:eastAsia="Times New Roman" w:hAnsi="Times New Roman"/>
          <w:sz w:val="18"/>
          <w:szCs w:val="18"/>
          <w:color w:val="auto"/>
        </w:rPr>
        <w:t>”) for up to $900 million of additional Convertible Notes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and, together with the Initial Notes,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with a conversion price equal to the 20-day VWAP of the Ordinary Shares on the date of the applicable Additional Closing. In connection with each Additional Closing, the Company will sell Additional Notes to the Buyers and issue a number of Ordinary Shares (“</w:t>
      </w:r>
      <w:r>
        <w:rPr>
          <w:rFonts w:ascii="Times New Roman" w:cs="Times New Roman" w:eastAsia="Times New Roman" w:hAnsi="Times New Roman"/>
          <w:sz w:val="18"/>
          <w:szCs w:val="18"/>
          <w:b w:val="1"/>
          <w:bCs w:val="1"/>
          <w:color w:val="auto"/>
        </w:rPr>
        <w:t>Additional Commitment Shares</w:t>
      </w:r>
      <w:r>
        <w:rPr>
          <w:rFonts w:ascii="Times New Roman" w:cs="Times New Roman" w:eastAsia="Times New Roman" w:hAnsi="Times New Roman"/>
          <w:sz w:val="18"/>
          <w:szCs w:val="18"/>
          <w:color w:val="auto"/>
        </w:rPr>
        <w:t>” and, together with Closing Commitment Shares, “</w:t>
      </w:r>
      <w:r>
        <w:rPr>
          <w:rFonts w:ascii="Times New Roman" w:cs="Times New Roman" w:eastAsia="Times New Roman" w:hAnsi="Times New Roman"/>
          <w:sz w:val="18"/>
          <w:szCs w:val="18"/>
          <w:b w:val="1"/>
          <w:bCs w:val="1"/>
          <w:color w:val="auto"/>
        </w:rPr>
        <w:t>Commitment Shares</w:t>
      </w:r>
      <w:r>
        <w:rPr>
          <w:rFonts w:ascii="Times New Roman" w:cs="Times New Roman" w:eastAsia="Times New Roman" w:hAnsi="Times New Roman"/>
          <w:sz w:val="18"/>
          <w:szCs w:val="18"/>
          <w:color w:val="auto"/>
        </w:rPr>
        <w:t>”)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Buyers or their affiliates have in the past provided and may from time to time in the future provide investment banking and other services to the Company.</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SPA and the Convertible Notes does not purport to be complete and is qualified in its entirety by the full text of the SPA and the form of Convertible Note, which are incorporated by reference herein and attached herewith as Exhibits 10.1 and 10.2 to this Report of Foreign Private Issuer on Form 6-K.</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February 24, 2025, the Company issued a press release announcing the SPA. A copy of the press release is furnished as Exhibit 99.1 to this Report on Form 6-K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80" w:type="dxa"/>
            <w:vAlign w:val="bottom"/>
          </w:tcPr>
          <w:p>
            <w:pPr>
              <w:spacing w:after="0"/>
              <w:rPr>
                <w:sz w:val="24"/>
                <w:szCs w:val="24"/>
                <w:color w:val="auto"/>
              </w:rPr>
            </w:pPr>
          </w:p>
        </w:tc>
        <w:tc>
          <w:tcPr>
            <w:tcW w:w="8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Form of Securities Purchase Agreement, dated February 21, 2025, between Rezolve AI Ltd., and each of the investors listed</w:t>
            </w:r>
          </w:p>
        </w:tc>
        <w:tc>
          <w:tcPr>
            <w:tcW w:w="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1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on the Schedule of Buyers attached thereto.</w:t>
            </w:r>
          </w:p>
        </w:tc>
        <w:tc>
          <w:tcPr>
            <w:tcW w:w="5920" w:type="dxa"/>
            <w:vAlign w:val="bottom"/>
            <w:gridSpan w:val="2"/>
          </w:tcPr>
          <w:p>
            <w:pPr>
              <w:spacing w:after="0"/>
              <w:rPr>
                <w:sz w:val="17"/>
                <w:szCs w:val="17"/>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7"/>
                <w:szCs w:val="17"/>
                <w:color w:val="auto"/>
              </w:rPr>
            </w:pPr>
          </w:p>
        </w:tc>
        <w:tc>
          <w:tcPr>
            <w:tcW w:w="19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Form of Convertible Note.</w:t>
            </w:r>
          </w:p>
        </w:tc>
        <w:tc>
          <w:tcPr>
            <w:tcW w:w="7140" w:type="dxa"/>
            <w:vAlign w:val="bottom"/>
            <w:gridSpan w:val="4"/>
          </w:tcPr>
          <w:p>
            <w:pPr>
              <w:spacing w:after="0"/>
              <w:rPr>
                <w:sz w:val="17"/>
                <w:szCs w:val="17"/>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80" w:type="dxa"/>
            <w:vAlign w:val="bottom"/>
          </w:tcPr>
          <w:p>
            <w:pPr>
              <w:spacing w:after="0"/>
              <w:rPr>
                <w:sz w:val="17"/>
                <w:szCs w:val="17"/>
                <w:color w:val="auto"/>
              </w:rPr>
            </w:pPr>
          </w:p>
        </w:tc>
        <w:tc>
          <w:tcPr>
            <w:tcW w:w="90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February 24, 2025</w:t>
            </w:r>
            <w:r>
              <w:rPr>
                <w:rFonts w:ascii="Times New Roman" w:cs="Times New Roman" w:eastAsia="Times New Roman" w:hAnsi="Times New Roman"/>
                <w:sz w:val="18"/>
                <w:szCs w:val="18"/>
                <w:color w:val="000000"/>
              </w:rPr>
              <w:t>.</w:t>
            </w: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900" w:type="dxa"/>
            <w:vAlign w:val="bottom"/>
            <w:tcBorders>
              <w:top w:val="single" w:sz="8" w:color="0000FF"/>
              <w:bottom w:val="single" w:sz="8" w:color="808080"/>
            </w:tcBorders>
          </w:tcPr>
          <w:p>
            <w:pPr>
              <w:spacing w:after="0"/>
              <w:rPr>
                <w:sz w:val="24"/>
                <w:szCs w:val="24"/>
                <w:color w:val="auto"/>
              </w:rPr>
            </w:pPr>
          </w:p>
        </w:tc>
        <w:tc>
          <w:tcPr>
            <w:tcW w:w="1020" w:type="dxa"/>
            <w:vAlign w:val="bottom"/>
            <w:tcBorders>
              <w:top w:val="single" w:sz="8" w:color="0000FF"/>
              <w:bottom w:val="single" w:sz="8" w:color="808080"/>
            </w:tcBorders>
          </w:tcPr>
          <w:p>
            <w:pPr>
              <w:spacing w:after="0"/>
              <w:rPr>
                <w:sz w:val="24"/>
                <w:szCs w:val="24"/>
                <w:color w:val="auto"/>
              </w:rPr>
            </w:pPr>
          </w:p>
        </w:tc>
        <w:tc>
          <w:tcPr>
            <w:tcW w:w="920" w:type="dxa"/>
            <w:vAlign w:val="bottom"/>
            <w:tcBorders>
              <w:top w:val="single" w:sz="8" w:color="0000FF"/>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r>
      <w:tr>
        <w:trPr>
          <w:trHeight w:val="232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5"/>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February 21, 2025, is by and among Rezolve AI Limited, a private limited company incorporated in England and Wales with offices located at 5 New Street Square, London EC4A 3TW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investors listed on the Schedule of Buyers attached hereto (including those that may be added to the Schedule of Buyers at a later date, individually,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The Company and the Buyers may be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 The Company and each Buyer is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Rule 506(b) of Regulation D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1933 Act.</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B. The Company has authorized the sale of a new series of convertible notes of the Company, in the aggregate original principal amount of up to $1,000,000,000 in one or multiple Closings to occur no later than three (3) years after the Initial Closing (as defined below), substantially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which Notes shall be convertible into Ordinary Shares (as defined below) (the Ordinary Shares issuable pursuant to the terms of the Notes, including, without limitation, upon conversion or otherwise, collectively,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in accordance with the terms of the Notes.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 Each Buyer wishes to purchase, and the Company wishes to sell at the Initial Closing, upon the terms and conditions stated in this Agreement,</w:t>
      </w:r>
    </w:p>
    <w:p>
      <w:pPr>
        <w:spacing w:after="0" w:line="27" w:lineRule="exact"/>
        <w:rPr>
          <w:sz w:val="20"/>
          <w:szCs w:val="20"/>
          <w:color w:val="auto"/>
        </w:rPr>
      </w:pPr>
    </w:p>
    <w:p>
      <w:pPr>
        <w:ind w:firstLine="8"/>
        <w:spacing w:after="0" w:line="260" w:lineRule="auto"/>
        <w:tabs>
          <w:tab w:leader="none" w:pos="21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in the aggregate original principal amount set forth opposite such Buyer’s name in column (3) on the Schedule of Buyers, and (ii) that number of Ordinary Shares set forth opposite such Buyer’s name in column (4) on the Schedule of Buyers (the “</w:t>
      </w:r>
      <w:r>
        <w:rPr>
          <w:rFonts w:ascii="Times New Roman" w:cs="Times New Roman" w:eastAsia="Times New Roman" w:hAnsi="Times New Roman"/>
          <w:sz w:val="18"/>
          <w:szCs w:val="18"/>
          <w:b w:val="1"/>
          <w:bCs w:val="1"/>
          <w:color w:val="auto"/>
        </w:rPr>
        <w:t>Commitment Shares</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jc w:val="both"/>
        <w:ind w:firstLine="757"/>
        <w:spacing w:after="0" w:line="262" w:lineRule="auto"/>
        <w:tabs>
          <w:tab w:leader="none" w:pos="983"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Initial Closing, the Parties shall execute and deliver a Registration Rights Agreement,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has agreed to provide certain registration rights with respect to the Registrable Securities (as defined in the Registration Rights Agreement), under the 1933 Act and the rules and regulations promulgated thereunder, and applicable state securities laws.</w:t>
      </w:r>
    </w:p>
    <w:p>
      <w:pPr>
        <w:spacing w:after="0" w:line="180" w:lineRule="exact"/>
        <w:rPr>
          <w:rFonts w:ascii="Times New Roman" w:cs="Times New Roman" w:eastAsia="Times New Roman" w:hAnsi="Times New Roman"/>
          <w:sz w:val="18"/>
          <w:szCs w:val="18"/>
          <w:color w:val="auto"/>
        </w:rPr>
      </w:pPr>
    </w:p>
    <w:p>
      <w:pPr>
        <w:jc w:val="both"/>
        <w:ind w:firstLine="757"/>
        <w:spacing w:after="0" w:line="252" w:lineRule="auto"/>
        <w:tabs>
          <w:tab w:leader="none" w:pos="972"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the Lead Buyer may require the Company to participate in one or more Additional Closings (as defined herein) for the purchase by the Lead Buyer or other Buyers approved by the Lead Buyer, and the sale by the Company, of one or more Notes, each Note in an original principal amount equal to $100,000,000, and up to an original principal amount of $1,000,000,000 in the aggregate with all Notes (each an “</w:t>
      </w:r>
      <w:r>
        <w:rPr>
          <w:rFonts w:ascii="Times New Roman" w:cs="Times New Roman" w:eastAsia="Times New Roman" w:hAnsi="Times New Roman"/>
          <w:sz w:val="18"/>
          <w:szCs w:val="18"/>
          <w:b w:val="1"/>
          <w:bCs w:val="1"/>
          <w:color w:val="auto"/>
        </w:rPr>
        <w:t>Additional 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provided that no Additional Notes shall be purchased or sold prior to June 25, 2025, and the maximum aggregate original principal amount for all Additional Notes that the Lead Buyer may, at the Company’s option, purchase shall be reduced from $900,000,000 to $500,000,000 to the extent the Lead Buyer has not purchased at least $100,000,000 of Additional Notes within six months following the later of i) the Company meeting the Equity Conditions (as defined in the Note) set forth in the initial Note (the “</w:t>
      </w:r>
      <w:r>
        <w:rPr>
          <w:rFonts w:ascii="Times New Roman" w:cs="Times New Roman" w:eastAsia="Times New Roman" w:hAnsi="Times New Roman"/>
          <w:sz w:val="18"/>
          <w:szCs w:val="18"/>
          <w:b w:val="1"/>
          <w:bCs w:val="1"/>
          <w:color w:val="auto"/>
        </w:rPr>
        <w:t>Initial Note</w:t>
      </w:r>
      <w:r>
        <w:rPr>
          <w:rFonts w:ascii="Times New Roman" w:cs="Times New Roman" w:eastAsia="Times New Roman" w:hAnsi="Times New Roman"/>
          <w:sz w:val="18"/>
          <w:szCs w:val="18"/>
          <w:color w:val="auto"/>
        </w:rPr>
        <w:t>”) and ii) December 24, 2025. Unless context indicates otherwise, all references to the Note herein shall include the Initial Note and the Additional Notes. The Additional Notes shall be identical to the initial Notes with the exception of the Conversion Price (as defined in the Note), which shall be determined at each Additional Closing equal to the 20-day VWAP of the Ordinary Shares as of the Additional Closing Date. The Commitment Shares issuable to the Buyers (as set forth on the Schedule of Buyers) in connection with each Closing shall be equal to (1) the product of (a) $100,000,000</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the Commitment Shares Rate (as defined below), (2) divided by, with regard to the Initial Note, the closing price on the date the Commitment Shares are registered under the Securities Act and freely transferrable, and with regard to each Additional Note, the 20-day VWAP of the Ordinary Shares as of the relevant Closing Date (the “</w:t>
      </w:r>
      <w:r>
        <w:rPr>
          <w:rFonts w:ascii="Times New Roman" w:cs="Times New Roman" w:eastAsia="Times New Roman" w:hAnsi="Times New Roman"/>
          <w:sz w:val="18"/>
          <w:szCs w:val="18"/>
          <w:b w:val="1"/>
          <w:bCs w:val="1"/>
          <w:color w:val="auto"/>
        </w:rPr>
        <w:t>Commitment Shares Calculation</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color w:val="auto"/>
        </w:rPr>
        <w:t>Commitment Shares Rate</w:t>
      </w:r>
      <w:r>
        <w:rPr>
          <w:rFonts w:ascii="Times New Roman" w:cs="Times New Roman" w:eastAsia="Times New Roman" w:hAnsi="Times New Roman"/>
          <w:sz w:val="18"/>
          <w:szCs w:val="18"/>
          <w:color w:val="auto"/>
        </w:rPr>
        <w:t>” means (i) upon the Initial Closing, 3.5%, (ii) upon the Conversion of the Notes issued at the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Closing, 6.5%, (iii) upon the Conversion of the first $100,000,000 of Additional Notes issued at an Additional Closing, 7.5%, (iv) upon the Conversion of the second $100,000,000 of Additional Notes issued at an Additional Closing, 6.5%, (v) upon the Conversion of the third $100,000,000 of Additional Notes issued at an Additional Closing, 5%, and (vi) upon the Conversion of any Additional Notes issued after the third $100,000,000 of Additional Notes at an Additional Closing, 2.5%; provided that, with respect to clauses (ii) through (vi) of this sentence, such Commitment Shares shall be delivered to the applicable Buyers (as set forth on the Schedule of Buyers) on a pro rata basis upon the delivery of the related Conversion Notice (as defined in the Notes), and with respect to clause (i) of this sentence, such Commitment Shares shall be due on the Initial Closing Date and delivered to the applicable Buyers (as set forth on the Schedule of Buyers) on the date the Commitment Shares are registered under the Securities Act and freely transferrable. The Commitment Shares shall be purchased for £0.0001 (“</w:t>
      </w:r>
      <w:r>
        <w:rPr>
          <w:rFonts w:ascii="Times New Roman" w:cs="Times New Roman" w:eastAsia="Times New Roman" w:hAnsi="Times New Roman"/>
          <w:sz w:val="18"/>
          <w:szCs w:val="18"/>
          <w:b w:val="1"/>
          <w:bCs w:val="1"/>
          <w:color w:val="auto"/>
        </w:rPr>
        <w:t>Nominal Value</w:t>
      </w:r>
      <w:r>
        <w:rPr>
          <w:rFonts w:ascii="Times New Roman" w:cs="Times New Roman" w:eastAsia="Times New Roman" w:hAnsi="Times New Roman"/>
          <w:sz w:val="18"/>
          <w:szCs w:val="18"/>
          <w:color w:val="auto"/>
        </w:rPr>
        <w:t>”) per Commitment Share.</w:t>
      </w:r>
    </w:p>
    <w:p>
      <w:pPr>
        <w:spacing w:after="0" w:line="205"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F. The Notes (a) will rank pari passu with all Additional Notes issued, will be guaranteed by the Company and all direct and indirect Subsidiaries (including the New SPV Subsidiary (as defined below)) of the Company (each, a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currently formed or formed in the future, each as evidenced by a guarantee agreement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in form and substance to be agreed upon by the Parties prior to the Initial Closing, which form shall be acceptable to all Buyers (each as amended or modified from time to time in accordance with their terms, a “</w:t>
      </w:r>
      <w:r>
        <w:rPr>
          <w:rFonts w:ascii="Times New Roman" w:cs="Times New Roman" w:eastAsia="Times New Roman" w:hAnsi="Times New Roman"/>
          <w:sz w:val="18"/>
          <w:szCs w:val="18"/>
          <w:b w:val="1"/>
          <w:bCs w:val="1"/>
          <w:color w:val="auto"/>
        </w:rPr>
        <w:t>Guarantee Agreement</w:t>
      </w:r>
      <w:r>
        <w:rPr>
          <w:rFonts w:ascii="Times New Roman" w:cs="Times New Roman" w:eastAsia="Times New Roman" w:hAnsi="Times New Roman"/>
          <w:sz w:val="18"/>
          <w:szCs w:val="18"/>
          <w:color w:val="auto"/>
        </w:rPr>
        <w:t>”), (b) will be secured by a first priority perfected security interest in (i) all assets maintained in the Bitcoin Escrow Account (as defined below), including, but not limited to, the Escrow Bitcoin (as defined below) deposited therein, and (ii) all assets maintained in the Cash Account (as defined below), which at all times shall be subject to the Cash Account Control Agreement (as defined below) and (c) will be subject to a pledge agreement, in form and substance to be agreed upon by the Parties prior to the Initial Closing, which form shall be acceptable to all Buyers (as amended or modified from time to time in accordance with its terms,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As used herein, (a) “</w:t>
      </w:r>
      <w:r>
        <w:rPr>
          <w:rFonts w:ascii="Times New Roman" w:cs="Times New Roman" w:eastAsia="Times New Roman" w:hAnsi="Times New Roman"/>
          <w:sz w:val="18"/>
          <w:szCs w:val="18"/>
          <w:b w:val="1"/>
          <w:bCs w:val="1"/>
          <w:color w:val="auto"/>
        </w:rPr>
        <w:t>Bitcoin Escrow Account</w:t>
      </w:r>
      <w:r>
        <w:rPr>
          <w:rFonts w:ascii="Times New Roman" w:cs="Times New Roman" w:eastAsia="Times New Roman" w:hAnsi="Times New Roman"/>
          <w:sz w:val="18"/>
          <w:szCs w:val="18"/>
          <w:color w:val="auto"/>
        </w:rPr>
        <w:t>” means a securities account maintained by the New SPV Subsidiary with a securities intermediary acceptable to the Required Holders or, if New SPV Subsidiary is not able to transfer the Escrow Bitcoin to a securities account as herein described, then such other account with an unrelated, third-party to the New SPV Subsidiary, the Company and their respective affiliates, in all such cases, acceptable to the Required Holders, in their sole discretion (such other account herein referred to as “</w:t>
      </w:r>
      <w:r>
        <w:rPr>
          <w:rFonts w:ascii="Times New Roman" w:cs="Times New Roman" w:eastAsia="Times New Roman" w:hAnsi="Times New Roman"/>
          <w:sz w:val="18"/>
          <w:szCs w:val="18"/>
          <w:b w:val="1"/>
          <w:bCs w:val="1"/>
          <w:color w:val="auto"/>
        </w:rPr>
        <w:t>Other Bitcoin Account</w:t>
      </w:r>
      <w:r>
        <w:rPr>
          <w:rFonts w:ascii="Times New Roman" w:cs="Times New Roman" w:eastAsia="Times New Roman" w:hAnsi="Times New Roman"/>
          <w:sz w:val="18"/>
          <w:szCs w:val="18"/>
          <w:color w:val="auto"/>
        </w:rPr>
        <w:t>”); (ii) “</w:t>
      </w:r>
      <w:r>
        <w:rPr>
          <w:rFonts w:ascii="Times New Roman" w:cs="Times New Roman" w:eastAsia="Times New Roman" w:hAnsi="Times New Roman"/>
          <w:sz w:val="18"/>
          <w:szCs w:val="18"/>
          <w:b w:val="1"/>
          <w:bCs w:val="1"/>
          <w:color w:val="auto"/>
        </w:rPr>
        <w:t>Bitcoin Escrow Account Control Agreement</w:t>
      </w:r>
      <w:r>
        <w:rPr>
          <w:rFonts w:ascii="Times New Roman" w:cs="Times New Roman" w:eastAsia="Times New Roman" w:hAnsi="Times New Roman"/>
          <w:sz w:val="18"/>
          <w:szCs w:val="18"/>
          <w:color w:val="auto"/>
        </w:rPr>
        <w:t>” means a full block securities account control agreement in form, scope and substance acceptable to the Required Holders and the Collateral Agent, which securities account control agreement provides for, among other things, that Escrow Bitcoin and other assets maintained in the Bitcoin Escrow Account may only be released with the prior written consent of the Collateral Agent following its receipt of the written consent of the Required Holders in accordance with the terms of this Agreement or, if the Escrow Bitcoin and other collateral is maintained in an Other Bitcoin Account, such control agreement in form, scope and substance acceptable to the Required Holders and the Collateral Agent, in their respective sole discretion, and so long as such Other Bitcoin Account provides the Collateral Agent a perfected, first priority Lien on the Escrow Bitcoin and other assets and collateral, in all such cases, as determined by the Collateral Agent and the Required Holders in their respect sole discretion; (iii) “</w:t>
      </w:r>
      <w:r>
        <w:rPr>
          <w:rFonts w:ascii="Times New Roman" w:cs="Times New Roman" w:eastAsia="Times New Roman" w:hAnsi="Times New Roman"/>
          <w:sz w:val="18"/>
          <w:szCs w:val="18"/>
          <w:b w:val="1"/>
          <w:bCs w:val="1"/>
          <w:color w:val="auto"/>
        </w:rPr>
        <w:t>Escrow Bitcoin</w:t>
      </w:r>
      <w:r>
        <w:rPr>
          <w:rFonts w:ascii="Times New Roman" w:cs="Times New Roman" w:eastAsia="Times New Roman" w:hAnsi="Times New Roman"/>
          <w:sz w:val="18"/>
          <w:szCs w:val="18"/>
          <w:color w:val="auto"/>
        </w:rPr>
        <w:t>” means all Bitcoin purchased from the proceeds of the Note or any other Trust Property (as defined in each Note) and that otherwise is to be subject to the security interest and Lien of the Collateral Agent, for itself and on behalf of the Buyers, all in accordance with the terms and conditions of the Pledge Agreement; (iv) “</w:t>
      </w:r>
      <w:r>
        <w:rPr>
          <w:rFonts w:ascii="Times New Roman" w:cs="Times New Roman" w:eastAsia="Times New Roman" w:hAnsi="Times New Roman"/>
          <w:sz w:val="18"/>
          <w:szCs w:val="18"/>
          <w:b w:val="1"/>
          <w:bCs w:val="1"/>
          <w:color w:val="auto"/>
        </w:rPr>
        <w:t>Cash Account</w:t>
      </w:r>
      <w:r>
        <w:rPr>
          <w:rFonts w:ascii="Times New Roman" w:cs="Times New Roman" w:eastAsia="Times New Roman" w:hAnsi="Times New Roman"/>
          <w:sz w:val="18"/>
          <w:szCs w:val="18"/>
          <w:color w:val="auto"/>
        </w:rPr>
        <w:t>” means a deposit account maintained by New SPV Subsidiary with a depositary bank acceptable to the Required Holders; and (v) “</w:t>
      </w:r>
      <w:r>
        <w:rPr>
          <w:rFonts w:ascii="Times New Roman" w:cs="Times New Roman" w:eastAsia="Times New Roman" w:hAnsi="Times New Roman"/>
          <w:sz w:val="18"/>
          <w:szCs w:val="18"/>
          <w:b w:val="1"/>
          <w:bCs w:val="1"/>
          <w:color w:val="auto"/>
        </w:rPr>
        <w:t>Cash Account Control Agreement</w:t>
      </w:r>
      <w:r>
        <w:rPr>
          <w:rFonts w:ascii="Times New Roman" w:cs="Times New Roman" w:eastAsia="Times New Roman" w:hAnsi="Times New Roman"/>
          <w:sz w:val="18"/>
          <w:szCs w:val="18"/>
          <w:color w:val="auto"/>
        </w:rPr>
        <w:t>” means full block deposit account control agreement in form, scope and substance acceptable to the Required Holders and the Collateral Agent, which deposit account control agreement provides for, among other things, that the cash and other property maintained in the Cash Account may only be released with the prior written consent of the Collateral Agent following its receipt of the written consent of the Required Holders in accordance with the terms of this Agreement.</w:t>
      </w:r>
    </w:p>
    <w:p>
      <w:pPr>
        <w:spacing w:after="0" w:line="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 The Notes, the Conversion Shares, and the Commitment Shares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H. For the purpose of the law of the United Kingdom, this document does not constitute an offer or any part of an offer of transferable securities to the public within the meaning of sections 85 and 102B of Financial Services and Markets Act 2000 of the United Kingdom, as amended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the UK Companies Act 2006 or otherwise. Accordingly, this document does not constitute a prospectus within the meaning of section 85 of FSMA and has not been drawn up in accordance with the Prospectus Regulation Rules and has not been nor will it be approved by, or filed with, the UK Financial Conduct Authority (“FCA”).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58"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NOTES.</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53" w:lineRule="auto"/>
        <w:tabs>
          <w:tab w:leader="none" w:pos="99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Initial Notes</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each Buyer, and each Buyer severally, but not jointly, agrees to purchase for the Purchase Price as is set forth opposite such Buyer’s name in column (5) on the Schedule of Buyers from the Company on the Initial Closing Date (as defined in Section 1(b) below) a Note in the original principal amount as is set forth opposite such Buyer’s name in column (3) on the Schedule of Buyers, and the number of Commitment Shares set forth opposite such Buyer’s name in column (4) on the Schedule of Buyers at the Nominal Value per Commitment Share. In connection with any subsequent purchase directed by the Lead Buyer in accordance with the terms and conditions set forth herein and in the other Transaction Documents of an Additional Note, the Company shall issue to the Lead Buyer per $100,000,000 of Additional Notes Commitment Shares equal to such number of Ordinary Shares based on the Commitment Shares Calculation against payment of the Nominal Value per such Commitment Share by the Lead Buyer (together with the Additional Notes, such securities, the “</w:t>
      </w:r>
      <w:r>
        <w:rPr>
          <w:rFonts w:ascii="Times New Roman" w:cs="Times New Roman" w:eastAsia="Times New Roman" w:hAnsi="Times New Roman"/>
          <w:sz w:val="18"/>
          <w:szCs w:val="18"/>
          <w:b w:val="1"/>
          <w:bCs w:val="1"/>
          <w:color w:val="auto"/>
        </w:rPr>
        <w:t>Commitment Securities</w:t>
      </w:r>
      <w:r>
        <w:rPr>
          <w:rFonts w:ascii="Times New Roman" w:cs="Times New Roman" w:eastAsia="Times New Roman" w:hAnsi="Times New Roman"/>
          <w:sz w:val="18"/>
          <w:szCs w:val="18"/>
          <w:color w:val="auto"/>
        </w:rPr>
        <w:t>,” and the right of the Lead Buyer to purchase the Commitment Securities, the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Right</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760" w:firstLine="745"/>
        <w:spacing w:after="0" w:line="254" w:lineRule="auto"/>
        <w:tabs>
          <w:tab w:leader="none" w:pos="172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The initial closing (the “</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of the sale of the Notes and the Commitment Shares by the Company and the purchase of the Notes and the Commitment Shares by the Buyers shall take place remotely by electronic transfer of the closing documentation. The date and time of the Initial Closing (the “</w:t>
      </w:r>
      <w:r>
        <w:rPr>
          <w:rFonts w:ascii="Times New Roman" w:cs="Times New Roman" w:eastAsia="Times New Roman" w:hAnsi="Times New Roman"/>
          <w:sz w:val="18"/>
          <w:szCs w:val="18"/>
          <w:b w:val="1"/>
          <w:bCs w:val="1"/>
          <w:color w:val="auto"/>
        </w:rPr>
        <w:t>Initial Closing Date</w:t>
      </w:r>
      <w:r>
        <w:rPr>
          <w:rFonts w:ascii="Times New Roman" w:cs="Times New Roman" w:eastAsia="Times New Roman" w:hAnsi="Times New Roman"/>
          <w:sz w:val="18"/>
          <w:szCs w:val="18"/>
          <w:color w:val="auto"/>
        </w:rPr>
        <w:t>”) shall be 10:00 a.m., New York time, on the first (1st) Business Day on which the conditions to the Closing set forth in Sections 6 and 7 below are satisfied or waived (or such other date as is mutually agreed to in writing by the Company and each Buyer). As used herein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9" w:lineRule="exact"/>
        <w:rPr>
          <w:rFonts w:ascii="Times New Roman" w:cs="Times New Roman" w:eastAsia="Times New Roman" w:hAnsi="Times New Roman"/>
          <w:sz w:val="18"/>
          <w:szCs w:val="18"/>
          <w:color w:val="auto"/>
        </w:rPr>
      </w:pPr>
    </w:p>
    <w:p>
      <w:pPr>
        <w:jc w:val="both"/>
        <w:ind w:left="760" w:firstLine="745"/>
        <w:spacing w:after="0" w:line="252" w:lineRule="auto"/>
        <w:tabs>
          <w:tab w:leader="none" w:pos="177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Closings</w:t>
      </w:r>
      <w:r>
        <w:rPr>
          <w:rFonts w:ascii="Times New Roman" w:cs="Times New Roman" w:eastAsia="Times New Roman" w:hAnsi="Times New Roman"/>
          <w:sz w:val="18"/>
          <w:szCs w:val="18"/>
          <w:color w:val="auto"/>
        </w:rPr>
        <w:t>. Subject to the satisfaction (or waiver) of the conditions set forth in Sections 6 and 7 below, if the Lead Buyer has delivered an Additional Closing Notice (as defined below) to the Company, the Company shall issue and sell to the Lead Buyer, and such Lead Buyer severally, but not jointly, with any other Buyer, shall purchase from the Company, on the applicable Additional Closing Date (as defined below), one or more Additional Notes in the original principal amount as is set forth opposite such Buyer’s name in an updated Schedule of Buyers by such Buyers in connection with such Additional Closing Notice (each, an “</w:t>
      </w:r>
      <w:r>
        <w:rPr>
          <w:rFonts w:ascii="Times New Roman" w:cs="Times New Roman" w:eastAsia="Times New Roman" w:hAnsi="Times New Roman"/>
          <w:sz w:val="18"/>
          <w:szCs w:val="18"/>
          <w:b w:val="1"/>
          <w:bCs w:val="1"/>
          <w:color w:val="auto"/>
        </w:rPr>
        <w:t>Additional Closing</w:t>
      </w:r>
      <w:r>
        <w:rPr>
          <w:rFonts w:ascii="Times New Roman" w:cs="Times New Roman" w:eastAsia="Times New Roman" w:hAnsi="Times New Roman"/>
          <w:sz w:val="18"/>
          <w:szCs w:val="18"/>
          <w:color w:val="auto"/>
        </w:rPr>
        <w:t>”). Subject to the satisfaction (or waiver) of the conditions set forth in Sections 6 and 7 below and the other terms and conditions set forth herein and in the other Transaction Documents, the Lead Buyer shall have the right but no obligation, exercisable by delivery by e-mail of a written notice to the Company (each, an “</w:t>
      </w:r>
      <w:r>
        <w:rPr>
          <w:rFonts w:ascii="Times New Roman" w:cs="Times New Roman" w:eastAsia="Times New Roman" w:hAnsi="Times New Roman"/>
          <w:sz w:val="18"/>
          <w:szCs w:val="18"/>
          <w:b w:val="1"/>
          <w:bCs w:val="1"/>
          <w:color w:val="auto"/>
        </w:rPr>
        <w:t>Additional Closing Notice</w:t>
      </w:r>
      <w:r>
        <w:rPr>
          <w:rFonts w:ascii="Times New Roman" w:cs="Times New Roman" w:eastAsia="Times New Roman" w:hAnsi="Times New Roman"/>
          <w:sz w:val="18"/>
          <w:szCs w:val="18"/>
          <w:color w:val="auto"/>
        </w:rPr>
        <w:t>”) to purchase, along with other Buyers identified by the Lead Buyer, and to require the Company to sell, an Additional Note or Additional Notes in the original principal amount to be set forth opposite the names of such Buyers on an updated Schedule of Buyers delivered by such Buyers in connection with such Additional Closing Notice (each, an “</w:t>
      </w:r>
      <w:r>
        <w:rPr>
          <w:rFonts w:ascii="Times New Roman" w:cs="Times New Roman" w:eastAsia="Times New Roman" w:hAnsi="Times New Roman"/>
          <w:sz w:val="18"/>
          <w:szCs w:val="18"/>
          <w:b w:val="1"/>
          <w:bCs w:val="1"/>
          <w:color w:val="auto"/>
        </w:rPr>
        <w:t>Additional Note Amount</w:t>
      </w:r>
      <w:r>
        <w:rPr>
          <w:rFonts w:ascii="Times New Roman" w:cs="Times New Roman" w:eastAsia="Times New Roman" w:hAnsi="Times New Roman"/>
          <w:sz w:val="18"/>
          <w:szCs w:val="18"/>
          <w:color w:val="auto"/>
        </w:rPr>
        <w:t>”) at an Additional Closing. Each Additional Closing Notice shall specify (x) the proposed date and time of the Additional Closing (or such other date as is mutually agreed to by the Company and each Buyer, each, an “</w:t>
      </w:r>
      <w:r>
        <w:rPr>
          <w:rFonts w:ascii="Times New Roman" w:cs="Times New Roman" w:eastAsia="Times New Roman" w:hAnsi="Times New Roman"/>
          <w:sz w:val="18"/>
          <w:szCs w:val="18"/>
          <w:b w:val="1"/>
          <w:bCs w:val="1"/>
          <w:color w:val="auto"/>
        </w:rPr>
        <w:t>Additional Closing Date</w:t>
      </w:r>
      <w:r>
        <w:rPr>
          <w:rFonts w:ascii="Times New Roman" w:cs="Times New Roman" w:eastAsia="Times New Roman" w:hAnsi="Times New Roman"/>
          <w:sz w:val="18"/>
          <w:szCs w:val="18"/>
          <w:color w:val="auto"/>
        </w:rPr>
        <w:t>,” and the Initial Closing Date and each Additional Closing Date, each, a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and (y) the applicable Additional Note Amount of the Additional Note to be issued to such Buyer(s) at such Additional Closing. If the Lead Buyer has not elected to effect an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both"/>
        <w:ind w:left="392"/>
        <w:spacing w:after="0" w:line="253" w:lineRule="auto"/>
        <w:rPr>
          <w:sz w:val="20"/>
          <w:szCs w:val="20"/>
          <w:color w:val="auto"/>
        </w:rPr>
      </w:pPr>
      <w:r>
        <w:rPr>
          <w:rFonts w:ascii="Times New Roman" w:cs="Times New Roman" w:eastAsia="Times New Roman" w:hAnsi="Times New Roman"/>
          <w:sz w:val="18"/>
          <w:szCs w:val="18"/>
          <w:color w:val="auto"/>
        </w:rPr>
        <w:t>Closing on or prior to February 21, 2028 (the “</w:t>
      </w:r>
      <w:r>
        <w:rPr>
          <w:rFonts w:ascii="Times New Roman" w:cs="Times New Roman" w:eastAsia="Times New Roman" w:hAnsi="Times New Roman"/>
          <w:sz w:val="18"/>
          <w:szCs w:val="18"/>
          <w:b w:val="1"/>
          <w:bCs w:val="1"/>
          <w:color w:val="auto"/>
        </w:rPr>
        <w:t>Additional Closing Expiration Date</w:t>
      </w:r>
      <w:r>
        <w:rPr>
          <w:rFonts w:ascii="Times New Roman" w:cs="Times New Roman" w:eastAsia="Times New Roman" w:hAnsi="Times New Roman"/>
          <w:sz w:val="18"/>
          <w:szCs w:val="18"/>
          <w:color w:val="auto"/>
        </w:rPr>
        <w:t>”), the Lead Buyer shall have no further right to effect an Additional Closing hereunder. It is acknowledged and agreed that in connection with any Additional Closing (i) the proceeds from the sale of the Additional Notes shall be deposited into a new (or separate) cash account substantially similar to the Cash Account (such new or separate cash account, an “</w:t>
      </w:r>
      <w:r>
        <w:rPr>
          <w:rFonts w:ascii="Times New Roman" w:cs="Times New Roman" w:eastAsia="Times New Roman" w:hAnsi="Times New Roman"/>
          <w:sz w:val="18"/>
          <w:szCs w:val="18"/>
          <w:b w:val="1"/>
          <w:bCs w:val="1"/>
          <w:color w:val="auto"/>
        </w:rPr>
        <w:t>Additional Cash Account</w:t>
      </w:r>
      <w:r>
        <w:rPr>
          <w:rFonts w:ascii="Times New Roman" w:cs="Times New Roman" w:eastAsia="Times New Roman" w:hAnsi="Times New Roman"/>
          <w:sz w:val="18"/>
          <w:szCs w:val="18"/>
          <w:color w:val="auto"/>
        </w:rPr>
        <w:t>”) and the Bitcoin purchased from such proceeds shall be maintained in a new (or separate) bitcoin escrow account substantially similar to the Bitcoin Escrow Account (such new or separate bitcoin escrow account, an “</w:t>
      </w:r>
      <w:r>
        <w:rPr>
          <w:rFonts w:ascii="Times New Roman" w:cs="Times New Roman" w:eastAsia="Times New Roman" w:hAnsi="Times New Roman"/>
          <w:sz w:val="18"/>
          <w:szCs w:val="18"/>
          <w:b w:val="1"/>
          <w:bCs w:val="1"/>
          <w:color w:val="auto"/>
        </w:rPr>
        <w:t>Additional Bitcoin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Escrow Account</w:t>
      </w:r>
      <w:r>
        <w:rPr>
          <w:rFonts w:ascii="Times New Roman" w:cs="Times New Roman" w:eastAsia="Times New Roman" w:hAnsi="Times New Roman"/>
          <w:sz w:val="18"/>
          <w:szCs w:val="18"/>
          <w:color w:val="auto"/>
        </w:rPr>
        <w:t>”) and (ii) the Company, the New SPV Subsidiary each other applicable party shall enter into a new pledge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collateral matters relating to such tranche of Additional Notes subject to such Additional Closing (such pledge agreement, an “</w:t>
      </w:r>
      <w:r>
        <w:rPr>
          <w:rFonts w:ascii="Times New Roman" w:cs="Times New Roman" w:eastAsia="Times New Roman" w:hAnsi="Times New Roman"/>
          <w:sz w:val="18"/>
          <w:szCs w:val="18"/>
          <w:b w:val="1"/>
          <w:bCs w:val="1"/>
          <w:color w:val="auto"/>
        </w:rPr>
        <w:t>Additional Pledge Agreement</w:t>
      </w:r>
      <w:r>
        <w:rPr>
          <w:rFonts w:ascii="Times New Roman" w:cs="Times New Roman" w:eastAsia="Times New Roman" w:hAnsi="Times New Roman"/>
          <w:sz w:val="18"/>
          <w:szCs w:val="18"/>
          <w:color w:val="auto"/>
        </w:rPr>
        <w:t>”) and such other security documents that the Collateral Agent or the “Required Holders” for such tranche of debt determine necessary or appropriate for such Additional Note tranche of debt. The initial sale of Notes and the sale of any Additional Notes shall rank pari passu with each other such tranche of Notes issued hereunder. Absent the occurrence of a Major Event of Default (as defined in the Notes), the payment obligations for the Initial Notes or any Additional Notes shall be satisfied solely from the Cash Account or Additional Cash Account and the Bitcoin Escrow Account or Additional Bitcoin Escrow Account established solely in connection with the issuance of such Initial Notes or such Additional Notes. For the avoidance of doubt, the Collateral described in the Pledge Agreement, the Cash Account and the Bitcoin Escrow Account shall serve as security solely with respect to the Notes and other Securities issued to the Buyers at the Initial Closing.</w:t>
      </w:r>
    </w:p>
    <w:p>
      <w:pPr>
        <w:spacing w:after="0" w:line="185" w:lineRule="exact"/>
        <w:rPr>
          <w:sz w:val="20"/>
          <w:szCs w:val="20"/>
          <w:color w:val="auto"/>
        </w:rPr>
      </w:pPr>
    </w:p>
    <w:p>
      <w:pPr>
        <w:jc w:val="both"/>
        <w:ind w:left="-368" w:firstLine="815"/>
        <w:spacing w:after="0" w:line="259" w:lineRule="auto"/>
        <w:tabs>
          <w:tab w:leader="none" w:pos="69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purchase price for the Notes and the Commitment Shares to be purchased by each Buyer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shall be the amount set forth opposite such Buyer’s name in column (5) on the Schedule of Buyers and shall be an aggregate Purchase Price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$100,000,000 for each Note in the aggregate original principal amount of $100,000,000 plus the Nominal Value of the Commitment Shares. Each Buyer and the Company agree that the Notes and Commitment Shares constitute an “investment unit” for purposes of Section 1273(c)(2)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52" w:hanging="263"/>
        <w:spacing w:after="0"/>
        <w:tabs>
          <w:tab w:leader="none" w:pos="65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92" w:firstLine="745"/>
        <w:spacing w:after="0" w:line="256" w:lineRule="auto"/>
        <w:tabs>
          <w:tab w:leader="none" w:pos="1363"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Initial Closing Date, (i) each Buyer shall pay its respective Purchase Price (less, in the case of any Buyer, the amounts that may be withheld pursuant to Section 4(g)) to the Company for the Notes and the Commitment Shares to be issued and sold to such Buyer at the Closing, by wire transfer of immediately available funds in accordance with the Flow of Funds Letter (as defined below) and (ii) the Company shall deliver to each Buyer (A) a Note in the aggregate original principal amount as is set forth opposite such Buyer’s name in column (3) of the Schedule of Buyers and (B) the number of Commitment Shares as is set forth opposite such Buyer’s name in column (4) of the Schedule of Buyers shall become due, duly executed on behalf of the Company and registered in the name of such Buyer or its designee.</w:t>
      </w:r>
    </w:p>
    <w:p>
      <w:pPr>
        <w:spacing w:after="0" w:line="187" w:lineRule="exact"/>
        <w:rPr>
          <w:rFonts w:ascii="Times New Roman" w:cs="Times New Roman" w:eastAsia="Times New Roman" w:hAnsi="Times New Roman"/>
          <w:sz w:val="18"/>
          <w:szCs w:val="18"/>
          <w:color w:val="auto"/>
        </w:rPr>
      </w:pPr>
    </w:p>
    <w:p>
      <w:pPr>
        <w:jc w:val="both"/>
        <w:ind w:left="392" w:firstLine="745"/>
        <w:spacing w:after="0" w:line="256" w:lineRule="auto"/>
        <w:tabs>
          <w:tab w:leader="none" w:pos="1443"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applicable Additional Closing Date, (A) the Buyer shall pay the applicable Purchase Price to the Company for the Additional Notes and the Commitment Shares to be issued and sold to such Buyer at the Additional Closing, by wire transfer of immediately available funds in accordance with the Company’s written wire instructions and (B) the Company shall deliver to such Buyer an Additional Note in the aggregate original principal amount as is set forth opposite such Buyer’s name in the Schedule of Buyers, and Commitment Shares equal to such number of Ordinary Shares based on the Commitment Shares Calculation, shall be due to such Buyer at the Closing, duly executed on behalf of the Company and registered in the name of such Buyer or its designee.</w:t>
      </w:r>
    </w:p>
    <w:p>
      <w:pPr>
        <w:spacing w:after="0" w:line="187" w:lineRule="exact"/>
        <w:rPr>
          <w:rFonts w:ascii="Times New Roman" w:cs="Times New Roman" w:eastAsia="Times New Roman" w:hAnsi="Times New Roman"/>
          <w:sz w:val="18"/>
          <w:szCs w:val="18"/>
          <w:color w:val="auto"/>
        </w:rPr>
      </w:pPr>
    </w:p>
    <w:p>
      <w:pPr>
        <w:jc w:val="both"/>
        <w:ind w:left="-368" w:firstLine="368"/>
        <w:spacing w:after="0" w:line="255" w:lineRule="auto"/>
        <w:tabs>
          <w:tab w:leader="none" w:pos="2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the Buyers and other persons who are also "accredited investors" as that term is defined in Rule 501(a) of Regulation D (being a “</w:t>
      </w:r>
      <w:r>
        <w:rPr>
          <w:rFonts w:ascii="Times New Roman" w:cs="Times New Roman" w:eastAsia="Times New Roman" w:hAnsi="Times New Roman"/>
          <w:sz w:val="18"/>
          <w:szCs w:val="18"/>
          <w:b w:val="1"/>
          <w:bCs w:val="1"/>
          <w:color w:val="auto"/>
        </w:rPr>
        <w:t>Qualifying Investor</w:t>
      </w:r>
      <w:r>
        <w:rPr>
          <w:rFonts w:ascii="Times New Roman" w:cs="Times New Roman" w:eastAsia="Times New Roman" w:hAnsi="Times New Roman"/>
          <w:sz w:val="18"/>
          <w:szCs w:val="18"/>
          <w:color w:val="auto"/>
        </w:rPr>
        <w:t>”), provided that: (i) to the extent a Qualifying Investor is in the United Kingdom, they must also qualify as a "qualified investor" within the meaning of Article 2(1)(e) of the Prospectus Regulation, which forms part of retained EU law in the United Kingdom by virtue of the European Union (Withdrawal) Act 2018 (“UK Prospectus Regulation”)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Qualified Investors</w:t>
      </w:r>
      <w:r>
        <w:rPr>
          <w:rFonts w:ascii="Times New Roman" w:cs="Times New Roman" w:eastAsia="Times New Roman" w:hAnsi="Times New Roman"/>
          <w:sz w:val="18"/>
          <w:szCs w:val="18"/>
          <w:color w:val="auto"/>
        </w:rPr>
        <w:t>”). In addition, in the United Kingdom, this document is addressed to, and directed only at, UK Qualified Investors who (A)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who have professional experience in matters relating to investments falling within article 19(5) of the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873125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688" w:top="1413" w:right="339" w:bottom="1440" w:gutter="0" w:footer="0" w:header="0"/>
        </w:sectPr>
      </w:pPr>
    </w:p>
    <w:bookmarkStart w:id="8" w:name="page9"/>
    <w:bookmarkEnd w:id="8"/>
    <w:p>
      <w:pPr>
        <w:jc w:val="both"/>
        <w:spacing w:after="0" w:line="259" w:lineRule="auto"/>
        <w:rPr>
          <w:sz w:val="20"/>
          <w:szCs w:val="20"/>
          <w:color w:val="auto"/>
        </w:rPr>
      </w:pPr>
      <w:r>
        <w:rPr>
          <w:rFonts w:ascii="Times New Roman" w:cs="Times New Roman" w:eastAsia="Times New Roman" w:hAnsi="Times New Roman"/>
          <w:sz w:val="18"/>
          <w:szCs w:val="18"/>
          <w:color w:val="auto"/>
        </w:rPr>
        <w:t>Services and Markets Act 2000 (Financial Promotion) Order 2005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(B) are persons who are high net worth entities falling within article 49(2)(a) to (d) of the Order, or (C) are other persons to whom it may otherwise lawfully be communicated; and (ii) to the extent a Qualifying Investor is in the European Economic Area (the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they must also qualify as a "qualified investor" within the meaning of Article 2(1)(e) of the Prospectus Regulation (Regulation EU 2017/1129 and amendments thereto). For the avoidance of doubt, the offer of Securities is only open to acceptance (by way of the entering this Agreement) to fewer than 50 Qualifying Investors.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BUYER’S REPRESENTATIONS AND WARRANTIES.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Each Buyer, severally and not jointly, represents and warrants to the Company with respect to only itself that, as of the date hereof and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jc w:val="both"/>
        <w:ind w:firstLine="757"/>
        <w:spacing w:after="0" w:line="266"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75" w:lineRule="exact"/>
        <w:rPr>
          <w:rFonts w:ascii="Times New Roman" w:cs="Times New Roman" w:eastAsia="Times New Roman" w:hAnsi="Times New Roman"/>
          <w:sz w:val="18"/>
          <w:szCs w:val="18"/>
          <w:color w:val="auto"/>
        </w:rPr>
      </w:pPr>
    </w:p>
    <w:p>
      <w:pPr>
        <w:jc w:val="both"/>
        <w:ind w:firstLine="757"/>
        <w:spacing w:after="0" w:line="254" w:lineRule="auto"/>
        <w:tabs>
          <w:tab w:leader="none" w:pos="10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Sale or Distribution</w:t>
      </w:r>
      <w:r>
        <w:rPr>
          <w:rFonts w:ascii="Times New Roman" w:cs="Times New Roman" w:eastAsia="Times New Roman" w:hAnsi="Times New Roman"/>
          <w:sz w:val="18"/>
          <w:szCs w:val="18"/>
          <w:color w:val="auto"/>
        </w:rPr>
        <w:t>. Such Buyer (i) is acquiring its Note and the Commitment Shares, and (ii) upon conversion of its Note will acquire the Conversion Shares issuable upon conversion thereof,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Such Buyer does not presently have any agreement or understanding, directly or indirectly, with any Person to distribute any of the Securities in violation of applicable securities laws. For purposes of this Agreement,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w:t>
      </w:r>
    </w:p>
    <w:p>
      <w:pPr>
        <w:spacing w:after="0" w:line="188" w:lineRule="exact"/>
        <w:rPr>
          <w:rFonts w:ascii="Times New Roman" w:cs="Times New Roman" w:eastAsia="Times New Roman" w:hAnsi="Times New Roman"/>
          <w:sz w:val="18"/>
          <w:szCs w:val="18"/>
          <w:color w:val="auto"/>
        </w:rPr>
      </w:pPr>
    </w:p>
    <w:p>
      <w:pPr>
        <w:ind w:firstLine="757"/>
        <w:spacing w:after="0" w:line="282"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Such Buyer is an “accredited investor” as that term is defined in Rule 501(a) of Regulation D and, to the extent a Buyer is in the United Kingdom, it is also a UK Qualified Investor within the terms set out in Section 1(e) above and paragraphs (A), (B) and (C) thereof .</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0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Such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79" w:lineRule="exact"/>
        <w:rPr>
          <w:rFonts w:ascii="Times New Roman" w:cs="Times New Roman" w:eastAsia="Times New Roman" w:hAnsi="Times New Roman"/>
          <w:sz w:val="18"/>
          <w:szCs w:val="18"/>
          <w:color w:val="auto"/>
        </w:rPr>
      </w:pPr>
    </w:p>
    <w:p>
      <w:pPr>
        <w:jc w:val="both"/>
        <w:ind w:firstLine="757"/>
        <w:spacing w:after="0" w:line="253"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Such Buyer and its advisors, if any, have been furnished with all materials relating to the business, finances and operations of the Company and materials relating to the offer and sale of the Securities that have been requested by such Buyer and such Buyer has had the opportunity to review the Company’s public filings with the SEC. Such Buyer and its advisors, if any, have been afforded the opportunity to ask questions of the Company in order that such Buyer can make an informed investment decision with respect to the investment.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Such Buyer has sought such accounting, legal and tax advice as it has considered necessary to make an informed investment decision with respect to its acquisition of the Securities. Such Buyer acknowledges and agrees that neither the Placement Agent (as defined in Section 3(g)) nor any affiliate of the Placement Agent has provided such Buyer with any information or advice with respect to the Securities nor is such information or advice necessary or desired. Neither the Placement Agent nor any affiliate of the Placement Agent has made or makes any representation as to the Company or the quality of the Securities and the Placement Agent and any affiliate of the Placement Agent may have acquired non-public information with respect to the Company which such Buyer agrees need not be provided to it.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connection with the issuance of the Securities to such Buyer, neither the Placement Agent nor any affiliate of the Placement Agent has acted as a financial advisor or fiduciary to such Buyer.</w:t>
      </w:r>
    </w:p>
    <w:p>
      <w:pPr>
        <w:spacing w:after="0" w:line="162" w:lineRule="exact"/>
        <w:rPr>
          <w:sz w:val="20"/>
          <w:szCs w:val="20"/>
          <w:color w:val="auto"/>
        </w:rPr>
      </w:pPr>
    </w:p>
    <w:p>
      <w:pPr>
        <w:jc w:val="both"/>
        <w:ind w:firstLine="757"/>
        <w:spacing w:after="0" w:line="266" w:lineRule="auto"/>
        <w:tabs>
          <w:tab w:leader="none" w:pos="9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5" w:lineRule="exact"/>
        <w:rPr>
          <w:rFonts w:ascii="Times New Roman" w:cs="Times New Roman" w:eastAsia="Times New Roman" w:hAnsi="Times New Roman"/>
          <w:sz w:val="18"/>
          <w:szCs w:val="18"/>
          <w:color w:val="auto"/>
        </w:rPr>
      </w:pPr>
    </w:p>
    <w:p>
      <w:pPr>
        <w:jc w:val="both"/>
        <w:ind w:firstLine="757"/>
        <w:spacing w:after="0" w:line="253" w:lineRule="auto"/>
        <w:tabs>
          <w:tab w:leader="none" w:pos="101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Such Buyer understands that except as provided in the Registration Rights Agreement and Section 4(h) hereof: (i) the Securities have not been and are not being registered under the 1933 Act or any state securities laws, and may not be offered for sale, sold, assigned or transferred unless (A) subsequently registered thereunder, (B) such Buyer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neither the Company nor any other Person is under any obligation to register the Securities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(as defined in Section 3(b)), including, without limitation, this Section 2(g).</w:t>
      </w:r>
    </w:p>
    <w:p>
      <w:pPr>
        <w:spacing w:after="0" w:line="193" w:lineRule="exact"/>
        <w:rPr>
          <w:rFonts w:ascii="Times New Roman" w:cs="Times New Roman" w:eastAsia="Times New Roman" w:hAnsi="Times New Roman"/>
          <w:sz w:val="18"/>
          <w:szCs w:val="18"/>
          <w:color w:val="auto"/>
        </w:rPr>
      </w:pPr>
    </w:p>
    <w:p>
      <w:pPr>
        <w:jc w:val="both"/>
        <w:ind w:firstLine="757"/>
        <w:spacing w:after="0" w:line="258" w:lineRule="auto"/>
        <w:tabs>
          <w:tab w:leader="none" w:pos="10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This Agreement and the other applicable Transaction Documents have been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3" w:lineRule="exact"/>
        <w:rPr>
          <w:rFonts w:ascii="Times New Roman" w:cs="Times New Roman" w:eastAsia="Times New Roman" w:hAnsi="Times New Roman"/>
          <w:sz w:val="18"/>
          <w:szCs w:val="18"/>
          <w:color w:val="auto"/>
        </w:rPr>
      </w:pPr>
    </w:p>
    <w:p>
      <w:pPr>
        <w:jc w:val="both"/>
        <w:ind w:firstLine="757"/>
        <w:spacing w:after="0" w:line="255"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Buyer of this Agreement and the other applicable Transaction Documents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would not, individually or in the aggregate, reasonably be expected to have a material adverse effect on the ability of such Buyer to perform its obligations hereunder.</w:t>
      </w:r>
    </w:p>
    <w:p>
      <w:pPr>
        <w:spacing w:after="0" w:line="188" w:lineRule="exact"/>
        <w:rPr>
          <w:rFonts w:ascii="Times New Roman" w:cs="Times New Roman" w:eastAsia="Times New Roman" w:hAnsi="Times New Roman"/>
          <w:sz w:val="18"/>
          <w:szCs w:val="18"/>
          <w:color w:val="auto"/>
        </w:rPr>
      </w:pPr>
    </w:p>
    <w:p>
      <w:pPr>
        <w:ind w:left="980" w:hanging="223"/>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Assets</w:t>
      </w:r>
      <w:r>
        <w:rPr>
          <w:rFonts w:ascii="Times New Roman" w:cs="Times New Roman" w:eastAsia="Times New Roman" w:hAnsi="Times New Roman"/>
          <w:sz w:val="18"/>
          <w:szCs w:val="18"/>
          <w:color w:val="auto"/>
        </w:rPr>
        <w:t>. Such Buyer has sufficient available assets (whether cash, cash equivalents or similar assets) to pay the Purchase Price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206"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Each Buyer may freely transfer or assign any of its rights without restriction, including without limitation, its Commitment Securities Right, provided that any Person to whom it transfers or assigns its rights agrees to comply with the terms hereof as Buyer and upon such transfer or assignment the transferee or assignee shall be treated as a Buyer and is deemed to give the representations and warranties as a Buyer as set out herein including without limitation in this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both"/>
        <w:ind w:firstLine="757"/>
        <w:spacing w:after="0" w:line="256"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No Buyer has, as of the date hereof, any “put equivalent position” as such term is defined in Rule 16a-1 under the Exchange Act or short sale positions with respect to the securities of the Company. Notwithstanding the foregoing, in the case of a Buyer that is a multi-managed investment vehicle whereby separate portfolio managers manage separate portions of such Buyer’s assets and the portfolio managers have no direct knowledge of the investment decisions made by the portfolio managers managing other portions of such Buyer’s assets, the representation set forth above shall only apply with respect to the portion of assets managed by the portfolio manager that made the investment decision to purchase the Ordinary Shares covered by this Agreement.</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schedules to this Agreement, which disclosure schedules shall be deemed a part hereof and shall qualify any representation made herein to the extent of the disclosure contained therein, the Company represents and warrants to each of the Buyers that, as of the date hereof and as of each Closing Date:</w:t>
      </w:r>
    </w:p>
    <w:p>
      <w:pPr>
        <w:spacing w:after="0" w:line="176" w:lineRule="exact"/>
        <w:rPr>
          <w:sz w:val="20"/>
          <w:szCs w:val="20"/>
          <w:color w:val="auto"/>
        </w:rPr>
      </w:pPr>
    </w:p>
    <w:p>
      <w:pPr>
        <w:jc w:val="both"/>
        <w:ind w:firstLine="757"/>
        <w:spacing w:after="0" w:line="252" w:lineRule="auto"/>
        <w:tabs>
          <w:tab w:leader="none" w:pos="100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each of its Subsidiaries (including the New SPV Subsidiary)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(including the New SPV Subsidiary)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any material adverse effect on (i) the business, properties, assets, liabilities, operations (including results thereof), condition (financial or otherwise) of the Company or any Subsidiary or the New SPV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below). Other than the Persons (as defined below) set forth on Schedule 3(a), the Company has no Subsidiaries.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Person in which the Company, directly or indirectly, (I) owns a majority of the outstanding shares or holds a majority equity or similar interest of such Person or (II) controls or operates all or any part of the business, operations or administration of such Person, and each of the foregoing, is individually referred to herein as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firstLine="757"/>
        <w:spacing w:after="0" w:line="252" w:lineRule="auto"/>
        <w:tabs>
          <w:tab w:leader="none" w:pos="10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the other Transaction Documents and to issue the Securities in accordance with the terms hereof and thereof, subject to the passing of the Shareholder Resolutions. Each Subsidiary has the requisite power and authority to enter into and perform its obligations under the Transaction Documents to which it is a party. The execution and delivery of this Agreement and the other Transaction Documents by the Company and its Subsidiaries, and the consummation by the Company and its Subsidiaries of the transactions contemplated hereby and thereby (including, without limitation, the issuance of the Notes and the reservation for issuance and issuance of the Conversion Shares issuable upon conversion of the Notes, and the issuance of the Commitment Shares) have been duly authorized by the Company’s board of directors and each of its Subsidiaries’ board of directors or other governing body, as applicable, and (other than the filing with the SEC of one or more Registration Statements in accordance with the requirements of the Registration Rights Agreement, a Form D with the SEC, and any other filings as may be required by any state securities agencies) no further filing, consent or authorization is required by the Company, its Subsidiaries, their respective boards of directors or their shareholders or other governing body other than the Shareholder Resolutions. For the purposes of this Agreement "Shareholder Resolutions" means an ordinary resolution of the shareholders of the Company to give authority to the directors of the Company to allot Securities pursuant to this Agreement and a special resolution to disapply pre-emption rights in relation thereto. This Agreement has been, and the other Transaction Documents to which it is a party will be prior to the Initial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Prior to the Initial Closing, the Transaction Documents to which each Subsidiary is a party will be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executed and delivered by each such Subsidiary, and shall constitute the legal, valid and binding obligations of each such Subsidiary, enforceable against each such Subsidiary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means, collectively, this Agreement, the Notes, the Registration Rights Agreement, the Irrevocable Transfer Agent Instructions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Security Documents (as defined below) and each of the other agreements and instruments entered into or delivered by any of the Parties or the Company’s Subsidiaries in connection with the transactions contemplated hereby and thereby, as may be amended from time to time.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means the Guarantee Agreements, Pledge Agreement, the Bitcoin Escrow Account Control Agreement, the Cash Account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any other securities account control agreement or deposit account control agreement, any and all financing statements, security agreements, pledges, assignments, opinions of counsel, and all other documents and instruments requested by the Collateral Agent (as defined below) or the Required Holders to create, perfect, and continue perfected or to better perfect the Collateral Agent’s security interest in and Liens on the Bitcoin Escrow Account and all of the Escrow Bitcoin and other assets held therein, the Cash Account and all cash and other assets held therein, and all other collateral identified in the Pledge Agreement, which security interests and Liens are held by the Collateral Agent for itself and on behalf of the Buyers.</w:t>
      </w:r>
    </w:p>
    <w:p>
      <w:pPr>
        <w:spacing w:after="0" w:line="187" w:lineRule="exact"/>
        <w:rPr>
          <w:sz w:val="20"/>
          <w:szCs w:val="20"/>
          <w:color w:val="auto"/>
        </w:rPr>
      </w:pPr>
    </w:p>
    <w:p>
      <w:pPr>
        <w:jc w:val="both"/>
        <w:ind w:firstLine="757"/>
        <w:spacing w:after="0" w:line="253" w:lineRule="auto"/>
        <w:tabs>
          <w:tab w:leader="none" w:pos="99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Notes and the Commitment Shares will subject to the passing of the Shareholder Resolutions be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except as imposed or required by applicable federal or state securities law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with respect to the issuance thereof. As of the Initial Closing, the Company shall have reserved from its duly authorized Ordinary Shares not less than the sum of the maximum number of Conversion Shares issuable upon conversion of the Notes (assuming for purposes hereof that (x) the Notes are convertible at the initial Conversion Price (as defined in the Notes), and (y) any such conversion shall not take into account any limitations on the conversion of the Notes set forth in the Notes). Upon issuance or conversion in accordance with the Notes, the Conversion Shares, when issued, will be validly issued, fully paid and nonassessable and free from all preemptive or similar rights or Liens with respect to the issue thereof, with the holders being entitled to all rights accorded to a holder of Ordinary Shares. Subject to the accuracy of the representations and warranties of the Buyers in this Agreement, the offer and issuance by the Company of the Securities is exempt from registration under the 1933 Act.</w:t>
      </w:r>
    </w:p>
    <w:p>
      <w:pPr>
        <w:spacing w:after="0" w:line="191" w:lineRule="exact"/>
        <w:rPr>
          <w:rFonts w:ascii="Times New Roman" w:cs="Times New Roman" w:eastAsia="Times New Roman" w:hAnsi="Times New Roman"/>
          <w:sz w:val="18"/>
          <w:szCs w:val="18"/>
          <w:color w:val="auto"/>
        </w:rPr>
      </w:pPr>
    </w:p>
    <w:p>
      <w:pPr>
        <w:jc w:val="both"/>
        <w:ind w:firstLine="757"/>
        <w:spacing w:after="0" w:line="257" w:lineRule="auto"/>
        <w:tabs>
          <w:tab w:leader="none" w:pos="10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its Subsidiaries and the consummation by the Company and its Subsidiaries of the transactions contemplated hereby and thereby (including, without limitation, the issuance of the Notes, and the Conversion Shares and the reservation for issuance of the Conversion Shares) will subject to the passing of the Shareholder resolutions not</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in a violation of the Amended and Restated Memorandum and Articles of Association of the Company, certificate of formation, memorandum of association, articles of association, bylaws or other organizational documents of the Company or any of its Subsidiaries, or any shares or other securities of the Company or any of its Subsidiaries, (ii) to the knowledge of the officers and directors of the Company,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material law, rule, regulation, order, judgment or decree (including, without limitation, foreign, federal and state securities laws and regulations and the rules and regulations of the Nasdaq Capital Market (the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and including all applicable foreign, federal and state laws, rules and regulations) applicable to the Company or any of its Subsidiaries or by which any property or asset of the Company or any of its Subsidiaries is bound or affected.</w:t>
      </w:r>
    </w:p>
    <w:p>
      <w:pPr>
        <w:spacing w:after="0" w:line="193" w:lineRule="exact"/>
        <w:rPr>
          <w:rFonts w:ascii="Times New Roman" w:cs="Times New Roman" w:eastAsia="Times New Roman" w:hAnsi="Times New Roman"/>
          <w:sz w:val="18"/>
          <w:szCs w:val="18"/>
          <w:color w:val="auto"/>
        </w:rPr>
      </w:pPr>
    </w:p>
    <w:p>
      <w:pPr>
        <w:jc w:val="both"/>
        <w:ind w:firstLine="757"/>
        <w:spacing w:after="0" w:line="256" w:lineRule="auto"/>
        <w:tabs>
          <w:tab w:leader="none" w:pos="99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Neither the Company nor any Subsidiary is required to obtain any consent from, authorization or order of, or make any filing or registration with (other than the filing with the SEC of one or more Registration Statements in accordance with the requirements of the Registration Rights Agreement, a Form D with the SEC and any other filings as may be required by any state securities agencies), any Governmental Entity (as defined below) or any regulatory or self-regulatory agency or any other Person (other than the Shareholder Resolutions) in order for it to execute, deliver or perform any of its respective obligations under or contemplated by the Transaction Documents, in each case, in accordance with the terms hereof or thereof. All consents, authorizations, orders, filings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registrations which the Company or any Subsidiary is required to obtain pursuant to the preceding sentence have been or will be obtained or effected on or prior to the applicable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92" w:lineRule="exact"/>
        <w:rPr>
          <w:sz w:val="20"/>
          <w:szCs w:val="20"/>
          <w:color w:val="auto"/>
        </w:rPr>
      </w:pPr>
    </w:p>
    <w:p>
      <w:pPr>
        <w:jc w:val="both"/>
        <w:ind w:firstLine="757"/>
        <w:spacing w:after="0" w:line="257" w:lineRule="auto"/>
        <w:tabs>
          <w:tab w:leader="none" w:pos="97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an “affiliate” (as defined in Rule 144) of the Company or any of its Subsidiaries or</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knowledge, a “beneficial owner” of more than 10% of the Ordinary Shares (as defined for purposes of Rule 13d-3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and each Subsidiary’s decision to enter into the Transaction Documents to which it is a party has been based solely on the independent evaluation by the Company, each Subsidiary and their respective representatives.</w:t>
      </w:r>
    </w:p>
    <w:p>
      <w:pPr>
        <w:spacing w:after="0" w:line="188" w:lineRule="exact"/>
        <w:rPr>
          <w:rFonts w:ascii="Times New Roman" w:cs="Times New Roman" w:eastAsia="Times New Roman" w:hAnsi="Times New Roman"/>
          <w:sz w:val="18"/>
          <w:szCs w:val="18"/>
          <w:color w:val="auto"/>
        </w:rPr>
      </w:pPr>
    </w:p>
    <w:p>
      <w:pPr>
        <w:jc w:val="both"/>
        <w:ind w:firstLine="757"/>
        <w:spacing w:after="0" w:line="253" w:lineRule="auto"/>
        <w:tabs>
          <w:tab w:leader="none" w:pos="10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Placement Agent’s Fees</w:t>
      </w:r>
      <w:r>
        <w:rPr>
          <w:rFonts w:ascii="Times New Roman" w:cs="Times New Roman" w:eastAsia="Times New Roman" w:hAnsi="Times New Roman"/>
          <w:sz w:val="18"/>
          <w:szCs w:val="18"/>
          <w:color w:val="auto"/>
        </w:rPr>
        <w:t>. Neither the Company, nor any of its Subsidiaries or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any Buyer or its investment advisor) relating to or arising out of the transactions contemplated hereby, including, without limitation, placement agent fees payable to Cohen &amp; Company Capital Markets, as sole placement agent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in connection with the sale of the Securities. The fees and expenses of the Placement Agent to be paid by the Company or any of its Subsidiaries are as set forth on Schedule 3(g) attached hereto. The Company shall pay, and hold each Buyer harmless against, any liability, loss or expense (including, without limitation, attorney’s fees and out-of-pocket expenses) arising in connection with any such claim. The Company acknowledges that it has engaged the Placement Agent in connection with the sale of the Securities. Other than the Placement Agent, neither the Company nor any of its Subsidiaries has engaged any placement agent or other agent in connection with the offer or sale of the Securities.</w:t>
      </w:r>
    </w:p>
    <w:p>
      <w:pPr>
        <w:spacing w:after="0" w:line="194" w:lineRule="exact"/>
        <w:rPr>
          <w:rFonts w:ascii="Times New Roman" w:cs="Times New Roman" w:eastAsia="Times New Roman" w:hAnsi="Times New Roman"/>
          <w:sz w:val="18"/>
          <w:szCs w:val="18"/>
          <w:color w:val="auto"/>
        </w:rPr>
      </w:pPr>
    </w:p>
    <w:p>
      <w:pPr>
        <w:jc w:val="both"/>
        <w:ind w:firstLine="757"/>
        <w:spacing w:after="0" w:line="254" w:lineRule="auto"/>
        <w:tabs>
          <w:tab w:leader="none" w:pos="10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shareholders of the Company for purposes of the 1933 Act or under any applicable shareholder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require registration of the issuance of any of the Securities under the 1933 Act or cause the offering of any of the Securities to be integrated with other offerings of securities of the Company.</w:t>
      </w:r>
    </w:p>
    <w:p>
      <w:pPr>
        <w:spacing w:after="0" w:line="191" w:lineRule="exact"/>
        <w:rPr>
          <w:rFonts w:ascii="Times New Roman" w:cs="Times New Roman" w:eastAsia="Times New Roman" w:hAnsi="Times New Roman"/>
          <w:sz w:val="18"/>
          <w:szCs w:val="18"/>
          <w:color w:val="auto"/>
        </w:rPr>
      </w:pPr>
    </w:p>
    <w:p>
      <w:pPr>
        <w:jc w:val="both"/>
        <w:ind w:firstLine="757"/>
        <w:spacing w:after="0" w:line="261"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Conversion Shares will increase in certain circumstances. The Company further acknowledges that its obligation to issue the Conversion Shares pursuant to the terms of the Notes in accordance with this Agreement and the Notes and the Notes is, in each case, absolute and unconditional regardless of the dilutive effect that such issuance may have on the ownership interests of other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ind w:firstLine="757"/>
        <w:spacing w:after="0" w:line="254"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shareholder, business combination, poison pill (including, without limitation, any distribution under a rights agreement), shareholder rights plan or other similar anti-takeover provision under the Articles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(save that in no circumstances shall the application of Article 5 or related provisions in the Articles be required to be in any way disapplied or affected). The Company and its board of directors have taken all necessary action, if any, in order to render inapplicable any shareholder rights plan or similar arrangement relating to accumulations of beneficial ownership of Ordinary Shares or a change in control of the Company or any of its Subsidiaries other than as set out in the Articles (including without limitation Article 5).</w:t>
      </w:r>
    </w:p>
    <w:p>
      <w:pPr>
        <w:spacing w:after="0" w:line="188" w:lineRule="exact"/>
        <w:rPr>
          <w:rFonts w:ascii="Times New Roman" w:cs="Times New Roman" w:eastAsia="Times New Roman" w:hAnsi="Times New Roman"/>
          <w:sz w:val="18"/>
          <w:szCs w:val="18"/>
          <w:color w:val="auto"/>
        </w:rPr>
      </w:pPr>
    </w:p>
    <w:p>
      <w:pPr>
        <w:jc w:val="both"/>
        <w:ind w:firstLine="757"/>
        <w:spacing w:after="0" w:line="252" w:lineRule="auto"/>
        <w:tabs>
          <w:tab w:leader="none" w:pos="10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The Company has filed with the SEC all reports, schedules, forms, proxy statements, statements and other documents required to be filed by it with the SEC pursuant to the reporting requirements of the 1934 Act. As of their respective dates, the SEC Documents of the Company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used herein,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xml:space="preserve">” means the reports, schedules, forms, proxy statements, statements and other documents filed by it with the SEC pursuant to the reporting requirements of the 1934 Act filed prior to the date hereof and all exhibits and appendices included therein and financial statements, notes and schedules thereto and documents incorporated by reference therein. The financial statements of the Company and/or the Subsidiaries set forth on </w:t>
      </w:r>
      <w:r>
        <w:rPr>
          <w:rFonts w:ascii="Times New Roman" w:cs="Times New Roman" w:eastAsia="Times New Roman" w:hAnsi="Times New Roman"/>
          <w:sz w:val="18"/>
          <w:szCs w:val="18"/>
          <w:u w:val="single" w:color="auto"/>
          <w:color w:val="auto"/>
        </w:rPr>
        <w:t>Schedule 3(k)</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have been prepared in accordance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194" w:lineRule="exact"/>
        <w:rPr>
          <w:rFonts w:ascii="Times New Roman" w:cs="Times New Roman" w:eastAsia="Times New Roman" w:hAnsi="Times New Roman"/>
          <w:sz w:val="18"/>
          <w:szCs w:val="18"/>
          <w:color w:val="auto"/>
        </w:rPr>
      </w:pPr>
    </w:p>
    <w:p>
      <w:pPr>
        <w:ind w:left="980" w:hanging="223"/>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3(l)</w:t>
      </w:r>
      <w:r>
        <w:rPr>
          <w:rFonts w:ascii="Times New Roman" w:cs="Times New Roman" w:eastAsia="Times New Roman" w:hAnsi="Times New Roman"/>
          <w:sz w:val="18"/>
          <w:szCs w:val="18"/>
          <w:color w:val="auto"/>
        </w:rPr>
        <w:t>, since the date of the Company’s and/or its Subsidiaries’ most recent audited Financial Statements, there has been no Material Adverse Effect.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3(l), “</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xml:space="preserve">”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 Except as set forth on </w:t>
      </w:r>
      <w:r>
        <w:rPr>
          <w:rFonts w:ascii="Times New Roman" w:cs="Times New Roman" w:eastAsia="Times New Roman" w:hAnsi="Times New Roman"/>
          <w:sz w:val="18"/>
          <w:szCs w:val="18"/>
          <w:u w:val="single" w:color="auto"/>
          <w:color w:val="auto"/>
        </w:rPr>
        <w:t>Schedule 3(l)</w:t>
      </w:r>
      <w:r>
        <w:rPr>
          <w:rFonts w:ascii="Times New Roman" w:cs="Times New Roman" w:eastAsia="Times New Roman" w:hAnsi="Times New Roman"/>
          <w:sz w:val="18"/>
          <w:szCs w:val="18"/>
          <w:color w:val="auto"/>
        </w:rPr>
        <w:t>, neither the Company nor any of its Subsidiaries has engaged in any business or in any transaction, and is not about to engage in any business or in any transaction, for which the Company’s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Subsidiary’s remaining assets constitute unreasonably small capital with which to conduct the business in which it is engaged as such business is now conducted and is proposed to be conducted.</w:t>
      </w:r>
    </w:p>
    <w:p>
      <w:pPr>
        <w:spacing w:after="0" w:line="162" w:lineRule="exact"/>
        <w:rPr>
          <w:sz w:val="20"/>
          <w:szCs w:val="20"/>
          <w:color w:val="auto"/>
        </w:rPr>
      </w:pPr>
    </w:p>
    <w:p>
      <w:pPr>
        <w:jc w:val="both"/>
        <w:ind w:firstLine="757"/>
        <w:spacing w:after="0" w:line="256" w:lineRule="auto"/>
        <w:tabs>
          <w:tab w:leader="none" w:pos="10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3(m)</w:t>
      </w:r>
      <w:r>
        <w:rPr>
          <w:rFonts w:ascii="Times New Roman" w:cs="Times New Roman" w:eastAsia="Times New Roman" w:hAnsi="Times New Roman"/>
          <w:sz w:val="18"/>
          <w:szCs w:val="18"/>
          <w:color w:val="auto"/>
        </w:rPr>
        <w:t>,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F-1 filed with the SEC relating to an issuance and sale by the Company of its Ordinary Shares and which has not been publicly announced, (ii) would have a material adverse effect on any Buyer’s investment hereunder or (iii) would have a Material Adverse Effect.</w:t>
      </w:r>
    </w:p>
    <w:p>
      <w:pPr>
        <w:spacing w:after="0" w:line="187" w:lineRule="exact"/>
        <w:rPr>
          <w:rFonts w:ascii="Times New Roman" w:cs="Times New Roman" w:eastAsia="Times New Roman" w:hAnsi="Times New Roman"/>
          <w:sz w:val="18"/>
          <w:szCs w:val="18"/>
          <w:color w:val="auto"/>
        </w:rPr>
      </w:pPr>
    </w:p>
    <w:p>
      <w:pPr>
        <w:jc w:val="both"/>
        <w:ind w:firstLine="757"/>
        <w:spacing w:after="0" w:line="252" w:lineRule="auto"/>
        <w:tabs>
          <w:tab w:leader="none" w:pos="10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Neither the Company nor any of its Subsidiaries is in violation of any term of or in default under the Articles, any certificate of designation, preferences or rights of any other outstanding series of preferred shares of the Company or any of its Subsidiaries or bylaws or their organizational charter, certificate of formation, memorandum of association, articles of association,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would not, individually or in the aggregate, have a Material Adverse Effect.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with respect to the Company or any of its Subsidiaries.</w:t>
      </w:r>
    </w:p>
    <w:p>
      <w:pPr>
        <w:spacing w:after="0" w:line="195"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3" w:val="left"/>
        </w:tabs>
        <w:numPr>
          <w:ilvl w:val="0"/>
          <w:numId w:val="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the Company’s Subsidiaries nor, to the knowledge of the Company, any director, officer, agent, employee, nor any other person acting for or on behalf of the foregoing (such directors, officers, agents, employees and persons acting for or on behalf of the foregoing, individually and collectively, a “</w:t>
      </w:r>
      <w:r>
        <w:rPr>
          <w:rFonts w:ascii="Times New Roman" w:cs="Times New Roman" w:eastAsia="Times New Roman" w:hAnsi="Times New Roman"/>
          <w:sz w:val="18"/>
          <w:szCs w:val="18"/>
          <w:b w:val="1"/>
          <w:bCs w:val="1"/>
          <w:color w:val="auto"/>
        </w:rPr>
        <w:t>Company Affiliate</w:t>
      </w:r>
      <w:r>
        <w:rPr>
          <w:rFonts w:ascii="Times New Roman" w:cs="Times New Roman" w:eastAsia="Times New Roman" w:hAnsi="Times New Roman"/>
          <w:sz w:val="18"/>
          <w:szCs w:val="18"/>
          <w:color w:val="auto"/>
        </w:rPr>
        <w:t>”) have violated the U.S. Foreign Corrupt Practices Act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any other applicable anti-bribery or anti-corruption laws, nor to the knowledge of the Company,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188" w:lineRule="exact"/>
        <w:rPr>
          <w:rFonts w:ascii="Times New Roman" w:cs="Times New Roman" w:eastAsia="Times New Roman" w:hAnsi="Times New Roman"/>
          <w:sz w:val="18"/>
          <w:szCs w:val="18"/>
          <w:u w:val="single" w:color="auto"/>
          <w:color w:val="auto"/>
        </w:rPr>
      </w:pPr>
    </w:p>
    <w:p>
      <w:pPr>
        <w:jc w:val="both"/>
        <w:ind w:left="760" w:firstLine="1494"/>
        <w:spacing w:after="0" w:line="266" w:lineRule="auto"/>
        <w:tabs>
          <w:tab w:leader="none" w:pos="252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175" w:lineRule="exact"/>
        <w:rPr>
          <w:rFonts w:ascii="Times New Roman" w:cs="Times New Roman" w:eastAsia="Times New Roman" w:hAnsi="Times New Roman"/>
          <w:sz w:val="18"/>
          <w:szCs w:val="18"/>
          <w:color w:val="auto"/>
        </w:rPr>
      </w:pPr>
    </w:p>
    <w:p>
      <w:pPr>
        <w:ind w:left="760" w:firstLine="1494"/>
        <w:spacing w:after="0" w:line="282" w:lineRule="auto"/>
        <w:tabs>
          <w:tab w:leader="none" w:pos="25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or its Subsidiaries in obtaining or retaining business for or with, or directing business to, the Company or its Subsidiaries.</w:t>
      </w:r>
    </w:p>
    <w:p>
      <w:pPr>
        <w:spacing w:after="0" w:line="161" w:lineRule="exact"/>
        <w:rPr>
          <w:rFonts w:ascii="Times New Roman" w:cs="Times New Roman" w:eastAsia="Times New Roman" w:hAnsi="Times New Roman"/>
          <w:sz w:val="18"/>
          <w:szCs w:val="18"/>
          <w:color w:val="auto"/>
        </w:rPr>
      </w:pPr>
    </w:p>
    <w:p>
      <w:pPr>
        <w:ind w:firstLine="757"/>
        <w:spacing w:after="0" w:line="282" w:lineRule="auto"/>
        <w:tabs>
          <w:tab w:leader="none" w:pos="10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each Subsidiary is in compliance with any and all applicable requirements of the Sarbanes-Oxley Act of 2002, as amended, and any and all applicable rules and regulations promulgated by the SEC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line="86" w:lineRule="exact"/>
        <w:rPr>
          <w:sz w:val="20"/>
          <w:szCs w:val="20"/>
          <w:color w:val="auto"/>
        </w:rPr>
      </w:pPr>
    </w:p>
    <w:p>
      <w:pPr>
        <w:jc w:val="both"/>
        <w:ind w:left="-8" w:firstLine="757"/>
        <w:spacing w:after="0" w:line="252" w:lineRule="auto"/>
        <w:tabs>
          <w:tab w:leader="none" w:pos="9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Other than as set forth on </w:t>
      </w:r>
      <w:r>
        <w:rPr>
          <w:rFonts w:ascii="Times New Roman" w:cs="Times New Roman" w:eastAsia="Times New Roman" w:hAnsi="Times New Roman"/>
          <w:sz w:val="18"/>
          <w:szCs w:val="18"/>
          <w:u w:val="single" w:color="auto"/>
          <w:color w:val="auto"/>
        </w:rPr>
        <w:t>Schedule 3(q)</w:t>
      </w:r>
      <w:r>
        <w:rPr>
          <w:rFonts w:ascii="Times New Roman" w:cs="Times New Roman" w:eastAsia="Times New Roman" w:hAnsi="Times New Roman"/>
          <w:sz w:val="18"/>
          <w:szCs w:val="18"/>
          <w:color w:val="auto"/>
        </w:rPr>
        <w:t>, no current or former employee, partner, director, officer or shareholder (direct or indirect) of the Company or its Subsidiaries, or any associate, or, to the knowledge of the Company, any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shareholder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Ordinary Shares of a company whose securities are traded on or quoted through an Eligible Market, nor does any such Person receive income from any source other than the Company or its Subsidiaries which relates to the business of the Company or its Subsidiaries or should properly accrue to the Company or its Subsidiaries. No employee, officer, shareholder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w:t>
      </w:r>
    </w:p>
    <w:p>
      <w:pPr>
        <w:spacing w:after="0" w:line="2"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reasonable expenses incurred on behalf of the Company, and (iii) for other standard employee benefits made generally available to all employees or executives (including share option agreements outstanding under any share option plan approved by the Board of Directors of the Company).</w:t>
      </w:r>
    </w:p>
    <w:p>
      <w:pPr>
        <w:spacing w:after="0" w:line="185" w:lineRule="exact"/>
        <w:rPr>
          <w:rFonts w:ascii="Times New Roman" w:cs="Times New Roman" w:eastAsia="Times New Roman" w:hAnsi="Times New Roman"/>
          <w:sz w:val="18"/>
          <w:szCs w:val="18"/>
          <w:color w:val="auto"/>
        </w:rPr>
      </w:pPr>
    </w:p>
    <w:p>
      <w:pPr>
        <w:ind w:left="972" w:hanging="223"/>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p>
    <w:p>
      <w:pPr>
        <w:spacing w:after="0" w:line="225" w:lineRule="exact"/>
        <w:rPr>
          <w:rFonts w:ascii="Times New Roman" w:cs="Times New Roman" w:eastAsia="Times New Roman" w:hAnsi="Times New Roman"/>
          <w:sz w:val="18"/>
          <w:szCs w:val="18"/>
          <w:color w:val="auto"/>
        </w:rPr>
      </w:pPr>
    </w:p>
    <w:p>
      <w:pPr>
        <w:ind w:left="1712" w:hanging="215"/>
        <w:spacing w:after="0"/>
        <w:tabs>
          <w:tab w:leader="none" w:pos="171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492" w:firstLine="754"/>
        <w:spacing w:after="0" w:line="286" w:lineRule="auto"/>
        <w:tabs>
          <w:tab w:leader="none" w:pos="2549"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 (x) the Company’s Ordinary Shares, £0.0001 par value per share, and (y) any security into which such Ordinary Shares shall have been changed or any share capital resulting from a reclassification of such Ordinary Shares.</w:t>
      </w:r>
    </w:p>
    <w:p>
      <w:pPr>
        <w:spacing w:after="0" w:line="154" w:lineRule="exact"/>
        <w:rPr>
          <w:rFonts w:ascii="Times New Roman" w:cs="Times New Roman" w:eastAsia="Times New Roman" w:hAnsi="Times New Roman"/>
          <w:sz w:val="18"/>
          <w:szCs w:val="18"/>
          <w:color w:val="auto"/>
        </w:rPr>
      </w:pPr>
    </w:p>
    <w:p>
      <w:pPr>
        <w:jc w:val="both"/>
        <w:ind w:left="1492" w:firstLine="754"/>
        <w:spacing w:after="0" w:line="262" w:lineRule="auto"/>
        <w:tabs>
          <w:tab w:leader="none" w:pos="2539"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security of the Company or any of the Company Subsidiaries that is at any time and under any circumstances directly or indirectly convertible into, exercisable or exchangeable for, or which otherwise entitles the holder thereof to acquire, any security of the Company (including, without limitation, Ordinary Shares) or any of the Company Subsidiaries.</w:t>
      </w:r>
    </w:p>
    <w:p>
      <w:pPr>
        <w:spacing w:after="0" w:line="176" w:lineRule="exact"/>
        <w:rPr>
          <w:rFonts w:ascii="Times New Roman" w:cs="Times New Roman" w:eastAsia="Times New Roman" w:hAnsi="Times New Roman"/>
          <w:sz w:val="18"/>
          <w:szCs w:val="18"/>
          <w:color w:val="auto"/>
        </w:rPr>
      </w:pPr>
    </w:p>
    <w:p>
      <w:pPr>
        <w:ind w:left="1492" w:right="20" w:firstLine="754"/>
        <w:spacing w:after="0" w:line="286" w:lineRule="auto"/>
        <w:tabs>
          <w:tab w:leader="none" w:pos="2525"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Shares</w:t>
      </w:r>
      <w:r>
        <w:rPr>
          <w:rFonts w:ascii="Times New Roman" w:cs="Times New Roman" w:eastAsia="Times New Roman" w:hAnsi="Times New Roman"/>
          <w:sz w:val="18"/>
          <w:szCs w:val="18"/>
          <w:color w:val="auto"/>
        </w:rPr>
        <w:t>” means the redeemable deferred shares in the capital of the Company from time to time, referred to in article 4(b) of the Company’s Articles of Association, and with the rights set out therein.</w:t>
      </w:r>
    </w:p>
    <w:p>
      <w:pPr>
        <w:spacing w:after="0" w:line="158" w:lineRule="exact"/>
        <w:rPr>
          <w:rFonts w:ascii="Times New Roman" w:cs="Times New Roman" w:eastAsia="Times New Roman" w:hAnsi="Times New Roman"/>
          <w:sz w:val="18"/>
          <w:szCs w:val="18"/>
          <w:color w:val="auto"/>
        </w:rPr>
      </w:pPr>
    </w:p>
    <w:p>
      <w:pPr>
        <w:ind w:left="752" w:firstLine="745"/>
        <w:spacing w:after="0" w:line="282" w:lineRule="auto"/>
        <w:tabs>
          <w:tab w:leader="none" w:pos="1765"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and Outstanding Shares</w:t>
      </w:r>
      <w:r>
        <w:rPr>
          <w:rFonts w:ascii="Times New Roman" w:cs="Times New Roman" w:eastAsia="Times New Roman" w:hAnsi="Times New Roman"/>
          <w:sz w:val="18"/>
          <w:szCs w:val="18"/>
          <w:color w:val="auto"/>
        </w:rPr>
        <w:t>. As of the date hereof, the issued shares of the Company consist of (A) 308,568,652 Ordinary Shares, and (B) 51,000 Deferred Shares, Zero (0) Ordinary Shares are held in the treasury of the Company</w:t>
      </w:r>
    </w:p>
    <w:p>
      <w:pPr>
        <w:spacing w:after="0" w:line="161" w:lineRule="exact"/>
        <w:rPr>
          <w:rFonts w:ascii="Times New Roman" w:cs="Times New Roman" w:eastAsia="Times New Roman" w:hAnsi="Times New Roman"/>
          <w:sz w:val="18"/>
          <w:szCs w:val="18"/>
          <w:color w:val="auto"/>
        </w:rPr>
      </w:pPr>
    </w:p>
    <w:p>
      <w:pPr>
        <w:jc w:val="both"/>
        <w:ind w:left="752" w:firstLine="745"/>
        <w:spacing w:after="0" w:line="254" w:lineRule="auto"/>
        <w:tabs>
          <w:tab w:leader="none" w:pos="186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Available Shares; Affiliates</w:t>
      </w:r>
      <w:r>
        <w:rPr>
          <w:rFonts w:ascii="Times New Roman" w:cs="Times New Roman" w:eastAsia="Times New Roman" w:hAnsi="Times New Roman"/>
          <w:sz w:val="18"/>
          <w:szCs w:val="18"/>
          <w:color w:val="auto"/>
        </w:rPr>
        <w:t xml:space="preserve">. All of the issued shares have been validly issued and are fully paid and nonassessable. </w:t>
      </w:r>
      <w:r>
        <w:rPr>
          <w:rFonts w:ascii="Times New Roman" w:cs="Times New Roman" w:eastAsia="Times New Roman" w:hAnsi="Times New Roman"/>
          <w:sz w:val="18"/>
          <w:szCs w:val="18"/>
          <w:u w:val="single" w:color="auto"/>
          <w:color w:val="auto"/>
        </w:rPr>
        <w:t>Schedule 3(r)(iii)</w:t>
      </w:r>
      <w:r>
        <w:rPr>
          <w:rFonts w:ascii="Times New Roman" w:cs="Times New Roman" w:eastAsia="Times New Roman" w:hAnsi="Times New Roman"/>
          <w:sz w:val="18"/>
          <w:szCs w:val="18"/>
          <w:color w:val="auto"/>
        </w:rPr>
        <w:t xml:space="preserve"> sets forth the number of Ordinary Shares that are, as of the date hereof, owned by Persons who are “affiliates” (as defined in Rule 405 of the 1933 Act and calculated based on the assumption that only officers, directors and holders of at least 10% of the Company’s issued and outstanding Ordinary Shares are “affiliates” without conceding that any such Persons are “affiliates” for purposes of federal securities laws) of the Company or any of its Subsidiaries. Except as set forth on </w:t>
      </w:r>
      <w:r>
        <w:rPr>
          <w:rFonts w:ascii="Times New Roman" w:cs="Times New Roman" w:eastAsia="Times New Roman" w:hAnsi="Times New Roman"/>
          <w:sz w:val="18"/>
          <w:szCs w:val="18"/>
          <w:u w:val="single" w:color="auto"/>
          <w:color w:val="auto"/>
        </w:rPr>
        <w:t>Schedule 3(r)(iii)</w:t>
      </w:r>
      <w:r>
        <w:rPr>
          <w:rFonts w:ascii="Times New Roman" w:cs="Times New Roman" w:eastAsia="Times New Roman" w:hAnsi="Times New Roman"/>
          <w:sz w:val="18"/>
          <w:szCs w:val="18"/>
          <w:color w:val="auto"/>
        </w:rPr>
        <w:t>, to the Company’s knowledge, no Person owns 10% or more of the Company’s issued and outstanding Ordinary Shares (calculated based on the assumption that all Convertible Securities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shareholder for purposes of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1010285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6" w:name="page17"/>
    <w:bookmarkEnd w:id="16"/>
    <w:p>
      <w:pPr>
        <w:jc w:val="both"/>
        <w:ind w:left="3" w:firstLine="745"/>
        <w:spacing w:after="0" w:line="252" w:lineRule="auto"/>
        <w:tabs>
          <w:tab w:leader="none" w:pos="10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3(r)(iv)</w:t>
      </w:r>
      <w:r>
        <w:rPr>
          <w:rFonts w:ascii="Times New Roman" w:cs="Times New Roman" w:eastAsia="Times New Roman" w:hAnsi="Times New Roman"/>
          <w:sz w:val="18"/>
          <w:szCs w:val="18"/>
          <w:color w:val="auto"/>
        </w:rPr>
        <w:t>: (A) none of the Company’s or any Subsidiary’s shares, interests or other securities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securities of the Company or any of its Subsidiaries, or contracts, commitments, understandings or arrangements by which the Company or any of its Subsidiaries is or may become bound to issue additional shares, interests or securities of the Company or any of its Subsidiaries or options, warrants, scrip, rights to subscribe to, calls or commitments of any character whatsoever relating to, or securities or rights convertible into, or exercisable or exchangeable for, any shares, interests or other securities of the Company or any of its Subsidiaries; (C) there are no agreements or arrangements under which the Company or any of its Subsidiaries is obligated to register the sale of any of their securities under the 1933 Act (except pursuant to the Registration Rights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share appreciation rights or “phantom stock” plans or agreements or any similar plan or agreement.</w:t>
      </w:r>
    </w:p>
    <w:p>
      <w:pPr>
        <w:spacing w:after="0" w:line="197" w:lineRule="exact"/>
        <w:rPr>
          <w:rFonts w:ascii="Times New Roman" w:cs="Times New Roman" w:eastAsia="Times New Roman" w:hAnsi="Times New Roman"/>
          <w:sz w:val="18"/>
          <w:szCs w:val="18"/>
          <w:color w:val="auto"/>
        </w:rPr>
      </w:pPr>
    </w:p>
    <w:p>
      <w:pPr>
        <w:jc w:val="both"/>
        <w:ind w:left="3" w:firstLine="745"/>
        <w:spacing w:after="0" w:line="266" w:lineRule="auto"/>
        <w:tabs>
          <w:tab w:leader="none" w:pos="103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Buyers true, correct and complete copies of the Company’s Amended and Restated Memorandum and Articles of Association, as amended and as in effect on the date hereof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and the terms of all Convertible Securities and the material rights of the holders thereof in respect thereto.</w:t>
      </w:r>
    </w:p>
    <w:p>
      <w:pPr>
        <w:spacing w:after="0" w:line="175" w:lineRule="exact"/>
        <w:rPr>
          <w:rFonts w:ascii="Times New Roman" w:cs="Times New Roman" w:eastAsia="Times New Roman" w:hAnsi="Times New Roman"/>
          <w:sz w:val="18"/>
          <w:szCs w:val="18"/>
          <w:color w:val="auto"/>
        </w:rPr>
      </w:pPr>
    </w:p>
    <w:p>
      <w:pPr>
        <w:jc w:val="both"/>
        <w:ind w:left="-757" w:firstLine="757"/>
        <w:spacing w:after="0" w:line="251" w:lineRule="auto"/>
        <w:tabs>
          <w:tab w:leader="none" w:pos="2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xml:space="preserve">. Neither the Company nor any of its Subsidiaries, (i) except as disclosed on </w:t>
      </w:r>
      <w:r>
        <w:rPr>
          <w:rFonts w:ascii="Times New Roman" w:cs="Times New Roman" w:eastAsia="Times New Roman" w:hAnsi="Times New Roman"/>
          <w:sz w:val="18"/>
          <w:szCs w:val="18"/>
          <w:u w:val="single" w:color="auto"/>
          <w:color w:val="auto"/>
        </w:rPr>
        <w:t>Schedule 3(s)</w:t>
      </w:r>
      <w:r>
        <w:rPr>
          <w:rFonts w:ascii="Times New Roman" w:cs="Times New Roman" w:eastAsia="Times New Roman" w:hAnsi="Times New Roman"/>
          <w:sz w:val="18"/>
          <w:szCs w:val="18"/>
          <w:color w:val="auto"/>
        </w:rPr>
        <w:t>, has any outstanding debt securities, notes, credit agreements, credit facilities or other agreements, documents or instruments evidencing Indebtedness of the Company or any of its Subsidiaries or by which the Company or any of its Subsidiaries is or may become bound, (ii) other than with respect to the indebtedness disclosed on Schedule 3(s), is a party to any contract, agreement or instrument, the violation of which, or default under which, by the other party(ies) to such contract, agreement or instrument would reasonably be expected to result in a Material Adverse Effect, (iii) is in violation of any term of, or in default under, any contract, agreement or instrument relating to any Indebtedness, except where such violations and defaults would not result, individually or in the aggregate, in a Material Adverse Effect, or (iv)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Financial Statements which are not so disclosed in the Financial Statements, other than those incurred in the ordinary course of the Company’s or its Subsidiaries’ respective businesses and which, individually or in the aggregate, do not or would not have a Material Adverse Effect. For purposes of this Agreement: (x)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1020445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“Indebtedness” shall not include accruals for payroll and other liabilities accrued in the ordinary course of business, deferred taxes, deferred and prepaid or deferred revenue, in each case arising in the ordinary course of business and customary obligations under employment agreements and deferred compensation.</w:t>
      </w:r>
    </w:p>
    <w:p>
      <w:pPr>
        <w:spacing w:after="0" w:line="183" w:lineRule="exact"/>
        <w:rPr>
          <w:sz w:val="20"/>
          <w:szCs w:val="20"/>
          <w:color w:val="auto"/>
        </w:rPr>
      </w:pPr>
    </w:p>
    <w:p>
      <w:pPr>
        <w:jc w:val="both"/>
        <w:ind w:firstLine="802"/>
        <w:spacing w:after="0" w:line="253" w:lineRule="auto"/>
        <w:tabs>
          <w:tab w:leader="none" w:pos="10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Ordinary Shares or any of the Company’s or its Subsidiaries’ officers or directors, whether of a civil or criminal nature or otherwise, in their capacities as such, except as set forth in </w:t>
      </w:r>
      <w:r>
        <w:rPr>
          <w:rFonts w:ascii="Times New Roman" w:cs="Times New Roman" w:eastAsia="Times New Roman" w:hAnsi="Times New Roman"/>
          <w:sz w:val="18"/>
          <w:szCs w:val="18"/>
          <w:u w:val="single" w:color="auto"/>
          <w:color w:val="auto"/>
        </w:rPr>
        <w:t>Schedule 3(t)</w:t>
      </w:r>
      <w:r>
        <w:rPr>
          <w:rFonts w:ascii="Times New Roman" w:cs="Times New Roman" w:eastAsia="Times New Roman" w:hAnsi="Times New Roman"/>
          <w:sz w:val="18"/>
          <w:szCs w:val="18"/>
          <w:color w:val="auto"/>
        </w:rPr>
        <w:t>. To the knowledge of the Company,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After reasonable inquiry of its employees,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w:t>
      </w:r>
    </w:p>
    <w:p>
      <w:pPr>
        <w:spacing w:after="0" w:line="191"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87" w:lineRule="exact"/>
        <w:rPr>
          <w:rFonts w:ascii="Times New Roman" w:cs="Times New Roman" w:eastAsia="Times New Roman" w:hAnsi="Times New Roman"/>
          <w:sz w:val="18"/>
          <w:szCs w:val="18"/>
          <w:color w:val="auto"/>
        </w:rPr>
      </w:pPr>
    </w:p>
    <w:p>
      <w:pPr>
        <w:jc w:val="both"/>
        <w:ind w:firstLine="757"/>
        <w:spacing w:after="0" w:line="253" w:lineRule="auto"/>
        <w:tabs>
          <w:tab w:leader="none" w:pos="10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a party to any collective bargaining agreement or employs any member of a union. The Company and its Subsidiaries believe that their relations with their employees are good.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To the knowledge of the Company,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firstLine="745"/>
        <w:spacing w:after="0" w:line="255" w:lineRule="auto"/>
        <w:tabs>
          <w:tab w:leader="none" w:pos="1737"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Each of the Company and its Subsidiaries (as the case may be) holds good title to all real property, leases in real property, facilities or other interests in real property owned or held by the Company or any of its Subsidiaries (the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owned by the Company or any of its Subsidiaries (as applicable). The Real Property is free and clear of all Liens and is not subject to 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 Any Real Property held under lease by the Company or any of its Subsidiaries are held by them under valid, subsisting and enforceable leases with such exceptions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ind w:left="3"/>
        <w:spacing w:after="0" w:line="282" w:lineRule="auto"/>
        <w:rPr>
          <w:sz w:val="20"/>
          <w:szCs w:val="20"/>
          <w:color w:val="auto"/>
        </w:rPr>
      </w:pPr>
      <w:r>
        <w:rPr>
          <w:rFonts w:ascii="Times New Roman" w:cs="Times New Roman" w:eastAsia="Times New Roman" w:hAnsi="Times New Roman"/>
          <w:sz w:val="18"/>
          <w:szCs w:val="18"/>
          <w:color w:val="auto"/>
        </w:rPr>
        <w:t>are not material and do not interfere with the use made and proposed to be made of such property and buildings by the Company or any of its Subsidiaries.</w:t>
      </w:r>
    </w:p>
    <w:p>
      <w:pPr>
        <w:spacing w:after="0" w:line="162" w:lineRule="exact"/>
        <w:rPr>
          <w:sz w:val="20"/>
          <w:szCs w:val="20"/>
          <w:color w:val="auto"/>
        </w:rPr>
      </w:pPr>
    </w:p>
    <w:p>
      <w:pPr>
        <w:jc w:val="both"/>
        <w:ind w:left="3" w:firstLine="745"/>
        <w:spacing w:after="0" w:line="254" w:lineRule="auto"/>
        <w:tabs>
          <w:tab w:leader="none" w:pos="101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Fixtures and Equipment</w:t>
      </w:r>
      <w:r>
        <w:rPr>
          <w:rFonts w:ascii="Times New Roman" w:cs="Times New Roman" w:eastAsia="Times New Roman" w:hAnsi="Times New Roman"/>
          <w:sz w:val="18"/>
          <w:szCs w:val="18"/>
          <w:color w:val="auto"/>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Times New Roman" w:cs="Times New Roman" w:eastAsia="Times New Roman" w:hAnsi="Times New Roman"/>
          <w:sz w:val="18"/>
          <w:szCs w:val="18"/>
          <w:b w:val="1"/>
          <w:bCs w:val="1"/>
          <w:color w:val="auto"/>
        </w:rPr>
        <w:t>Fixtures and Equipment</w:t>
      </w:r>
      <w:r>
        <w:rPr>
          <w:rFonts w:ascii="Times New Roman" w:cs="Times New Roman" w:eastAsia="Times New Roman" w:hAnsi="Times New Roman"/>
          <w:sz w:val="18"/>
          <w:szCs w:val="18"/>
          <w:color w:val="auto"/>
        </w:rPr>
        <w:t>”). To the knowledge of the Company,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Initial Closing. Each of the Company and its Subsidiaries owns all of its Fixtures and Equipment free and clear of all Liens except for (a) liens for current taxes not yet due and (b) zoning laws and other land use restrictions that do not impair the present or anticipated use of the property subject thereto.</w:t>
      </w:r>
    </w:p>
    <w:p>
      <w:pPr>
        <w:spacing w:after="0" w:line="191" w:lineRule="exact"/>
        <w:rPr>
          <w:rFonts w:ascii="Times New Roman" w:cs="Times New Roman" w:eastAsia="Times New Roman" w:hAnsi="Times New Roman"/>
          <w:sz w:val="18"/>
          <w:szCs w:val="18"/>
          <w:color w:val="auto"/>
        </w:rPr>
      </w:pPr>
    </w:p>
    <w:p>
      <w:pPr>
        <w:jc w:val="both"/>
        <w:ind w:left="-757" w:firstLine="757"/>
        <w:spacing w:after="0" w:line="253"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material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b w:val="1"/>
          <w:b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 Rights</w:t>
      </w:r>
      <w:r>
        <w:rPr>
          <w:rFonts w:ascii="Times New Roman" w:cs="Times New Roman" w:eastAsia="Times New Roman" w:hAnsi="Times New Roman"/>
          <w:sz w:val="18"/>
          <w:szCs w:val="18"/>
          <w:color w:val="auto"/>
        </w:rPr>
        <w:t>”) necessary to conduct their respective businesses as now conducted and presently proposed to be conducted. Each of patents owned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or any of its Subsidiaries is listed on </w:t>
      </w:r>
      <w:r>
        <w:rPr>
          <w:rFonts w:ascii="Times New Roman" w:cs="Times New Roman" w:eastAsia="Times New Roman" w:hAnsi="Times New Roman"/>
          <w:sz w:val="18"/>
          <w:szCs w:val="18"/>
          <w:u w:val="single" w:color="auto"/>
          <w:color w:val="auto"/>
        </w:rPr>
        <w:t>Schedule 3(x)(i)</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3(x)(ii)</w:t>
      </w:r>
      <w:r>
        <w:rPr>
          <w:rFonts w:ascii="Times New Roman" w:cs="Times New Roman" w:eastAsia="Times New Roman" w:hAnsi="Times New Roman"/>
          <w:sz w:val="18"/>
          <w:szCs w:val="18"/>
          <w:color w:val="auto"/>
        </w:rPr>
        <w:t>, none of the Company’s Intellectual Property Rights have expired or terminated or have been abandoned or are expected to expire or terminate or are expected to be abandoned, within three (3) years from the date of this Agreement.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191"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53" w:lineRule="auto"/>
        <w:tabs>
          <w:tab w:leader="none" w:pos="98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 are in material compliance with any and all Environmental Laws (as defined below), (B) have received all permits, licenses or other approvals required of them under applicable Environmental Laws to conduct their respective businesses and (C) are in material compliance with all terms and conditions of any such permit, license or approval where, in each of the foregoing clauses (A), (B) and (C), the failure to so comply would be reasonably expected to have, individually or in the aggregate, a Material Adverse Effect. The term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91" w:lineRule="exact"/>
        <w:rPr>
          <w:rFonts w:ascii="Times New Roman" w:cs="Times New Roman" w:eastAsia="Times New Roman" w:hAnsi="Times New Roman"/>
          <w:sz w:val="18"/>
          <w:szCs w:val="18"/>
          <w:color w:val="auto"/>
        </w:rPr>
      </w:pPr>
    </w:p>
    <w:p>
      <w:pPr>
        <w:ind w:left="1023" w:hanging="275"/>
        <w:spacing w:after="0"/>
        <w:tabs>
          <w:tab w:leader="none" w:pos="102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Hazardous Materials:</w:t>
      </w:r>
    </w:p>
    <w:p>
      <w:pPr>
        <w:spacing w:after="0" w:line="225" w:lineRule="exact"/>
        <w:rPr>
          <w:rFonts w:ascii="Times New Roman" w:cs="Times New Roman" w:eastAsia="Times New Roman" w:hAnsi="Times New Roman"/>
          <w:sz w:val="18"/>
          <w:szCs w:val="18"/>
          <w:color w:val="auto"/>
        </w:rPr>
      </w:pPr>
    </w:p>
    <w:p>
      <w:pPr>
        <w:ind w:left="763" w:firstLine="1483"/>
        <w:spacing w:after="0" w:line="282" w:lineRule="auto"/>
        <w:tabs>
          <w:tab w:leader="none" w:pos="259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disposed of or otherwise released from any Real Property of the Company or any of its Subsidiaries in violation of any Environmental Laws; or</w:t>
      </w:r>
    </w:p>
    <w:p>
      <w:pPr>
        <w:spacing w:after="0" w:line="161" w:lineRule="exact"/>
        <w:rPr>
          <w:rFonts w:ascii="Times New Roman" w:cs="Times New Roman" w:eastAsia="Times New Roman" w:hAnsi="Times New Roman"/>
          <w:sz w:val="18"/>
          <w:szCs w:val="18"/>
          <w:color w:val="auto"/>
        </w:rPr>
      </w:pPr>
    </w:p>
    <w:p>
      <w:pPr>
        <w:jc w:val="both"/>
        <w:ind w:left="763" w:firstLine="1483"/>
        <w:spacing w:after="0" w:line="266" w:lineRule="auto"/>
        <w:tabs>
          <w:tab w:leader="none" w:pos="255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present on, over, beneath, in or upon a Real Property or any portion thereof in quantities that would constitute a violation of any Environmental Laws. No prior use by the Company or any of its Subsidiaries of any Real Property has occurred that violates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1002030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9" w:name="page20"/>
    <w:bookmarkEnd w:id="19"/>
    <w:p>
      <w:pPr>
        <w:ind w:left="763"/>
        <w:spacing w:after="0"/>
        <w:rPr>
          <w:sz w:val="20"/>
          <w:szCs w:val="20"/>
          <w:color w:val="auto"/>
        </w:rPr>
      </w:pPr>
      <w:r>
        <w:rPr>
          <w:rFonts w:ascii="Times New Roman" w:cs="Times New Roman" w:eastAsia="Times New Roman" w:hAnsi="Times New Roman"/>
          <w:sz w:val="18"/>
          <w:szCs w:val="18"/>
          <w:color w:val="auto"/>
        </w:rPr>
        <w:t>Environmental Laws, which violation would have a material adverse effect on the business of the Company or any of its Subsidiaries.</w:t>
      </w:r>
    </w:p>
    <w:p>
      <w:pPr>
        <w:spacing w:after="0" w:line="225" w:lineRule="exact"/>
        <w:rPr>
          <w:sz w:val="20"/>
          <w:szCs w:val="20"/>
          <w:color w:val="auto"/>
        </w:rPr>
      </w:pPr>
    </w:p>
    <w:p>
      <w:pPr>
        <w:jc w:val="both"/>
        <w:ind w:left="3" w:firstLine="745"/>
        <w:spacing w:after="0" w:line="266" w:lineRule="auto"/>
        <w:tabs>
          <w:tab w:leader="none" w:pos="10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w:t>
      </w:r>
    </w:p>
    <w:p>
      <w:pPr>
        <w:spacing w:after="0" w:line="171" w:lineRule="exact"/>
        <w:rPr>
          <w:rFonts w:ascii="Times New Roman" w:cs="Times New Roman" w:eastAsia="Times New Roman" w:hAnsi="Times New Roman"/>
          <w:sz w:val="18"/>
          <w:szCs w:val="18"/>
          <w:color w:val="auto"/>
        </w:rPr>
      </w:pPr>
    </w:p>
    <w:p>
      <w:pPr>
        <w:ind w:left="3" w:firstLine="745"/>
        <w:spacing w:after="0" w:line="286" w:lineRule="auto"/>
        <w:tabs>
          <w:tab w:leader="none" w:pos="1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Real Properties are on any federal or state “Superfund” list or Liability Information System (“</w:t>
      </w:r>
      <w:r>
        <w:rPr>
          <w:rFonts w:ascii="Times New Roman" w:cs="Times New Roman" w:eastAsia="Times New Roman" w:hAnsi="Times New Roman"/>
          <w:sz w:val="18"/>
          <w:szCs w:val="18"/>
          <w:b w:val="1"/>
          <w:bCs w:val="1"/>
          <w:color w:val="auto"/>
        </w:rPr>
        <w:t>CERCLIS</w:t>
      </w:r>
      <w:r>
        <w:rPr>
          <w:rFonts w:ascii="Times New Roman" w:cs="Times New Roman" w:eastAsia="Times New Roman" w:hAnsi="Times New Roman"/>
          <w:sz w:val="18"/>
          <w:szCs w:val="18"/>
          <w:color w:val="auto"/>
        </w:rPr>
        <w:t>”) list or any state environmental agency list of sites under consideration for CERCLIS, nor subject to any environmental related Liens.</w:t>
      </w:r>
    </w:p>
    <w:p>
      <w:pPr>
        <w:spacing w:after="0" w:line="158" w:lineRule="exact"/>
        <w:rPr>
          <w:rFonts w:ascii="Times New Roman" w:cs="Times New Roman" w:eastAsia="Times New Roman" w:hAnsi="Times New Roman"/>
          <w:sz w:val="18"/>
          <w:szCs w:val="18"/>
          <w:color w:val="auto"/>
        </w:rPr>
      </w:pPr>
    </w:p>
    <w:p>
      <w:pPr>
        <w:ind w:left="-757" w:firstLine="757"/>
        <w:spacing w:after="0" w:line="282" w:lineRule="auto"/>
        <w:tabs>
          <w:tab w:leader="none" w:pos="2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Rights</w:t>
      </w:r>
      <w:r>
        <w:rPr>
          <w:rFonts w:ascii="Times New Roman" w:cs="Times New Roman" w:eastAsia="Times New Roman" w:hAnsi="Times New Roman"/>
          <w:sz w:val="18"/>
          <w:szCs w:val="18"/>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62" w:lineRule="exact"/>
        <w:rPr>
          <w:sz w:val="20"/>
          <w:szCs w:val="20"/>
          <w:color w:val="auto"/>
        </w:rPr>
      </w:pPr>
    </w:p>
    <w:p>
      <w:pPr>
        <w:jc w:val="both"/>
        <w:ind w:left="-757" w:firstLine="757"/>
        <w:spacing w:after="0" w:line="255" w:lineRule="auto"/>
        <w:tabs>
          <w:tab w:leader="none" w:pos="3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Subsidiaries (i) has timely made or filed (allowing for all lawful extensions) all material foreign, federal and state income and all other tax returns, reports and declarations required by any jurisdiction to which it is subject, (ii) has timely paid all material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Code.</w:t>
      </w:r>
    </w:p>
    <w:p>
      <w:pPr>
        <w:spacing w:after="0" w:line="188" w:lineRule="exact"/>
        <w:rPr>
          <w:rFonts w:ascii="Times New Roman" w:cs="Times New Roman" w:eastAsia="Times New Roman" w:hAnsi="Times New Roman"/>
          <w:sz w:val="18"/>
          <w:szCs w:val="18"/>
          <w:color w:val="auto"/>
        </w:rPr>
      </w:pPr>
    </w:p>
    <w:p>
      <w:pPr>
        <w:jc w:val="both"/>
        <w:ind w:left="-757" w:firstLine="757"/>
        <w:spacing w:after="0" w:line="252" w:lineRule="auto"/>
        <w:tabs>
          <w:tab w:leader="none" w:pos="3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subject, in the case of unaudited financial statements, to the absence of immaterial footnote disclosures and normal year-end adjustments,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 The representations contained in this Section 3(bb) apply only at the time of the Initial Closing.</w:t>
      </w:r>
    </w:p>
    <w:p>
      <w:pPr>
        <w:spacing w:after="0" w:line="194" w:lineRule="exact"/>
        <w:rPr>
          <w:rFonts w:ascii="Times New Roman" w:cs="Times New Roman" w:eastAsia="Times New Roman" w:hAnsi="Times New Roman"/>
          <w:sz w:val="18"/>
          <w:szCs w:val="18"/>
          <w:color w:val="auto"/>
        </w:rPr>
      </w:pPr>
    </w:p>
    <w:p>
      <w:pPr>
        <w:ind w:left="-757" w:firstLine="757"/>
        <w:spacing w:after="0" w:line="282" w:lineRule="auto"/>
        <w:tabs>
          <w:tab w:leader="none" w:pos="3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 Balance Sheet Arrangements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 balance sheet entity that would be reasonably likely to have a Material Adverse Effect.</w:t>
      </w:r>
    </w:p>
    <w:p>
      <w:pPr>
        <w:spacing w:after="0" w:line="161" w:lineRule="exact"/>
        <w:rPr>
          <w:rFonts w:ascii="Times New Roman" w:cs="Times New Roman" w:eastAsia="Times New Roman" w:hAnsi="Times New Roman"/>
          <w:sz w:val="18"/>
          <w:szCs w:val="18"/>
          <w:color w:val="auto"/>
        </w:rPr>
      </w:pPr>
    </w:p>
    <w:p>
      <w:pPr>
        <w:jc w:val="both"/>
        <w:ind w:left="-757" w:firstLine="757"/>
        <w:spacing w:after="0" w:line="266" w:lineRule="auto"/>
        <w:tabs>
          <w:tab w:leader="none" w:pos="3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1002030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20" w:name="page21"/>
    <w:bookmarkEnd w:id="20"/>
    <w:p>
      <w:pPr>
        <w:jc w:val="both"/>
        <w:ind w:left="-757" w:firstLine="757"/>
        <w:spacing w:after="0" w:line="252" w:lineRule="auto"/>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Regarding Buyers’ Trading Activity</w:t>
      </w:r>
      <w:r>
        <w:rPr>
          <w:rFonts w:ascii="Times New Roman" w:cs="Times New Roman" w:eastAsia="Times New Roman" w:hAnsi="Times New Roman"/>
          <w:sz w:val="18"/>
          <w:szCs w:val="18"/>
          <w:color w:val="auto"/>
        </w:rPr>
        <w:t>. It is understood and acknowledged by the Company that (i) other than as expressly set forth in this Agreement,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Ordinary Shares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Ordinary Shares upon conversion, exercise or exchange, as applicable, of the Securities as and when required pursuant to the Transaction Documents for purposes of effecting trading in the Ordinary Shares of the Company subject only to the express limitations on such trading set forth in the Transaction Documents. The Company further understands and acknowledges that one or more Buyers may engage in hedging and/or trading activities (including, without limitation, the location and/or reservation of borrowable Ordinary Shares) at various times during the period that the Securities are outstanding, including, without limitation, during the periods that the value and/or number of the Conversion Shares, deliverable with respect to the Securities are being determined and such hedging and/or trading activities (including, without limitation, the location and/or reservation of borrowable Ordinary Shares), if any, can reduce the value of the existing shareholders’ equity interest in the Company both at and after the time the hedging and/or trading activities are being conducted. The Company acknowledges that such aforementioned hedging and/or trading activities do not constitute a breach of this Agreement, the Notes, or any other Transaction Document or any of the documents executed in connection herewith or therewith.</w:t>
      </w:r>
    </w:p>
    <w:p>
      <w:pPr>
        <w:spacing w:after="0" w:line="193" w:lineRule="exact"/>
        <w:rPr>
          <w:rFonts w:ascii="Times New Roman" w:cs="Times New Roman" w:eastAsia="Times New Roman" w:hAnsi="Times New Roman"/>
          <w:sz w:val="18"/>
          <w:szCs w:val="18"/>
          <w:color w:val="auto"/>
        </w:rPr>
      </w:pPr>
    </w:p>
    <w:p>
      <w:pPr>
        <w:jc w:val="both"/>
        <w:ind w:left="-757" w:firstLine="757"/>
        <w:spacing w:after="0" w:line="256" w:lineRule="auto"/>
        <w:tabs>
          <w:tab w:leader="none" w:pos="2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(other than the Placement Agent),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87" w:lineRule="exact"/>
        <w:rPr>
          <w:rFonts w:ascii="Times New Roman" w:cs="Times New Roman" w:eastAsia="Times New Roman" w:hAnsi="Times New Roman"/>
          <w:sz w:val="18"/>
          <w:szCs w:val="18"/>
          <w:color w:val="auto"/>
        </w:rPr>
      </w:pPr>
    </w:p>
    <w:p>
      <w:pPr>
        <w:jc w:val="both"/>
        <w:ind w:left="-757" w:firstLine="757"/>
        <w:spacing w:after="0" w:line="266" w:lineRule="auto"/>
        <w:tabs>
          <w:tab w:leader="none" w:pos="3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Neither the Company nor any of its Subsidiaries is, or has ever been, and so long as any of the Securities are held by any of the Buyers, shall become, a U.S. real property holding corporation within the meaning of Section 897 of the Code, and the Company and each Subsidiary shall so certify upon any Buyer’s request.</w:t>
      </w:r>
    </w:p>
    <w:p>
      <w:pPr>
        <w:spacing w:after="0" w:line="175" w:lineRule="exact"/>
        <w:rPr>
          <w:rFonts w:ascii="Times New Roman" w:cs="Times New Roman" w:eastAsia="Times New Roman" w:hAnsi="Times New Roman"/>
          <w:sz w:val="18"/>
          <w:szCs w:val="18"/>
          <w:color w:val="auto"/>
        </w:rPr>
      </w:pPr>
    </w:p>
    <w:p>
      <w:pPr>
        <w:jc w:val="both"/>
        <w:ind w:left="-757" w:firstLine="757"/>
        <w:spacing w:after="0" w:line="256" w:lineRule="auto"/>
        <w:tabs>
          <w:tab w:leader="none" w:pos="3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Commitment Shares and the Underlying Securities for resale by the Buyers using Form F-1 promulgated under the 1933 Act. “</w:t>
      </w:r>
      <w:r>
        <w:rPr>
          <w:rFonts w:ascii="Times New Roman" w:cs="Times New Roman" w:eastAsia="Times New Roman" w:hAnsi="Times New Roman"/>
          <w:sz w:val="18"/>
          <w:szCs w:val="18"/>
          <w:b w:val="1"/>
          <w:bCs w:val="1"/>
          <w:color w:val="auto"/>
        </w:rPr>
        <w:t>Underlying Securities</w:t>
      </w:r>
      <w:r>
        <w:rPr>
          <w:rFonts w:ascii="Times New Roman" w:cs="Times New Roman" w:eastAsia="Times New Roman" w:hAnsi="Times New Roman"/>
          <w:sz w:val="18"/>
          <w:szCs w:val="18"/>
          <w:color w:val="auto"/>
        </w:rPr>
        <w:t>” means (i) the Conversion Shares, and (ii) any security of the Company issued or issuable with respect to the Conversion Shares or the Notes respectively, including, without limitation, (1) as a result of any share split, share dividend, recapitalization, exchange or similar event or otherwise and (2) securities of the Company into which the Ordinary Shares are converted or exchanged and securities of a successor entity into which the Ordinary Shares are converted, exercised or exchanged, in each case, without regard to any limitations on conversion of the Notes.</w:t>
      </w:r>
    </w:p>
    <w:p>
      <w:pPr>
        <w:spacing w:after="0" w:line="187" w:lineRule="exact"/>
        <w:rPr>
          <w:rFonts w:ascii="Times New Roman" w:cs="Times New Roman" w:eastAsia="Times New Roman" w:hAnsi="Times New Roman"/>
          <w:sz w:val="18"/>
          <w:szCs w:val="18"/>
          <w:color w:val="auto"/>
        </w:rPr>
      </w:pPr>
    </w:p>
    <w:p>
      <w:pPr>
        <w:jc w:val="both"/>
        <w:ind w:left="-757" w:firstLine="757"/>
        <w:spacing w:after="0" w:line="266" w:lineRule="auto"/>
        <w:tabs>
          <w:tab w:leader="none" w:pos="2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On each Closing Date, all share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spacing w:after="0" w:line="175" w:lineRule="exact"/>
        <w:rPr>
          <w:rFonts w:ascii="Times New Roman" w:cs="Times New Roman" w:eastAsia="Times New Roman" w:hAnsi="Times New Roman"/>
          <w:sz w:val="18"/>
          <w:szCs w:val="18"/>
          <w:color w:val="auto"/>
        </w:rPr>
      </w:pPr>
    </w:p>
    <w:p>
      <w:pPr>
        <w:jc w:val="both"/>
        <w:ind w:left="-757" w:firstLine="757"/>
        <w:spacing w:after="0" w:line="258" w:lineRule="auto"/>
        <w:tabs>
          <w:tab w:leader="none" w:pos="2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1007110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influence over the management or policies of a bank or any entity that is subject to the BHCA and to regulation by the Federal Reserve.</w:t>
      </w:r>
    </w:p>
    <w:p>
      <w:pPr>
        <w:spacing w:after="0" w:line="225" w:lineRule="exact"/>
        <w:rPr>
          <w:sz w:val="20"/>
          <w:szCs w:val="20"/>
          <w:color w:val="auto"/>
        </w:rPr>
      </w:pPr>
    </w:p>
    <w:p>
      <w:pPr>
        <w:ind w:left="1100" w:hanging="343"/>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 issuer identified in, or subject to, Rule 144(i).</w:t>
      </w:r>
    </w:p>
    <w:p>
      <w:pPr>
        <w:spacing w:after="0" w:line="225"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 or Unauthorized Payments; Political Contributions</w:t>
      </w:r>
      <w:r>
        <w:rPr>
          <w:rFonts w:ascii="Times New Roman" w:cs="Times New Roman" w:eastAsia="Times New Roman" w:hAnsi="Times New Roman"/>
          <w:sz w:val="18"/>
          <w:szCs w:val="18"/>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7" w:lineRule="exact"/>
        <w:rPr>
          <w:rFonts w:ascii="Times New Roman" w:cs="Times New Roman" w:eastAsia="Times New Roman" w:hAnsi="Times New Roman"/>
          <w:sz w:val="18"/>
          <w:szCs w:val="18"/>
          <w:color w:val="auto"/>
        </w:rPr>
      </w:pPr>
    </w:p>
    <w:p>
      <w:pPr>
        <w:jc w:val="both"/>
        <w:ind w:firstLine="757"/>
        <w:spacing w:after="0" w:line="258" w:lineRule="auto"/>
        <w:tabs>
          <w:tab w:leader="none" w:pos="11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183" w:lineRule="exact"/>
        <w:rPr>
          <w:rFonts w:ascii="Times New Roman" w:cs="Times New Roman" w:eastAsia="Times New Roman" w:hAnsi="Times New Roman"/>
          <w:sz w:val="18"/>
          <w:szCs w:val="18"/>
          <w:color w:val="auto"/>
        </w:rPr>
      </w:pPr>
    </w:p>
    <w:p>
      <w:pPr>
        <w:ind w:firstLine="757"/>
        <w:spacing w:after="0" w:line="282" w:lineRule="auto"/>
        <w:tabs>
          <w:tab w:leader="none" w:pos="10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3(nn)</w:t>
      </w:r>
      <w:r>
        <w:rPr>
          <w:rFonts w:ascii="Times New Roman" w:cs="Times New Roman" w:eastAsia="Times New Roman" w:hAnsi="Times New Roman"/>
          <w:sz w:val="18"/>
          <w:szCs w:val="18"/>
          <w:color w:val="auto"/>
        </w:rPr>
        <w:t xml:space="preserve"> hereto, during the past five (5) year period, no current or former officer or director or, to the knowledge of the Company, no current ten percent (10%) or greater shareholder of the Company or any of its Subsidiaries has been the subject of:</w:t>
      </w:r>
    </w:p>
    <w:p>
      <w:pPr>
        <w:spacing w:after="0" w:line="161" w:lineRule="exact"/>
        <w:rPr>
          <w:rFonts w:ascii="Times New Roman" w:cs="Times New Roman" w:eastAsia="Times New Roman" w:hAnsi="Times New Roman"/>
          <w:sz w:val="18"/>
          <w:szCs w:val="18"/>
          <w:color w:val="auto"/>
        </w:rPr>
      </w:pPr>
    </w:p>
    <w:p>
      <w:pPr>
        <w:jc w:val="both"/>
        <w:ind w:left="760" w:firstLine="745"/>
        <w:spacing w:after="0" w:line="261" w:lineRule="auto"/>
        <w:tabs>
          <w:tab w:leader="none" w:pos="17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petition under bankruptcy laws or any other insolvency or moratorium law or the appointment by a court of a receiver, fiscal agent or similar officer for such Person, or any partnership in which such person was a general partner at or within two (2) years before the filing of such petition or such appointment, or any corporation or business association of which such person was an executive officer at or within two (2) years before the time of the filing of such petition or such appointment;</w:t>
      </w:r>
    </w:p>
    <w:p>
      <w:pPr>
        <w:spacing w:after="0" w:line="179" w:lineRule="exact"/>
        <w:rPr>
          <w:rFonts w:ascii="Times New Roman" w:cs="Times New Roman" w:eastAsia="Times New Roman" w:hAnsi="Times New Roman"/>
          <w:sz w:val="18"/>
          <w:szCs w:val="18"/>
          <w:color w:val="auto"/>
        </w:rPr>
      </w:pPr>
    </w:p>
    <w:p>
      <w:pPr>
        <w:ind w:left="760" w:firstLine="745"/>
        <w:spacing w:after="0" w:line="282" w:lineRule="auto"/>
        <w:tabs>
          <w:tab w:leader="none" w:pos="177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conviction in a criminal proceeding or a named subject of a pending criminal proceeding (excluding traffic violations that do not relate to driving while intoxicated or driving under the influence);</w:t>
      </w:r>
    </w:p>
    <w:p>
      <w:pPr>
        <w:spacing w:after="0" w:line="161" w:lineRule="exact"/>
        <w:rPr>
          <w:rFonts w:ascii="Times New Roman" w:cs="Times New Roman" w:eastAsia="Times New Roman" w:hAnsi="Times New Roman"/>
          <w:sz w:val="18"/>
          <w:szCs w:val="18"/>
          <w:color w:val="auto"/>
        </w:rPr>
      </w:pPr>
    </w:p>
    <w:p>
      <w:pPr>
        <w:ind w:left="760" w:firstLine="745"/>
        <w:spacing w:after="0" w:line="282" w:lineRule="auto"/>
        <w:tabs>
          <w:tab w:leader="none" w:pos="18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not subsequently reversed, suspended or vacated, of any court of competent jurisdiction, permanently or temporarily enjoining any such person from, or otherwise limiting, the following activities:</w:t>
      </w:r>
    </w:p>
    <w:p>
      <w:pPr>
        <w:spacing w:after="0" w:line="161" w:lineRule="exact"/>
        <w:rPr>
          <w:rFonts w:ascii="Times New Roman" w:cs="Times New Roman" w:eastAsia="Times New Roman" w:hAnsi="Times New Roman"/>
          <w:sz w:val="18"/>
          <w:szCs w:val="18"/>
          <w:color w:val="auto"/>
        </w:rPr>
      </w:pPr>
    </w:p>
    <w:p>
      <w:pPr>
        <w:jc w:val="both"/>
        <w:ind w:left="1500" w:firstLine="1503"/>
        <w:spacing w:after="0" w:line="258" w:lineRule="auto"/>
        <w:tabs>
          <w:tab w:leader="none" w:pos="3271"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futures commission merchant, introducing broker, commodity trading advisor, commodity pool operator, floor broker, leverage transaction merchant, any other person regulated by the United States Commodity Futures Trading Commission (the “</w:t>
      </w:r>
      <w:r>
        <w:rPr>
          <w:rFonts w:ascii="Times New Roman" w:cs="Times New Roman" w:eastAsia="Times New Roman" w:hAnsi="Times New Roman"/>
          <w:sz w:val="18"/>
          <w:szCs w:val="18"/>
          <w:b w:val="1"/>
          <w:b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83" w:lineRule="exact"/>
        <w:rPr>
          <w:rFonts w:ascii="Times New Roman" w:cs="Times New Roman" w:eastAsia="Times New Roman" w:hAnsi="Times New Roman"/>
          <w:sz w:val="18"/>
          <w:szCs w:val="18"/>
          <w:color w:val="auto"/>
        </w:rPr>
      </w:pPr>
    </w:p>
    <w:p>
      <w:pPr>
        <w:ind w:left="3260" w:hanging="257"/>
        <w:spacing w:after="0"/>
        <w:tabs>
          <w:tab w:leader="none" w:pos="32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particular type of business practice; or</w:t>
      </w:r>
    </w:p>
    <w:p>
      <w:pPr>
        <w:spacing w:after="0" w:line="225" w:lineRule="exact"/>
        <w:rPr>
          <w:rFonts w:ascii="Times New Roman" w:cs="Times New Roman" w:eastAsia="Times New Roman" w:hAnsi="Times New Roman"/>
          <w:sz w:val="18"/>
          <w:szCs w:val="18"/>
          <w:color w:val="auto"/>
        </w:rPr>
      </w:pPr>
    </w:p>
    <w:p>
      <w:pPr>
        <w:ind w:left="1500" w:firstLine="1503"/>
        <w:spacing w:after="0" w:line="282" w:lineRule="auto"/>
        <w:tabs>
          <w:tab w:leader="none" w:pos="3297"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activity in connection with the purchase or sale of any security or commodity or in connection with any violation of securities laws or commodities laws;</w:t>
      </w:r>
    </w:p>
    <w:p>
      <w:pPr>
        <w:spacing w:after="0" w:line="161" w:lineRule="exact"/>
        <w:rPr>
          <w:rFonts w:ascii="Times New Roman" w:cs="Times New Roman" w:eastAsia="Times New Roman" w:hAnsi="Times New Roman"/>
          <w:sz w:val="18"/>
          <w:szCs w:val="18"/>
          <w:color w:val="auto"/>
        </w:rPr>
      </w:pPr>
    </w:p>
    <w:p>
      <w:pPr>
        <w:ind w:left="760" w:firstLine="745"/>
        <w:spacing w:after="0" w:line="282" w:lineRule="auto"/>
        <w:tabs>
          <w:tab w:leader="none" w:pos="181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not subsequently reversed, suspended or vacated, of any authority barring, suspending or otherwise limiting for more than sixty (60) days the right of any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line="8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to engage in any activity described in the preceding sub paragraph, or to be associated with persons engaged in any such activity;</w:t>
      </w:r>
    </w:p>
    <w:p>
      <w:pPr>
        <w:spacing w:after="0" w:line="225" w:lineRule="exact"/>
        <w:rPr>
          <w:sz w:val="20"/>
          <w:szCs w:val="20"/>
          <w:color w:val="auto"/>
        </w:rPr>
      </w:pPr>
    </w:p>
    <w:p>
      <w:pPr>
        <w:jc w:val="both"/>
        <w:ind w:left="3" w:firstLine="745"/>
        <w:spacing w:after="0" w:line="266" w:lineRule="auto"/>
        <w:tabs>
          <w:tab w:leader="none" w:pos="1011"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175" w:lineRule="exact"/>
        <w:rPr>
          <w:rFonts w:ascii="Times New Roman" w:cs="Times New Roman" w:eastAsia="Times New Roman" w:hAnsi="Times New Roman"/>
          <w:sz w:val="18"/>
          <w:szCs w:val="18"/>
          <w:color w:val="auto"/>
        </w:rPr>
      </w:pPr>
    </w:p>
    <w:p>
      <w:pPr>
        <w:ind w:left="3" w:firstLine="745"/>
        <w:spacing w:after="0" w:line="282" w:lineRule="auto"/>
        <w:tabs>
          <w:tab w:leader="none" w:pos="1063"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a court of competent jurisdiction in a civil action or by the CFTC to have violated any federal commodities law, and the judgment in such civil action or finding has not been subsequently reversed, suspended or vacated.</w:t>
      </w:r>
    </w:p>
    <w:p>
      <w:pPr>
        <w:spacing w:after="0" w:line="161" w:lineRule="exact"/>
        <w:rPr>
          <w:rFonts w:ascii="Times New Roman" w:cs="Times New Roman" w:eastAsia="Times New Roman" w:hAnsi="Times New Roman"/>
          <w:sz w:val="18"/>
          <w:szCs w:val="18"/>
          <w:color w:val="auto"/>
        </w:rPr>
      </w:pPr>
    </w:p>
    <w:p>
      <w:pPr>
        <w:jc w:val="both"/>
        <w:ind w:left="-757" w:firstLine="802"/>
        <w:spacing w:after="0" w:line="256" w:lineRule="auto"/>
        <w:tabs>
          <w:tab w:leader="none" w:pos="38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Option Plans</w:t>
      </w:r>
      <w:r>
        <w:rPr>
          <w:rFonts w:ascii="Times New Roman" w:cs="Times New Roman" w:eastAsia="Times New Roman" w:hAnsi="Times New Roman"/>
          <w:sz w:val="18"/>
          <w:szCs w:val="18"/>
          <w:color w:val="auto"/>
        </w:rPr>
        <w:t>. Each share option granted by the Company was granted (i) in accordance with the terms of the applicable share option plan of the Company and (ii) with an exercise price at least equal to the fair market value of the Ordinary Shares on the date such share option would be considered granted under GAAP and applicable law. No share option granted under the Company’s share option plan has been backdated. The Company has not knowingly granted, and there is no and has been no policy or practice of the Company to knowingly grant, share options prior to, or otherwise knowingly coordinate the grant of share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757" w:firstLine="757"/>
        <w:spacing w:after="0" w:line="256" w:lineRule="auto"/>
        <w:tabs>
          <w:tab w:leader="none" w:pos="3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would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87" w:lineRule="exact"/>
        <w:rPr>
          <w:rFonts w:ascii="Times New Roman" w:cs="Times New Roman" w:eastAsia="Times New Roman" w:hAnsi="Times New Roman"/>
          <w:sz w:val="18"/>
          <w:szCs w:val="18"/>
          <w:color w:val="auto"/>
        </w:rPr>
      </w:pPr>
    </w:p>
    <w:p>
      <w:pPr>
        <w:jc w:val="both"/>
        <w:ind w:left="-757" w:firstLine="815"/>
        <w:spacing w:after="0" w:line="254" w:lineRule="auto"/>
        <w:tabs>
          <w:tab w:leader="none" w:pos="409"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Securities to be offered and sold hereunder in reliance on Rule 506(b) under the 1933 Act (“</w:t>
      </w:r>
      <w:r>
        <w:rPr>
          <w:rFonts w:ascii="Times New Roman" w:cs="Times New Roman" w:eastAsia="Times New Roman" w:hAnsi="Times New Roman"/>
          <w:sz w:val="18"/>
          <w:szCs w:val="18"/>
          <w:b w:val="1"/>
          <w:bCs w:val="1"/>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1933 Act) connected with the Company in any capacity at the time of sale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1933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188" w:lineRule="exact"/>
        <w:rPr>
          <w:sz w:val="20"/>
          <w:szCs w:val="20"/>
          <w:color w:val="auto"/>
        </w:rPr>
      </w:pPr>
    </w:p>
    <w:p>
      <w:pPr>
        <w:ind w:left="-757" w:firstLine="757"/>
        <w:spacing w:after="0" w:line="282" w:lineRule="auto"/>
        <w:tabs>
          <w:tab w:leader="none" w:pos="2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the Placement Agent) that has been or will be paid (directly or indirectly) remuneration for solicitation of Buyers or potential purchasers in connection with the sale of any Regulation D Securities.</w:t>
      </w:r>
    </w:p>
    <w:p>
      <w:pPr>
        <w:spacing w:after="0" w:line="161" w:lineRule="exact"/>
        <w:rPr>
          <w:rFonts w:ascii="Times New Roman" w:cs="Times New Roman" w:eastAsia="Times New Roman" w:hAnsi="Times New Roman"/>
          <w:sz w:val="18"/>
          <w:szCs w:val="18"/>
          <w:color w:val="auto"/>
        </w:rPr>
      </w:pPr>
    </w:p>
    <w:p>
      <w:pPr>
        <w:ind w:left="-757" w:right="20" w:firstLine="757"/>
        <w:spacing w:after="0" w:line="282" w:lineRule="auto"/>
        <w:tabs>
          <w:tab w:leader="none" w:pos="3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61" w:lineRule="exact"/>
        <w:rPr>
          <w:rFonts w:ascii="Times New Roman" w:cs="Times New Roman" w:eastAsia="Times New Roman" w:hAnsi="Times New Roman"/>
          <w:sz w:val="18"/>
          <w:szCs w:val="18"/>
          <w:color w:val="auto"/>
        </w:rPr>
      </w:pPr>
    </w:p>
    <w:p>
      <w:pPr>
        <w:ind w:left="-757" w:firstLine="757"/>
        <w:spacing w:after="0" w:line="282" w:lineRule="auto"/>
        <w:tabs>
          <w:tab w:leader="none" w:pos="2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Utility Holding Act</w:t>
      </w:r>
      <w:r>
        <w:rPr>
          <w:rFonts w:ascii="Times New Roman" w:cs="Times New Roman" w:eastAsia="Times New Roman" w:hAnsi="Times New Roman"/>
          <w:sz w:val="18"/>
          <w:szCs w:val="18"/>
          <w:color w:val="auto"/>
        </w:rPr>
        <w:t>. None of the Company nor any of its Subsidiaries is a “holding company,” or an “affiliate” of a “holding company,” as such terms are defined in the Public Utility Holding Act of 2005.</w:t>
      </w:r>
    </w:p>
    <w:p>
      <w:pPr>
        <w:spacing w:after="0" w:line="161" w:lineRule="exact"/>
        <w:rPr>
          <w:rFonts w:ascii="Times New Roman" w:cs="Times New Roman" w:eastAsia="Times New Roman" w:hAnsi="Times New Roman"/>
          <w:sz w:val="18"/>
          <w:szCs w:val="18"/>
          <w:color w:val="auto"/>
        </w:rPr>
      </w:pPr>
    </w:p>
    <w:p>
      <w:pPr>
        <w:ind w:left="-757" w:firstLine="757"/>
        <w:spacing w:after="0" w:line="282" w:lineRule="auto"/>
        <w:tabs>
          <w:tab w:leader="none" w:pos="3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Power Act</w:t>
      </w:r>
      <w:r>
        <w:rPr>
          <w:rFonts w:ascii="Times New Roman" w:cs="Times New Roman" w:eastAsia="Times New Roman" w:hAnsi="Times New Roman"/>
          <w:sz w:val="18"/>
          <w:szCs w:val="18"/>
          <w:color w:val="auto"/>
        </w:rPr>
        <w:t>. None of the Company nor any of its Subsidiaries is subject to regulation as a “public utility” under the Federal Power Act, as amended.</w:t>
      </w:r>
    </w:p>
    <w:p>
      <w:pPr>
        <w:spacing w:after="0" w:line="161" w:lineRule="exact"/>
        <w:rPr>
          <w:rFonts w:ascii="Times New Roman" w:cs="Times New Roman" w:eastAsia="Times New Roman" w:hAnsi="Times New Roman"/>
          <w:sz w:val="18"/>
          <w:szCs w:val="18"/>
          <w:color w:val="auto"/>
        </w:rPr>
      </w:pPr>
    </w:p>
    <w:p>
      <w:pPr>
        <w:ind w:left="-757" w:firstLine="757"/>
        <w:spacing w:after="0" w:line="282" w:lineRule="auto"/>
        <w:tabs>
          <w:tab w:leader="none" w:pos="3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w:t>
      </w:r>
      <w:r>
        <w:rPr>
          <w:rFonts w:ascii="Times New Roman" w:cs="Times New Roman" w:eastAsia="Times New Roman" w:hAnsi="Times New Roman"/>
          <w:sz w:val="18"/>
          <w:szCs w:val="18"/>
          <w:color w:val="auto"/>
        </w:rPr>
        <w:t>. At all times, the Lien of the Collateral Agent on all Collateral (as defined in the Pledge Agreement) (other than the Bitcoin and other assets maintained in the Bitcoin Escrow Account and the cash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993140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assets maintained in the Cash Account) shall be subject to a perfect, first priority Lien in favor of the Collateral Agent, for itself and on behalf of the Buyers. At all times, the Lien of the Collateral Agent on the Bitcoin and other assets maintained in the Bitcoin Escrow Account and the cash and other assets maintained in the Cash Account shall be subject to a perfected, first priority Lien in favor of the Collateral Agent, for itself and on behalf of the Buyers, and shall not be subject to any other Liens.</w:t>
      </w:r>
    </w:p>
    <w:p>
      <w:pPr>
        <w:spacing w:after="0" w:line="180" w:lineRule="exact"/>
        <w:rPr>
          <w:sz w:val="20"/>
          <w:szCs w:val="20"/>
          <w:color w:val="auto"/>
        </w:rPr>
      </w:pPr>
    </w:p>
    <w:p>
      <w:pPr>
        <w:jc w:val="both"/>
        <w:ind w:firstLine="802"/>
        <w:spacing w:after="0" w:line="251" w:lineRule="auto"/>
        <w:tabs>
          <w:tab w:leader="none" w:pos="121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any of the Buyers or their agents or counsel with any information that constitutes or would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or any of its Subsidiaries and made available to you have been prepared in good faith based upon reasonable assumptions and represented, at the time each such financial projection or forecast was delivered to each Buyer, the Company’s best estimate of future financial performance (it being recognized that such financial projections or forecasts are not to be viewed as facts, do not guarantee performance or achievement of any particular results, are subject to significant uncertainties and contingencies, many of which are beyond the control of the Company and its Subsidiaries and that the actual results during the period or periods covered by any such financial projections or forecasts may differ from the projected or forecasted results and that no assurance can be given that the projected results will be realized). The Company acknowledges and agrees that no Buyer makes or has made any representations or warranties with respect to the transactions contemplated hereby other than those specifically set forth in Section 2.</w:t>
      </w:r>
    </w:p>
    <w:p>
      <w:pPr>
        <w:spacing w:after="0" w:line="204" w:lineRule="exact"/>
        <w:rPr>
          <w:rFonts w:ascii="Times New Roman" w:cs="Times New Roman" w:eastAsia="Times New Roman" w:hAnsi="Times New Roman"/>
          <w:sz w:val="18"/>
          <w:szCs w:val="18"/>
          <w:color w:val="auto"/>
        </w:rPr>
      </w:pPr>
    </w:p>
    <w:p>
      <w:pPr>
        <w:jc w:val="both"/>
        <w:ind w:firstLine="757"/>
        <w:spacing w:after="0" w:line="266" w:lineRule="auto"/>
        <w:tabs>
          <w:tab w:leader="none" w:pos="109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Upon the passing of the Shareholder Resolutions, the Company will have obtained the approval by its shareholders of the transactions contemplated by the Transaction Documents, or a home country independent counsel written statement certifying that the Company’s practices are not violating home country laws.</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61" w:lineRule="auto"/>
        <w:tabs>
          <w:tab w:leader="none" w:pos="99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 Each Buyer shall use its reasonable best efforts to timely satisfy each of the covenants hereunder and conditions to be satisfied by it as provided in Section 6 of this Agreement as long as the Notes are outstanding. The Company shall use its reasonable best efforts to timely satisfy each of the covenants hereunder and conditions to be satisfied by it as provided in Section 7 of this Agreement as long as the Notes are outstanding.</w:t>
      </w:r>
    </w:p>
    <w:p>
      <w:pPr>
        <w:spacing w:after="0" w:line="179" w:lineRule="exact"/>
        <w:rPr>
          <w:rFonts w:ascii="Times New Roman" w:cs="Times New Roman" w:eastAsia="Times New Roman" w:hAnsi="Times New Roman"/>
          <w:sz w:val="18"/>
          <w:szCs w:val="18"/>
          <w:color w:val="auto"/>
        </w:rPr>
      </w:pPr>
    </w:p>
    <w:p>
      <w:pPr>
        <w:jc w:val="both"/>
        <w:ind w:firstLine="757"/>
        <w:spacing w:after="0" w:line="261" w:lineRule="auto"/>
        <w:tabs>
          <w:tab w:leader="none" w:pos="100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The Company shall file a Form D with respect to the Securities as required under Regulation D and provide a copy thereof to each Buyer promptly after such filing. The Company shall, on or before each Closing Date, take such action as the Company shall reasonably determine is necessary in order to obtain an exemption for, or to, qualify the Securities for sale to the Buyers at such Closing pursuant to this Agreement under applicable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83" w:lineRule="exact"/>
        <w:rPr>
          <w:sz w:val="20"/>
          <w:szCs w:val="20"/>
          <w:color w:val="auto"/>
        </w:rPr>
      </w:pPr>
    </w:p>
    <w:p>
      <w:pPr>
        <w:jc w:val="both"/>
        <w:ind w:firstLine="757"/>
        <w:spacing w:after="0" w:line="261" w:lineRule="auto"/>
        <w:tabs>
          <w:tab w:leader="none" w:pos="9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Until the date on which the Buyers no longer own any Notes, no longer hold any Commitment Securities Right and there are no Notes outstanding for any reason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w:t>
      </w:r>
    </w:p>
    <w:p>
      <w:pPr>
        <w:spacing w:after="0" w:line="179" w:lineRule="exact"/>
        <w:rPr>
          <w:rFonts w:ascii="Times New Roman" w:cs="Times New Roman" w:eastAsia="Times New Roman" w:hAnsi="Times New Roman"/>
          <w:sz w:val="18"/>
          <w:szCs w:val="18"/>
          <w:color w:val="auto"/>
        </w:rPr>
      </w:pPr>
    </w:p>
    <w:p>
      <w:pPr>
        <w:jc w:val="both"/>
        <w:ind w:firstLine="757"/>
        <w:spacing w:after="0" w:line="258" w:lineRule="auto"/>
        <w:tabs>
          <w:tab w:leader="none" w:pos="10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all proceeds from the sale of the Securities solely to permit the New SPV Subsidiary to purchase of Bitcoin and meeting the Borrowing Base Requirement (as defined in the Note); provided, however, the parties hereto agree and acknowledge that as soon as all of the Notes (Initial Notes and Additional Notes) have been fully converted into Ordinary Shares of the Company, the New SPV Subsidiary (i) will own all Bitcoin purchased pursuant to the terms hereof and/or contained in the Bitcoin Escrow Account, free and clear of all Liens of the Collateral Agent and (ii) may use the Bitcoin or other remaining proceeds hereunder for any purpose it determines in its sole discretion.</w:t>
      </w:r>
    </w:p>
    <w:p>
      <w:pPr>
        <w:spacing w:after="0" w:line="183" w:lineRule="exact"/>
        <w:rPr>
          <w:rFonts w:ascii="Times New Roman" w:cs="Times New Roman" w:eastAsia="Times New Roman" w:hAnsi="Times New Roman"/>
          <w:sz w:val="18"/>
          <w:szCs w:val="18"/>
          <w:color w:val="auto"/>
        </w:rPr>
      </w:pPr>
    </w:p>
    <w:p>
      <w:pPr>
        <w:ind w:left="1000" w:hanging="24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98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maintain the Ordinary Shares’ listing on The New York Stock Exchange, the NYSE American, the Nasdaq Capital Market, the Nasdaq Global Market or the Nasdaq Global Select Market (each, an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Neither the Company nor any of its Subsidiaries shall take any action which would be reasonably expected to result in the delisting or suspension of the Ordinary Shares on an Eligible Market. The Company shall pay all fees and expenses in connection with satisfying its obligations under this Section 4(f).</w:t>
      </w:r>
    </w:p>
    <w:p>
      <w:pPr>
        <w:spacing w:after="0" w:line="175" w:lineRule="exact"/>
        <w:rPr>
          <w:rFonts w:ascii="Times New Roman" w:cs="Times New Roman" w:eastAsia="Times New Roman" w:hAnsi="Times New Roman"/>
          <w:sz w:val="18"/>
          <w:szCs w:val="18"/>
          <w:color w:val="auto"/>
        </w:rPr>
      </w:pPr>
    </w:p>
    <w:p>
      <w:pPr>
        <w:jc w:val="both"/>
        <w:ind w:firstLine="757"/>
        <w:spacing w:after="0" w:line="253" w:lineRule="auto"/>
        <w:tabs>
          <w:tab w:leader="none" w:pos="10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reimburse JBAAM SPECIAL OPPORTUNITIES FUND – II LLC (the “</w:t>
      </w:r>
      <w:r>
        <w:rPr>
          <w:rFonts w:ascii="Times New Roman" w:cs="Times New Roman" w:eastAsia="Times New Roman" w:hAnsi="Times New Roman"/>
          <w:sz w:val="18"/>
          <w:szCs w:val="18"/>
          <w:b w:val="1"/>
          <w:bCs w:val="1"/>
          <w:color w:val="auto"/>
        </w:rPr>
        <w:t>Lead Buyer</w:t>
      </w:r>
      <w:r>
        <w:rPr>
          <w:rFonts w:ascii="Times New Roman" w:cs="Times New Roman" w:eastAsia="Times New Roman" w:hAnsi="Times New Roman"/>
          <w:sz w:val="18"/>
          <w:szCs w:val="18"/>
          <w:color w:val="auto"/>
        </w:rPr>
        <w:t>”) for services and ongoing monitoring (i) $175,000 on the Initial Closing Date and, (ii) a non-accountable amount equal to $10,000 per quarter, payable on the Initial Closing Date, and on each April 1st, July 1st, October 1st, and January 1st thereafter through the term of this Agreement. The Company shall be responsible for the payment of any financial advisory fees, transfer agent fees, DTC (as defined below) fees, Cash Account fees, Bitcoin Escrow Account fees relating to or arising out of the transactions contemplated hereby (including, without limitation, any fees or commissions payable to the Placement Agent, who is the Company’s sole placement agent in connection with the transactions contemplated by this Agreement).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 All interest accrued in the Cash Account shall accrue for the benefit of the Buyers on a pro rata basis (determined by reference to the principal amount of all Notes held by each Buyer as a percentage of the aggregate principal amount of all Notes outstanding at the time any interest is distributed from the Cash Account). Interest accrued shall be distributed from the Cash Account on a quarterly basis or at such other intervals as may be determined by the Required Holders; provided, that interest accrued shall be distributed from the Cash Account no less frequently than at least once per annum.</w:t>
      </w:r>
    </w:p>
    <w:p>
      <w:pPr>
        <w:spacing w:after="0" w:line="191" w:lineRule="exact"/>
        <w:rPr>
          <w:rFonts w:ascii="Times New Roman" w:cs="Times New Roman" w:eastAsia="Times New Roman" w:hAnsi="Times New Roman"/>
          <w:sz w:val="18"/>
          <w:szCs w:val="18"/>
          <w:color w:val="auto"/>
        </w:rPr>
      </w:pPr>
    </w:p>
    <w:p>
      <w:pPr>
        <w:jc w:val="both"/>
        <w:ind w:firstLine="757"/>
        <w:spacing w:after="0" w:line="255" w:lineRule="auto"/>
        <w:tabs>
          <w:tab w:leader="none" w:pos="10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xml:space="preserve">. Notwithstanding anything to the contrary contained in this Agreement, the Company acknowledges and agrees that the Securities may be pledged by a Buyer in connection with a bona fide margin agreement or other loan or financing arrangement that is secured by the Securities. The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Section 2(g)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Buyer and its pledgee shall be required to comply with the provisions of Section 2(g) hereof in order to effect a sale, transfer or assignment of Securities to such pledgee. The Company hereby agrees to execute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deliver such documentation as a pledgee of the Securities may reasonably request in connection with a pledge of the Securities to such pledgee by a Buyer.</w:t>
      </w:r>
    </w:p>
    <w:p>
      <w:pPr>
        <w:spacing w:after="0" w:line="162" w:lineRule="exact"/>
        <w:rPr>
          <w:sz w:val="20"/>
          <w:szCs w:val="20"/>
          <w:color w:val="auto"/>
        </w:rPr>
      </w:pPr>
    </w:p>
    <w:p>
      <w:pPr>
        <w:ind w:left="980" w:hanging="223"/>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firstLine="745"/>
        <w:spacing w:after="0" w:line="253" w:lineRule="auto"/>
        <w:tabs>
          <w:tab w:leader="none" w:pos="172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w:t>
      </w:r>
      <w:r>
        <w:rPr>
          <w:rFonts w:ascii="Times New Roman" w:cs="Times New Roman" w:eastAsia="Times New Roman" w:hAnsi="Times New Roman"/>
          <w:sz w:val="18"/>
          <w:szCs w:val="18"/>
          <w:color w:val="auto"/>
        </w:rPr>
        <w:t>. On or before 9:30 a.m., New York time, on February 25, 2025, the Company shall file a Report on Form 6-K describing all the material terms of the transactions contemplated by the Transaction Documents, in each case, in the form required by the 1934 Act and attaching all the material Transaction Documents (including, without limitation, this Agreement (and all schedules to this Agreement), the form of Notes and the form of the Registration Rights Agreement) (including all attachments, the “</w:t>
      </w:r>
      <w:r>
        <w:rPr>
          <w:rFonts w:ascii="Times New Roman" w:cs="Times New Roman" w:eastAsia="Times New Roman" w:hAnsi="Times New Roman"/>
          <w:sz w:val="18"/>
          <w:szCs w:val="18"/>
          <w:b w:val="1"/>
          <w:bCs w:val="1"/>
          <w:color w:val="auto"/>
        </w:rPr>
        <w:t>6-K Filing</w:t>
      </w:r>
      <w:r>
        <w:rPr>
          <w:rFonts w:ascii="Times New Roman" w:cs="Times New Roman" w:eastAsia="Times New Roman" w:hAnsi="Times New Roman"/>
          <w:sz w:val="18"/>
          <w:szCs w:val="18"/>
          <w:color w:val="auto"/>
        </w:rPr>
        <w:t>”). From and after the filing of the 6-K Filing, the Company and its Subsidiaries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6-K Filing, each of the Company and its Subsidiaries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and be of no further force or effect.</w:t>
      </w:r>
    </w:p>
    <w:p>
      <w:pPr>
        <w:spacing w:after="0" w:line="194" w:lineRule="exact"/>
        <w:rPr>
          <w:rFonts w:ascii="Times New Roman" w:cs="Times New Roman" w:eastAsia="Times New Roman" w:hAnsi="Times New Roman"/>
          <w:sz w:val="18"/>
          <w:szCs w:val="18"/>
          <w:color w:val="auto"/>
        </w:rPr>
      </w:pPr>
    </w:p>
    <w:p>
      <w:pPr>
        <w:jc w:val="both"/>
        <w:ind w:left="760" w:firstLine="745"/>
        <w:spacing w:after="0" w:line="251" w:lineRule="auto"/>
        <w:tabs>
          <w:tab w:leader="none" w:pos="177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xml:space="preserve">. The Company shall not, and the Company shall cause each of its Subsidiaries not to, and each of its and their respective officers, directors, employees and agents not to, provide any Buyer with any material, non-public information regarding the Company or any of its Subsidiaries from and after the date hereof without the express prior written consent of such Buyer (which may be granted or withheld in such Buyer’s sole discretion). In the event of a breach of any of the foregoing covenants, or any of the covenants or agreements contained in any other Transaction Document, by the Company,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No Buyer shall have any liability to the Company, any of its Subsidiaries, or any of its or their respective officers, directors, employees, affiliates, shareholders or agents, for any such disclosure. To the extent that the Company or any other such person delivers any material, non-public information to a Buyer without such Buyer’s consent, the Company hereby covenants and agrees that such Buyer shall not have any duty of confidentiality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be entitled, without the prior approval of any Buyer, to make any press release or other public disclosure with respect to such transactions (i) in substantial conformity with the 6-K Filing and contemporaneously therewith and (ii) as is required by applicable law and regulations (provided that in the case of clause (i) each Buyer shall be consulted by the Company, as applicable, in connection with any such press release or other public disclosure prior to its release). Without the prior written consent of the applicable Buyer (which may be granted or withheld in such Buyer’s sole discretion), the Company shall not (and shall cause each of their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or any of its Subsidiaries.</w:t>
      </w:r>
    </w:p>
    <w:p>
      <w:pPr>
        <w:spacing w:after="0" w:line="204" w:lineRule="exact"/>
        <w:rPr>
          <w:rFonts w:ascii="Times New Roman" w:cs="Times New Roman" w:eastAsia="Times New Roman" w:hAnsi="Times New Roman"/>
          <w:sz w:val="18"/>
          <w:szCs w:val="18"/>
          <w:color w:val="auto"/>
        </w:rPr>
      </w:pPr>
    </w:p>
    <w:p>
      <w:pPr>
        <w:jc w:val="both"/>
        <w:ind w:left="760" w:firstLine="745"/>
        <w:spacing w:after="0" w:line="266" w:lineRule="auto"/>
        <w:tabs>
          <w:tab w:leader="none" w:pos="18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Confidential Information. Disclosure Failures; Disclosure Delay Payments</w:t>
      </w:r>
      <w:r>
        <w:rPr>
          <w:rFonts w:ascii="Times New Roman" w:cs="Times New Roman" w:eastAsia="Times New Roman" w:hAnsi="Times New Roman"/>
          <w:sz w:val="18"/>
          <w:szCs w:val="18"/>
          <w:color w:val="auto"/>
        </w:rPr>
        <w:t>. In addition to other remedies set forth in this Section 4(i), and without limiting anything set forth in any other Transaction Document, at any time after the Closing Date if the Company, any of its Subsidiaries, or any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jc w:val="both"/>
        <w:ind w:left="752"/>
        <w:spacing w:after="0" w:line="253" w:lineRule="auto"/>
        <w:rPr>
          <w:sz w:val="20"/>
          <w:szCs w:val="20"/>
          <w:color w:val="auto"/>
        </w:rPr>
      </w:pPr>
      <w:r>
        <w:rPr>
          <w:rFonts w:ascii="Times New Roman" w:cs="Times New Roman" w:eastAsia="Times New Roman" w:hAnsi="Times New Roman"/>
          <w:sz w:val="18"/>
          <w:szCs w:val="18"/>
          <w:color w:val="auto"/>
        </w:rPr>
        <w:t>respective officers, directors, employees or agents, provides any Buyer with material non-public information relating to the Company or any of its Subsidiaries (each,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the Company shall, on or prior to the applicable Required Disclosure Date (as defined below), publicly disclose such Confidential Information on a Current Report on Form 6-K or otherwise (each, a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From and after such Disclosure, the Company shall have disclosed all Confidential Information provided to such Buyer by the Company or any of its Subsidiaries or any of their respective officers, directors, employees or agents, including, without limitation, in connection with the transactions contemplated by the Transaction Documents. In addition, effective upon such Disclosure,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and be of no further force or effect. In the event that the Company fails to effect such Disclosure on or prior to the Required Disclosure Date and such Buyer shall have possessed Confidential Information for at least five (5) consecutive Trading Days (each, a “</w:t>
      </w:r>
      <w:r>
        <w:rPr>
          <w:rFonts w:ascii="Times New Roman" w:cs="Times New Roman" w:eastAsia="Times New Roman" w:hAnsi="Times New Roman"/>
          <w:sz w:val="18"/>
          <w:szCs w:val="18"/>
          <w:b w:val="1"/>
          <w:bCs w:val="1"/>
          <w:color w:val="auto"/>
        </w:rPr>
        <w:t>Disclosure Failure</w:t>
      </w:r>
      <w:r>
        <w:rPr>
          <w:rFonts w:ascii="Times New Roman" w:cs="Times New Roman" w:eastAsia="Times New Roman" w:hAnsi="Times New Roman"/>
          <w:sz w:val="18"/>
          <w:szCs w:val="18"/>
          <w:color w:val="auto"/>
        </w:rPr>
        <w:t>”), then, Buyer shall have the right to issue a press release disclosing the Confidential Information. To the extent there is a subsequent Disclosure, Buyer shall be able to issue a press release the same business day as it receives the Confidential Information.</w:t>
      </w:r>
    </w:p>
    <w:p>
      <w:pPr>
        <w:spacing w:after="0" w:line="190" w:lineRule="exact"/>
        <w:rPr>
          <w:sz w:val="20"/>
          <w:szCs w:val="20"/>
          <w:color w:val="auto"/>
        </w:rPr>
      </w:pPr>
    </w:p>
    <w:p>
      <w:pPr>
        <w:jc w:val="both"/>
        <w:ind w:left="752" w:firstLine="745"/>
        <w:spacing w:after="0" w:line="256" w:lineRule="auto"/>
        <w:tabs>
          <w:tab w:leader="none" w:pos="1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and in no event later than five (5) Business Days after obtaining knowledge thereof, notify the Buyer if any written information, exhibit, or report furnished to the Buyer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87" w:lineRule="exact"/>
        <w:rPr>
          <w:rFonts w:ascii="Times New Roman" w:cs="Times New Roman" w:eastAsia="Times New Roman" w:hAnsi="Times New Roman"/>
          <w:sz w:val="18"/>
          <w:szCs w:val="18"/>
          <w:color w:val="auto"/>
        </w:rPr>
      </w:pPr>
    </w:p>
    <w:p>
      <w:pPr>
        <w:ind w:left="1752" w:hanging="255"/>
        <w:spacing w:after="0"/>
        <w:tabs>
          <w:tab w:leader="none" w:pos="17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Section 4(i), the following definition shall apply:</w:t>
      </w:r>
    </w:p>
    <w:p>
      <w:pPr>
        <w:spacing w:after="0" w:line="221" w:lineRule="exact"/>
        <w:rPr>
          <w:sz w:val="20"/>
          <w:szCs w:val="20"/>
          <w:color w:val="auto"/>
        </w:rPr>
      </w:pPr>
    </w:p>
    <w:p>
      <w:pPr>
        <w:ind w:left="2492" w:hanging="246"/>
        <w:spacing w:after="0"/>
        <w:tabs>
          <w:tab w:leader="none" w:pos="24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Disclosure Date</w:t>
      </w:r>
      <w:r>
        <w:rPr>
          <w:rFonts w:ascii="Times New Roman" w:cs="Times New Roman" w:eastAsia="Times New Roman" w:hAnsi="Times New Roman"/>
          <w:sz w:val="18"/>
          <w:szCs w:val="18"/>
          <w:color w:val="auto"/>
        </w:rPr>
        <w:t>” means (x) if such Buyer authorized the delivery of such Confidential Information, either</w:t>
      </w:r>
    </w:p>
    <w:p>
      <w:pPr>
        <w:spacing w:after="0" w:line="31" w:lineRule="exact"/>
        <w:rPr>
          <w:rFonts w:ascii="Times New Roman" w:cs="Times New Roman" w:eastAsia="Times New Roman" w:hAnsi="Times New Roman"/>
          <w:sz w:val="18"/>
          <w:szCs w:val="18"/>
          <w:color w:val="auto"/>
        </w:rPr>
      </w:pPr>
    </w:p>
    <w:p>
      <w:pPr>
        <w:ind w:left="1732" w:hanging="235"/>
        <w:spacing w:after="0"/>
        <w:tabs>
          <w:tab w:leader="none" w:pos="17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and such Buyer have mutually agreed upon a date (as evidenced by an e-mail or other writing) of Disclosure of</w:t>
      </w:r>
    </w:p>
    <w:p>
      <w:pPr>
        <w:spacing w:after="0" w:line="9" w:lineRule="exact"/>
        <w:rPr>
          <w:sz w:val="20"/>
          <w:szCs w:val="20"/>
          <w:color w:val="auto"/>
        </w:rPr>
      </w:pPr>
    </w:p>
    <w:p>
      <w:pPr>
        <w:jc w:val="both"/>
        <w:ind w:left="1492"/>
        <w:spacing w:after="0" w:line="228" w:lineRule="auto"/>
        <w:rPr>
          <w:sz w:val="20"/>
          <w:szCs w:val="20"/>
          <w:color w:val="auto"/>
        </w:rPr>
      </w:pPr>
      <w:r>
        <w:rPr>
          <w:rFonts w:ascii="Times New Roman" w:cs="Times New Roman" w:eastAsia="Times New Roman" w:hAnsi="Times New Roman"/>
          <w:sz w:val="18"/>
          <w:szCs w:val="18"/>
          <w:color w:val="auto"/>
        </w:rPr>
        <w:t>such Confidential Information, such agreed upon date, or (II) otherwise, the seventh (7</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calendar day after the date such Buyer first received any Confidential Information or (y) if such Buyer did not authorize the delivery of such Confidential Information, the first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Business Day after such Buyer’s receipt of such Confidential Information.</w:t>
      </w:r>
    </w:p>
    <w:p>
      <w:pPr>
        <w:spacing w:after="0" w:line="75" w:lineRule="exact"/>
        <w:rPr>
          <w:sz w:val="20"/>
          <w:szCs w:val="20"/>
          <w:color w:val="auto"/>
        </w:rPr>
      </w:pPr>
    </w:p>
    <w:p>
      <w:pPr>
        <w:jc w:val="both"/>
        <w:ind w:left="-8" w:firstLine="757"/>
        <w:spacing w:after="0" w:line="256" w:lineRule="auto"/>
        <w:tabs>
          <w:tab w:leader="none" w:pos="96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Registration Statements</w:t>
      </w:r>
      <w:r>
        <w:rPr>
          <w:rFonts w:ascii="Times New Roman" w:cs="Times New Roman" w:eastAsia="Times New Roman" w:hAnsi="Times New Roman"/>
          <w:sz w:val="18"/>
          <w:szCs w:val="18"/>
          <w:color w:val="auto"/>
        </w:rPr>
        <w:t>. At any time while any registration statement in accordance with the requirements of the Registration Rights Agreement is not effective or the prospectus contained therein is not available for use or any Current Public Information Failure (as defined in the Registration Rights Agreement) exists, the Company shall not file a registration statement or an offering statement under the 1933 Act relating to securities that are not the Commitment Shares or the Underlying Securities, except with respect to registrations or offerings in connection with (a) any of the Company’s management incentive or share option plans, (b) Ordinary Shares or other equity securities of the Company or its Subsidiaries issued in connection with strategic acquisitions, joint ventures, or other similar strategic transactions, or (c) the issuance of any Deferred Shares.</w:t>
      </w:r>
    </w:p>
    <w:p>
      <w:pPr>
        <w:spacing w:after="0" w:line="187" w:lineRule="exact"/>
        <w:rPr>
          <w:rFonts w:ascii="Times New Roman" w:cs="Times New Roman" w:eastAsia="Times New Roman" w:hAnsi="Times New Roman"/>
          <w:sz w:val="18"/>
          <w:szCs w:val="18"/>
          <w:color w:val="auto"/>
        </w:rPr>
      </w:pPr>
    </w:p>
    <w:p>
      <w:pPr>
        <w:ind w:left="-8" w:right="20" w:firstLine="757"/>
        <w:spacing w:after="0" w:line="282" w:lineRule="auto"/>
        <w:tabs>
          <w:tab w:leader="none" w:pos="9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Issuances of Debt or Preferred Shares</w:t>
      </w:r>
      <w:r>
        <w:rPr>
          <w:rFonts w:ascii="Times New Roman" w:cs="Times New Roman" w:eastAsia="Times New Roman" w:hAnsi="Times New Roman"/>
          <w:sz w:val="18"/>
          <w:szCs w:val="18"/>
          <w:color w:val="auto"/>
        </w:rPr>
        <w:t>. So long as any Buyer beneficially owns any Securities, the Company shall not issue any other securities that would cause a breach or default under the Notes.</w:t>
      </w:r>
    </w:p>
    <w:p>
      <w:pPr>
        <w:spacing w:after="0" w:line="161" w:lineRule="exact"/>
        <w:rPr>
          <w:rFonts w:ascii="Times New Roman" w:cs="Times New Roman" w:eastAsia="Times New Roman" w:hAnsi="Times New Roman"/>
          <w:sz w:val="18"/>
          <w:szCs w:val="18"/>
          <w:color w:val="auto"/>
        </w:rPr>
      </w:pPr>
    </w:p>
    <w:p>
      <w:pPr>
        <w:jc w:val="both"/>
        <w:ind w:left="-8" w:firstLine="757"/>
        <w:spacing w:after="0" w:line="257" w:lineRule="auto"/>
        <w:tabs>
          <w:tab w:leader="none" w:pos="96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Notes remain outstanding, the Company shall take all action necessary to at all times have authorized, and reserved for the purpose of issuance, no less than 100% of the maximum number of Ordinary Shares issuable upon conversion of all the Notes then outstanding (assuming for purposes hereof that (x) the Notes are convertible at the Conversion Price (as defined in the Notes) then in effect, and</w:t>
      </w:r>
    </w:p>
    <w:p>
      <w:pPr>
        <w:spacing w:after="0" w:line="1"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2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conversion shall not take into account any limitations on the conversion of the Notes set forth in the Notes) (the “</w:t>
      </w:r>
      <w:r>
        <w:rPr>
          <w:rFonts w:ascii="Times New Roman" w:cs="Times New Roman" w:eastAsia="Times New Roman" w:hAnsi="Times New Roman"/>
          <w:sz w:val="18"/>
          <w:szCs w:val="18"/>
          <w:b w:val="1"/>
          <w:bCs w:val="1"/>
          <w:color w:val="auto"/>
        </w:rPr>
        <w:t>Required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provided that at no time shall the number of Ordinary Shares reserved pursuant to this Section 4(l) be reduced other than proportionally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conversion, exercise and/or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1008380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7" w:name="page28"/>
    <w:bookmarkEnd w:id="27"/>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applicable of Notes. If at any time the number of Ordinary Shares authorized and reserved for issuance is not sufficient to meet the Required Reserve Amount, the Company will promptly take all corporate action necessary to authorize and reserve a sufficient number of shares, including, without limitation, calling a special meeting of shareholders to authorize additional shares to meet the Company’s obligations pursuant to the Transaction Documents, in the case of an insufficient number of authorized shares, obtain shareholder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87" w:lineRule="exact"/>
        <w:rPr>
          <w:sz w:val="20"/>
          <w:szCs w:val="20"/>
          <w:color w:val="auto"/>
        </w:rPr>
      </w:pPr>
    </w:p>
    <w:p>
      <w:pPr>
        <w:jc w:val="both"/>
        <w:ind w:firstLine="757"/>
        <w:spacing w:after="0" w:line="253" w:lineRule="auto"/>
        <w:tabs>
          <w:tab w:leader="none" w:pos="105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During the Reporting Period,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 During the Reporting Period, the Company shall promptly provide a report of any legal actions pending or threatened in writing against the Company or any of its Subsidiaries that could reasonably be expected to result in damages or costs to the Company or any of its Subsidiaries, individually or in the aggregate for all related proceedings, of at least Five Million Dollars ($5,000,000) or would reasonably be expected to result in a Material Adverse Effect, or of the Company or any of its Subsidiaries taking or threatening legal action against any third person with respect to a material claim which would reasonably be expected to result in costs or liabilities to the Company or any of its Subsidiaries individually or in the aggregate for all related proceedings, of at least Five Million Dollars ($5,000,000) or would reasonably be expected to result in a Material Adverse Effect. During the Reporting Period, the Company shall make available to the Buyers, without expense to the Buyers, each of the Company and its officers, employees and agents and each the Company’s books and records (excluding such information subject to confidentiality provisions binding on the Company or attorney-client or similar privilege of the Company), to the extent that the Buyer may deem them reasonably necessary to prosecute or defend any third-party suit or proceeding instituted by or against the Buyer with respect to any of the Cash Account, the Bitcoin Escrow Account, any of the Escrow Bitcoin, or other Collateral (as defined in the Pledge Agreement) or relating to the Company.</w:t>
      </w:r>
    </w:p>
    <w:p>
      <w:pPr>
        <w:spacing w:after="0" w:line="18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Passive Foreign Investment Company</w:t>
      </w:r>
      <w:r>
        <w:rPr>
          <w:rFonts w:ascii="Times New Roman" w:cs="Times New Roman" w:eastAsia="Times New Roman" w:hAnsi="Times New Roman"/>
          <w:sz w:val="18"/>
          <w:szCs w:val="18"/>
          <w:color w:val="auto"/>
        </w:rPr>
        <w:t>. The Company shall use reasonable efforts to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0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So long as any Notes are outstanding, the Company shall not, directly or indirectly, redeem, or declare or pay any cash dividend or distribution on, any securities of the Company without the prior express written consent of the Buyers.</w:t>
      </w:r>
    </w:p>
    <w:p>
      <w:pPr>
        <w:spacing w:after="0" w:line="161" w:lineRule="exact"/>
        <w:rPr>
          <w:rFonts w:ascii="Times New Roman" w:cs="Times New Roman" w:eastAsia="Times New Roman" w:hAnsi="Times New Roman"/>
          <w:sz w:val="18"/>
          <w:szCs w:val="18"/>
          <w:color w:val="auto"/>
        </w:rPr>
      </w:pPr>
    </w:p>
    <w:p>
      <w:pPr>
        <w:ind w:firstLine="757"/>
        <w:spacing w:after="0" w:line="282" w:lineRule="auto"/>
        <w:tabs>
          <w:tab w:leader="none" w:pos="9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So long as any Buyer beneficially owns any Notes, the Company shall not be party to any Fundamental Transaction (as defined in the Notes) unless the Company is in compliance with the applicable provisions governing Fundamental Transactions set forth in the Notes.</w:t>
      </w:r>
    </w:p>
    <w:p>
      <w:pPr>
        <w:spacing w:after="0" w:line="161" w:lineRule="exact"/>
        <w:rPr>
          <w:rFonts w:ascii="Times New Roman" w:cs="Times New Roman" w:eastAsia="Times New Roman" w:hAnsi="Times New Roman"/>
          <w:sz w:val="18"/>
          <w:szCs w:val="18"/>
          <w:color w:val="auto"/>
        </w:rPr>
      </w:pPr>
    </w:p>
    <w:p>
      <w:pPr>
        <w:ind w:left="1000" w:hanging="24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9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Procedures</w:t>
      </w:r>
      <w:r>
        <w:rPr>
          <w:rFonts w:ascii="Times New Roman" w:cs="Times New Roman" w:eastAsia="Times New Roman" w:hAnsi="Times New Roman"/>
          <w:sz w:val="18"/>
          <w:szCs w:val="18"/>
          <w:color w:val="auto"/>
        </w:rPr>
        <w:t>. The form of Conversion Notice (as defined in the Notes) included in the Notes set forth the totality of the procedures required of a Buyer in order to convert the Notes. Except as provided in Section 5(d), no additional legal opinion, other information or instructions shall be required of the Buyers to convert their Notes. The Company shall honor conversions of the Notes and shall deliver the Conversion Shares in accordance with the terms, conditions and time periods set forth in the Notes.</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The Company will not take any action prohibited by Regulation M under the 1934 Act, in connection with the distribution of the Securities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ind w:left="-757" w:firstLine="757"/>
        <w:spacing w:after="0" w:line="258" w:lineRule="auto"/>
        <w:tabs>
          <w:tab w:leader="none" w:pos="2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solicit any offer to buy or offer or sell the Securities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spacing w:after="0" w:line="183" w:lineRule="exact"/>
        <w:rPr>
          <w:rFonts w:ascii="Times New Roman" w:cs="Times New Roman" w:eastAsia="Times New Roman" w:hAnsi="Times New Roman"/>
          <w:sz w:val="18"/>
          <w:szCs w:val="18"/>
          <w:color w:val="auto"/>
        </w:rPr>
      </w:pPr>
    </w:p>
    <w:p>
      <w:pPr>
        <w:jc w:val="both"/>
        <w:ind w:left="-757" w:firstLine="802"/>
        <w:spacing w:after="0" w:line="256" w:lineRule="auto"/>
        <w:tabs>
          <w:tab w:leader="none" w:pos="33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shareholder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187" w:lineRule="exact"/>
        <w:rPr>
          <w:sz w:val="20"/>
          <w:szCs w:val="20"/>
          <w:color w:val="auto"/>
        </w:rPr>
      </w:pPr>
    </w:p>
    <w:p>
      <w:pPr>
        <w:jc w:val="both"/>
        <w:ind w:left="-757" w:firstLine="757"/>
        <w:spacing w:after="0" w:line="266"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Buyers in writing, prior to each Closing Date of (i) any Disqualification Event relating to any Issuer Covered Person and (ii) any event that would, with the passage of time, become a Disqualification Event relating to any Issuer Covered Person.</w:t>
      </w:r>
    </w:p>
    <w:p>
      <w:pPr>
        <w:spacing w:after="0" w:line="175" w:lineRule="exact"/>
        <w:rPr>
          <w:rFonts w:ascii="Times New Roman" w:cs="Times New Roman" w:eastAsia="Times New Roman" w:hAnsi="Times New Roman"/>
          <w:sz w:val="18"/>
          <w:szCs w:val="18"/>
          <w:color w:val="auto"/>
        </w:rPr>
      </w:pPr>
    </w:p>
    <w:p>
      <w:pPr>
        <w:ind w:left="303" w:hanging="258"/>
        <w:spacing w:after="0"/>
        <w:tabs>
          <w:tab w:leader="none" w:pos="30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83" w:firstLine="758"/>
        <w:spacing w:after="0" w:line="252" w:lineRule="auto"/>
        <w:tabs>
          <w:tab w:leader="none" w:pos="280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Buyer hereby (a) appoints the Lead Buyer as the collateral agent hereunder and under the Security Documents (in such capacity,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and (b) authorizes the Collateral Agent (and its officers, directors, employees and agents) to take such action on such Buyer’s behalf in accordance with the terms hereof and thereof. The Collateral Agent shall not have, by reason hereof or pursuant to any Security Documents, a fiduciary relationship in respect of any Buyer. Neither the Collateral Agent nor any of its officers, directors, employees and agents shall have any liability to any Buyer for any action taken or omitted to be taken in connection hereof or the Security Documents except to the extent caused by or as a result of the willful misconduct, gross negligence or bad faith of any such person, and each Buyer agrees to defend, protect, indemnify and hold harmless the Collateral Agent and all of its officers, directors, employees and agents (collectively, the “</w:t>
      </w:r>
      <w:r>
        <w:rPr>
          <w:rFonts w:ascii="Times New Roman" w:cs="Times New Roman" w:eastAsia="Times New Roman" w:hAnsi="Times New Roman"/>
          <w:sz w:val="18"/>
          <w:szCs w:val="18"/>
          <w:b w:val="1"/>
          <w:bCs w:val="1"/>
          <w:color w:val="auto"/>
        </w:rPr>
        <w:t>Collateral Agent Indemnitees</w:t>
      </w:r>
      <w:r>
        <w:rPr>
          <w:rFonts w:ascii="Times New Roman" w:cs="Times New Roman" w:eastAsia="Times New Roman" w:hAnsi="Times New Roman"/>
          <w:sz w:val="18"/>
          <w:szCs w:val="18"/>
          <w:color w:val="auto"/>
        </w:rPr>
        <w:t>”) from and against any losses, damages, liabilities, obligations, penalties, actions, judgments, suits, fees, costs and expenses (including, without limitation, reasonable attorneys’ fees, costs and expenses) incurred by such Collateral Agent Indemnitee, directly arising from or in connection with the performance by such Collateral Agent Indemnitee of the duties and obligations of Collateral Agent pursuant hereto or any of the Security Documents, in all such cases, except for such losses, damages, liabilities, obligations, penalties, actions, judgments, suits, fees, costs and expenses arising from any Collateral Agent Indemnitee’s willful misconduct, bad faith or gross negligence.</w:t>
      </w:r>
    </w:p>
    <w:p>
      <w:pPr>
        <w:spacing w:after="0" w:line="196" w:lineRule="exact"/>
        <w:rPr>
          <w:rFonts w:ascii="Times New Roman" w:cs="Times New Roman" w:eastAsia="Times New Roman" w:hAnsi="Times New Roman"/>
          <w:sz w:val="18"/>
          <w:szCs w:val="18"/>
          <w:color w:val="auto"/>
        </w:rPr>
      </w:pPr>
    </w:p>
    <w:p>
      <w:pPr>
        <w:jc w:val="both"/>
        <w:ind w:left="1683" w:firstLine="758"/>
        <w:spacing w:after="0" w:line="261" w:lineRule="auto"/>
        <w:tabs>
          <w:tab w:leader="none" w:pos="280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be entitled to rely upon any written notices, statements, certificates, orders or other documents or any telephone message believed by it in good faith to be genuine and correct and to have been signed, sent or made by the proper Person, and with respect to all matters pertaining to this Agreement or any of the other Transaction Documents and its duties hereunder or thereunder, upon advice of counsel selected by it.</w:t>
      </w:r>
    </w:p>
    <w:p>
      <w:pPr>
        <w:spacing w:after="0" w:line="179" w:lineRule="exact"/>
        <w:rPr>
          <w:rFonts w:ascii="Times New Roman" w:cs="Times New Roman" w:eastAsia="Times New Roman" w:hAnsi="Times New Roman"/>
          <w:sz w:val="18"/>
          <w:szCs w:val="18"/>
          <w:color w:val="auto"/>
        </w:rPr>
      </w:pPr>
    </w:p>
    <w:p>
      <w:pPr>
        <w:jc w:val="both"/>
        <w:ind w:left="1683" w:firstLine="758"/>
        <w:spacing w:after="0" w:line="256" w:lineRule="auto"/>
        <w:tabs>
          <w:tab w:leader="none" w:pos="280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Collateral Agent and the Company acknowledges and agrees that, notwithstanding anything to the contrary contained herein or in any Security Document or Transaction Document, the Collateral Agent (A) shall not release any cash or other assets maintained in the Cash Account without the prior written consent of the Required Holders, (B) shall not release any Bitcoin or any other assets maintained in the Bitcoin Escrow Account without the prior written consent of the Required Holders, (C) (i) shall not subordinate any security interest or Lien granted to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1009650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29" w:name="page30"/>
    <w:bookmarkEnd w:id="29"/>
    <w:p>
      <w:pPr>
        <w:jc w:val="both"/>
        <w:ind w:left="1320"/>
        <w:spacing w:after="0" w:line="252" w:lineRule="auto"/>
        <w:rPr>
          <w:sz w:val="20"/>
          <w:szCs w:val="20"/>
          <w:color w:val="auto"/>
        </w:rPr>
      </w:pPr>
      <w:r>
        <w:rPr>
          <w:rFonts w:ascii="Times New Roman" w:cs="Times New Roman" w:eastAsia="Times New Roman" w:hAnsi="Times New Roman"/>
          <w:sz w:val="18"/>
          <w:szCs w:val="18"/>
          <w:color w:val="auto"/>
        </w:rPr>
        <w:t>under any Security Document to any other Person without the prior written consent of all holders of the outstanding Notes and (ii) shall not release any security interest or Lien granted to the Collateral Agent under any Security Document until all Secured Obligations (as defined in the Pledge Agreement) have been indefeasibly paid in full in cash, all Notes have been terminated and subject to written confirmation of each of the holders of Underlying Security that no such obligations remain outstanding, (D) shall not exercise any right or remedy under any Security Document or other Transaction Document without the prior written consent of the Required Holders, (E) shall take such actions to exercise any right or remedy under any Security Document or other Transaction Document as directed in writing by the Required Holders or as otherwise provided in the applicable Security Document and (F) shall not amend or otherwise modify any Security Document without the prior written consent of the Required Holders. Upon any bankruptcy or other insolvency proceeding of the Company, the New SPV Subsidiary, any Guarantor or any grantor under any Security Document, the Collateral Agent shall file proofs of claims and take such other actions for the benefit of the holders of the Notes and Underlying Securities or refrain from taking any action, in each such case, as directed by the Required Holders in writing. The Company agrees to not take any action against the Collateral Agent to the extent assets of the Cash Account or Bitcoin Escrow Account are not released as a result of the Collateral Agent adhering to this section. The Required Holders agree to instruct the Collateral Agent to act once the requirements for the release of cash from the Cash Account or Escrowed Bitcoin from the Escrow Bitcoin Account set forth in the Note and the SPA have been satisfied.</w:t>
      </w:r>
    </w:p>
    <w:p>
      <w:pPr>
        <w:spacing w:after="0" w:line="195" w:lineRule="exact"/>
        <w:rPr>
          <w:sz w:val="20"/>
          <w:szCs w:val="20"/>
          <w:color w:val="auto"/>
        </w:rPr>
      </w:pPr>
    </w:p>
    <w:p>
      <w:pPr>
        <w:jc w:val="both"/>
        <w:ind w:left="1320" w:firstLine="758"/>
        <w:spacing w:after="0" w:line="252" w:lineRule="auto"/>
        <w:tabs>
          <w:tab w:leader="none" w:pos="244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may resign from the performance of all its functions and duties hereunder and under the Notes and the Security Documents at any time by giving at least twenty (20) Business Days prior written notice to the Company and each holder of the Notes. Such resignation shall take effect upon the acceptance by a successor Collateral Agent of appointment as provided below. Upon any such notice of resignation, the Required Holders shall appoint a successor Collateral Agent with the consent of the Company (if an Event of Default is not in existence at such time and which consent shall not be unreasonably withheld, conditioned or delayed), unless the Collateral Agent is a Holder, in which case no consent is required. Upon the acceptance of the appointment as Collateral Agent, such successor Collateral Agent shall succeed to and become vested with all the rights, powers, privileges and duties of the retiring Collateral Agent, and the retiring Collateral Agent shall be discharged from its duties and obligations under this Agreement, the Notes and the Security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until the such time as the successor Collateral Agent becomes party to an amended and restated Cash Account Control Agreement and Bitcoin Escrow Account Control Agreement, the retiring Collateral Agent shall act as gratuitous bailee for purposes of perfection of the Liens granted under the Security Documents and the retiring Collateral Agent shall act as gratuitous bailee for purposes of perfection for all other Collateral. The retiring Collateral Agent shall take all such actions or not take actions as directed by the Required Holders until the successor Collateral Agent is appointed as herein provided. After any Collateral Agent’s resignation hereunder, the provisions of this Section 4(z) shall inure to its benefit. If a successor Collateral Agent shall not have been so appointed within said twenty (20) Business Day period, the retiring Collateral Agent shall then appoint a successor Collateral Agent with the consent of the Company (if an Event of Default is not in existence at such time and which consent shall not be unreasonably withheld, conditioned or delayed), unless the Collateral Agent is a Holder, in which case no consent is required who shall serve until such time, if any, as the Required Holders appoint a successor Collateral Agent as provided above.</w:t>
      </w:r>
    </w:p>
    <w:p>
      <w:pPr>
        <w:spacing w:after="0" w:line="187" w:lineRule="exact"/>
        <w:rPr>
          <w:rFonts w:ascii="Times New Roman" w:cs="Times New Roman" w:eastAsia="Times New Roman" w:hAnsi="Times New Roman"/>
          <w:sz w:val="18"/>
          <w:szCs w:val="18"/>
          <w:color w:val="auto"/>
        </w:rPr>
      </w:pPr>
    </w:p>
    <w:p>
      <w:pPr>
        <w:jc w:val="both"/>
        <w:ind w:left="880" w:hanging="315"/>
        <w:spacing w:after="0" w:line="266"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covenants and agrees to take all actions as promptly as practicable reasonably requested by either the Required Holders or the Collateral Agent (or its successor), from time to time pursuant to the terms of this Section 4(z), to secure a successor Collateral Agent satisfactory to such requesting part(y)(ies), in their sole discretion,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1002030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30" w:name="page31"/>
    <w:bookmarkEnd w:id="30"/>
    <w:p>
      <w:pPr>
        <w:jc w:val="both"/>
        <w:ind w:left="1243"/>
        <w:spacing w:after="0" w:line="258" w:lineRule="auto"/>
        <w:rPr>
          <w:sz w:val="20"/>
          <w:szCs w:val="20"/>
          <w:color w:val="auto"/>
        </w:rPr>
      </w:pPr>
      <w:r>
        <w:rPr>
          <w:rFonts w:ascii="Times New Roman" w:cs="Times New Roman" w:eastAsia="Times New Roman" w:hAnsi="Times New Roman"/>
          <w:sz w:val="18"/>
          <w:szCs w:val="18"/>
          <w:color w:val="auto"/>
        </w:rPr>
        <w:t>limitation, by paying all reasonable and documented fees of such successor Collateral Agent, by having the Company agree to indemnify any successor Collateral Agent (in each case, in the absence of its gross negligence, willful misconduct, fraud or bad faith as determined by a court of competent jurisdiction in a final and non-appealable judgment) and by each of the Company executing a collateral agency agreement or similar agreement and/or any amendment to the Security Documents reasonably requested or required by the successor Collateral Agent.</w:t>
      </w:r>
    </w:p>
    <w:p>
      <w:pPr>
        <w:spacing w:after="0" w:line="183" w:lineRule="exact"/>
        <w:rPr>
          <w:sz w:val="20"/>
          <w:szCs w:val="20"/>
          <w:color w:val="auto"/>
        </w:rPr>
      </w:pPr>
    </w:p>
    <w:p>
      <w:pPr>
        <w:jc w:val="both"/>
        <w:ind w:left="-757" w:firstLine="757"/>
        <w:spacing w:after="0" w:line="266" w:lineRule="auto"/>
        <w:tabs>
          <w:tab w:leader="none" w:pos="23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Documents</w:t>
      </w:r>
      <w:r>
        <w:rPr>
          <w:rFonts w:ascii="Times New Roman" w:cs="Times New Roman" w:eastAsia="Times New Roman" w:hAnsi="Times New Roman"/>
          <w:sz w:val="18"/>
          <w:szCs w:val="18"/>
          <w:color w:val="auto"/>
        </w:rPr>
        <w:t>. On or prior to thirty (30) calendar days after the Closing Date, the Company agrees to deliver, or cause to be delivered, to each Buyer and Loeb &amp; Loeb LLP a complete closing set of the executed Transaction Documents, Securities and any other document required to be delivered to any Party pursuant to Section 7 hereof or otherwise.</w:t>
      </w:r>
    </w:p>
    <w:p>
      <w:pPr>
        <w:spacing w:after="0" w:line="176" w:lineRule="exact"/>
        <w:rPr>
          <w:sz w:val="20"/>
          <w:szCs w:val="20"/>
          <w:color w:val="auto"/>
        </w:rPr>
      </w:pPr>
    </w:p>
    <w:p>
      <w:pPr>
        <w:jc w:val="both"/>
        <w:ind w:left="-757" w:firstLine="757"/>
        <w:spacing w:after="0" w:line="266" w:lineRule="auto"/>
        <w:tabs>
          <w:tab w:leader="none" w:pos="3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Formation of Bankruptcy Remote Special Purpose Entity</w:t>
      </w:r>
      <w:r>
        <w:rPr>
          <w:rFonts w:ascii="Times New Roman" w:cs="Times New Roman" w:eastAsia="Times New Roman" w:hAnsi="Times New Roman"/>
          <w:sz w:val="18"/>
          <w:szCs w:val="18"/>
          <w:color w:val="auto"/>
        </w:rPr>
        <w:t>. Prior to the Closing, the Company shall form a Subsidiary that is a bankruptcy remote special purpose entity, pursuant to documentation in form, scope and substance acceptable to the Required Holders and the Collateral Agent. Such special purpose entity (“</w:t>
      </w:r>
      <w:r>
        <w:rPr>
          <w:rFonts w:ascii="Times New Roman" w:cs="Times New Roman" w:eastAsia="Times New Roman" w:hAnsi="Times New Roman"/>
          <w:sz w:val="18"/>
          <w:szCs w:val="18"/>
          <w:b w:val="1"/>
          <w:bCs w:val="1"/>
          <w:color w:val="auto"/>
        </w:rPr>
        <w:t>New SPV Subsidiary</w:t>
      </w:r>
      <w:r>
        <w:rPr>
          <w:rFonts w:ascii="Times New Roman" w:cs="Times New Roman" w:eastAsia="Times New Roman" w:hAnsi="Times New Roman"/>
          <w:sz w:val="18"/>
          <w:szCs w:val="18"/>
          <w:color w:val="auto"/>
        </w:rPr>
        <w:t>”) shall maintain the Cash Account and the Bitcoin Escrow Account.</w:t>
      </w:r>
    </w:p>
    <w:p>
      <w:pPr>
        <w:spacing w:after="0" w:line="175" w:lineRule="exact"/>
        <w:rPr>
          <w:rFonts w:ascii="Times New Roman" w:cs="Times New Roman" w:eastAsia="Times New Roman" w:hAnsi="Times New Roman"/>
          <w:sz w:val="18"/>
          <w:szCs w:val="18"/>
          <w:color w:val="auto"/>
        </w:rPr>
      </w:pPr>
    </w:p>
    <w:p>
      <w:pPr>
        <w:jc w:val="both"/>
        <w:ind w:left="-757" w:firstLine="757"/>
        <w:spacing w:after="0" w:line="252" w:lineRule="auto"/>
        <w:tabs>
          <w:tab w:leader="none" w:pos="351" w:val="left"/>
        </w:tabs>
        <w:numPr>
          <w:ilvl w:val="0"/>
          <w:numId w:val="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Proceeds of Notes and other Trust Property; Purchased Bitcoin; Perfection of Liens on Cash Account and Bitcoin</w:t>
      </w:r>
      <w:r>
        <w:rPr>
          <w:rFonts w:ascii="Times New Roman" w:cs="Times New Roman" w:eastAsia="Times New Roman" w:hAnsi="Times New Roman"/>
          <w:sz w:val="18"/>
          <w:szCs w:val="18"/>
          <w:color w:val="auto"/>
        </w:rPr>
        <w:t>. All proceeds from the sale of the Notes shall immediately upon purchase thereof be deposited into the Cash Account as a contribution by Issuer to New Subsidiary SPV. No amounts held in the Cash Account may be released to the Company, its Subsidiaries or its Affiliates or any other Person, without the prior written consent of the Collateral Agent, which consent of the Collateral Agent may only be granted upon the written consent of the Required Holders. Prior to the Initial Closing, the Lien of the Collateral Agent, for itself and on behalf of the Holders, in the Cash Account and all monies and other items on deposit therein shall be perfected in favor of the Collateral Agent, for itself and on behalf of the Buyers, pursuant to the Cash Account Control Agreement. Any proceeds released from the Cash Account shall be directed to the New Subsidiary SPV and used to immediately purchase Bitcoin. All Bitcoin purchased by the New Subsidiary SPV pursuant to this Agreement or the Note or with the proceeds of any Note or any other Trust Property shall immediately upon purchase thereof be transferred to the Bitcoin Escrow Account. The Lien of the Collateral Agent, for itself and on behalf of the Buyers, shall be perfected in the Escrow Bitcoin and any other Bitcoin maintained in the Bitcoin Escrow Account pursuant to the Bitcoin Escrow Account Control Agreement. Prior to the Initial Closing, the Lien of the Collateral Agent, for itself and on behalf of the Buyers, in the Bitcoin Escrow Account, shall be perfected pursuant to the Bitcoin Escrow Account Control Agreement. Notwithstanding anything to contrary, the Release Conditions (as defined in the Note) shall not have been met until the Bitcoin Escrow Account has been established and the Bitcoin Escrow Account Control Agreement has been executed, and the Company may not provide, and the Collateral Agent shall not be required to accept, any Cash Account Release Notices (as defined in the Note).</w:t>
      </w:r>
    </w:p>
    <w:p>
      <w:pPr>
        <w:spacing w:after="0" w:line="197" w:lineRule="exact"/>
        <w:rPr>
          <w:rFonts w:ascii="Times New Roman" w:cs="Times New Roman" w:eastAsia="Times New Roman" w:hAnsi="Times New Roman"/>
          <w:sz w:val="18"/>
          <w:szCs w:val="18"/>
          <w:u w:val="single" w:color="auto"/>
          <w:color w:val="auto"/>
        </w:rPr>
      </w:pPr>
    </w:p>
    <w:p>
      <w:pPr>
        <w:jc w:val="both"/>
        <w:ind w:left="-757" w:firstLine="757"/>
        <w:spacing w:after="0" w:line="256" w:lineRule="auto"/>
        <w:tabs>
          <w:tab w:leader="none" w:pos="3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Bitcoin</w:t>
      </w:r>
      <w:r>
        <w:rPr>
          <w:rFonts w:ascii="Times New Roman" w:cs="Times New Roman" w:eastAsia="Times New Roman" w:hAnsi="Times New Roman"/>
          <w:sz w:val="18"/>
          <w:szCs w:val="18"/>
          <w:color w:val="auto"/>
        </w:rPr>
        <w:t>. All Bitcoin purchased by the Company or its Subsidies pursuant to this Agreement or the Note shall be held in the Bitcoin Escrow Account. A security interest in the Cash Account shall be perfected prior to applicable Closing Date and the Bitcoin Escrow Account shall be created and a security interest in the Bitcoin Escrow Account shall be perfected prior to the New SPV Subsidiary being permitted to release any cash from the Cash Account to purchase Bitcoin, but not later than 90 days after the date hereof. The Company shall execute any further instruments and take further action as any Buyer reasonably requests to perfect or continue such Buyer’s Lien in the Cash Account and the Bitcoin Escrow Account to effect the purposes of this Agreement.</w:t>
      </w:r>
    </w:p>
    <w:p>
      <w:pPr>
        <w:spacing w:after="0" w:line="187" w:lineRule="exact"/>
        <w:rPr>
          <w:rFonts w:ascii="Times New Roman" w:cs="Times New Roman" w:eastAsia="Times New Roman" w:hAnsi="Times New Roman"/>
          <w:sz w:val="18"/>
          <w:szCs w:val="18"/>
          <w:color w:val="auto"/>
        </w:rPr>
      </w:pPr>
    </w:p>
    <w:p>
      <w:pPr>
        <w:jc w:val="both"/>
        <w:ind w:left="-757" w:firstLine="802"/>
        <w:spacing w:after="0" w:line="258" w:lineRule="auto"/>
        <w:tabs>
          <w:tab w:leader="none" w:pos="38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During the Reporting Period, the Company and its Subsidiaries shall remain in compliance with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1007110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31" w:name="page32"/>
    <w:bookmarkEnd w:id="31"/>
    <w:p>
      <w:pPr>
        <w:ind w:firstLine="757"/>
        <w:spacing w:after="0" w:line="282" w:lineRule="auto"/>
        <w:tabs>
          <w:tab w:leader="none" w:pos="10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into Deferred Shares</w:t>
      </w:r>
      <w:r>
        <w:rPr>
          <w:rFonts w:ascii="Times New Roman" w:cs="Times New Roman" w:eastAsia="Times New Roman" w:hAnsi="Times New Roman"/>
          <w:sz w:val="18"/>
          <w:szCs w:val="18"/>
          <w:color w:val="auto"/>
        </w:rPr>
        <w:t>. The Company is prohibited from converting any Ordinary Shares owned by the Buyer, including those underlying Convertible Securities and the Notes, into Deferred Shares for any reason whatsoever.</w:t>
      </w:r>
    </w:p>
    <w:p>
      <w:pPr>
        <w:spacing w:after="0" w:line="161" w:lineRule="exact"/>
        <w:rPr>
          <w:rFonts w:ascii="Times New Roman" w:cs="Times New Roman" w:eastAsia="Times New Roman" w:hAnsi="Times New Roman"/>
          <w:sz w:val="18"/>
          <w:szCs w:val="18"/>
          <w:color w:val="auto"/>
        </w:rPr>
      </w:pPr>
    </w:p>
    <w:p>
      <w:pPr>
        <w:jc w:val="both"/>
        <w:ind w:firstLine="757"/>
        <w:spacing w:after="0" w:line="258" w:lineRule="auto"/>
        <w:tabs>
          <w:tab w:leader="none" w:pos="10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Representative</w:t>
      </w:r>
      <w:r>
        <w:rPr>
          <w:rFonts w:ascii="Times New Roman" w:cs="Times New Roman" w:eastAsia="Times New Roman" w:hAnsi="Times New Roman"/>
          <w:sz w:val="18"/>
          <w:szCs w:val="18"/>
          <w:color w:val="auto"/>
        </w:rPr>
        <w:t>. The Holder Representative (as defined in the Notes) acknowledges and agrees that, notwithstanding anything to the contrary contained herein, in the Notes or in any other Transaction Document, the Holder Representative (A) shall not exercise any right or remedy under the Notes or any other Transaction Document without the prior written consent of the Required Holders, (B) shall take such actions to exercise any right or remedy under the Notes or any other Transaction Document as directed in writing by the Required Holders and (C) shall not amend or otherwise modify the Notes or any other Transaction Document without the prior written consent of the Required Holders.</w:t>
      </w:r>
    </w:p>
    <w:p>
      <w:pPr>
        <w:spacing w:after="0" w:line="183" w:lineRule="exact"/>
        <w:rPr>
          <w:rFonts w:ascii="Times New Roman" w:cs="Times New Roman" w:eastAsia="Times New Roman" w:hAnsi="Times New Roman"/>
          <w:sz w:val="18"/>
          <w:szCs w:val="18"/>
          <w:color w:val="auto"/>
        </w:rPr>
      </w:pPr>
    </w:p>
    <w:p>
      <w:pPr>
        <w:jc w:val="both"/>
        <w:ind w:firstLine="757"/>
        <w:spacing w:after="0" w:line="252" w:lineRule="auto"/>
        <w:tabs>
          <w:tab w:leader="none" w:pos="10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Each Buyer agrees that, from the date of this Agreement, no Buyer or any person acting on behalf of a Buyer will engage in any hedging or other transactions or arrangements (including, without limitation, any short sale or the purchase or sale of, or entry into, any put or call option, or combination thereof, forward, swap or any other derivative transaction or similar instrument) designed or intended, or which could reasonably be expected to lead to or result in, a sale, loan, pledge (except as collateral to any financing source in the ordinary course) or other disposition or transfer (whether by such Buyer or any other person) of any economic consequences of ownership, in whole or in part, directly or indirectly, of any Ordinary Shares, whether any such transaction or arrangement (or instrument provided for thereunder) would be settled by delivery of securities of the Company in cash or otherwise, or to publicly disclose the intention to undertake any of the foregoing; provided further that the provisions of this Section 4(gg) shall not apply to (i) long sales (including sales of securities held by such Buyer prior to the date of this Agreement), (ii) sales of Ordinary Shares equal to or less than the number of Ordinary Shares that a Buyer is entitled to receive, but has not yet received, from the Company or the transfer agent upon the completion of a pending conversion of a Note for which a valid Conversion Notice (as defined in the Notes) has been submitted to the Company (iii) securities purchased by such Buyer in the open market after the date of this Agreement, (iv) any transfers to any permitted transferees, (v) hedging transactions that do not establish a net short position, and (vi) any ordinary course, non-speculative hedging transactions. Notwithstanding the foregoing, nothing in this Section 4(gg) shall prohibit any entities under common management with such Buyer that have no knowledge (constructive or otherwise) of this Agreement or of such Buyer’s participation in the transactions contemplated hereby from entering into any such transactions; and in the case of a Buyer that is a multi-managed investment vehicle whereby separate portfolio managers manage separate portions of such Buyer’s assets and the portfolio managers have no knowledge of the investment decisions made by the portfolio managers managing other portions of such Buyer’s assets, this Section 4(gg) shall only apply with respect to the portion of assets managed by the portfolio manager that made the investment decision to purchase the Ordinary Shares hereunder.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avoidance of doubt, the covenants contained herein of the Company and its Subsidiaries (including the New SPV Subsidiary) owed to any Buyer under this Agreement or any Note, including any guarantee obligation, shall survive with respect to each Buyer until the date on which such Buyer’s Note(s) are no longer outstanding for any reason with the exception of the Company’s and the Guarantors’ indemnification obligations, all of which shall survive the extinguishment of the Notes and any termination of this Agreement.</w:t>
      </w:r>
    </w:p>
    <w:p>
      <w:pPr>
        <w:spacing w:after="0" w:line="176"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TRANSFER AGENT INSTRUCTIONS; LEGEND.</w:t>
      </w:r>
    </w:p>
    <w:p>
      <w:pPr>
        <w:spacing w:after="0" w:line="225"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99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cause Computershare Trust Company, N.A.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to maintain a register for the Notes in which Computershare shall record the name and address of the Person in whose name the Notes have been issued (including the name and address of each transferee), the principal amount of the Notes held by such Person, the number of Conversion Shares issuable pursuant to the terms of the Notes held by such Person. Computershare shall keep the register open and available at all times during business hours for inspection of any Buyer or its legal representatives.</w:t>
      </w:r>
    </w:p>
    <w:p>
      <w:pPr>
        <w:spacing w:after="0" w:line="183"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Within one business day following each Closing Date, the Company shall issue irrevocable instructions to its transfer agent and any subsequent transfer agent (as applicable,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a form acceptable to each of the Buyers (the “</w:t>
      </w:r>
      <w:r>
        <w:rPr>
          <w:rFonts w:ascii="Times New Roman" w:cs="Times New Roman" w:eastAsia="Times New Roman" w:hAnsi="Times New Roman"/>
          <w:sz w:val="18"/>
          <w:szCs w:val="18"/>
          <w:b w:val="1"/>
          <w:bCs w:val="1"/>
          <w:color w:val="auto"/>
        </w:rPr>
        <w:t>Irrevocable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 Agent Instructions</w:t>
      </w:r>
      <w:r>
        <w:rPr>
          <w:rFonts w:ascii="Times New Roman" w:cs="Times New Roman" w:eastAsia="Times New Roman" w:hAnsi="Times New Roman"/>
          <w:sz w:val="18"/>
          <w:szCs w:val="18"/>
          <w:color w:val="auto"/>
        </w:rPr>
        <w:t>”) to issue certificates or credit shares to the applicable balance accounts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in the name of each Buyer or its respective nominee(s), for the Conversion Shares in such amounts as specified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jc w:val="both"/>
        <w:spacing w:after="0" w:line="252" w:lineRule="auto"/>
        <w:rPr>
          <w:sz w:val="20"/>
          <w:szCs w:val="20"/>
          <w:color w:val="auto"/>
        </w:rPr>
      </w:pPr>
      <w:r>
        <w:rPr>
          <w:rFonts w:ascii="Times New Roman" w:cs="Times New Roman" w:eastAsia="Times New Roman" w:hAnsi="Times New Roman"/>
          <w:sz w:val="18"/>
          <w:szCs w:val="18"/>
          <w:color w:val="auto"/>
        </w:rPr>
        <w:t>time to time by each Buyer to the Company upon conversion of the Notes issued on such Closing Date or to GTU Ops Inc in the event that the Conversion Shares are not registered at that time. The Company represents and warrants that no instruction other than the Irrevocable Transfer Agent Instructions referred to in this Section 5(b), and stop transfer instructions to the extent necessary at any time to give effect to Section 2(g) hereof, will be given by the Company to its transfer agent with respect to the Securities, and that the Securities shall otherwise be freely transferable on the books and records of the Company, as applicable, to the extent provided in this Agreement and the other Transaction Documents. If a Buyer effects a sale, assignment or transfer of the Securities in accordance with Section 2(g), the Company shall permit the transfer and shall promptly instruct its transfer agent to issue one or more certificates or credit shares to the applicable balance accounts at DTC or GTU Ops as appropriate in such name and in such denominations as specified by such Buyer to effect such sale, transfer or assignment. In the event that such sale, assignment or transfer involves Conversion Shares sold, assigned or transferred pursuant to an effective registration statement or in compliance with Rule 144, the transfer agent shall issue such shares to such Buyer, assignee or transferee (as the case may be) without any restrictive legend in accordance with Section 5(d) below.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Company’s transfer agent on each Effective Date (as defined in the Registration Rights Agreement). Any fees (with respect to the transfer agent, counsel to the Company or otherwise) associated with the issuance of such opinion or the removal of any legends on any of the Securities shall be borne by the Company.</w:t>
      </w:r>
    </w:p>
    <w:p>
      <w:pPr>
        <w:spacing w:after="0" w:line="193" w:lineRule="exact"/>
        <w:rPr>
          <w:sz w:val="20"/>
          <w:szCs w:val="20"/>
          <w:color w:val="auto"/>
        </w:rPr>
      </w:pPr>
    </w:p>
    <w:p>
      <w:pPr>
        <w:jc w:val="both"/>
        <w:ind w:firstLine="757"/>
        <w:spacing w:after="0" w:line="261" w:lineRule="auto"/>
        <w:tabs>
          <w:tab w:leader="none" w:pos="9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Buyer understands that the Securities have been issued (or will be issued in the case of the Conversion Shares) pursuant to an exemption from registration or qualification under the 1933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share certificates):</w:t>
      </w:r>
    </w:p>
    <w:p>
      <w:pPr>
        <w:spacing w:after="0" w:line="180" w:lineRule="exact"/>
        <w:rPr>
          <w:sz w:val="20"/>
          <w:szCs w:val="20"/>
          <w:color w:val="auto"/>
        </w:rPr>
      </w:pPr>
    </w:p>
    <w:p>
      <w:pPr>
        <w:jc w:val="both"/>
        <w:ind w:left="760" w:right="740"/>
        <w:spacing w:after="0" w:line="253"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BY THIS CERTIFICATE NOR THE SECURITIES INTO WHICH THESE SECURITIES ARE CONVERTIBLE HAVE BEEN][THE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92" w:lineRule="exact"/>
        <w:rPr>
          <w:sz w:val="20"/>
          <w:szCs w:val="20"/>
          <w:color w:val="auto"/>
        </w:rPr>
      </w:pPr>
    </w:p>
    <w:p>
      <w:pPr>
        <w:jc w:val="both"/>
        <w:ind w:firstLine="757"/>
        <w:spacing w:after="0" w:line="254" w:lineRule="auto"/>
        <w:tabs>
          <w:tab w:leader="none" w:pos="10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Certificates evidencing Securities shall not be required to contain the legend set forth in Section 5(c) above or any other legend (i) while a registration statement (including a Registration Statement) covering the resale of such Securities is effective under the 1933 Act, (ii) following any sale of such Securities pursuant to Rule 144 (assuming the transferor is not an affiliate of the Company), (iii) if such Securities are eligible to be sold, assigned or transferred under Rule 144 (provided that a Buyer provides the Company with reasonable assurances that such Securities are eligible for sale, assignment or transfer under Rule 144 which shall not include an opinion of Buyer’s counsel), (iv) in connection with a sale, assignment or other transfer (other than under Rule 144), provided that such Buyer provides the Company with an opinion of counsel to such Buyer, in a generally acceptable form, to the effect that such sale, assignment or transfer of the Securities may be made without registration under the applicable requirements of the 1933 Act or (v) if such legend is not required under applicable requirements of the 1933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(including, without limitation, controlling judicial interpretations and pronouncements issued by the SEC). If a legend is not required pursuant to the foregoing, the Company shall no later than two (2) Trading Days (or such earlier date as required pursuant to the 1934 Act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Buyer as may be required above in this Section 5(d), as directed by such Buyer, either: (A) provided that the Company’s transfer agent is participating in the DTC Fast Automated Securities Transfer Program and such Securities are Conversion Shares, credit the aggregate number of Ordinary Shares to which such Buyer shall be entitled to such Buyer’s or its designee’s balance account with DTC through its Deposit/Withdrawal at Custodian system or (B) if the Company’s transfer agent is not participating in the DTC Fast Automated Securities Transfer Program, issue and deliver (via reputable overnight courier) to such Buyer, a certificate representing such Securities that is free from all restrictive and other legends, registered in the name of such Buyer or its designee (the date by which such credit is so required to be made to the balance account of such Buyer’s or such Buyer’s designee with DTC or such certificate is required to be delivered to such Buyer pursuant to the foregoing is referred to herein as the “</w:t>
      </w:r>
      <w:r>
        <w:rPr>
          <w:rFonts w:ascii="Times New Roman" w:cs="Times New Roman" w:eastAsia="Times New Roman" w:hAnsi="Times New Roman"/>
          <w:sz w:val="18"/>
          <w:szCs w:val="18"/>
          <w:b w:val="1"/>
          <w:bCs w:val="1"/>
          <w:color w:val="auto"/>
        </w:rPr>
        <w:t>Required Delivery Date</w:t>
      </w:r>
      <w:r>
        <w:rPr>
          <w:rFonts w:ascii="Times New Roman" w:cs="Times New Roman" w:eastAsia="Times New Roman" w:hAnsi="Times New Roman"/>
          <w:sz w:val="18"/>
          <w:szCs w:val="18"/>
          <w:color w:val="auto"/>
        </w:rPr>
        <w:t>”, and the date such Ordinary Shares are actually delivered without restrictive legend to such Buyer or such Buyer’s designee with DTC, as applicable,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The Company shall be responsible for any transfer agent fees or DTC fees with respect to any issuance of Securities or the removal of any legends with respect to any Securities in accordance herewith.</w:t>
      </w:r>
    </w:p>
    <w:p>
      <w:pPr>
        <w:spacing w:after="0" w:line="196" w:lineRule="exact"/>
        <w:rPr>
          <w:sz w:val="20"/>
          <w:szCs w:val="20"/>
          <w:color w:val="auto"/>
        </w:rPr>
      </w:pPr>
    </w:p>
    <w:p>
      <w:pPr>
        <w:jc w:val="both"/>
        <w:ind w:firstLine="757"/>
        <w:spacing w:after="0" w:line="251" w:lineRule="auto"/>
        <w:tabs>
          <w:tab w:leader="none" w:pos="99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Timely Deliver; Buy-In</w:t>
      </w:r>
      <w:r>
        <w:rPr>
          <w:rFonts w:ascii="Times New Roman" w:cs="Times New Roman" w:eastAsia="Times New Roman" w:hAnsi="Times New Roman"/>
          <w:sz w:val="18"/>
          <w:szCs w:val="18"/>
          <w:color w:val="auto"/>
        </w:rPr>
        <w:t>. If the Company fails, for any reason or for no reason, to issue and deliver (or cause to be delivered) to a Buyer (or its designee) by the Required Delivery Date, either (I) if the Transfer Agent is not participating in the DTC Fast Automated Securities Transfer Program, a certificate for the number of Conversion Shares to which such Buyer is entitled and register such Conversion Shares on the Company’s share register or, if the Transfer Agent is participating in the DTC Fast Automated Securities Transfer Program, to credit the balance account of such Buyer or such Buyer’s designee with DTC for such number of Conversion Shares submitted for legend removal by such Buyer pursuant to Section 5(d) above or (II) if the Registration Statement covering the resale of the Conversion Shares submitted for legend removal by such Buyer pursuant to Section 5(d) above (the “</w:t>
      </w:r>
      <w:r>
        <w:rPr>
          <w:rFonts w:ascii="Times New Roman" w:cs="Times New Roman" w:eastAsia="Times New Roman" w:hAnsi="Times New Roman"/>
          <w:sz w:val="18"/>
          <w:szCs w:val="18"/>
          <w:b w:val="1"/>
          <w:bCs w:val="1"/>
          <w:color w:val="auto"/>
        </w:rPr>
        <w:t>Unavailable Shares</w:t>
      </w:r>
      <w:r>
        <w:rPr>
          <w:rFonts w:ascii="Times New Roman" w:cs="Times New Roman" w:eastAsia="Times New Roman" w:hAnsi="Times New Roman"/>
          <w:sz w:val="18"/>
          <w:szCs w:val="18"/>
          <w:color w:val="auto"/>
        </w:rPr>
        <w:t>”) is not available for the resale of such Unavailable Shares and the Company fails to promptly, but in no event later than as required pursuant to the Registration Rights Agreement (x) so notify such Buyer and (y) deliver the Conversion Shares, electronically without any restrictive legend by crediting such aggregate number of Conversion Shares submitted for legend removal by such Buyer pursuant to Section 5(d) above to such Buyer’s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such Buyer, the Company shall pay in cash to such Buyer on each day after the Share Delivery Date and during such Delivery Failure an amount equal to 2% of the product of (A) the sum of the number of Ordinary Shares not issued to such Buyer on or prior to the Required Delivery Date and to which such Buyer is entitled, and (B) any trading price of the Ordinary Shares selected by such Buyer in writing as in effect at any time during the period beginning on the date of the delivery by such Buyer to the Company of the applicable Conversion Shares and ending on the applicable Share Delivery Date. In addition to the foregoing, if on or prior to the Required Delivery Date either (I) if the Transfer Agent is not participating in the DTC Fast Automated Securities Transfer Program, the Company shall fail to issue and deliver a certificate to a Buyer and register such Ordinary Shares on the Company’s share register or, if the Transfer Agent is participating in the DTC Fast Automated Securities Transfer Program, credit the balance account of such Buyer or such Buyer’s designee with DTC for the number of Ordinary Shares to which such Buyer submitted for legend removal by such Buyer pursuant to Section 5(d) above (ii) below or (II) a Notice Failure occurs, and if on or after such Trading Day such Buyer purchases (in an open market transaction or otherwise) Ordinary Shares to deliver in satisfaction of a sale by such Buyer of Ordinary Shares submitted for legend removal by such Buyer pursuant to Section 5(d) above that such Buyer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within two (2) Trading Days after such Buyer’s request promptly honor its obligation to so deliver to such Buyer a certificate or certificates or credit the balance account of such Buyer or such Buyer’s designee with DTC representing such number of Ordinary Shares that would have been so delivered if the Company timely complied with its obligations hereunder. Nothing shall limit such Buyer’s right to pursue any other remedies available to it hereunder, at law or in equity, including, without limitation, a decree of specific performance and/or injunctive relief with respect to the Company’s failure to timely deliver certificates representing Ordinary Shares (or to electronically deliver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Ordinary Shares) as required pursuant to the terms hereof. Notwithstanding anything herein to the contrary, with respect to any given Notice Failure and/or Delivery Failure, this Section 5(e) shall not apply to the applicable Buyer the extent the Company has already paid such amounts in full to such Buyer with respect to such Notice Failure and/or Delivery Failure, as applicable, pursuant to the analogous sections of the Note, held by such Buyer.</w:t>
      </w:r>
    </w:p>
    <w:p>
      <w:pPr>
        <w:spacing w:after="0" w:line="176" w:lineRule="exact"/>
        <w:rPr>
          <w:sz w:val="20"/>
          <w:szCs w:val="20"/>
          <w:color w:val="auto"/>
        </w:rPr>
      </w:pPr>
    </w:p>
    <w:p>
      <w:pPr>
        <w:ind w:firstLine="757"/>
        <w:spacing w:after="0" w:line="282" w:lineRule="auto"/>
        <w:tabs>
          <w:tab w:leader="none" w:pos="98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FAST Compliance</w:t>
      </w:r>
      <w:r>
        <w:rPr>
          <w:rFonts w:ascii="Times New Roman" w:cs="Times New Roman" w:eastAsia="Times New Roman" w:hAnsi="Times New Roman"/>
          <w:sz w:val="18"/>
          <w:szCs w:val="18"/>
          <w:color w:val="auto"/>
        </w:rPr>
        <w:t>. While any Notes remain outstanding, the Company shall maintain a transfer agent that participates in the DTC Fast Automated Securities Transfer Program.</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66" w:lineRule="auto"/>
        <w:tabs>
          <w:tab w:leader="none" w:pos="100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hereunder to issue and sell the Notes, and the Commitment Shares (if any) to each Buyer at each Closing is subject to the satisfaction, at or before the applicable Closing, of each of the following conditions, provided that these conditions are for the Company’s sole benefit and may be waived by the Company at any time in its sole discretion by providing each Buyer with prior written notice thereof:</w:t>
      </w:r>
    </w:p>
    <w:p>
      <w:pPr>
        <w:spacing w:after="0" w:line="175" w:lineRule="exact"/>
        <w:rPr>
          <w:rFonts w:ascii="Times New Roman" w:cs="Times New Roman" w:eastAsia="Times New Roman" w:hAnsi="Times New Roman"/>
          <w:sz w:val="18"/>
          <w:szCs w:val="18"/>
          <w:color w:val="auto"/>
        </w:rPr>
      </w:pPr>
    </w:p>
    <w:p>
      <w:pPr>
        <w:ind w:left="1740" w:hanging="235"/>
        <w:spacing w:after="0"/>
        <w:tabs>
          <w:tab w:leader="none" w:pos="174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executed each of the other Transaction Documents to which it is a party and delivered the same to the</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jc w:val="both"/>
        <w:ind w:left="760" w:firstLine="745"/>
        <w:spacing w:after="0" w:line="266" w:lineRule="auto"/>
        <w:tabs>
          <w:tab w:leader="none" w:pos="178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and each other Buyer shall have delivered to the Cash Account the Purchase Price (less, in the case of any Buyer, the amounts that may be withheld pursuant to Section 4(g)) for the Note and the Commitment Shares being purchased by such Buyer in connection with the applicable Closing by wire transfer of immediately available funds in accordance with the Flow of Funds Letter.</w:t>
      </w:r>
    </w:p>
    <w:p>
      <w:pPr>
        <w:spacing w:after="0" w:line="175" w:lineRule="exact"/>
        <w:rPr>
          <w:rFonts w:ascii="Times New Roman" w:cs="Times New Roman" w:eastAsia="Times New Roman" w:hAnsi="Times New Roman"/>
          <w:sz w:val="18"/>
          <w:szCs w:val="18"/>
          <w:color w:val="auto"/>
        </w:rPr>
      </w:pPr>
    </w:p>
    <w:p>
      <w:pPr>
        <w:jc w:val="both"/>
        <w:ind w:left="760" w:firstLine="745"/>
        <w:spacing w:after="0" w:line="258" w:lineRule="auto"/>
        <w:tabs>
          <w:tab w:leader="none" w:pos="1825"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Buyer shall be true and correct in all material respects as of the date when made and as of the applicable Closing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applicable Closing.</w:t>
      </w:r>
    </w:p>
    <w:p>
      <w:pPr>
        <w:spacing w:after="0" w:line="183" w:lineRule="exact"/>
        <w:rPr>
          <w:rFonts w:ascii="Times New Roman" w:cs="Times New Roman" w:eastAsia="Times New Roman" w:hAnsi="Times New Roman"/>
          <w:sz w:val="18"/>
          <w:szCs w:val="18"/>
          <w:color w:val="auto"/>
        </w:rPr>
      </w:pPr>
    </w:p>
    <w:p>
      <w:pPr>
        <w:ind w:left="1820" w:hanging="315"/>
        <w:spacing w:after="0"/>
        <w:tabs>
          <w:tab w:leader="none" w:pos="182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Additional Notes, such purchase shall be made no later than the Additional Closing Expiration Date.</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EACH BUYER’S OBLIGATION TO PURCHASE.</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61" w:lineRule="auto"/>
        <w:tabs>
          <w:tab w:leader="none" w:pos="9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each Buyer hereunder to purchase its Note at each Closing is subject to the satisfaction, at or before the applicable Closing, of each of the following conditions, provided that these conditions are for each Buyer’s sole benefit and may be waived by such Buyer (solely with respect to itself) at any time in its sole discretion by providing the Company with prior written notice thereof. Such written notice shall detail the exact conditions being waived (including any Material Adverse Effect, if applicable) and such waived condition cannot be used in determining an Event of Default:</w:t>
      </w:r>
    </w:p>
    <w:p>
      <w:pPr>
        <w:spacing w:after="0" w:line="179" w:lineRule="exact"/>
        <w:rPr>
          <w:rFonts w:ascii="Times New Roman" w:cs="Times New Roman" w:eastAsia="Times New Roman" w:hAnsi="Times New Roman"/>
          <w:sz w:val="18"/>
          <w:szCs w:val="18"/>
          <w:color w:val="auto"/>
        </w:rPr>
      </w:pPr>
    </w:p>
    <w:p>
      <w:pPr>
        <w:jc w:val="both"/>
        <w:ind w:left="760" w:firstLine="745"/>
        <w:spacing w:after="0" w:line="261" w:lineRule="auto"/>
        <w:tabs>
          <w:tab w:leader="none" w:pos="175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(as the case may be) shall have duly executed and delivered to such Buyer each of the Transaction Documents to which it is a party and the Company shall have duly executed and delivered to such Buyer (A) a Note in such original principal amount as is set forth across from such Buyer’s name in column (3) of the Schedule of Buyers, as being purchased by such Buyer at the applicable Closing pursuant to this Agreement.</w:t>
      </w:r>
    </w:p>
    <w:p>
      <w:pPr>
        <w:spacing w:after="0" w:line="179" w:lineRule="exact"/>
        <w:rPr>
          <w:rFonts w:ascii="Times New Roman" w:cs="Times New Roman" w:eastAsia="Times New Roman" w:hAnsi="Times New Roman"/>
          <w:sz w:val="18"/>
          <w:szCs w:val="18"/>
          <w:color w:val="auto"/>
        </w:rPr>
      </w:pPr>
    </w:p>
    <w:p>
      <w:pPr>
        <w:jc w:val="both"/>
        <w:ind w:left="760" w:firstLine="745"/>
        <w:spacing w:after="0" w:line="258" w:lineRule="auto"/>
        <w:tabs>
          <w:tab w:leader="none" w:pos="1774"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the opinion of DLA Piper LLP, the Company’s counsel, dated as of the applicable Closing Date, in the form acceptable to each Buyer, which opinion will address, among other things, customary opinions on (A) authority, (B) execution and delivery, (C) enforceability, (D) no conflict with laws, organizational documents, or the Company’s five most material agreements (as determined by the Company in good faith, and for the avoidance of doubt, including the Berenberg loan agreement), (E) sufficiency of security grants, and (F) perfection by filing and perfection by control in respect of the Cash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left="-360" w:firstLine="745"/>
        <w:spacing w:after="0" w:line="282" w:lineRule="auto"/>
        <w:tabs>
          <w:tab w:leader="none" w:pos="7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copy of the Irrevocable Transfer Agent Instructions, in the form acceptable to such Buyer, which instructions shall have been delivered to and acknowledged in writing by the Company’s transfer agent.</w:t>
      </w:r>
    </w:p>
    <w:p>
      <w:pPr>
        <w:spacing w:after="0" w:line="161" w:lineRule="exact"/>
        <w:rPr>
          <w:rFonts w:ascii="Times New Roman" w:cs="Times New Roman" w:eastAsia="Times New Roman" w:hAnsi="Times New Roman"/>
          <w:sz w:val="18"/>
          <w:szCs w:val="18"/>
          <w:color w:val="auto"/>
        </w:rPr>
      </w:pPr>
    </w:p>
    <w:p>
      <w:pPr>
        <w:jc w:val="both"/>
        <w:ind w:left="-360" w:firstLine="745"/>
        <w:spacing w:after="0" w:line="266" w:lineRule="auto"/>
        <w:tabs>
          <w:tab w:leader="none" w:pos="7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the applicable Closing Date.</w:t>
      </w:r>
    </w:p>
    <w:p>
      <w:pPr>
        <w:spacing w:after="0" w:line="175" w:lineRule="exact"/>
        <w:rPr>
          <w:rFonts w:ascii="Times New Roman" w:cs="Times New Roman" w:eastAsia="Times New Roman" w:hAnsi="Times New Roman"/>
          <w:sz w:val="18"/>
          <w:szCs w:val="18"/>
          <w:color w:val="auto"/>
        </w:rPr>
      </w:pPr>
    </w:p>
    <w:p>
      <w:pPr>
        <w:jc w:val="both"/>
        <w:ind w:left="-360" w:firstLine="745"/>
        <w:spacing w:after="0" w:line="266"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Company’s and each Subsidiary’s qualification as a foreign corporation and good standing issued by the Secretary of State (or comparable office) of each jurisdiction in which the Company and each Subsidiary conducts business and is required to so qualify, as of a date within ten (10) days of the applicable Closing Date.</w:t>
      </w:r>
    </w:p>
    <w:p>
      <w:pPr>
        <w:spacing w:after="0" w:line="175" w:lineRule="exact"/>
        <w:rPr>
          <w:rFonts w:ascii="Times New Roman" w:cs="Times New Roman" w:eastAsia="Times New Roman" w:hAnsi="Times New Roman"/>
          <w:sz w:val="18"/>
          <w:szCs w:val="18"/>
          <w:color w:val="auto"/>
        </w:rPr>
      </w:pPr>
    </w:p>
    <w:p>
      <w:pPr>
        <w:ind w:left="-360" w:firstLine="745"/>
        <w:spacing w:after="0" w:line="282" w:lineRule="auto"/>
        <w:tabs>
          <w:tab w:leader="none" w:pos="69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certified copy of the Articles as certified by the relevant governmental agency of the Company’s jurisdiction of incorporation within ten (10) days of the applicable Closing Date.</w:t>
      </w:r>
    </w:p>
    <w:p>
      <w:pPr>
        <w:spacing w:after="0" w:line="161" w:lineRule="exact"/>
        <w:rPr>
          <w:rFonts w:ascii="Times New Roman" w:cs="Times New Roman" w:eastAsia="Times New Roman" w:hAnsi="Times New Roman"/>
          <w:sz w:val="18"/>
          <w:szCs w:val="18"/>
          <w:color w:val="auto"/>
        </w:rPr>
      </w:pPr>
    </w:p>
    <w:p>
      <w:pPr>
        <w:jc w:val="both"/>
        <w:ind w:left="-360" w:firstLine="745"/>
        <w:spacing w:after="0" w:line="266" w:lineRule="auto"/>
        <w:tabs>
          <w:tab w:leader="none" w:pos="7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shall have delivered to such Buyer a certified copy of its Memorandum and Articles of Association (or such equivalent organizational document) as certified by the relevant governmental agency of the of such Subsidiary’s jurisdiction of incorporation within ten (10) days of the applicable Closing Date.</w:t>
      </w:r>
    </w:p>
    <w:p>
      <w:pPr>
        <w:spacing w:after="0" w:line="175" w:lineRule="exact"/>
        <w:rPr>
          <w:rFonts w:ascii="Times New Roman" w:cs="Times New Roman" w:eastAsia="Times New Roman" w:hAnsi="Times New Roman"/>
          <w:sz w:val="18"/>
          <w:szCs w:val="18"/>
          <w:color w:val="auto"/>
        </w:rPr>
      </w:pPr>
    </w:p>
    <w:p>
      <w:pPr>
        <w:jc w:val="both"/>
        <w:ind w:left="-360" w:firstLine="745"/>
        <w:spacing w:after="0" w:line="258" w:lineRule="auto"/>
        <w:tabs>
          <w:tab w:leader="none" w:pos="8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shall have delivered to such Buyer a certificate, in the form acceptable to such Buyer, executed by the Secretary of the Company and each Subsidiary and dated as of the applicable Closing Date, as to (i) the resolutions consistent with Section 3(b) as adopted by the Company’s and each Subsidiary’s board of directors (or similar governing body) in a form reasonably acceptable to such Buyer, (ii) the Articles of the Company and the organizational documents of each Subsidiary and (iii) the bylaws or similar governing document of each Subsidiary, each as in effect at the Closing.</w:t>
      </w:r>
    </w:p>
    <w:p>
      <w:pPr>
        <w:spacing w:after="0" w:line="183" w:lineRule="exact"/>
        <w:rPr>
          <w:rFonts w:ascii="Times New Roman" w:cs="Times New Roman" w:eastAsia="Times New Roman" w:hAnsi="Times New Roman"/>
          <w:sz w:val="18"/>
          <w:szCs w:val="18"/>
          <w:color w:val="auto"/>
        </w:rPr>
      </w:pPr>
    </w:p>
    <w:p>
      <w:pPr>
        <w:jc w:val="both"/>
        <w:ind w:left="-360" w:firstLine="745"/>
        <w:spacing w:after="0" w:line="255" w:lineRule="auto"/>
        <w:tabs>
          <w:tab w:leader="none" w:pos="7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representation and warranty of the Company shall be true and correct in all material respects as of the date when made and as of the applicable Closing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applicable Closing. Such Buyer shall have received a certificate, duly executed by the Chief Executive Officer of the Company, dated as of the applicable Closing Date, to the foregoing effect and as to such other matters as may be reasonably requested by such Buyer in the form acceptable to such Buyer.</w:t>
      </w:r>
    </w:p>
    <w:p>
      <w:pPr>
        <w:spacing w:after="0" w:line="188" w:lineRule="exact"/>
        <w:rPr>
          <w:rFonts w:ascii="Times New Roman" w:cs="Times New Roman" w:eastAsia="Times New Roman" w:hAnsi="Times New Roman"/>
          <w:sz w:val="18"/>
          <w:szCs w:val="18"/>
          <w:color w:val="auto"/>
        </w:rPr>
      </w:pPr>
    </w:p>
    <w:p>
      <w:pPr>
        <w:jc w:val="both"/>
        <w:ind w:left="-360" w:firstLine="745"/>
        <w:spacing w:after="0" w:line="266" w:lineRule="auto"/>
        <w:tabs>
          <w:tab w:leader="none" w:pos="6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obtained all governmental, regulatory or third party consents and approvals set forth on </w:t>
      </w:r>
      <w:r>
        <w:rPr>
          <w:rFonts w:ascii="Times New Roman" w:cs="Times New Roman" w:eastAsia="Times New Roman" w:hAnsi="Times New Roman"/>
          <w:sz w:val="18"/>
          <w:szCs w:val="18"/>
          <w:u w:val="single" w:color="auto"/>
          <w:color w:val="auto"/>
        </w:rPr>
        <w:t>Schedule 7(a)(x)</w:t>
      </w:r>
      <w:r>
        <w:rPr>
          <w:rFonts w:ascii="Times New Roman" w:cs="Times New Roman" w:eastAsia="Times New Roman" w:hAnsi="Times New Roman"/>
          <w:sz w:val="18"/>
          <w:szCs w:val="18"/>
          <w:color w:val="auto"/>
        </w:rPr>
        <w:t xml:space="preserve"> hereto, if any, including without limitation the passing of the Shareholder Resolutions (which condition can only be waived with the consent of the Company.</w:t>
      </w:r>
    </w:p>
    <w:p>
      <w:pPr>
        <w:spacing w:after="0" w:line="175" w:lineRule="exact"/>
        <w:rPr>
          <w:rFonts w:ascii="Times New Roman" w:cs="Times New Roman" w:eastAsia="Times New Roman" w:hAnsi="Times New Roman"/>
          <w:sz w:val="18"/>
          <w:szCs w:val="18"/>
          <w:color w:val="auto"/>
        </w:rPr>
      </w:pPr>
    </w:p>
    <w:p>
      <w:pPr>
        <w:jc w:val="both"/>
        <w:ind w:left="-360" w:firstLine="745"/>
        <w:spacing w:after="0" w:line="266" w:lineRule="auto"/>
        <w:tabs>
          <w:tab w:leader="none" w:pos="7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ind w:left="-360" w:right="20" w:firstLine="745"/>
        <w:spacing w:after="0" w:line="282"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this Agreement, no event or series of events shall have occurred that reasonably would have or result in a Material Adverse Effect.</w:t>
      </w:r>
    </w:p>
    <w:p>
      <w:pPr>
        <w:spacing w:after="0" w:line="161" w:lineRule="exact"/>
        <w:rPr>
          <w:rFonts w:ascii="Times New Roman" w:cs="Times New Roman" w:eastAsia="Times New Roman" w:hAnsi="Times New Roman"/>
          <w:sz w:val="18"/>
          <w:szCs w:val="18"/>
          <w:color w:val="auto"/>
        </w:rPr>
      </w:pPr>
    </w:p>
    <w:p>
      <w:pPr>
        <w:ind w:left="-360" w:firstLine="745"/>
        <w:spacing w:after="0" w:line="282" w:lineRule="auto"/>
        <w:tabs>
          <w:tab w:leader="none" w:pos="8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a letter on the letterhead of the Company, duly executed by the Chief Executive Officer of the Company, setting forth the wire amounts of each Buyer and the wire transfer instructions of the Cash Account (the “</w:t>
      </w:r>
      <w:r>
        <w:rPr>
          <w:rFonts w:ascii="Times New Roman" w:cs="Times New Roman" w:eastAsia="Times New Roman" w:hAnsi="Times New Roman"/>
          <w:sz w:val="18"/>
          <w:szCs w:val="18"/>
          <w:b w:val="1"/>
          <w:bCs w:val="1"/>
          <w:color w:val="auto"/>
        </w:rPr>
        <w:t>Flow of Funds Letter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993140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6" w:name="page37"/>
    <w:bookmarkEnd w:id="36"/>
    <w:p>
      <w:pPr>
        <w:ind w:left="1892" w:hanging="395"/>
        <w:spacing w:after="0"/>
        <w:tabs>
          <w:tab w:leader="none" w:pos="189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852" w:hanging="355"/>
        <w:spacing w:after="0"/>
        <w:tabs>
          <w:tab w:leader="none" w:pos="185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minimum liquidity, defined as unrestricted cash and cash equivalents, of not less than $2,000,000.</w:t>
      </w:r>
    </w:p>
    <w:p>
      <w:pPr>
        <w:spacing w:after="0" w:line="225" w:lineRule="exact"/>
        <w:rPr>
          <w:rFonts w:ascii="Times New Roman" w:cs="Times New Roman" w:eastAsia="Times New Roman" w:hAnsi="Times New Roman"/>
          <w:sz w:val="18"/>
          <w:szCs w:val="18"/>
          <w:color w:val="auto"/>
        </w:rPr>
      </w:pPr>
    </w:p>
    <w:p>
      <w:pPr>
        <w:jc w:val="both"/>
        <w:ind w:left="752" w:firstLine="745"/>
        <w:spacing w:after="0" w:line="261" w:lineRule="auto"/>
        <w:tabs>
          <w:tab w:leader="none" w:pos="22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and all Buyers shall have received all documents, instruments, filings and recordations and customary UCC (or the foreign equivalent thereof), tax, pending litigation, judgment, bankruptcy and other diligence searches, in each case, reasonably requested by the Collateral Agent or any Buyer in connection with the perfection of a valid security interest first prior Lien in the Trust Property, the Cash Account and the Escrow Bitcoin, and, in the case of UCC filings, such filings shall be in proper form for filing.</w:t>
      </w:r>
    </w:p>
    <w:p>
      <w:pPr>
        <w:spacing w:after="0" w:line="179" w:lineRule="exact"/>
        <w:rPr>
          <w:rFonts w:ascii="Times New Roman" w:cs="Times New Roman" w:eastAsia="Times New Roman" w:hAnsi="Times New Roman"/>
          <w:sz w:val="18"/>
          <w:szCs w:val="18"/>
          <w:color w:val="auto"/>
        </w:rPr>
      </w:pPr>
    </w:p>
    <w:p>
      <w:pPr>
        <w:jc w:val="both"/>
        <w:ind w:left="752" w:firstLine="745"/>
        <w:spacing w:after="0" w:line="261" w:lineRule="auto"/>
        <w:tabs>
          <w:tab w:leader="none" w:pos="199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and all Buyers shall have received the results of searches (including comparable searches in any jurisdiction outside the United States) for any effective UCC financing statements (or the foreign equivalent thereof), tax liens or judgment liens filed against the Company or any of the Company Subsidiaries or any property of any of the foregoing, which results shall not show any such liens (other than Permitted Liens acceptable to the Collateral Agent and the Required Holders).</w:t>
      </w:r>
    </w:p>
    <w:p>
      <w:pPr>
        <w:spacing w:after="0" w:line="179" w:lineRule="exact"/>
        <w:rPr>
          <w:rFonts w:ascii="Times New Roman" w:cs="Times New Roman" w:eastAsia="Times New Roman" w:hAnsi="Times New Roman"/>
          <w:sz w:val="18"/>
          <w:szCs w:val="18"/>
          <w:color w:val="auto"/>
        </w:rPr>
      </w:pPr>
    </w:p>
    <w:p>
      <w:pPr>
        <w:ind w:left="752" w:right="20" w:firstLine="745"/>
        <w:spacing w:after="0" w:line="282" w:lineRule="auto"/>
        <w:tabs>
          <w:tab w:leader="none" w:pos="2024"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and all Buyers shall have received the Pledge Agreement, duly executed by the Company and New Subsidiary SPV in form, scope and substance acceptable to the Collateral Agent and each Buyer.</w:t>
      </w:r>
    </w:p>
    <w:p>
      <w:pPr>
        <w:spacing w:after="0" w:line="161" w:lineRule="exact"/>
        <w:rPr>
          <w:rFonts w:ascii="Times New Roman" w:cs="Times New Roman" w:eastAsia="Times New Roman" w:hAnsi="Times New Roman"/>
          <w:sz w:val="18"/>
          <w:szCs w:val="18"/>
          <w:color w:val="auto"/>
        </w:rPr>
      </w:pPr>
    </w:p>
    <w:p>
      <w:pPr>
        <w:jc w:val="both"/>
        <w:ind w:left="752" w:firstLine="745"/>
        <w:spacing w:after="0" w:line="258" w:lineRule="auto"/>
        <w:tabs>
          <w:tab w:leader="none" w:pos="22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and all Buyers shall have received the Bitcoin Escrow Account Control Agreement with respect to the Bitcoin Escrow Account and the Cash Account Control Agreement with respect to the Cash Account, each in form and substance satisfactory to each of the Buyers and the Collateral Agent, duly executed by the New Subsidiary SPV and such bank or financial institution, which Bitcoin Escrow Account shall not permit the New Subsidiary SPV to withdraw any funds except as permitted under the Notes and the Pledge Agreement.</w:t>
      </w:r>
    </w:p>
    <w:p>
      <w:pPr>
        <w:spacing w:after="0" w:line="183" w:lineRule="exact"/>
        <w:rPr>
          <w:rFonts w:ascii="Times New Roman" w:cs="Times New Roman" w:eastAsia="Times New Roman" w:hAnsi="Times New Roman"/>
          <w:sz w:val="18"/>
          <w:szCs w:val="18"/>
          <w:color w:val="auto"/>
        </w:rPr>
      </w:pPr>
    </w:p>
    <w:p>
      <w:pPr>
        <w:jc w:val="both"/>
        <w:ind w:left="752" w:firstLine="745"/>
        <w:spacing w:after="0" w:line="266" w:lineRule="auto"/>
        <w:tabs>
          <w:tab w:leader="none" w:pos="1849"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Buyers all organizational documents for the New SPV Subsidiary (and the Buyers shall have approved such organizational documents) and a non-consolidation opinion from counsel to the Company with respect to the formation of the New SPV Subsidiary, which opinion shall be addressed to the Collateral Agent and each Buyer.</w:t>
      </w:r>
    </w:p>
    <w:p>
      <w:pPr>
        <w:spacing w:after="0" w:line="175" w:lineRule="exact"/>
        <w:rPr>
          <w:rFonts w:ascii="Times New Roman" w:cs="Times New Roman" w:eastAsia="Times New Roman" w:hAnsi="Times New Roman"/>
          <w:sz w:val="18"/>
          <w:szCs w:val="18"/>
          <w:color w:val="auto"/>
        </w:rPr>
      </w:pPr>
    </w:p>
    <w:p>
      <w:pPr>
        <w:ind w:left="752" w:right="20" w:firstLine="791"/>
        <w:spacing w:after="0" w:line="282" w:lineRule="auto"/>
        <w:tabs>
          <w:tab w:leader="none" w:pos="2220"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Buyers each of the Security Documents, duly executed by the Company, New SPV Subsidiary and each of the Company’s other Subsidiaries, as applicable, in form, scope and substance acceptable to the Buyers.</w:t>
      </w:r>
    </w:p>
    <w:p>
      <w:pPr>
        <w:spacing w:after="0" w:line="161" w:lineRule="exact"/>
        <w:rPr>
          <w:rFonts w:ascii="Times New Roman" w:cs="Times New Roman" w:eastAsia="Times New Roman" w:hAnsi="Times New Roman"/>
          <w:sz w:val="18"/>
          <w:szCs w:val="18"/>
          <w:color w:val="auto"/>
        </w:rPr>
      </w:pPr>
    </w:p>
    <w:p>
      <w:pPr>
        <w:ind w:left="752" w:firstLine="745"/>
        <w:spacing w:after="0" w:line="282" w:lineRule="auto"/>
        <w:tabs>
          <w:tab w:leader="none" w:pos="1905"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have delivered to such Buyer such other documents, instruments or certificates relating to the transactions contemplated by this Agreement as such Buyer or its counsel may reasonably request in good faith.</w:t>
      </w:r>
    </w:p>
    <w:p>
      <w:pPr>
        <w:spacing w:after="0" w:line="161" w:lineRule="exact"/>
        <w:rPr>
          <w:rFonts w:ascii="Times New Roman" w:cs="Times New Roman" w:eastAsia="Times New Roman" w:hAnsi="Times New Roman"/>
          <w:sz w:val="18"/>
          <w:szCs w:val="18"/>
          <w:color w:val="auto"/>
        </w:rPr>
      </w:pPr>
    </w:p>
    <w:p>
      <w:pPr>
        <w:jc w:val="both"/>
        <w:ind w:left="752" w:firstLine="745"/>
        <w:spacing w:after="0" w:line="266" w:lineRule="auto"/>
        <w:tabs>
          <w:tab w:leader="none" w:pos="22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Additional Notes, such purchases shall have been made at the direction of the Lead Buyer, and the Additional Cash Account and Additional Bitcoin Escrow Account shall have been established and the Additional Pledge Agreement shall been delivered duly executed by the relevant parties, in each case, with respect to such Additional Notes.</w:t>
      </w:r>
    </w:p>
    <w:p>
      <w:pPr>
        <w:spacing w:after="0" w:line="175" w:lineRule="exact"/>
        <w:rPr>
          <w:rFonts w:ascii="Times New Roman" w:cs="Times New Roman" w:eastAsia="Times New Roman" w:hAnsi="Times New Roman"/>
          <w:sz w:val="18"/>
          <w:szCs w:val="18"/>
          <w:color w:val="auto"/>
        </w:rPr>
      </w:pPr>
    </w:p>
    <w:p>
      <w:pPr>
        <w:ind w:left="752" w:firstLine="745"/>
        <w:spacing w:after="0" w:line="282" w:lineRule="auto"/>
        <w:tabs>
          <w:tab w:leader="none" w:pos="2011"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Buyers a report summarizing, in form and substance acceptable to the Buyers, any financing statements securing the obligations in any amounts filed in connection with the Company or any of its Subsidiaries.</w:t>
      </w:r>
    </w:p>
    <w:p>
      <w:pPr>
        <w:spacing w:after="0" w:line="157"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LIQUIDATED DAMAGES.</w:t>
      </w:r>
    </w:p>
    <w:p>
      <w:pPr>
        <w:spacing w:after="0" w:line="229" w:lineRule="exact"/>
        <w:rPr>
          <w:rFonts w:ascii="Times New Roman" w:cs="Times New Roman" w:eastAsia="Times New Roman" w:hAnsi="Times New Roman"/>
          <w:sz w:val="18"/>
          <w:szCs w:val="18"/>
          <w:b w:val="1"/>
          <w:bCs w:val="1"/>
          <w:color w:val="auto"/>
        </w:rPr>
      </w:pPr>
    </w:p>
    <w:p>
      <w:pPr>
        <w:ind w:left="-8" w:firstLine="757"/>
        <w:spacing w:after="0" w:line="282" w:lineRule="auto"/>
        <w:tabs>
          <w:tab w:leader="none" w:pos="99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In the event that any Buyer has failed to remit the Purchase Price within two (2) Business Days of all conditions set forth in Section 7 hereof being satisfied, then the Company shall have the right to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993140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its obligations under this Agreement (only with respect to the applicable Buyer) at any time on or after the close of business on such date without liability of the Company to the applicable Buyer. In the event that the Initial Closing shall not have occurred with respect to a Buyer by April 4, 2025, then such Buyer shall have the right to terminate its obligations under this Agreement (for each applicable Buyer, only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Notes shall be applicable only to such Buyer providing such written notice, provided further that no such termination shall affect any obligation of the Company under this Agreement to reimburse such Buyer for the expenses described in Section 4(g)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prior to any valid termination pursuant to this Section 8 with respect to such Party, if applicable. To the extent the Lead Buyer does not close on the Initial Note, the Company is under no obligation to reimburse the Lead Buyer for any expenses described in Section 4(b) above.</w:t>
      </w:r>
    </w:p>
    <w:p>
      <w:pPr>
        <w:spacing w:after="0" w:line="190" w:lineRule="exact"/>
        <w:rPr>
          <w:sz w:val="20"/>
          <w:szCs w:val="20"/>
          <w:color w:val="auto"/>
        </w:rPr>
      </w:pPr>
    </w:p>
    <w:p>
      <w:pPr>
        <w:jc w:val="both"/>
        <w:ind w:firstLine="757"/>
        <w:spacing w:after="0" w:line="258" w:lineRule="auto"/>
        <w:tabs>
          <w:tab w:leader="none" w:pos="101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Unless any Buyer has failed to remit the Purchase Price within two (2) Business Days of all conditions set forth in Section 7 hereof being satisfied, the Lead Buyer shall maintain the Commitment Securities Right until the Additional Closing Expiration Date without regard to any termination of this Agreement or any Event of Default under the Notes. To the extent the Company refuses to sell any Additional Note, the Lead Buyer shall be entitled to receive the Commitment Securities excluding the Note and Additional Notes, as liquidated damages, without paying any Purchase Price or subject to Note conversion requirements, subject to the payment of the Nominal Value of the Commitment Shares.</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52" w:lineRule="auto"/>
        <w:tabs>
          <w:tab w:leader="none" w:pos="103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All questions concerning the construction, validity, enforcement and interpretation of this Agreement shall be governed by the internal laws of the State of New York, without giving effect to any choice of law or conflict of law provision (other than Sections 5-1401 and 5-1402 of the New York General Obligations Law)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Times New Roman" w:cs="Times New Roman" w:eastAsia="Times New Roman" w:hAnsi="Times New Roman"/>
          <w:sz w:val="18"/>
          <w:szCs w:val="18"/>
          <w:b w:val="1"/>
          <w:bCs w:val="1"/>
          <w:color w:val="auto"/>
        </w:rPr>
        <w:t>EACH PARTY HEREBY</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 EACH PARTY HERETO (A) CERTIFIES THAT NO REPRESENTATIVE, AGENT OR ATTORNEY OF ANY OTHER PARTY HAS REPRESENTED, EXPRESSLY OR OTHERWISE, THAT SUCH OTHER PARTY WOULD NOT, IN THE EVENT OF LITIGATION, SEEK TO ENFORCE THE FOREGOING WAIVER OF A JURY TRIAL AND (B) ACKNOWLEDGES THAT IT AND THE OTHER PARTIES HERETO HAVE BEEN INDUCED TO ENTER INTO THIS AGREEMENT BY, AMONG OTHER THINGS, THE MUTUAL WAIVERS AND CERTIFICATIONS IN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line="86" w:lineRule="exact"/>
        <w:rPr>
          <w:sz w:val="20"/>
          <w:szCs w:val="20"/>
          <w:color w:val="auto"/>
        </w:rPr>
      </w:pPr>
    </w:p>
    <w:p>
      <w:pPr>
        <w:jc w:val="both"/>
        <w:ind w:left="-757" w:firstLine="757"/>
        <w:spacing w:after="0" w:line="255" w:lineRule="auto"/>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8" w:lineRule="exact"/>
        <w:rPr>
          <w:rFonts w:ascii="Times New Roman" w:cs="Times New Roman" w:eastAsia="Times New Roman" w:hAnsi="Times New Roman"/>
          <w:sz w:val="18"/>
          <w:szCs w:val="18"/>
          <w:color w:val="auto"/>
        </w:rPr>
      </w:pPr>
    </w:p>
    <w:p>
      <w:pPr>
        <w:jc w:val="both"/>
        <w:ind w:left="-757" w:firstLine="757"/>
        <w:spacing w:after="0" w:line="258" w:lineRule="auto"/>
        <w:tabs>
          <w:tab w:leader="none" w:pos="2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rFonts w:ascii="Times New Roman" w:cs="Times New Roman" w:eastAsia="Times New Roman" w:hAnsi="Times New Roman"/>
          <w:sz w:val="18"/>
          <w:szCs w:val="18"/>
          <w:color w:val="auto"/>
        </w:rPr>
      </w:pPr>
    </w:p>
    <w:p>
      <w:pPr>
        <w:jc w:val="both"/>
        <w:ind w:left="-757" w:firstLine="757"/>
        <w:spacing w:after="0" w:line="252" w:lineRule="auto"/>
        <w:tabs>
          <w:tab w:leader="none" w:pos="2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Maximum Payment Amounts</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189" w:lineRule="exact"/>
        <w:rPr>
          <w:rFonts w:ascii="Times New Roman" w:cs="Times New Roman" w:eastAsia="Times New Roman" w:hAnsi="Times New Roman"/>
          <w:sz w:val="18"/>
          <w:szCs w:val="18"/>
          <w:color w:val="auto"/>
        </w:rPr>
      </w:pPr>
    </w:p>
    <w:p>
      <w:pPr>
        <w:jc w:val="both"/>
        <w:ind w:left="-757" w:firstLine="757"/>
        <w:spacing w:after="0" w:line="253" w:lineRule="auto"/>
        <w:tabs>
          <w:tab w:leader="none" w:pos="2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the other Transaction Documents, the schedules and exhibits attached hereto and thereto and the instruments referenced herein and therein supersede all other prior oral or written agreements between the Buyers, the Company, its Subsidiaries, their affiliates and Persons acting on their behalf,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1013460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39" w:name="page40"/>
    <w:bookmarkEnd w:id="39"/>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prior to the date hereof, and all such agreements and instruments shall continue in full force and effect or (iii) have any effect on, or waive, alter, modify or amend in any respect, any agreements by and between any of the Buyers or by and among any group of Buyers as it relates to the transactions contemplated by the Transaction Documents.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(as defined below), and any amendment to any provision of this Agreement made in conformity with the provisions of this Section 9(e) shall be binding on all Buyers and holders of Securities, as applicable; provided that no such amendment shall be effective to the extent that it (A) applies to less than all of the holders of the Securities then outstanding or (B) imposes any obligation or liability on any Buyer without such Buyer’s prior written consent (which may be granted or withheld in such Buyer’s sole discretion).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Buyer without such Buyer’s prior written consent (which may be granted or withheld in such Buyer’s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all holders of the Notes. From the date hereof and while any Notes are outstanding, the Company shall not be permitted to receive any consideration from a Buyer or a holder of Notes that is not otherwise contemplated by the Transaction Documents in order to, directly or indirectly, induce the Company or any Subsidiary</w:t>
      </w:r>
    </w:p>
    <w:p>
      <w:pPr>
        <w:spacing w:after="0" w:line="10" w:lineRule="exact"/>
        <w:rPr>
          <w:sz w:val="20"/>
          <w:szCs w:val="20"/>
          <w:color w:val="auto"/>
        </w:rPr>
      </w:pPr>
    </w:p>
    <w:p>
      <w:pPr>
        <w:jc w:val="both"/>
        <w:ind w:firstLine="8"/>
        <w:spacing w:after="0" w:line="251" w:lineRule="auto"/>
        <w:tabs>
          <w:tab w:leader="none" w:pos="2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treat such Buyer or holder of Notes in a manner that is more favorable than to other similarly situated Buyers or holders of Notes, or (ii) to treat any Buyer(s) or holder(s) of Notes in a manner that is less favorable than the Buyer or holder of Notes that is paying such consideration; provided, however, that the determination of whether a Buyer has been treated more or less favorably than another Buyer shall disregard any securities of the Company purchased or sold by any Buyer.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(I) prior to the Initial Closing, all Buyers entitled to purchase Notes at the Initial Closing and (II) following the Initial Closing, holders of a majority of the outstanding principal amount of Notes as of such time, or if no Notes are outstanding at such time, a majority of the Underlying Securities, which majority shall include all holders of Notes having an aggregate principal amount of $25,000,000 or more as of such time (excluding any Underlying Securities held by the Company or any of its Subsidiaries as of such time) issued or issuable hereunder or pursuant to the Notes.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jc w:val="both"/>
        <w:ind w:firstLine="757"/>
        <w:spacing w:after="0" w:line="255" w:lineRule="auto"/>
        <w:tabs>
          <w:tab w:leader="none" w:pos="97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addresses, facsimile numbers and e-mail addresses for such communications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ind w:left="22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5 New Street Square, London EC4A 3TW</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Attention: Dan Wagner and Raymond McKeeve</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1201 West Peachtree Street</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Suite 2900</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Attn: Gerry L. Williams</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Email: gerry.williams@us.dlapiper.com</w:t>
      </w:r>
    </w:p>
    <w:p>
      <w:pPr>
        <w:spacing w:after="0" w:line="200" w:lineRule="exact"/>
        <w:rPr>
          <w:sz w:val="20"/>
          <w:szCs w:val="20"/>
          <w:color w:val="auto"/>
        </w:rPr>
      </w:pPr>
    </w:p>
    <w:p>
      <w:pPr>
        <w:spacing w:after="0" w:line="2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150 Royal Street</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Attn: Client Services</w:t>
      </w:r>
    </w:p>
    <w:p>
      <w:pPr>
        <w:spacing w:after="0" w:line="207" w:lineRule="exact"/>
        <w:rPr>
          <w:sz w:val="20"/>
          <w:szCs w:val="20"/>
          <w:color w:val="auto"/>
        </w:rPr>
      </w:pPr>
    </w:p>
    <w:p>
      <w:pPr>
        <w:ind w:left="2260" w:right="240"/>
        <w:spacing w:after="0" w:line="266" w:lineRule="auto"/>
        <w:rPr>
          <w:sz w:val="20"/>
          <w:szCs w:val="20"/>
          <w:color w:val="auto"/>
        </w:rPr>
      </w:pPr>
      <w:r>
        <w:rPr>
          <w:rFonts w:ascii="Times New Roman" w:cs="Times New Roman" w:eastAsia="Times New Roman" w:hAnsi="Times New Roman"/>
          <w:sz w:val="18"/>
          <w:szCs w:val="18"/>
          <w:color w:val="auto"/>
        </w:rPr>
        <w:t>If to a Buyer, to its address, e-mail address and facsimile number set forth on the Schedule of Buyers, with copies to such Buyer’s representatives as set forth on the Schedule of Buyers, which copies to such Buyer’s representatives shall not constitute notice.</w:t>
      </w:r>
    </w:p>
    <w:p>
      <w:pPr>
        <w:spacing w:after="0" w:line="1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to such other address, e-mail address and/or facsimile number and/or to the attention of such other Person as the recipient Party has specified by written notice given to each other Party five (5) days prior to the effectiveness of such change, provided that Loeb &amp; Loeb LLP shall only be provided copies of notices sent to the Lead Buyer. Written confirmation of receipt (A) given by the recipient of such notice, consent, waiver or other communication, (B) mechanically or electronically generated by the sender’s facsimile machine or e-mail containing the time, date, recipient facsimile number and, with respect to each facsimile transmission,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187" w:lineRule="exact"/>
        <w:rPr>
          <w:sz w:val="20"/>
          <w:szCs w:val="20"/>
          <w:color w:val="auto"/>
        </w:rPr>
      </w:pPr>
    </w:p>
    <w:p>
      <w:pPr>
        <w:jc w:val="both"/>
        <w:ind w:firstLine="757"/>
        <w:spacing w:after="0" w:line="258" w:lineRule="auto"/>
        <w:tabs>
          <w:tab w:leader="none" w:pos="101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Notes. The Company shall not assign this Agreement or any rights or obligations hereunder without the prior written consent of the Required Holders, including, without limitation, by way of a Fundamental Transaction(as defined in the Notes) (unless the Company is in compliance with the applicable provisions governing Fundamental Transactions set forth in the Notes). A Buyer may assign some or all of its rights hereunder in connection with any transfer of any of its Securities without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the Company, in which event such assignee shall be deemed to be a Buyer hereunder with respect to such assigned rights.</w:t>
      </w:r>
    </w:p>
    <w:p>
      <w:pPr>
        <w:spacing w:after="0" w:line="225" w:lineRule="exact"/>
        <w:rPr>
          <w:sz w:val="20"/>
          <w:szCs w:val="20"/>
          <w:color w:val="auto"/>
        </w:rPr>
      </w:pPr>
    </w:p>
    <w:p>
      <w:pPr>
        <w:ind w:firstLine="757"/>
        <w:spacing w:after="0" w:line="282" w:lineRule="auto"/>
        <w:tabs>
          <w:tab w:leader="none" w:pos="10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and their respective permitted successors and assigns, and is not for the benefit of, nor may any provision hereof be enforced by, any other Person, other than the Indemnitees referred to in Section 9(k).</w:t>
      </w:r>
    </w:p>
    <w:p>
      <w:pPr>
        <w:spacing w:after="0" w:line="161" w:lineRule="exact"/>
        <w:rPr>
          <w:rFonts w:ascii="Times New Roman" w:cs="Times New Roman" w:eastAsia="Times New Roman" w:hAnsi="Times New Roman"/>
          <w:sz w:val="18"/>
          <w:szCs w:val="18"/>
          <w:color w:val="auto"/>
        </w:rPr>
      </w:pPr>
    </w:p>
    <w:p>
      <w:pPr>
        <w:jc w:val="both"/>
        <w:ind w:firstLine="757"/>
        <w:spacing w:after="0" w:line="255" w:lineRule="auto"/>
        <w:tabs>
          <w:tab w:leader="none" w:pos="9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agreements and covenants contained herein shall survive each applicable Closing Date until the end of the Reporting Period except with to the Company’s and the Guarantors’ indemnification obligations, all of which shall survive the end of the Reporting Period and any termination of this Agreement. Each Buyer shall be responsible only for its own representations, warranties, agreements and covenants hereunder. For the avoidance of doubt, the covenants contained herein of the Company and its Subsidiaries (including the New SPV Subsidiary) owed to any Buyer under this Agreement or any Note, including any guarantee obligation, shall survive with respect to each Buyer until the date on which such Buyer’s Note(s) are no longer outstanding for any reason, except with respect to the Company’s and the Guarantors’ indemnification obligations, all of which shall survive any extinguishment of the Notes and any termination of this Agreement.</w:t>
      </w:r>
    </w:p>
    <w:p>
      <w:pPr>
        <w:spacing w:after="0" w:line="188" w:lineRule="exact"/>
        <w:rPr>
          <w:rFonts w:ascii="Times New Roman" w:cs="Times New Roman" w:eastAsia="Times New Roman" w:hAnsi="Times New Roman"/>
          <w:sz w:val="18"/>
          <w:szCs w:val="18"/>
          <w:color w:val="auto"/>
        </w:rPr>
      </w:pPr>
    </w:p>
    <w:p>
      <w:pPr>
        <w:jc w:val="both"/>
        <w:ind w:firstLine="757"/>
        <w:spacing w:after="0" w:line="266" w:lineRule="auto"/>
        <w:tabs>
          <w:tab w:leader="none" w:pos="9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jc w:val="both"/>
        <w:ind w:firstLine="757"/>
        <w:spacing w:after="0" w:line="251" w:lineRule="auto"/>
        <w:tabs>
          <w:tab w:leader="none" w:pos="10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shareholders,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such Buyer pursuant to Section 4(i),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 provided that such indemnity shall not, as to any Indemnitee, be available to the extent that such Indemnified Liabilities resulted from (w) the gross negligence, bad faith or willful misconduct of such Indemnitee or of any of its controlled Affiliates or their respective directors, officers, employees, partners, or authorized agents acting at their direction and on their behalf, as determined by a final non-appealable judgment of a court of competent jurisdiction, (x) a material breach of any obligations under any Transaction Document by such Indemnitee or of any of its controlled Affiliates or their respective directors, officers, employees, partners, or authorized agents acting at their direction and on their behalf, as determined by a final non-appealable judgment of a court of competent jurisdiction or (y) any dispute solely among Indemnitees other than any claims against an Indemnitee in its capacity or in fulfilling its role as Collateral Agent or any similar role hereunder.</w:t>
      </w:r>
    </w:p>
    <w:p>
      <w:pPr>
        <w:spacing w:after="0" w:line="205" w:lineRule="exact"/>
        <w:rPr>
          <w:sz w:val="20"/>
          <w:szCs w:val="20"/>
          <w:color w:val="auto"/>
        </w:rPr>
      </w:pPr>
    </w:p>
    <w:p>
      <w:pPr>
        <w:ind w:firstLine="757"/>
        <w:spacing w:after="0" w:line="282" w:lineRule="auto"/>
        <w:tabs>
          <w:tab w:leader="none" w:pos="9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Indemnitee under this Section 9(k) of notice of the commencement of any action or proceeding (including any governmental action or proceeding) involving an Indemnified Liability,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Indemnitee shall, if a claim in respect thereof is to be made against the Company under this Section 9(k), promptly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9(k), except to the extent that the Company is materially and adversely prejudiced in its ability to defend such action.</w:t>
      </w:r>
    </w:p>
    <w:p>
      <w:pPr>
        <w:spacing w:after="0" w:line="206" w:lineRule="exact"/>
        <w:rPr>
          <w:sz w:val="20"/>
          <w:szCs w:val="20"/>
          <w:color w:val="auto"/>
        </w:rPr>
      </w:pPr>
    </w:p>
    <w:p>
      <w:pPr>
        <w:ind w:left="760" w:right="20" w:firstLine="745"/>
        <w:spacing w:after="0" w:line="282" w:lineRule="auto"/>
        <w:tabs>
          <w:tab w:leader="none" w:pos="178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9(k) shall be made by periodic payments of the amount thereof during the course of the investigation or defense, within ten (10) days after bills are received or Indemnified Liabilities are incurred.</w:t>
      </w:r>
    </w:p>
    <w:p>
      <w:pPr>
        <w:spacing w:after="0" w:line="161" w:lineRule="exact"/>
        <w:rPr>
          <w:rFonts w:ascii="Times New Roman" w:cs="Times New Roman" w:eastAsia="Times New Roman" w:hAnsi="Times New Roman"/>
          <w:sz w:val="18"/>
          <w:szCs w:val="18"/>
          <w:color w:val="auto"/>
        </w:rPr>
      </w:pPr>
    </w:p>
    <w:p>
      <w:pPr>
        <w:ind w:left="760" w:right="20" w:firstLine="745"/>
        <w:spacing w:after="0" w:line="282" w:lineRule="auto"/>
        <w:tabs>
          <w:tab w:leader="none" w:pos="182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 contained herein shall be in addition to (A) any cause of action or similar right of the Indemnitee against the Company or others, and (B) any liabilities the Company may be subject to pursuant to the law.</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obligations of the Company hereunder shall survive the termination of this Agreement.</w:t>
      </w:r>
    </w:p>
    <w:p>
      <w:pPr>
        <w:spacing w:after="0" w:line="225" w:lineRule="exact"/>
        <w:rPr>
          <w:rFonts w:ascii="Times New Roman" w:cs="Times New Roman" w:eastAsia="Times New Roman" w:hAnsi="Times New Roman"/>
          <w:sz w:val="18"/>
          <w:szCs w:val="18"/>
          <w:color w:val="auto"/>
        </w:rPr>
      </w:pPr>
    </w:p>
    <w:p>
      <w:pPr>
        <w:jc w:val="both"/>
        <w:ind w:firstLine="757"/>
        <w:spacing w:after="0" w:line="254" w:lineRule="auto"/>
        <w:tabs>
          <w:tab w:leader="none" w:pos="9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Ordinary Shares and any other numbers in this Agreement that relate to the Ordinary Shares shall be automatically adjusted for any share splits, share dividends, share combinations, recapitalizations or other similar transactions that occur with respect to the Ordinary Shares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or any Subsidiary (as the case may be) in order for such Buyer (or its broker or other financial representative) to effect short sales or similar transactions in the future.</w:t>
      </w:r>
    </w:p>
    <w:p>
      <w:pPr>
        <w:spacing w:after="0" w:line="191" w:lineRule="exact"/>
        <w:rPr>
          <w:rFonts w:ascii="Times New Roman" w:cs="Times New Roman" w:eastAsia="Times New Roman" w:hAnsi="Times New Roman"/>
          <w:sz w:val="18"/>
          <w:szCs w:val="18"/>
          <w:color w:val="auto"/>
        </w:rPr>
      </w:pPr>
    </w:p>
    <w:p>
      <w:pPr>
        <w:jc w:val="both"/>
        <w:ind w:right="20" w:firstLine="757"/>
        <w:spacing w:after="0" w:line="266" w:lineRule="auto"/>
        <w:tabs>
          <w:tab w:leader="none" w:pos="10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inadequate relief to the Buyers. The Company therefore agrees that the Buyers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88" w:lineRule="exact"/>
        <w:rPr>
          <w:sz w:val="20"/>
          <w:szCs w:val="20"/>
          <w:color w:val="auto"/>
        </w:rPr>
      </w:pPr>
    </w:p>
    <w:p>
      <w:pPr>
        <w:jc w:val="both"/>
        <w:ind w:firstLine="757"/>
        <w:spacing w:after="0" w:line="258" w:lineRule="auto"/>
        <w:tabs>
          <w:tab w:leader="none" w:pos="10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3" w:lineRule="exact"/>
        <w:rPr>
          <w:rFonts w:ascii="Times New Roman" w:cs="Times New Roman" w:eastAsia="Times New Roman" w:hAnsi="Times New Roman"/>
          <w:sz w:val="18"/>
          <w:szCs w:val="18"/>
          <w:color w:val="auto"/>
        </w:rPr>
      </w:pPr>
    </w:p>
    <w:p>
      <w:pPr>
        <w:jc w:val="both"/>
        <w:ind w:firstLine="757"/>
        <w:spacing w:after="0" w:line="253" w:lineRule="auto"/>
        <w:tabs>
          <w:tab w:leader="none" w:pos="100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Set Aside; Currency</w:t>
      </w:r>
      <w:r>
        <w:rPr>
          <w:rFonts w:ascii="Times New Roman" w:cs="Times New Roman" w:eastAsia="Times New Roman" w:hAnsi="Times New Roman"/>
          <w:sz w:val="18"/>
          <w:szCs w:val="18"/>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or any Subsidiary (as the case may be),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Agreement, the U.S. Dollar exchange rate as published in the Wall Street Journal on the relevant date of calculation.</w:t>
      </w:r>
    </w:p>
    <w:p>
      <w:pPr>
        <w:spacing w:after="0" w:line="18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firstLine="745"/>
        <w:spacing w:after="0" w:line="261" w:lineRule="auto"/>
        <w:tabs>
          <w:tab w:leader="none" w:pos="172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or enforcing judgment against the Company or any Subsidiary in connection with this Agreement or any other Transaction Document in any court in any jurisdiction it becomes necessary to convert into any other currency (such other currency being hereinafter in this Section 9(p)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Agreement, the conversion shall be made at the Exchange Rate prevailing on the Trading Day immediately preceding:</w:t>
      </w:r>
    </w:p>
    <w:p>
      <w:pPr>
        <w:spacing w:after="0" w:line="179" w:lineRule="exact"/>
        <w:rPr>
          <w:rFonts w:ascii="Times New Roman" w:cs="Times New Roman" w:eastAsia="Times New Roman" w:hAnsi="Times New Roman"/>
          <w:sz w:val="18"/>
          <w:szCs w:val="18"/>
          <w:color w:val="auto"/>
        </w:rPr>
      </w:pPr>
    </w:p>
    <w:p>
      <w:pPr>
        <w:ind w:left="1500" w:firstLine="1503"/>
        <w:spacing w:after="0" w:line="282" w:lineRule="auto"/>
        <w:tabs>
          <w:tab w:leader="none" w:pos="32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actual payment of the amount due, in the case of any proceeding in the courts of New York or in the courts of any other jurisdiction that will give effect to such conversion being made on such date: or</w:t>
      </w:r>
    </w:p>
    <w:p>
      <w:pPr>
        <w:spacing w:after="0" w:line="161" w:lineRule="exact"/>
        <w:rPr>
          <w:rFonts w:ascii="Times New Roman" w:cs="Times New Roman" w:eastAsia="Times New Roman" w:hAnsi="Times New Roman"/>
          <w:sz w:val="18"/>
          <w:szCs w:val="18"/>
          <w:color w:val="auto"/>
        </w:rPr>
      </w:pPr>
    </w:p>
    <w:p>
      <w:pPr>
        <w:jc w:val="both"/>
        <w:ind w:left="1500" w:firstLine="1503"/>
        <w:spacing w:after="0" w:line="266" w:lineRule="auto"/>
        <w:tabs>
          <w:tab w:leader="none" w:pos="3282"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foreign court determines, in the case of any proceeding in the courts of any other jurisdiction (the date as of which such conversion is made pursuant to this Section 9(p)(i)(2) being hereinafter referred to as the “</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760" w:firstLine="745"/>
        <w:spacing w:after="0" w:line="261" w:lineRule="auto"/>
        <w:tabs>
          <w:tab w:leader="none" w:pos="179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proceeding in the court of any jurisdiction referred to in Section 9(p)(i)(2)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ind w:left="760"/>
        <w:spacing w:after="0" w:line="282" w:lineRule="auto"/>
        <w:rPr>
          <w:sz w:val="20"/>
          <w:szCs w:val="20"/>
          <w:color w:val="auto"/>
        </w:rPr>
      </w:pPr>
      <w:r>
        <w:rPr>
          <w:rFonts w:ascii="Times New Roman" w:cs="Times New Roman" w:eastAsia="Times New Roman" w:hAnsi="Times New Roman"/>
          <w:sz w:val="18"/>
          <w:szCs w:val="18"/>
          <w:color w:val="auto"/>
        </w:rPr>
        <w:t>with the amount of Judgment Currency stipulated in the judgment or judicial order at the Exchange Rate prevailing on the Judgment Conversion Date.</w:t>
      </w:r>
    </w:p>
    <w:p>
      <w:pPr>
        <w:spacing w:after="0" w:line="162" w:lineRule="exact"/>
        <w:rPr>
          <w:sz w:val="20"/>
          <w:szCs w:val="20"/>
          <w:color w:val="auto"/>
        </w:rPr>
      </w:pPr>
    </w:p>
    <w:p>
      <w:pPr>
        <w:jc w:val="both"/>
        <w:ind w:left="760" w:firstLine="745"/>
        <w:spacing w:after="0" w:line="266" w:lineRule="auto"/>
        <w:tabs>
          <w:tab w:leader="none" w:pos="18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the Company or any Subsidiary (as the case may be) under this provision shall be due as a separate debt and shall not be affected by judgment being obtained for any other amounts due under or in respect of this Agreement or any other Transaction Document.</w:t>
      </w:r>
    </w:p>
    <w:p>
      <w:pPr>
        <w:spacing w:after="0" w:line="175" w:lineRule="exact"/>
        <w:rPr>
          <w:rFonts w:ascii="Times New Roman" w:cs="Times New Roman" w:eastAsia="Times New Roman" w:hAnsi="Times New Roman"/>
          <w:sz w:val="18"/>
          <w:szCs w:val="18"/>
          <w:color w:val="auto"/>
        </w:rPr>
      </w:pPr>
    </w:p>
    <w:p>
      <w:pPr>
        <w:jc w:val="both"/>
        <w:ind w:firstLine="757"/>
        <w:spacing w:after="0" w:line="252" w:lineRule="auto"/>
        <w:tabs>
          <w:tab w:leader="none" w:pos="10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Buyers’ Obligations and Rights</w:t>
      </w:r>
      <w:r>
        <w:rPr>
          <w:rFonts w:ascii="Times New Roman" w:cs="Times New Roman" w:eastAsia="Times New Roman" w:hAnsi="Times New Roman"/>
          <w:sz w:val="18"/>
          <w:szCs w:val="18"/>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and any Subsidiary thereof (as the case may be) acknowledges that the Buyers do not so constitute, a partnership, an association, a joint venture or any other kind of group or entity, or create a presumption that the Buyers are in any way acting in concert or as a group or entity, and the Company and any Subsidiary shall not assert any such claim with respect to such obligations or the transactions contemplated by the Transaction Documents or any matters, and the Company and any Subsidiary thereof (as the case may be) acknowledges that the Buyers are not acting in concert or as a group, and the Company and any Subsidiary thereof (as the case may be)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spacing w:after="0" w:line="82"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800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008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1227455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82"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80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8008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82"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Its:</w:t>
      </w:r>
    </w:p>
    <w:p>
      <w:pPr>
        <w:spacing w:after="0" w:line="2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OF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1403350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ind w:left="40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884555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1" w:name="page52"/>
    <w:bookmarkEnd w:id="51"/>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884555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ind w:left="9960"/>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SECURED CONVERTIBLE NOTE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3(c)(iii) AND 18(a)HEREOF. THE PRINCIPAL AMOUNT REPRESENTED BY THIS NOTE AND, ACCORDINGLY, THE SECURITIES ISSUABLE UPON CONVERSION HEREOF MAY BE LESS THAN THE AMOUNTS SET FORTH ON THE FACE HEREOF PURSUANT TO SECTION 3(c)(iii) OF THIS NOTE.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ezolve</w:t>
      </w:r>
      <w:r>
        <w:rPr>
          <w:rFonts w:ascii="Times New Roman" w:cs="Times New Roman" w:eastAsia="Times New Roman" w:hAnsi="Times New Roman"/>
          <w:sz w:val="18"/>
          <w:szCs w:val="18"/>
          <w:b w:val="1"/>
          <w:bCs w:val="1"/>
          <w:color w:val="auto"/>
        </w:rPr>
        <w:t xml:space="preserve"> AI L</w:t>
      </w:r>
      <w:r>
        <w:rPr>
          <w:rFonts w:ascii="Times New Roman" w:cs="Times New Roman" w:eastAsia="Times New Roman" w:hAnsi="Times New Roman"/>
          <w:sz w:val="12"/>
          <w:szCs w:val="12"/>
          <w:b w:val="1"/>
          <w:bCs w:val="1"/>
          <w:color w:val="auto"/>
        </w:rPr>
        <w:t>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w:t>
      </w:r>
    </w:p>
    <w:p>
      <w:pPr>
        <w:spacing w:after="0" w:line="229"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Issuance Date: [●], 202[●]</w:t>
      </w:r>
      <w:r>
        <w:rPr>
          <w:sz w:val="20"/>
          <w:szCs w:val="20"/>
          <w:color w:val="auto"/>
        </w:rPr>
        <w:tab/>
      </w:r>
      <w:r>
        <w:rPr>
          <w:rFonts w:ascii="Times New Roman" w:cs="Times New Roman" w:eastAsia="Times New Roman" w:hAnsi="Times New Roman"/>
          <w:sz w:val="17"/>
          <w:szCs w:val="17"/>
          <w:color w:val="auto"/>
        </w:rPr>
        <w:t>Original Principal Amount: U.S. $[●]</w:t>
      </w:r>
    </w:p>
    <w:p>
      <w:pPr>
        <w:spacing w:after="0" w:line="22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Rezolve AI Limited, a private limited company incorporated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promises to pay to the order of [HOLDER] or its 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amount set forth above as the Original Principal Amount (as reduced pursuant to the terms hereof pursuant to conversion or otherwise,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when due, whether upon the Maturity Date, or upon acceleration or otherwise (in each case in accordance with the terms hereof) and, if an Event of Default has occurred and is continuing, to pay interest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on any outstanding Principal then held in the Cash Account at the applicable Interest Rate (as defined herein) or Default Rate (as defined herein), as applicable, when the same becomes due and payable as provided herein. This Secured Convertible Note (including all Secured Convertible Notes issued in exchange, transfer or replacement hereof,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one of an issue of Secured Convertible Notes issued pursuant to the Securities Purchase Agreement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dated as of [ ● ], 2025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such other Secured Convertible Notes,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Certain capitalized terms used herein are defined in Section 31.</w:t>
      </w:r>
    </w:p>
    <w:p>
      <w:pPr>
        <w:spacing w:after="0" w:line="189" w:lineRule="exact"/>
        <w:rPr>
          <w:sz w:val="20"/>
          <w:szCs w:val="20"/>
          <w:color w:val="auto"/>
        </w:rPr>
      </w:pPr>
    </w:p>
    <w:p>
      <w:pPr>
        <w:jc w:val="both"/>
        <w:ind w:firstLine="757"/>
        <w:spacing w:after="0" w:line="254" w:lineRule="auto"/>
        <w:tabs>
          <w:tab w:leader="none" w:pos="94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OF PRINCIPAL</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accrued and unpaid Late Charges (as defined in Section 24(c)) on such Principal and Interest, up to an amount equal to the Holder’s pro rata share of the assets held by the special purpose entity of the Company (the “</w:t>
      </w:r>
      <w:r>
        <w:rPr>
          <w:rFonts w:ascii="Times New Roman" w:cs="Times New Roman" w:eastAsia="Times New Roman" w:hAnsi="Times New Roman"/>
          <w:sz w:val="18"/>
          <w:szCs w:val="18"/>
          <w:b w:val="1"/>
          <w:bCs w:val="1"/>
          <w:color w:val="auto"/>
        </w:rPr>
        <w:t>New SPV Subsidiary</w:t>
      </w:r>
      <w:r>
        <w:rPr>
          <w:rFonts w:ascii="Times New Roman" w:cs="Times New Roman" w:eastAsia="Times New Roman" w:hAnsi="Times New Roman"/>
          <w:sz w:val="18"/>
          <w:szCs w:val="18"/>
          <w:color w:val="auto"/>
        </w:rPr>
        <w:t>”) which owns the cash held in the Cash Account and the proceeds from liquidation of the Bitcoin Escrow Account (the “</w:t>
      </w:r>
      <w:r>
        <w:rPr>
          <w:rFonts w:ascii="Times New Roman" w:cs="Times New Roman" w:eastAsia="Times New Roman" w:hAnsi="Times New Roman"/>
          <w:sz w:val="18"/>
          <w:szCs w:val="18"/>
          <w:b w:val="1"/>
          <w:bCs w:val="1"/>
          <w:color w:val="auto"/>
        </w:rPr>
        <w:t>Maximum Repayment Amount</w:t>
      </w:r>
      <w:r>
        <w:rPr>
          <w:rFonts w:ascii="Times New Roman" w:cs="Times New Roman" w:eastAsia="Times New Roman" w:hAnsi="Times New Roman"/>
          <w:sz w:val="18"/>
          <w:szCs w:val="18"/>
          <w:color w:val="auto"/>
        </w:rPr>
        <w:t>”), except that, automatically and without any notice required hereunder, immediately upon the first occurrence of any Major Event of Default the Company shall pay to the Holder in cash all Principal, Interest, and Late Charges without regard to the Maximum Repayment Amount. For the avoidance of doubt, the value of the Bitcoin held in the Bitcoin Escrow Account shall be the fair market value of the Bitcoin held in the Bitcoin Escrow Account on the Maturity Date. The Company may not prepay any portion of the outstanding Principal, accrued and unpaid Interest or accrued and unpaid Late Charges on Principal and Interest, if any.</w:t>
      </w:r>
    </w:p>
    <w:p>
      <w:pPr>
        <w:spacing w:after="0" w:line="191"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DEFAULT RATE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3" w:name="page54"/>
    <w:bookmarkEnd w:id="53"/>
    <w:p>
      <w:pPr>
        <w:jc w:val="both"/>
        <w:ind w:left="-757" w:firstLine="757"/>
        <w:spacing w:after="0" w:line="253" w:lineRule="auto"/>
        <w:tabs>
          <w:tab w:leader="none" w:pos="2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accrue hereunder at the Effective Federal Funds Rate (the “</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unless and until an Event of Default (as defined in Section 4(a)) has occurred. The “</w:t>
      </w:r>
      <w:r>
        <w:rPr>
          <w:rFonts w:ascii="Times New Roman" w:cs="Times New Roman" w:eastAsia="Times New Roman" w:hAnsi="Times New Roman"/>
          <w:sz w:val="18"/>
          <w:szCs w:val="18"/>
          <w:b w:val="1"/>
          <w:bCs w:val="1"/>
          <w:color w:val="auto"/>
        </w:rPr>
        <w:t>Effective Federal Funds Rate</w:t>
      </w:r>
      <w:r>
        <w:rPr>
          <w:rFonts w:ascii="Times New Roman" w:cs="Times New Roman" w:eastAsia="Times New Roman" w:hAnsi="Times New Roman"/>
          <w:sz w:val="18"/>
          <w:szCs w:val="18"/>
          <w:color w:val="auto"/>
        </w:rPr>
        <w:t>” means for any day the rate per annum (based on a year of three hundred sixty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provided 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Note. Interest on this Note shall commence accruing on the Issuance Date at the Effective Federal Funds Rate based on the outstanding Principal amount of this Note and shall be computed on the basis of a 360-day year assuming a 30-day month (i.e. 30/360 basis). For the avoidance of doubt, and notwithstanding anything to the contrary contained herein, any Interest payable hereunder shall be calculated only on the portion of the Principal of this Note held in the Cash Account and under no circumstances, on any portion attributed to amounts held in the Bitcoin Escrow Account.</w:t>
      </w:r>
    </w:p>
    <w:p>
      <w:pPr>
        <w:spacing w:after="0" w:line="191" w:lineRule="exact"/>
        <w:rPr>
          <w:rFonts w:ascii="Times New Roman" w:cs="Times New Roman" w:eastAsia="Times New Roman" w:hAnsi="Times New Roman"/>
          <w:sz w:val="18"/>
          <w:szCs w:val="18"/>
          <w:color w:val="auto"/>
        </w:rPr>
      </w:pPr>
    </w:p>
    <w:p>
      <w:pPr>
        <w:jc w:val="both"/>
        <w:ind w:left="-757" w:firstLine="757"/>
        <w:spacing w:after="0" w:line="253" w:lineRule="auto"/>
        <w:tabs>
          <w:tab w:leader="none" w:pos="26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occurrence and during the continuance of any Event of Default, Interest shall accrue hereunder at a rate equal to the applicable Interest Rate plus five percent (5.0%) per annum (in each case,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and shall be computed on the basis of a 360-day year and twelve 30-day months and shall be payable in arrears on the first Business Day of the calendar month immediately succeeding the month during which an Event of Default has occurred or is continuing, as applicable (a “</w:t>
      </w:r>
      <w:r>
        <w:rPr>
          <w:rFonts w:ascii="Times New Roman" w:cs="Times New Roman" w:eastAsia="Times New Roman" w:hAnsi="Times New Roman"/>
          <w:sz w:val="18"/>
          <w:szCs w:val="18"/>
          <w:b w:val="1"/>
          <w:bCs w:val="1"/>
          <w:color w:val="auto"/>
        </w:rPr>
        <w:t>Default Interest Date</w:t>
      </w:r>
      <w:r>
        <w:rPr>
          <w:rFonts w:ascii="Times New Roman" w:cs="Times New Roman" w:eastAsia="Times New Roman" w:hAnsi="Times New Roman"/>
          <w:sz w:val="18"/>
          <w:szCs w:val="18"/>
          <w:color w:val="auto"/>
        </w:rPr>
        <w:t>”). Accrued and unpaid Interest, if any, shall also be payable as part of the Conversion Amount upon any redemption or conversion hereunder occurring prior to a Default Interest Date. In the event that such Event of Default is subsequently cured or waived in writing by the Holder (and no other Event of Default then exists, including, without limitation, for the Company’s failure to pay such Interest at the Default Rate on the applicable Default Interest Date). Interest shall cease to accrue hereunder as of the calendar day immediately following the date of such cure or waiver; provided that Interest as calculated and unpaid during the continuance of such Event of Default shall continue to apply to the extent relating to the days after the occurrence of such Event of Default through and including the date of such cure or waiver of such Event of Default.</w:t>
      </w:r>
    </w:p>
    <w:p>
      <w:pPr>
        <w:spacing w:after="0" w:line="194" w:lineRule="exact"/>
        <w:rPr>
          <w:rFonts w:ascii="Times New Roman" w:cs="Times New Roman" w:eastAsia="Times New Roman" w:hAnsi="Times New Roman"/>
          <w:sz w:val="18"/>
          <w:szCs w:val="18"/>
          <w:color w:val="auto"/>
        </w:rPr>
      </w:pPr>
    </w:p>
    <w:p>
      <w:pPr>
        <w:jc w:val="both"/>
        <w:ind w:left="-757" w:firstLine="757"/>
        <w:spacing w:after="0" w:line="255" w:lineRule="auto"/>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shall be payable by or on behalf of the Company to the Holder in cash directly from the Cash Account, except as specifically provided in this Note, monthly in arrears on the last day of each calendar month and without any further approval or direction required from the Company to the Trust Agent. An amount equal to $150,000 per annum paid quarterly in cash directly from the Cash Account and only to the extent available from interest earned on the Cash Account, shall be deducted from Interest due to the Holder and instead paid to the Collateral Agent for services performed herein. Should the cash available in the Cash Account be insufficient to pay all Interest when due, interest shall continue to accrue on the Note in accordance with the terms hereof and be payable by or on behalf of the Company to the Holder in cash directly from the Cash Account at such time the Cash Account contains sufficient cash to pay any such Interest.</w:t>
      </w:r>
    </w:p>
    <w:p>
      <w:pPr>
        <w:spacing w:after="0" w:line="188" w:lineRule="exact"/>
        <w:rPr>
          <w:rFonts w:ascii="Times New Roman" w:cs="Times New Roman" w:eastAsia="Times New Roman" w:hAnsi="Times New Roman"/>
          <w:sz w:val="18"/>
          <w:szCs w:val="18"/>
          <w:color w:val="auto"/>
        </w:rPr>
      </w:pPr>
    </w:p>
    <w:p>
      <w:pPr>
        <w:ind w:left="-757" w:right="20" w:firstLine="1505"/>
        <w:spacing w:after="0" w:line="282" w:lineRule="auto"/>
        <w:tabs>
          <w:tab w:leader="none" w:pos="92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NOTES</w:t>
      </w:r>
      <w:r>
        <w:rPr>
          <w:rFonts w:ascii="Times New Roman" w:cs="Times New Roman" w:eastAsia="Times New Roman" w:hAnsi="Times New Roman"/>
          <w:sz w:val="18"/>
          <w:szCs w:val="18"/>
          <w:color w:val="auto"/>
        </w:rPr>
        <w:t>. At any time after the Issuance Date, this Note shall be convertible into validly issued, fully paid and non-assessable Ordinary Shares, on the terms and conditions set forth in this Section 3.</w:t>
      </w:r>
    </w:p>
    <w:p>
      <w:pPr>
        <w:spacing w:after="0" w:line="158" w:lineRule="exact"/>
        <w:rPr>
          <w:sz w:val="20"/>
          <w:szCs w:val="20"/>
          <w:color w:val="auto"/>
        </w:rPr>
      </w:pPr>
    </w:p>
    <w:p>
      <w:pPr>
        <w:jc w:val="both"/>
        <w:ind w:left="3" w:firstLine="745"/>
        <w:spacing w:after="0" w:line="255" w:lineRule="auto"/>
        <w:tabs>
          <w:tab w:leader="none" w:pos="9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provisions of Section 3(d), at any time or times on or after the Issuance Date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Eligibility Date</w:t>
      </w:r>
      <w:r>
        <w:rPr>
          <w:rFonts w:ascii="Times New Roman" w:cs="Times New Roman" w:eastAsia="Times New Roman" w:hAnsi="Times New Roman"/>
          <w:sz w:val="18"/>
          <w:szCs w:val="18"/>
          <w:color w:val="auto"/>
        </w:rPr>
        <w:t>”), the Holder shall be entitled to convert any portion of the outstanding and unpaid Conversion Amount (as defined below)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validly issued, fully paid and non-assessable Ordinary Shares in accordance with Section 3(c), at the Conversion Rate (as defined below), and simultaneous therewith, the applicable Commitment Shares.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transfer, stamp, issuance and similar taxes, costs and expenses (including, without limitation, fees and expenses of the Transfer Agent (as defined below)) that may be payable with respect to the issuance and delivery of Ordinary Shares upon conversion of any Conversion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1010285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54" w:name="page55"/>
    <w:bookmarkEnd w:id="54"/>
    <w:p>
      <w:pPr>
        <w:spacing w:after="0" w:line="86" w:lineRule="exact"/>
        <w:rPr>
          <w:sz w:val="20"/>
          <w:szCs w:val="20"/>
          <w:color w:val="auto"/>
        </w:rPr>
      </w:pPr>
    </w:p>
    <w:p>
      <w:pPr>
        <w:ind w:left="-360" w:right="20" w:firstLine="745"/>
        <w:spacing w:after="0" w:line="282" w:lineRule="auto"/>
        <w:tabs>
          <w:tab w:leader="none" w:pos="6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Ordinary Shares issuable upon conversion of any Conversion Amount pursuant to Section 3(a) shall be determined by dividing (x) such Conversion Amount by (ii)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20" w:firstLine="1114"/>
        <w:spacing w:after="0" w:line="268" w:lineRule="auto"/>
        <w:tabs>
          <w:tab w:leader="none" w:pos="135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(x) the portion of the Principal elected to be converted, redeemed or otherwise with respect to which this determination is being made and (y) all accrued and unpaid Interest with respect to such portion of the Principal amount and accrued and unpaid Late Charges with respect to such portion of the Principal amount and such Interest, if any.</w:t>
      </w:r>
    </w:p>
    <w:p>
      <w:pPr>
        <w:spacing w:after="0" w:line="170" w:lineRule="exact"/>
        <w:rPr>
          <w:rFonts w:ascii="Times New Roman" w:cs="Times New Roman" w:eastAsia="Times New Roman" w:hAnsi="Times New Roman"/>
          <w:sz w:val="18"/>
          <w:szCs w:val="18"/>
          <w:color w:val="auto"/>
        </w:rPr>
      </w:pPr>
    </w:p>
    <w:p>
      <w:pPr>
        <w:jc w:val="both"/>
        <w:ind w:left="20" w:firstLine="1114"/>
        <w:spacing w:after="0" w:line="262" w:lineRule="auto"/>
        <w:tabs>
          <w:tab w:leader="none" w:pos="140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as of any Conversion Date or other date of determination, an amount equal to $3.00, subject to adjustment as provided herein, including without limitation, pursuant to Section 3(b)(iii) below. Notwithstanding anything to the contrary herein, the Conversion Price may (i) only decrease and (ii) any such decrease shall remain in effect for all future purchases of Additional Notes.</w:t>
      </w:r>
    </w:p>
    <w:p>
      <w:pPr>
        <w:spacing w:after="0" w:line="180" w:lineRule="exact"/>
        <w:rPr>
          <w:rFonts w:ascii="Times New Roman" w:cs="Times New Roman" w:eastAsia="Times New Roman" w:hAnsi="Times New Roman"/>
          <w:sz w:val="18"/>
          <w:szCs w:val="18"/>
          <w:color w:val="auto"/>
        </w:rPr>
      </w:pPr>
    </w:p>
    <w:p>
      <w:pPr>
        <w:jc w:val="both"/>
        <w:ind w:left="20" w:firstLine="1114"/>
        <w:spacing w:after="0" w:line="253" w:lineRule="auto"/>
        <w:tabs>
          <w:tab w:leader="none" w:pos="145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 of Conversion Price upon Issuance of Common Stock:</w:t>
      </w:r>
      <w:r>
        <w:rPr>
          <w:rFonts w:ascii="Times New Roman" w:cs="Times New Roman" w:eastAsia="Times New Roman" w:hAnsi="Times New Roman"/>
          <w:sz w:val="18"/>
          <w:szCs w:val="18"/>
          <w:color w:val="auto"/>
        </w:rPr>
        <w:t xml:space="preserve"> If and whenever on or after the Initial Closing Date until the first date on which no Notes are outstanding and no rights of any Buyer to purchase Additional Notes are outstanding, the Company issues or sells, or is deemed to have issued or sold, any Ordinary Shares or other instruments convertible into Ordinary Shares at an Effective Issuance Price Per Ordinary Share (as defined below) less than the then the Conversion Price, other than Ordinary Shares issued in connection with (i) the Company’s long-term incentive plan as approved by the independent directors on the Company’s board of directors (or a duly constituted committee of the board of directors of the Company comprised of a majority of independent directors of the Company), (ii) consideration payable for strategic acquisitions with unaffiliated third parties on arms’ length terms, or (iii) any warrants or other convertible securities outstanding as of the date hereof, the terms of which have not been modified or amended following the date hereof (each such issue, sale, or deemed issuance or sale,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Conversion Price then in effect shall be reduced to an amount equal to the Effective Issuance Price Per Ordinary Share and the Company shall be required to provide the Holder notification within two (2) Business Days following such Dilutive Issuance. For all purposes of calculating the foregoing, including without limitation, the Effective Issuance Price Per Ordinary Share and the Conversion Price:</w:t>
      </w:r>
    </w:p>
    <w:p>
      <w:pPr>
        <w:spacing w:after="0" w:line="1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Issuance Price Per Ordinary Share</w:t>
      </w:r>
      <w:r>
        <w:rPr>
          <w:rFonts w:ascii="Times New Roman" w:cs="Times New Roman" w:eastAsia="Times New Roman" w:hAnsi="Times New Roman"/>
          <w:sz w:val="18"/>
          <w:szCs w:val="18"/>
          <w:color w:val="auto"/>
        </w:rPr>
        <w:t>” means a price per share equal to the lesser of:</w:t>
      </w:r>
    </w:p>
    <w:p>
      <w:pPr>
        <w:spacing w:after="0" w:line="229" w:lineRule="exact"/>
        <w:rPr>
          <w:sz w:val="20"/>
          <w:szCs w:val="20"/>
          <w:color w:val="auto"/>
        </w:rPr>
      </w:pPr>
    </w:p>
    <w:p>
      <w:pPr>
        <w:jc w:val="both"/>
        <w:ind w:left="1540" w:right="120" w:hanging="361"/>
        <w:spacing w:after="0" w:line="255" w:lineRule="auto"/>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aggregate consideration paid for the issuance or sale of all Convertible Securities, Ordinary Shares, or other instruments in the transaction plus the aggregate exercise or conversion price payable upon the exercise of all Options to subscribe for or purchase shares divided by (B) the sum of (i) the aggregate number of Ordinary Shares and Ordinary Shares underlying such securities that have been sold or issued or that may become issuable in the transaction plus (ii) the number of additional Ordinary Shares or Ordinary Shares that become issuable in connection with the transaction in which such Convertible Securities or Ordinary Shares or other instruments are sold.</w:t>
      </w:r>
    </w:p>
    <w:p>
      <w:pPr>
        <w:spacing w:after="0" w:line="188" w:lineRule="exact"/>
        <w:rPr>
          <w:rFonts w:ascii="Times New Roman" w:cs="Times New Roman" w:eastAsia="Times New Roman" w:hAnsi="Times New Roman"/>
          <w:sz w:val="18"/>
          <w:szCs w:val="18"/>
          <w:color w:val="auto"/>
        </w:rPr>
      </w:pPr>
    </w:p>
    <w:p>
      <w:pPr>
        <w:jc w:val="both"/>
        <w:ind w:left="1540" w:right="120" w:hanging="361"/>
        <w:spacing w:after="0" w:line="261" w:lineRule="auto"/>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in any manner grants or sells any Option or Convertible Securities, the lowest price per share for which one Ordinary Share may be purchased. To the extent the Company subsequently decreases the conversion price or price at which an Ordinary Share may be purchased of an existing Option or Convertible Securities, the lowest price per share for which one Ordinary Share may be purchased subsequent to such modification.</w:t>
      </w:r>
    </w:p>
    <w:p>
      <w:pPr>
        <w:spacing w:after="0" w:line="179" w:lineRule="exact"/>
        <w:rPr>
          <w:rFonts w:ascii="Times New Roman" w:cs="Times New Roman" w:eastAsia="Times New Roman" w:hAnsi="Times New Roman"/>
          <w:sz w:val="18"/>
          <w:szCs w:val="18"/>
          <w:color w:val="auto"/>
        </w:rPr>
      </w:pPr>
    </w:p>
    <w:p>
      <w:pPr>
        <w:jc w:val="both"/>
        <w:ind w:left="1540" w:right="120" w:hanging="361"/>
        <w:spacing w:after="0" w:line="266" w:lineRule="auto"/>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Ordinary Shares,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1002030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55" w:name="page56"/>
    <w:bookmarkEnd w:id="55"/>
    <w:p>
      <w:pPr>
        <w:jc w:val="both"/>
        <w:ind w:left="1540" w:right="120"/>
        <w:spacing w:after="0" w:line="253" w:lineRule="auto"/>
        <w:rPr>
          <w:sz w:val="20"/>
          <w:szCs w:val="20"/>
          <w:color w:val="auto"/>
        </w:rPr>
      </w:pPr>
      <w:r>
        <w:rPr>
          <w:rFonts w:ascii="Times New Roman" w:cs="Times New Roman" w:eastAsia="Times New Roman" w:hAnsi="Times New Roman"/>
          <w:sz w:val="18"/>
          <w:szCs w:val="18"/>
          <w:color w:val="auto"/>
        </w:rPr>
        <w:t>consideration received by the Company will be the VWAP of such publicly traded securities on the date of receipt. If any Ordinary Shares,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Ordinary Shares, Options or Convertible Securities, as the case may be. The fair value of any consideration other than cash or publicly traded securities will be determined jointly in good faith by the Company and the Required Holders.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 (5) Business Days after the tenth (10th) day following the Valuation Event by an independent, reputable appraiser jointly selected by the Company and the Required Holders. The determination of such appraiser shall be final and binding upon all parties absent manifest error and the fees and expenses of such appraiser shall be borne by the Company.</w:t>
      </w:r>
    </w:p>
    <w:p>
      <w:pPr>
        <w:spacing w:after="0" w:line="190" w:lineRule="exact"/>
        <w:rPr>
          <w:sz w:val="20"/>
          <w:szCs w:val="20"/>
          <w:color w:val="auto"/>
        </w:rPr>
      </w:pPr>
    </w:p>
    <w:p>
      <w:pPr>
        <w:jc w:val="both"/>
        <w:ind w:left="1540" w:right="120" w:hanging="361"/>
        <w:spacing w:after="0" w:line="256" w:lineRule="auto"/>
        <w:tabs>
          <w:tab w:leader="none" w:pos="154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Option is issued in connection with the issue or sale of other securities of the Company, together comprising one integrated transaction, (x) the Options will be deemed to have been issued for the Option Value of such Options and (y) the other securities issued or sold in such integrated transaction shall be deemed to have been issued or sold for the difference of (I) the aggregate consideration received by the Company less any consideration paid or payable by the Company pursuant to the terms of such other securities of the Company, less (II) the Option Value.</w:t>
      </w:r>
    </w:p>
    <w:p>
      <w:pPr>
        <w:spacing w:after="0" w:line="187" w:lineRule="exact"/>
        <w:rPr>
          <w:rFonts w:ascii="Times New Roman" w:cs="Times New Roman" w:eastAsia="Times New Roman" w:hAnsi="Times New Roman"/>
          <w:sz w:val="18"/>
          <w:szCs w:val="18"/>
          <w:color w:val="auto"/>
        </w:rPr>
      </w:pPr>
    </w:p>
    <w:p>
      <w:pPr>
        <w:jc w:val="both"/>
        <w:ind w:left="1540" w:right="120" w:hanging="361"/>
        <w:spacing w:after="0" w:line="253" w:lineRule="auto"/>
        <w:tabs>
          <w:tab w:leader="none" w:pos="154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Variable Rate Transaction, the lowest price permitted, whether issued or not, under the Variable Rate Transaction. “</w:t>
      </w:r>
      <w:r>
        <w:rPr>
          <w:rFonts w:ascii="Times New Roman" w:cs="Times New Roman" w:eastAsia="Times New Roman" w:hAnsi="Times New Roman"/>
          <w:sz w:val="18"/>
          <w:szCs w:val="18"/>
          <w:b w:val="1"/>
          <w:bCs w:val="1"/>
          <w:color w:val="auto"/>
        </w:rPr>
        <w:t>Variable Rate Transaction</w:t>
      </w:r>
      <w:r>
        <w:rPr>
          <w:rFonts w:ascii="Times New Roman" w:cs="Times New Roman" w:eastAsia="Times New Roman" w:hAnsi="Times New Roman"/>
          <w:sz w:val="18"/>
          <w:szCs w:val="18"/>
          <w:color w:val="auto"/>
        </w:rPr>
        <w:t>” means a transaction in which the Company or any Subsidiary (i) issues or sells any Convertible Securities either (A) at a conversion, exercise or exchange rate or other price that is based upon and/or varies with the trading prices of or quotations for the Ordinary Shares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Ordinary Shares, other than pursuant to a customary “weighted average” anti-dilution provision or (ii) enters into any agreement whereby the Company or any Subsidiary may sell securities at a future determined price (other than standard and customary “preemptive” or “participation” rights)</w:t>
      </w:r>
    </w:p>
    <w:p>
      <w:pPr>
        <w:spacing w:after="0" w:line="194" w:lineRule="exact"/>
        <w:rPr>
          <w:rFonts w:ascii="Times New Roman" w:cs="Times New Roman" w:eastAsia="Times New Roman" w:hAnsi="Times New Roman"/>
          <w:sz w:val="18"/>
          <w:szCs w:val="18"/>
          <w:color w:val="auto"/>
        </w:rPr>
      </w:pPr>
    </w:p>
    <w:p>
      <w:pPr>
        <w:ind w:left="640" w:hanging="255"/>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114"/>
        <w:spacing w:after="0" w:line="253" w:lineRule="auto"/>
        <w:tabs>
          <w:tab w:leader="none" w:pos="135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Ordinary Shares on any date following the Issuance Date (a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the Holder shall deliver (whether via electronic mail or otherwise),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xml:space="preserve">”) to the Company. If required by Section 3(c)(iii), within two (2) Trading Days following a conversion of this Note as aforesaid, the Holder shall surrender this Note to a nationally recognized overnight delivery service for delivery to the Company and Transfer Agent (or an indemnification undertaking with respect to this Note in the case of its loss, theft or destruction as contemplated by Section 18(b)). On or before the first (1st) Trading Day following the date of receipt of a Conversion Notice, the Company shall transmit by electronic mail an acknowledgment of confirmation of receipt of such Conversion Notice and representation as to whether such Ordinary Shares may then be resold pursuant to Rule 144 or an effective and available registration statement, in the form attached hereto as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confirmation shall constitute an instruction to the Transfer Agent to process such Conversion Notice in accordance with the terms herein. 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1012190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56" w:name="page57"/>
    <w:bookmarkEnd w:id="56"/>
    <w:p>
      <w:pPr>
        <w:jc w:val="both"/>
        <w:ind w:left="20"/>
        <w:spacing w:after="0" w:line="222" w:lineRule="auto"/>
        <w:rPr>
          <w:sz w:val="20"/>
          <w:szCs w:val="20"/>
          <w:color w:val="auto"/>
        </w:rPr>
      </w:pPr>
      <w:r>
        <w:rPr>
          <w:rFonts w:ascii="Times New Roman" w:cs="Times New Roman" w:eastAsia="Times New Roman" w:hAnsi="Times New Roman"/>
          <w:sz w:val="18"/>
          <w:szCs w:val="18"/>
          <w:color w:val="auto"/>
        </w:rPr>
        <w:t>before the second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Trading Day following the date on which the Company has received a Conversion Notice (or such earlier date as required pursuant to the 1934 Act or other applicable law, rule or regulation for the settlement of a trade initiated on the applicable Conversion Date of such Ordinary Shares issuable pursuant to such Conversion Notice) (a “</w:t>
      </w:r>
      <w:r>
        <w:rPr>
          <w:rFonts w:ascii="Times New Roman" w:cs="Times New Roman" w:eastAsia="Times New Roman" w:hAnsi="Times New Roman"/>
          <w:sz w:val="18"/>
          <w:szCs w:val="18"/>
          <w:b w:val="1"/>
          <w:bCs w:val="1"/>
          <w:color w:val="auto"/>
        </w:rPr>
        <w:t>Share Delivery Deadline</w:t>
      </w:r>
      <w:r>
        <w:rPr>
          <w:rFonts w:ascii="Times New Roman" w:cs="Times New Roman" w:eastAsia="Times New Roman" w:hAnsi="Times New Roman"/>
          <w:sz w:val="18"/>
          <w:szCs w:val="18"/>
          <w:color w:val="auto"/>
        </w:rPr>
        <w:t>”), the Company shall</w:t>
      </w:r>
    </w:p>
    <w:p>
      <w:pPr>
        <w:spacing w:after="0" w:line="2" w:lineRule="exact"/>
        <w:rPr>
          <w:sz w:val="20"/>
          <w:szCs w:val="20"/>
          <w:color w:val="auto"/>
        </w:rPr>
      </w:pPr>
    </w:p>
    <w:p>
      <w:pPr>
        <w:jc w:val="both"/>
        <w:ind w:left="20" w:hanging="9"/>
        <w:spacing w:after="0" w:line="251" w:lineRule="auto"/>
        <w:tabs>
          <w:tab w:leader="none" w:pos="2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Transfer Agent is participating in The Depository Trust Company’s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credit such aggregate number of Ordinary Shares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Ordinary Shares to which the Holder shall be entitled pursuant to such conversion or to GTU Ops Inc in the event that the Conversion Shares are not registered at that time. If this Note is physically surrendered for conversion pursuant to Section 3(c)(iii) and the outstanding Principal of this Note is greater than the Principal portion of the Conversion Amount being converted, then the Company shall as soon as practicable and in no event later than five (5) Business Days after receipt of this Note and at its own expense, issue and deliver to the Holder (or its designee) a new Note (in accordance with Section 18(d)) representing the outstanding Principal not converted. The Person or Persons entitled to receive the Ordinary Shares issuable upon a conversion of this Note shall be treated for all purposes as the record holder or holders of such Ordinary Shares on the applicable Conversion Date. Notwithstanding anything to the contrary contained in this Note or the Registration Rights Agreement, after the effective date of the Registration Statement and prior to the Holder’s receipt of the notice of a Grace Period (as defined in the Registration Rights Agreement), the Company shall cause the Transfer Agent to deliver unlegended Ordinary Shares to the Holder (or its designee) in connection with any sale of Registrable Securities (as defined in the Registration Rights Agreement), and delivered a copy of the prospectus included as part of the particular Registration Statement to the extent applicable.</w:t>
      </w:r>
    </w:p>
    <w:p>
      <w:pPr>
        <w:spacing w:after="0" w:line="190" w:lineRule="exact"/>
        <w:rPr>
          <w:rFonts w:ascii="Times New Roman" w:cs="Times New Roman" w:eastAsia="Times New Roman" w:hAnsi="Times New Roman"/>
          <w:sz w:val="18"/>
          <w:szCs w:val="18"/>
          <w:color w:val="auto"/>
        </w:rPr>
      </w:pPr>
    </w:p>
    <w:p>
      <w:pPr>
        <w:jc w:val="both"/>
        <w:ind w:left="20" w:firstLine="1114"/>
        <w:spacing w:after="0" w:line="251" w:lineRule="auto"/>
        <w:tabs>
          <w:tab w:leader="none" w:pos="140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Buy-In</w:t>
      </w:r>
      <w:r>
        <w:rPr>
          <w:rFonts w:ascii="Times New Roman" w:cs="Times New Roman" w:eastAsia="Times New Roman" w:hAnsi="Times New Roman"/>
          <w:sz w:val="18"/>
          <w:szCs w:val="18"/>
          <w:color w:val="auto"/>
        </w:rPr>
        <w:t>. If the Company fails for any reason or for no reason, to issue and deliver (or cause to be delivered) to Holder (or its designee) prior to the applicable Share Delivery Deadline, either (I) if the Transfer Agent is not participating in FAST, to issue and deliver to the Holder (or its designee) a certificate for the number of Ordinary Shares without any restrictive legend to which the Holder (or its designee) is entitled and register such Ordinary Shares on the Company’s share register or, if the Transfer Agent is participating in FAST, to credit the balance account of the Holder or the Holder’s designee with DTC for such number of Ordinary Shares to which the Holder is entitled (without any restrictive legend) upon the Holder’s conversion of this Note (as the case may be), or a certificate, registered in the name of the Holder or its designee, for the number of Ordinary Shares to which the Holder shall be entitled pursuant to such conversion or to GTU Ops Inc in the event that the Conversion Shares are not registered at that time, or (II) if the Registration Statement covering the resale of the Ordinary Shares that are the subject of the Conversion Notice (the “</w:t>
      </w:r>
      <w:r>
        <w:rPr>
          <w:rFonts w:ascii="Times New Roman" w:cs="Times New Roman" w:eastAsia="Times New Roman" w:hAnsi="Times New Roman"/>
          <w:sz w:val="18"/>
          <w:szCs w:val="18"/>
          <w:b w:val="1"/>
          <w:bCs w:val="1"/>
          <w:color w:val="auto"/>
        </w:rPr>
        <w:t>Unavailable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is not available for the resale of such Unavailable Conversion Shares and the Company fails to promptly, but in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later than as required pursuant to the Registration Rights Agreement so notify the Holder and deliver the Ordinary Shares electronically without any restrictive legend by crediting such aggregate number of Ordinary Shares to which the Holder (or its designee) is entitled pursuant to such conversion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Conversion Failure</w:t>
      </w:r>
      <w:r>
        <w:rPr>
          <w:rFonts w:ascii="Times New Roman" w:cs="Times New Roman" w:eastAsia="Times New Roman" w:hAnsi="Times New Roman"/>
          <w:sz w:val="18"/>
          <w:szCs w:val="18"/>
          <w:color w:val="auto"/>
        </w:rPr>
        <w:t>”), then, in addition to all other remedies available to the Holder, (1) the Company shall pay in cash to the Holder on each day after such Share Delivery Deadline that the issuance of such Ordinary Shares is not timely effected an amount equal to one percent (1%) of the product of (A) the sum of the number of Ordinary Shares not issued to the Holder on or prior to the applicable Share Delivery Deadline and to which the Holder is entitled, multiplied by (B) any trading price of the Ordinary Shares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1021080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20" w:right="339" w:bottom="1440" w:gutter="0" w:footer="0" w:header="0"/>
        </w:sectPr>
      </w:pPr>
    </w:p>
    <w:bookmarkStart w:id="57" w:name="page58"/>
    <w:bookmarkEnd w:id="57"/>
    <w:p>
      <w:pPr>
        <w:spacing w:after="0" w:line="86"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shall not affect the Company’s obligations to make any payments which have accrued prior to the date of such notice pursuant to this Section 3(c)(ii) or otherwise. In addition to the foregoing, if on or prior to the Share Delivery Deadline either (A) if the Transfer Agent is not participating in FAST, the Company shall fail to issue and deliver to the Holder (or its designee) a certificate and register such Ordinary Shares on the Company’s share register or, if the Transfer Agent is participating in FAST, the Transfer Agent shall fail to credit the balance account of the Holder or the Holder’s designee with DTC for the number of Ordinary Shares to which the Holder is entitled upon the Holder’s conversion hereunder or pursuant to the Company’s obligation pursuant to clause (II) below or (B) a Notice Failure occurs, and if on or after such Share Delivery Deadline the Holder purchases (in an open market transaction or otherwise) Ordinary Shares corresponding to all or any portion of the number of Ordinary Shares issuable upon such conversion that the Holder is entitled to receive from the Company and has not received from the Company in connection with such Conversion Failure or Notice Failure, as applicable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two (2) Business Days after receipt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request promptly honor its obligation to so issue and deliver to the Holder a certificate or certificates representing such Ordinary Shares or credit the balance account of such Holder or such Holder’s designee, as applicable, with DTC for the number of Ordinary Shares to which the Holder is entitled upon the Holder’s conversion hereunder (as the case may be) or a certificate, registered in the name of the Holder or its designee, for the number of Ordinary Shares to which the Holder shall be entitled pursuant to such conversion or to GTU Ops Inc in the event that the Conversion Shares are not registered at that time.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Ordinary Shares (or to electronically deliver such Ordinary Shares) upon the conversion of this Note as required pursuant to the terms hereof.</w:t>
      </w:r>
    </w:p>
    <w:p>
      <w:pPr>
        <w:spacing w:after="0" w:line="188" w:lineRule="exact"/>
        <w:rPr>
          <w:sz w:val="20"/>
          <w:szCs w:val="20"/>
          <w:color w:val="auto"/>
        </w:rPr>
      </w:pPr>
    </w:p>
    <w:p>
      <w:pPr>
        <w:jc w:val="both"/>
        <w:ind w:left="20" w:firstLine="1179"/>
        <w:spacing w:after="0" w:line="252" w:lineRule="auto"/>
        <w:tabs>
          <w:tab w:leader="none" w:pos="154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Transfer Agent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and approval by the Holder Representative (which approval shall not be unreasonably withheld, conditioned or delayed). Upon its receipt of a written request to assign, transfer or sell all or part of any Registered Note by the holder thereof and after receiving Holder Representative approval, the Transfer Agent shall record the information contained therein in the Register and issue one or more new Registered Notes in the same aggregate principal amount as the principal amount of the surrendered Registered Note to the designated assignee or transferee pursuant to Section 18. Notwithstanding anything to the contrary in this Section 3(c)(iii), the Holder may assign any Note or any portion thereof to an Affiliate of the Holder or a Related Fund of the Holder without delivering a request to assign or sell the Note to the Company and the recordation of such assignment or sale in the Register (a “</w:t>
      </w:r>
      <w:r>
        <w:rPr>
          <w:rFonts w:ascii="Times New Roman" w:cs="Times New Roman" w:eastAsia="Times New Roman" w:hAnsi="Times New Roman"/>
          <w:sz w:val="18"/>
          <w:szCs w:val="18"/>
          <w:b w:val="1"/>
          <w:bCs w:val="1"/>
          <w:color w:val="auto"/>
        </w:rPr>
        <w:t>Related Party Assignment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the Company may continue to deal solely with such assigning or selling Holder unless and until the Holder has delivered a request to assign or sell the Note or portion thereof to the Company for recordation in the Register; (y) the failure of such assigning or selling Holder to deliver a request to assign or sell the Note or portion thereof to the Company shall not affect the legality, validity, or binding effect of such assignment or sale; and (z) such assigning or selling Holder shall, acting solely for this purpose as a non-fiduciary agent of the Company, maintain a register (the “</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comparable to the Register on behalf of the Company, and any such assignment or sale shall be effective upon recordation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assignment or sale in the Related Party Register.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1009650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58" w:name="page59"/>
    <w:bookmarkEnd w:id="58"/>
    <w:p>
      <w:pPr>
        <w:spacing w:after="0" w:line="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187" w:lineRule="exact"/>
        <w:rPr>
          <w:sz w:val="20"/>
          <w:szCs w:val="20"/>
          <w:color w:val="auto"/>
        </w:rPr>
      </w:pPr>
    </w:p>
    <w:p>
      <w:pPr>
        <w:jc w:val="both"/>
        <w:ind w:left="20" w:firstLine="1114"/>
        <w:spacing w:after="0" w:line="255" w:lineRule="auto"/>
        <w:tabs>
          <w:tab w:leader="none" w:pos="144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Ordinary Shares issuable to the Holder in connection with a conversion of this Note, the Company shall issue to the Holder the number of Ordinary Shares not in dispute.</w:t>
      </w:r>
    </w:p>
    <w:p>
      <w:pPr>
        <w:spacing w:after="0" w:line="188" w:lineRule="exact"/>
        <w:rPr>
          <w:rFonts w:ascii="Times New Roman" w:cs="Times New Roman" w:eastAsia="Times New Roman" w:hAnsi="Times New Roman"/>
          <w:sz w:val="18"/>
          <w:szCs w:val="18"/>
          <w:color w:val="auto"/>
        </w:rPr>
      </w:pPr>
    </w:p>
    <w:p>
      <w:pPr>
        <w:jc w:val="both"/>
        <w:ind w:left="-1120" w:firstLine="1505"/>
        <w:spacing w:after="0" w:line="251" w:lineRule="auto"/>
        <w:tabs>
          <w:tab w:leader="none" w:pos="6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 Notwithstanding anything to the contrary contained herein,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Ordinary Shares outstanding immediately after giving effect to such conversion. For purposes of the foregoing sentence, the aggregate number of Ordinary Shares beneficially owned by the Holder and the other Attribution Parties shall include the number of Ordinary Shares held by the Holder and all other Attribution Parties plus the number of Ordinary Shares issuable upon conversion of this Note with respect to which the determination of such sentence is being made, but shall exclude Ordinary Shares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 For purposes of this Section 3(d), beneficial ownership shall be calculated in accordance with Section 13(d) of the 1934 Act. For purposes of determining the number of outstanding Ordinary Shares the Holder may acquire upon the conversion of this Note without exceeding the Maximum Percentage, the Holder may rely on the number of outstanding Ordinary Shares as reflected in (x) the Company’s most recent Annual Report on Form 20-F, Report on Form 6-K or other public filing with the SEC, as the case may be, (y) a more recent public announcement by the Company or (z) any other written notice by the Company or the Transfer Agent, if any, setting forth the number of Ordinary Shares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 Conversion Notice from the Holder at a time when the actual number of outstanding Ordinary Shares is less than the Reported Outstanding Share Number, the Company shall notify the Holder in writing of the number of Ordinary Shares then outstanding and, to the extent that such Conversion Notice would otherwise cause the Holder’s beneficial ownership, as determined pursuant to this Section 3(d), to exceed the Maximum Percentage, the Holder must notify the Company of a reduced number of Ordinary Shares to be purchased pursuant to such Conversion Notice.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Note, by the Holder and any other Attribution Party since the date as of which the Reported Outstanding Share Number was reported. In the event that the issuance of Ordinary Shares to the Holder upon conversion of this Note results in the Holder and the other Attribution Parties being deemed to beneficially own, in the aggregate, more than the Maximum Percentage of the number of outstanding Ordinary Shares (as determined under Section 13(d) of the 1934 Act), any conversion request with respect to the Excess Shares will be automatically void and cancelled, and therefore the number of shares by which the Holder’s and the other Attribution Parties’ aggregate beneficial ownership would have exceeded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Upon delivery of a written notice to the Company, the Holder may from time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59" w:name="page60"/>
    <w:bookmarkEnd w:id="59"/>
    <w:p>
      <w:pPr>
        <w:jc w:val="both"/>
        <w:spacing w:after="0" w:line="212" w:lineRule="auto"/>
        <w:rPr>
          <w:sz w:val="20"/>
          <w:szCs w:val="20"/>
          <w:color w:val="auto"/>
        </w:rPr>
      </w:pPr>
      <w:r>
        <w:rPr>
          <w:rFonts w:ascii="Times New Roman" w:cs="Times New Roman" w:eastAsia="Times New Roman" w:hAnsi="Times New Roman"/>
          <w:sz w:val="18"/>
          <w:szCs w:val="18"/>
          <w:color w:val="auto"/>
        </w:rPr>
        <w:t>time increase (with such increase not effective until the sixty-first (61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day after delivery of such notice) or decrease the Maximum Percentage to any other percentage not in excess of 9.99% as specified in such notice; provided that (i) any such increase in the Maximum Percentage will not be effective</w:t>
      </w:r>
    </w:p>
    <w:p>
      <w:pPr>
        <w:jc w:val="both"/>
        <w:spacing w:after="0" w:line="238" w:lineRule="auto"/>
        <w:rPr>
          <w:sz w:val="20"/>
          <w:szCs w:val="20"/>
          <w:color w:val="auto"/>
        </w:rPr>
      </w:pPr>
      <w:r>
        <w:rPr>
          <w:rFonts w:ascii="Times New Roman" w:cs="Times New Roman" w:eastAsia="Times New Roman" w:hAnsi="Times New Roman"/>
          <w:sz w:val="18"/>
          <w:szCs w:val="18"/>
          <w:color w:val="auto"/>
        </w:rPr>
        <w:t>until the sixty-first (61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day after such notice is delivered to the Company and (ii) any such increase or decrease will apply only to the Holder and the other Attribution Parties and not to any other holder of Notes that is not an Attribution Party of the Holder. For purposes of clarity, the Ordinary Shares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waived and shall apply to a successor holder of this Note.</w:t>
      </w:r>
    </w:p>
    <w:p>
      <w:pPr>
        <w:spacing w:after="0" w:line="198" w:lineRule="exact"/>
        <w:rPr>
          <w:sz w:val="20"/>
          <w:szCs w:val="20"/>
          <w:color w:val="auto"/>
        </w:rPr>
      </w:pPr>
    </w:p>
    <w:p>
      <w:pPr>
        <w:ind w:left="940" w:hanging="183"/>
        <w:spacing w:after="0"/>
        <w:tabs>
          <w:tab w:leader="none" w:pos="9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EVENT OF DEFAULT</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Subject to the last sentence of this Section 4(a), each of the following events shall constitute an “</w:t>
      </w:r>
      <w:r>
        <w:rPr>
          <w:rFonts w:ascii="Times New Roman" w:cs="Times New Roman" w:eastAsia="Times New Roman" w:hAnsi="Times New Roman"/>
          <w:sz w:val="18"/>
          <w:szCs w:val="18"/>
          <w:b w:val="1"/>
          <w:bCs w:val="1"/>
          <w:color w:val="auto"/>
        </w:rPr>
        <w:t>Event of</w:t>
      </w:r>
    </w:p>
    <w:p>
      <w:pPr>
        <w:spacing w:after="0" w:line="31"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1140" w:firstLine="1123"/>
        <w:spacing w:after="0" w:line="261" w:lineRule="auto"/>
        <w:rPr>
          <w:sz w:val="20"/>
          <w:szCs w:val="20"/>
          <w:color w:val="auto"/>
        </w:rPr>
      </w:pPr>
      <w:r>
        <w:rPr>
          <w:rFonts w:ascii="Times New Roman" w:cs="Times New Roman" w:eastAsia="Times New Roman" w:hAnsi="Times New Roman"/>
          <w:sz w:val="18"/>
          <w:szCs w:val="18"/>
          <w:color w:val="auto"/>
        </w:rPr>
        <w:t>(i)(a) the failure of the applicable Registration Statement to be filed with the SEC on or prior to the date that is five (5) Trading Days after the applicable Filing Deadline (as defined in the Registration Rights Agreement) or (b) the failure of the applicable Registration Statement to be declared effective by the SEC on or prior to the date that is five (5) Trading Days after the applicable Effectiveness Deadline (as defined in the Registration Rights Agreement);</w:t>
      </w:r>
    </w:p>
    <w:p>
      <w:pPr>
        <w:spacing w:after="0" w:line="180" w:lineRule="exact"/>
        <w:rPr>
          <w:sz w:val="20"/>
          <w:szCs w:val="20"/>
          <w:color w:val="auto"/>
        </w:rPr>
      </w:pPr>
    </w:p>
    <w:p>
      <w:pPr>
        <w:jc w:val="both"/>
        <w:ind w:left="1140" w:firstLine="1114"/>
        <w:spacing w:after="0" w:line="255" w:lineRule="auto"/>
        <w:tabs>
          <w:tab w:leader="none" w:pos="254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twenty (20) consecutive days or for more than an aggregate of forty (40) days in any 365-day period (excluding days during an Allowable Grace Period (as defined in the Registration Rights Agreement));</w:t>
      </w:r>
    </w:p>
    <w:p>
      <w:pPr>
        <w:spacing w:after="0" w:line="188" w:lineRule="exact"/>
        <w:rPr>
          <w:rFonts w:ascii="Times New Roman" w:cs="Times New Roman" w:eastAsia="Times New Roman" w:hAnsi="Times New Roman"/>
          <w:sz w:val="18"/>
          <w:szCs w:val="18"/>
          <w:color w:val="auto"/>
        </w:rPr>
      </w:pPr>
    </w:p>
    <w:p>
      <w:pPr>
        <w:ind w:left="1140" w:firstLine="1114"/>
        <w:spacing w:after="0" w:line="282" w:lineRule="auto"/>
        <w:tabs>
          <w:tab w:leader="none" w:pos="259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the failure of the Ordinary Shares to be trading or listed (as applicable) on an Eligible Market for a period of five (5) consecutive Trading Days;</w:t>
      </w:r>
    </w:p>
    <w:p>
      <w:pPr>
        <w:spacing w:after="0" w:line="161" w:lineRule="exact"/>
        <w:rPr>
          <w:rFonts w:ascii="Times New Roman" w:cs="Times New Roman" w:eastAsia="Times New Roman" w:hAnsi="Times New Roman"/>
          <w:sz w:val="18"/>
          <w:szCs w:val="18"/>
          <w:color w:val="auto"/>
        </w:rPr>
      </w:pPr>
    </w:p>
    <w:p>
      <w:pPr>
        <w:jc w:val="both"/>
        <w:ind w:left="1140" w:firstLine="1114"/>
        <w:spacing w:after="0" w:line="258" w:lineRule="auto"/>
        <w:tabs>
          <w:tab w:leader="none" w:pos="257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cure a Conversion Failure by delivery of the required number of Ordinary Shares within five (5) Trading Days after the applicable Conversion Date or (B) written notice to any holder of the Notes, including, without limitation, by way of public announcement or through any of its agents and such notice of such Company’s agent is not withdrawn by the Company within one (1) Trading Day, at any time, of its intention not to comply, as required, with a request for conversion of any Notes into Ordinary Shares that is requested in accordance with the provisions of the Notes, other than pursuant to Section 3(d);</w:t>
      </w:r>
    </w:p>
    <w:p>
      <w:pPr>
        <w:spacing w:after="0" w:line="190" w:lineRule="exact"/>
        <w:rPr>
          <w:rFonts w:ascii="Times New Roman" w:cs="Times New Roman" w:eastAsia="Times New Roman" w:hAnsi="Times New Roman"/>
          <w:sz w:val="18"/>
          <w:szCs w:val="18"/>
          <w:color w:val="auto"/>
        </w:rPr>
      </w:pPr>
    </w:p>
    <w:p>
      <w:pPr>
        <w:jc w:val="both"/>
        <w:ind w:left="1140" w:firstLine="1114"/>
        <w:spacing w:after="0" w:line="237" w:lineRule="auto"/>
        <w:tabs>
          <w:tab w:leader="none" w:pos="25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Company is in compliance with Section 9(b) below, at any time following the tenth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consecutive day that the Company’s allotment authority is not for at least 100% of the number of Ordinary Shares as shall from time to time be necessary to effect the conversion of all of the Notes then outstanding in accordance with Section 9(a) below (without regard to any limitations on conversion set forth in Section 3(d) or otherwise);</w:t>
      </w:r>
    </w:p>
    <w:p>
      <w:pPr>
        <w:spacing w:after="0" w:line="200" w:lineRule="exact"/>
        <w:rPr>
          <w:rFonts w:ascii="Times New Roman" w:cs="Times New Roman" w:eastAsia="Times New Roman" w:hAnsi="Times New Roman"/>
          <w:sz w:val="18"/>
          <w:szCs w:val="18"/>
          <w:color w:val="auto"/>
        </w:rPr>
      </w:pPr>
    </w:p>
    <w:p>
      <w:pPr>
        <w:ind w:left="1140" w:firstLine="1114"/>
        <w:spacing w:after="0" w:line="282" w:lineRule="auto"/>
        <w:tabs>
          <w:tab w:leader="none" w:pos="257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any Guarantor’s or any Subsidiary’s (including without limitation the New SPV Subsidiary’s) failure to pay to the Holder any amount of Principal, Interest, Late Charges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60" w:name="page61"/>
    <w:bookmarkEnd w:id="60"/>
    <w:p>
      <w:pPr>
        <w:spacing w:after="0" w:line="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other amounts when and as due under this Note (including, without limitation, the Company’s, any Guarantor’s or any Subsidiary’s (including without limitation the New SPV Subsidiary’s) failure to pay any redemption payments or amounts hereunder) or any other Transaction Document or any other agreement, document, certificate or other instrument delivered in connection with the transactions contemplated hereby and thereby, and such failure remains uncured for a period of at least five (5) Trading Days; provided there shall be no Event of Default under this subclause (vi) with respect to a particular failure to pay that is the direct result of the inaction of the Collateral Agent;</w:t>
      </w:r>
    </w:p>
    <w:p>
      <w:pPr>
        <w:spacing w:after="0" w:line="187" w:lineRule="exact"/>
        <w:rPr>
          <w:sz w:val="20"/>
          <w:szCs w:val="20"/>
          <w:color w:val="auto"/>
        </w:rPr>
      </w:pPr>
    </w:p>
    <w:p>
      <w:pPr>
        <w:jc w:val="both"/>
        <w:ind w:left="20" w:firstLine="1114"/>
        <w:spacing w:after="0" w:line="258" w:lineRule="auto"/>
        <w:tabs>
          <w:tab w:leader="none" w:pos="1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remove any restrictive legend on any certificate or any Ordinary Shares issued to the Holder upon conversion or exercise (as the case may be)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five (5) Trading Days;</w:t>
      </w:r>
    </w:p>
    <w:p>
      <w:pPr>
        <w:spacing w:after="0" w:line="183" w:lineRule="exact"/>
        <w:rPr>
          <w:rFonts w:ascii="Times New Roman" w:cs="Times New Roman" w:eastAsia="Times New Roman" w:hAnsi="Times New Roman"/>
          <w:sz w:val="18"/>
          <w:szCs w:val="18"/>
          <w:color w:val="auto"/>
        </w:rPr>
      </w:pPr>
    </w:p>
    <w:p>
      <w:pPr>
        <w:ind w:left="20" w:firstLine="1114"/>
        <w:spacing w:after="0" w:line="282" w:lineRule="auto"/>
        <w:tabs>
          <w:tab w:leader="none" w:pos="154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notify the Holder of the occurrence of any default under, redemption of or acceleration prior to maturity of at least an aggregate of $2,500,000 of Indebtedness of the Company, any Guarantor or any Subsidiary;</w:t>
      </w:r>
    </w:p>
    <w:p>
      <w:pPr>
        <w:spacing w:after="0" w:line="161" w:lineRule="exact"/>
        <w:rPr>
          <w:rFonts w:ascii="Times New Roman" w:cs="Times New Roman" w:eastAsia="Times New Roman" w:hAnsi="Times New Roman"/>
          <w:sz w:val="18"/>
          <w:szCs w:val="18"/>
          <w:color w:val="auto"/>
        </w:rPr>
      </w:pPr>
    </w:p>
    <w:p>
      <w:pPr>
        <w:jc w:val="both"/>
        <w:ind w:left="20" w:firstLine="1114"/>
        <w:spacing w:after="0" w:line="261" w:lineRule="auto"/>
        <w:tabs>
          <w:tab w:leader="none" w:pos="145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or liquidation proceedings or other proceedings for the relief of debtors shall be instituted by or against the Company, any Guarantor or any of their respective Subsidiaries (including without limitation the New SPV Subsidiary) and, if instituted against the Company, any Guarantor or any of their respective Subsidiaries (including without limitation the New SPV Subsidiary) by a third party, shall not be dismissed within sixty (60) days of their initiation;</w:t>
      </w:r>
    </w:p>
    <w:p>
      <w:pPr>
        <w:spacing w:after="0" w:line="179" w:lineRule="exact"/>
        <w:rPr>
          <w:rFonts w:ascii="Times New Roman" w:cs="Times New Roman" w:eastAsia="Times New Roman" w:hAnsi="Times New Roman"/>
          <w:sz w:val="18"/>
          <w:szCs w:val="18"/>
          <w:color w:val="auto"/>
        </w:rPr>
      </w:pPr>
    </w:p>
    <w:p>
      <w:pPr>
        <w:jc w:val="both"/>
        <w:ind w:left="20" w:firstLine="1114"/>
        <w:spacing w:after="0" w:line="252" w:lineRule="auto"/>
        <w:tabs>
          <w:tab w:leader="none" w:pos="14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any Guarantor or any of their respective Subsidiaries (including without limitation, the New SPV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any Guarantor or any of their respective Subsidiaries (including without limitation, the New SPV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any Guarantor or any their respective Subsidiaries (including without limitation, the New SPV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any Guarantor or any of their respective Subsidiaries (including without limitation, the New SPV Subsidiary) in furtherance of any such action or the taking of any action by any Person to commence a Uniform Commercial Code foreclosure sale or any other similar action under federal, state or foreign law;</w:t>
      </w:r>
    </w:p>
    <w:p>
      <w:pPr>
        <w:spacing w:after="0" w:line="195" w:lineRule="exact"/>
        <w:rPr>
          <w:rFonts w:ascii="Times New Roman" w:cs="Times New Roman" w:eastAsia="Times New Roman" w:hAnsi="Times New Roman"/>
          <w:sz w:val="18"/>
          <w:szCs w:val="18"/>
          <w:color w:val="auto"/>
        </w:rPr>
      </w:pPr>
    </w:p>
    <w:p>
      <w:pPr>
        <w:jc w:val="both"/>
        <w:ind w:left="20" w:firstLine="1114"/>
        <w:spacing w:after="0" w:line="254" w:lineRule="auto"/>
        <w:tabs>
          <w:tab w:leader="none" w:pos="14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(i) a decree, order, judgment or other similar document in respect of the Company, any Guarantor or any of their respective Subsidiaries (including without limitation, the New SPV Subsidiary) of a voluntary or involuntary case or proceeding under any applicable federal, state or foreign bankruptcy, insolvency, reorganization or other similar law or (ii) a decree, order, judgment or other similar document adjudging the Company, any Guarantor or any of their respective Subsidiaries (including without limitation, the New SPV Subsidiary) as bankrupt or insolvent, or approving as properly filed a petition seeking liquidation, reorganization, arrangement, adjustment or composition of or in respect of the Company, any Guarantor or any of their respective Subsidiaries (including without limitation, the New SPV Subsidiary) under any applicable federal, state or foreign law or (iii) a decree, order, judgment or other similar document appointing a custodian, receiver,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1012190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61" w:name="page62"/>
    <w:bookmarkEnd w:id="61"/>
    <w:p>
      <w:pPr>
        <w:spacing w:after="0" w:line="86"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liquidator, assignee, trustee, sequestrator or other similar official of the Company, any Guarantor or any of their respective Subsidiaries (including without limitation, the New SPV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180" w:lineRule="exact"/>
        <w:rPr>
          <w:sz w:val="20"/>
          <w:szCs w:val="20"/>
          <w:color w:val="auto"/>
        </w:rPr>
      </w:pPr>
    </w:p>
    <w:p>
      <w:pPr>
        <w:jc w:val="both"/>
        <w:ind w:left="20" w:firstLine="1114"/>
        <w:spacing w:after="0" w:line="254" w:lineRule="auto"/>
        <w:tabs>
          <w:tab w:leader="none" w:pos="151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final judgment or judgments for the payment of money aggregating in excess of $250,000 are rendered against the Company, any Guarantor and/or any of their respective Subsidiaries (including without limitation, the New SPV Subsidiary) and which judgments are not, within sixty (60) days after the entry thereof, bonded, discharged, settled or stayed pending appeal, or are not discharged within thirty (30) days after the expiration of such stay;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such Guarantor or such Subsidiary (including without limitation, the New SPV Subsidiary) (as the case may be) will receive the proceeds of such insurance or indemnity within sixty (60) days of the issuance of such judgment;</w:t>
      </w:r>
    </w:p>
    <w:p>
      <w:pPr>
        <w:spacing w:after="0" w:line="188" w:lineRule="exact"/>
        <w:rPr>
          <w:rFonts w:ascii="Times New Roman" w:cs="Times New Roman" w:eastAsia="Times New Roman" w:hAnsi="Times New Roman"/>
          <w:sz w:val="18"/>
          <w:szCs w:val="18"/>
          <w:color w:val="auto"/>
        </w:rPr>
      </w:pPr>
    </w:p>
    <w:p>
      <w:pPr>
        <w:jc w:val="both"/>
        <w:ind w:left="20" w:firstLine="1114"/>
        <w:spacing w:after="0" w:line="252" w:lineRule="auto"/>
        <w:tabs>
          <w:tab w:leader="none" w:pos="156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any Guarantor and/or any of their respective Subsidiaries (including without limitation, the New SPV Subsidiary), individually or in the aggregate, either (i) fails to pay, when due, or within any applicable grace period, any payment with respect to any Indebtedness in excess of $2,500,000 due to any third party (other than, with respect to unsecured Indebtedness only, payments contested by the Company, such Guarantor and/or such Subsidiary (including without limitation, the New SPV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$2,500,000, which breach or violation permits the other party thereto to declare a default or otherwise accelerate amounts due thereunder, or (ii) suffer to exist any other circumstance or event that would, with or without the passage of time or the giving of notice, result in a default that has not been cured or waived for thirty (30) days or event of default under any agreement binding the Company, any Guarantor or any of their respective Subsidiaries (including without limitation, the New SPV Subsidiary), which default or event of default would or is likely to have a Material Adverse Effect on the business, assets, operations (including results thereof), liabilities, properties, condition (including financial condition) or prospects of the Company, any Guarantor or any Subsidiary (including without limitation, the New SPV Subsidiary), individually or in the aggregate, in which case only if such failure remains uncured for a period of at least three (3) Trading Days;</w:t>
      </w:r>
    </w:p>
    <w:p>
      <w:pPr>
        <w:spacing w:after="0" w:line="197" w:lineRule="exact"/>
        <w:rPr>
          <w:rFonts w:ascii="Times New Roman" w:cs="Times New Roman" w:eastAsia="Times New Roman" w:hAnsi="Times New Roman"/>
          <w:sz w:val="18"/>
          <w:szCs w:val="18"/>
          <w:color w:val="auto"/>
        </w:rPr>
      </w:pPr>
    </w:p>
    <w:p>
      <w:pPr>
        <w:jc w:val="both"/>
        <w:ind w:left="20" w:firstLine="1114"/>
        <w:spacing w:after="0" w:line="256" w:lineRule="auto"/>
        <w:tabs>
          <w:tab w:leader="none" w:pos="15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another clause of this Section 4(a), (a) the Company, any Guarantor or any of their respective Subsidiaries (including without limitation, the New SPV Subsidiary) breaches any representation or warranty, in any material respect (other than representations or warranties subject to Material Adverse Effect or materiality, which may not be breached in any respect) or (b) any covenant or other term or condition of any Transaction Document (other than any covenant or other term or condition set forth in any Security Document), except, in the case of a breach of a covenant or other term or condition that is curable, only if such breach remains uncured for a period of five (5) consecutive Trading Days;</w:t>
      </w:r>
    </w:p>
    <w:p>
      <w:pPr>
        <w:spacing w:after="0" w:line="187" w:lineRule="exact"/>
        <w:rPr>
          <w:rFonts w:ascii="Times New Roman" w:cs="Times New Roman" w:eastAsia="Times New Roman" w:hAnsi="Times New Roman"/>
          <w:sz w:val="18"/>
          <w:szCs w:val="18"/>
          <w:color w:val="auto"/>
        </w:rPr>
      </w:pPr>
    </w:p>
    <w:p>
      <w:pPr>
        <w:ind w:left="20" w:right="20" w:firstLine="1114"/>
        <w:spacing w:after="0" w:line="282" w:lineRule="auto"/>
        <w:tabs>
          <w:tab w:leader="none" w:pos="14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false or inaccurate written certification by the Company as to whether any Event of Default or an Equity Conditions Failure has occurred or as to whether any Release Condition or the Market Cap Condition or the Volume Condition is satisfied;</w:t>
      </w:r>
    </w:p>
    <w:p>
      <w:pPr>
        <w:spacing w:after="0" w:line="161" w:lineRule="exact"/>
        <w:rPr>
          <w:rFonts w:ascii="Times New Roman" w:cs="Times New Roman" w:eastAsia="Times New Roman" w:hAnsi="Times New Roman"/>
          <w:sz w:val="18"/>
          <w:szCs w:val="18"/>
          <w:color w:val="auto"/>
        </w:rPr>
      </w:pPr>
    </w:p>
    <w:p>
      <w:pPr>
        <w:ind w:left="20" w:firstLine="1114"/>
        <w:spacing w:after="0" w:line="282" w:lineRule="auto"/>
        <w:tabs>
          <w:tab w:leader="none" w:pos="15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failure in any respect by the Company, any Guarantor or any Subsidiary to comply with clauses (a)-(d), (f), (l) and (n) of Section 13 of this Note;</w:t>
      </w:r>
    </w:p>
    <w:p>
      <w:pPr>
        <w:spacing w:after="0" w:line="161" w:lineRule="exact"/>
        <w:rPr>
          <w:rFonts w:ascii="Times New Roman" w:cs="Times New Roman" w:eastAsia="Times New Roman" w:hAnsi="Times New Roman"/>
          <w:sz w:val="18"/>
          <w:szCs w:val="18"/>
          <w:color w:val="auto"/>
        </w:rPr>
      </w:pPr>
    </w:p>
    <w:p>
      <w:pPr>
        <w:ind w:left="1580" w:hanging="446"/>
        <w:spacing w:after="0"/>
        <w:tabs>
          <w:tab w:leader="none" w:pos="15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Effect occurs and remains uncured following a period of five (5) Trading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1033145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62" w:name="page63"/>
    <w:bookmarkEnd w:id="62"/>
    <w:p>
      <w:pPr>
        <w:jc w:val="both"/>
        <w:ind w:left="20" w:firstLine="1114"/>
        <w:spacing w:after="0" w:line="268" w:lineRule="auto"/>
        <w:tabs>
          <w:tab w:leader="none" w:pos="1646"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specifically set forth in Section 4(a)(xix) or in any other clause of this Section 4(a), the Company, any Guarantor or any of their respective Subsidiaries (including without limitation, the New SPV Subsidiary) (a) breaches any representation or warranty set forth in any Security Document in any material respect (other than representations or warranties subject to Material Adverse Effect or materiality, which may not be breached in any respect) and such breach or (b) shall fail to perform or comply (1) in any material respect with any covenant or agreement contained in any Security Document or (2) in any respect with any covenant or agreement contained in any Security Document that is qualified by materiality or Material Adverse Effect, in either case, which is not cured within five</w:t>
      </w:r>
    </w:p>
    <w:p>
      <w:pPr>
        <w:spacing w:after="0" w:line="4" w:lineRule="exact"/>
        <w:rPr>
          <w:rFonts w:ascii="Times New Roman" w:cs="Times New Roman" w:eastAsia="Times New Roman" w:hAnsi="Times New Roman"/>
          <w:sz w:val="17"/>
          <w:szCs w:val="17"/>
          <w:color w:val="auto"/>
        </w:rPr>
      </w:pPr>
    </w:p>
    <w:p>
      <w:pPr>
        <w:ind w:left="260" w:hanging="249"/>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delivery of an Event of Default Notice.</w:t>
      </w:r>
    </w:p>
    <w:p>
      <w:pPr>
        <w:spacing w:after="0" w:line="206" w:lineRule="exact"/>
        <w:rPr>
          <w:rFonts w:ascii="Times New Roman" w:cs="Times New Roman" w:eastAsia="Times New Roman" w:hAnsi="Times New Roman"/>
          <w:sz w:val="18"/>
          <w:szCs w:val="18"/>
          <w:color w:val="auto"/>
        </w:rPr>
      </w:pPr>
    </w:p>
    <w:p>
      <w:pPr>
        <w:jc w:val="both"/>
        <w:ind w:left="20" w:firstLine="1114"/>
        <w:spacing w:after="0" w:line="253" w:lineRule="auto"/>
        <w:tabs>
          <w:tab w:leader="none" w:pos="15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Security Document (as determined in good faith by the Collateral Agent or the Required Holders, in their respective sole discretion) at any time for any reason (other than pursuant to the express terms thereof or other than directly resulting from any action or inaction on the part of the Holder, the Collateral Agent or any of their respective agents) shall cease to be valid and binding on or enforceable against the Company, any Guarantor or any of their respective Subsidiaries (including without limitation, the New SPV Subsidiary) intended to be a party thereto; or the validity or enforceability of any provision of any Security Document or the Security Document itself shall be contested by any party thereto or any other Person; or a proceeding shall be commenced by the Company, any Guarantor or any of their respective Subsidiaries (including without limitation the New SPV Subsidiary) or any Governmental Entity having jurisdiction over any of them, seeking to establish the invalidity or unenforceability of any provision of any Security Document or the Security Document itself; or the Company, any Guarantor or any of their respective Subsidiaries (including without limitation the New SPV Subsidiary) shall deny in writing that it has any liability or obligation purported to be created under any Security Document;</w:t>
      </w:r>
    </w:p>
    <w:p>
      <w:pPr>
        <w:spacing w:after="0" w:line="194" w:lineRule="exact"/>
        <w:rPr>
          <w:rFonts w:ascii="Times New Roman" w:cs="Times New Roman" w:eastAsia="Times New Roman" w:hAnsi="Times New Roman"/>
          <w:sz w:val="18"/>
          <w:szCs w:val="18"/>
          <w:color w:val="auto"/>
        </w:rPr>
      </w:pPr>
    </w:p>
    <w:p>
      <w:pPr>
        <w:jc w:val="both"/>
        <w:ind w:left="20" w:firstLine="1114"/>
        <w:spacing w:after="0" w:line="261" w:lineRule="auto"/>
        <w:tabs>
          <w:tab w:leader="none" w:pos="149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shall for any reason fail or cease to create a valid and perfected first priority Lien (as defined in Section 13(c)) in favor of the Collateral Agent for the benefit of the holders of the Notes on any Collateral (as defined in the Pledge Agreement) identified therein, including without limitation the Trust Property (as defined herein) or Escrow Bitcoin purported to be covered thereby;</w:t>
      </w:r>
    </w:p>
    <w:p>
      <w:pPr>
        <w:spacing w:after="0" w:line="179" w:lineRule="exact"/>
        <w:rPr>
          <w:rFonts w:ascii="Times New Roman" w:cs="Times New Roman" w:eastAsia="Times New Roman" w:hAnsi="Times New Roman"/>
          <w:sz w:val="18"/>
          <w:szCs w:val="18"/>
          <w:color w:val="auto"/>
        </w:rPr>
      </w:pPr>
    </w:p>
    <w:p>
      <w:pPr>
        <w:jc w:val="both"/>
        <w:ind w:left="20" w:firstLine="1114"/>
        <w:spacing w:after="0" w:line="253" w:lineRule="auto"/>
        <w:tabs>
          <w:tab w:leader="none" w:pos="154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bank or other institution at which the Bitcoin Escrow Account, Cash Account, any deposit account (including any lockbox account), securities account or other similar account of the Company, any Guarantor or any Subsidiary (including without limitation the New SPV Subsidiary) is maintained shall fail to comply with any material term of any deposit account agreement (including any lockbox account agreement), securities account agreement or other similar agreement to which such bank or other institution is a party or (B) any bank, securities intermediary, commodity intermediary or other institution that maintains custody, control or possession of any cash, money, investment property or Escrowed Bitcoin of the Company, any Guarantor or any Subsidiary (including without limitation the New SPV Subsidiary) shall fail at any time to comply with any of the terms of any control agreement or other agreement pursuant to which the Collateral Agent is and maintains perfection over the assets identified in such control agreement or other agreement (it is acknowledged and agreed that any failure by any of the aforementioned parties that results in any Escrowed Bitcoin, cash or other property that is intended to be Collateral to not be subject to a first priority, perfected Lien is and shall be deemed for all purposes hereunder an Event of Default);</w:t>
      </w:r>
    </w:p>
    <w:p>
      <w:pPr>
        <w:spacing w:after="0" w:line="194" w:lineRule="exact"/>
        <w:rPr>
          <w:rFonts w:ascii="Times New Roman" w:cs="Times New Roman" w:eastAsia="Times New Roman" w:hAnsi="Times New Roman"/>
          <w:sz w:val="18"/>
          <w:szCs w:val="18"/>
          <w:color w:val="auto"/>
        </w:rPr>
      </w:pPr>
    </w:p>
    <w:p>
      <w:pPr>
        <w:ind w:left="1580" w:hanging="446"/>
        <w:spacing w:after="0"/>
        <w:tabs>
          <w:tab w:leader="none" w:pos="15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damage to, or loss, theft or destruction of the Trust Property or Escrow Bitcoin, whether or not insured;</w:t>
      </w:r>
    </w:p>
    <w:p>
      <w:pPr>
        <w:spacing w:after="0" w:line="225" w:lineRule="exact"/>
        <w:rPr>
          <w:rFonts w:ascii="Times New Roman" w:cs="Times New Roman" w:eastAsia="Times New Roman" w:hAnsi="Times New Roman"/>
          <w:sz w:val="18"/>
          <w:szCs w:val="18"/>
          <w:color w:val="auto"/>
        </w:rPr>
      </w:pPr>
    </w:p>
    <w:p>
      <w:pPr>
        <w:ind w:left="20" w:firstLine="1114"/>
        <w:spacing w:after="0" w:line="282" w:lineRule="auto"/>
        <w:tabs>
          <w:tab w:leader="none" w:pos="165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another clause of this Section 4(a), any Event of Default (as defined in any Note) occurs with respect to any Additional Notes;</w:t>
      </w:r>
    </w:p>
    <w:p>
      <w:pPr>
        <w:spacing w:after="0" w:line="161" w:lineRule="exact"/>
        <w:rPr>
          <w:rFonts w:ascii="Times New Roman" w:cs="Times New Roman" w:eastAsia="Times New Roman" w:hAnsi="Times New Roman"/>
          <w:sz w:val="18"/>
          <w:szCs w:val="18"/>
          <w:color w:val="auto"/>
        </w:rPr>
      </w:pPr>
    </w:p>
    <w:p>
      <w:pPr>
        <w:ind w:left="20" w:firstLine="1114"/>
        <w:spacing w:after="0" w:line="282" w:lineRule="auto"/>
        <w:tabs>
          <w:tab w:leader="none" w:pos="165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refusal to sell the Lead Buyer (as defined in the Securities Purchase Agreement) or its designees Additional Notes as required under the Securities Purchase Agreement (a “</w:t>
      </w:r>
      <w:r>
        <w:rPr>
          <w:rFonts w:ascii="Times New Roman" w:cs="Times New Roman" w:eastAsia="Times New Roman" w:hAnsi="Times New Roman"/>
          <w:sz w:val="18"/>
          <w:szCs w:val="18"/>
          <w:b w:val="1"/>
          <w:bCs w:val="1"/>
          <w:u w:val="single" w:color="auto"/>
          <w:color w:val="auto"/>
        </w:rPr>
        <w:t>Failure to Sell Additional Notes Event of Default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993140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63" w:name="page64"/>
    <w:bookmarkEnd w:id="63"/>
    <w:p>
      <w:pPr>
        <w:jc w:val="both"/>
        <w:ind w:left="380" w:firstLine="1114"/>
        <w:spacing w:after="0" w:line="256" w:lineRule="auto"/>
        <w:tabs>
          <w:tab w:leader="none" w:pos="194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breach or default (howsoever defined) by the Company, any Guarantor or any of their respective Subsidiaries (including without limitation the New SPV Subsidiary) in satisfying any obligation under or complying with any terms of any of the Securities Purchase Agreement or any Note; or (B) except as provided in sub-clause (A) herein, any material breach or failure in any respect by the Company, any Guarantor or any of their respective Subsidiaries (including without limitation the New SPV Subsidiary) to comply with any requirements set forth in the Registration Rights Agreement that is not cured within 5 Business Days after delivery of an Event of Default Notice.</w:t>
      </w:r>
    </w:p>
    <w:p>
      <w:pPr>
        <w:spacing w:after="0" w:line="187" w:lineRule="exact"/>
        <w:rPr>
          <w:rFonts w:ascii="Times New Roman" w:cs="Times New Roman" w:eastAsia="Times New Roman" w:hAnsi="Times New Roman"/>
          <w:sz w:val="18"/>
          <w:szCs w:val="18"/>
          <w:color w:val="auto"/>
        </w:rPr>
      </w:pPr>
    </w:p>
    <w:p>
      <w:pPr>
        <w:jc w:val="both"/>
        <w:ind w:left="380" w:firstLine="1114"/>
        <w:spacing w:after="0" w:line="256" w:lineRule="auto"/>
        <w:tabs>
          <w:tab w:leader="none" w:pos="199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any Guarantor or any of their respective Subsidiaries (including without limitation, the New SPV Subsidiary) to take any action requested by the Collateral Agent, on behalf of the Holders, or requested by the Required Holders to perfect (or to permit the Collateral Agent or the Required Holders to perfect) the security interest in or Liens on the Bitcoin Escrow Account and all of the Escrow Bitcoin therein, the Cash Account and all of the Trust Property therein and other Collateral (as defined in the Security Documents), pursuant to the Securities Purchase Agreement and the Security Documents, or any subsequent interference on the perfection of such security interests or Liens as may be reasonably determined by the Collateral Agent or the Required Holders.</w:t>
      </w:r>
    </w:p>
    <w:p>
      <w:pPr>
        <w:spacing w:after="0" w:line="187" w:lineRule="exact"/>
        <w:rPr>
          <w:rFonts w:ascii="Times New Roman" w:cs="Times New Roman" w:eastAsia="Times New Roman" w:hAnsi="Times New Roman"/>
          <w:sz w:val="18"/>
          <w:szCs w:val="18"/>
          <w:color w:val="auto"/>
        </w:rPr>
      </w:pPr>
    </w:p>
    <w:p>
      <w:pPr>
        <w:ind w:left="2020" w:hanging="526"/>
        <w:spacing w:after="0"/>
        <w:tabs>
          <w:tab w:leader="none" w:pos="20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to maintain at all times the Borrowing Base Requirement.</w:t>
      </w:r>
    </w:p>
    <w:p>
      <w:pPr>
        <w:spacing w:after="0" w:line="221" w:lineRule="exact"/>
        <w:rPr>
          <w:rFonts w:ascii="Times New Roman" w:cs="Times New Roman" w:eastAsia="Times New Roman" w:hAnsi="Times New Roman"/>
          <w:sz w:val="18"/>
          <w:szCs w:val="18"/>
          <w:color w:val="auto"/>
        </w:rPr>
      </w:pPr>
    </w:p>
    <w:p>
      <w:pPr>
        <w:ind w:left="2080" w:hanging="586"/>
        <w:spacing w:after="0"/>
        <w:tabs>
          <w:tab w:leader="none" w:pos="2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[Reserved]</w:t>
      </w:r>
    </w:p>
    <w:p>
      <w:pPr>
        <w:spacing w:after="0" w:line="229" w:lineRule="exact"/>
        <w:rPr>
          <w:rFonts w:ascii="Times New Roman" w:cs="Times New Roman" w:eastAsia="Times New Roman" w:hAnsi="Times New Roman"/>
          <w:sz w:val="18"/>
          <w:szCs w:val="18"/>
          <w:color w:val="auto"/>
        </w:rPr>
      </w:pPr>
    </w:p>
    <w:p>
      <w:pPr>
        <w:jc w:val="both"/>
        <w:ind w:left="380" w:firstLine="1114"/>
        <w:spacing w:after="0" w:line="255" w:lineRule="auto"/>
        <w:tabs>
          <w:tab w:leader="none" w:pos="222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New SPV Subsidiary shall cease, for any reason, to hold itself out as a “special purpose entity” (B) the New SPV Subsidiary takes any “Material Action” (as defined in New SPV Subsidiary Limited Liability Operating Agreement (as in effect at the Initial Closing) of the New SPV Subsidiary); (C) the “SPE Provisions” (as defined in the New SPV Subsidiary Limited Liability Operating Agreement (as in effect at the Initial Closing)) of the New SPV Subsidiary are amended without the prior written consent of the Required Holders; or (D) the Collateral Agent or the Required Holders determine, in good faith, that the bankruptcy remoteness character of the New SPV Subsidiary shall cease or otherwise be diminished in any respect that adversely impacts the security and the Liens of the Collateral Agent.</w:t>
      </w:r>
    </w:p>
    <w:p>
      <w:pPr>
        <w:spacing w:after="0" w:line="188" w:lineRule="exact"/>
        <w:rPr>
          <w:rFonts w:ascii="Times New Roman" w:cs="Times New Roman" w:eastAsia="Times New Roman" w:hAnsi="Times New Roman"/>
          <w:sz w:val="18"/>
          <w:szCs w:val="18"/>
          <w:color w:val="auto"/>
        </w:rPr>
      </w:pPr>
    </w:p>
    <w:p>
      <w:pPr>
        <w:jc w:val="both"/>
        <w:ind w:firstLine="745"/>
        <w:spacing w:after="0" w:line="254" w:lineRule="auto"/>
        <w:tabs>
          <w:tab w:leader="none" w:pos="100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an Event of Default; Redemption Right</w:t>
      </w:r>
      <w:r>
        <w:rPr>
          <w:rFonts w:ascii="Times New Roman" w:cs="Times New Roman" w:eastAsia="Times New Roman" w:hAnsi="Times New Roman"/>
          <w:sz w:val="18"/>
          <w:szCs w:val="18"/>
          <w:color w:val="auto"/>
        </w:rPr>
        <w:t>. Within two (2) Business Days of the Company becoming actually aware of an Event of Default or facts and circumstances that should have made the Company aware of an Event of Default with respect to this Note or any Additional Note, the Company shall deliver written notice thereof via electronic mail and overnight courier (with next day delivery specified)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to the Holder and to the Collateral Agent. At any time after the earlier of the Holder’s receipt of an Event of Default Notice and the Holder becoming aware of an Event of Default and ending (such ending date, the “</w:t>
      </w:r>
      <w:r>
        <w:rPr>
          <w:rFonts w:ascii="Times New Roman" w:cs="Times New Roman" w:eastAsia="Times New Roman" w:hAnsi="Times New Roman"/>
          <w:sz w:val="18"/>
          <w:szCs w:val="18"/>
          <w:b w:val="1"/>
          <w:bCs w:val="1"/>
          <w:color w:val="auto"/>
        </w:rPr>
        <w:t>Event of Default Right Expiration Date</w:t>
      </w:r>
      <w:r>
        <w:rPr>
          <w:rFonts w:ascii="Times New Roman" w:cs="Times New Roman" w:eastAsia="Times New Roman" w:hAnsi="Times New Roman"/>
          <w:sz w:val="18"/>
          <w:szCs w:val="18"/>
          <w:color w:val="auto"/>
        </w:rPr>
        <w:t>”) on</w:t>
      </w:r>
    </w:p>
    <w:p>
      <w:pPr>
        <w:spacing w:after="0" w:line="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twentieth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(as defined herein). At any time after the earlier of the Holder’s receipt of an Event of Default Notice and the Holder becoming aware of any default under, redemption of or acceleration prior to maturity of at least an aggregate of $2,500,000 of Indebtedness of the Company, any Guarantor or any Subsidiary, with respect to any Additional Notes, the Holder may require the Company to redeem (regardless of whether such Event of Default has been cured on or prior to the Event of Default Right Expiration Date) all or any portion of this Note by delivering written notice thereof (the “</w:t>
      </w:r>
      <w:r>
        <w:rPr>
          <w:rFonts w:ascii="Times New Roman" w:cs="Times New Roman" w:eastAsia="Times New Roman" w:hAnsi="Times New Roman"/>
          <w:sz w:val="18"/>
          <w:szCs w:val="18"/>
          <w:b w:val="1"/>
          <w:bCs w:val="1"/>
          <w:color w:val="auto"/>
        </w:rPr>
        <w:t>Event of Default Redemption Notice</w:t>
      </w:r>
      <w:r>
        <w:rPr>
          <w:rFonts w:ascii="Times New Roman" w:cs="Times New Roman" w:eastAsia="Times New Roman" w:hAnsi="Times New Roman"/>
          <w:sz w:val="18"/>
          <w:szCs w:val="18"/>
          <w:color w:val="auto"/>
        </w:rPr>
        <w:t>” and the date the Holder delivers such notice to the Company, the “</w:t>
      </w:r>
      <w:r>
        <w:rPr>
          <w:rFonts w:ascii="Times New Roman" w:cs="Times New Roman" w:eastAsia="Times New Roman" w:hAnsi="Times New Roman"/>
          <w:sz w:val="18"/>
          <w:szCs w:val="18"/>
          <w:b w:val="1"/>
          <w:bCs w:val="1"/>
          <w:color w:val="auto"/>
        </w:rPr>
        <w:t>Event of Default Redemption Notice Date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 redeem. Each portion of this Note subject to redemption by the Company pursuant to this Section 4(b) shall be redeemed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64" w:name="page65"/>
    <w:bookmarkEnd w:id="64"/>
    <w:p>
      <w:pPr>
        <w:jc w:val="both"/>
        <w:spacing w:after="0" w:line="252" w:lineRule="auto"/>
        <w:rPr>
          <w:sz w:val="20"/>
          <w:szCs w:val="20"/>
          <w:color w:val="auto"/>
        </w:rPr>
      </w:pPr>
      <w:r>
        <w:rPr>
          <w:rFonts w:ascii="Times New Roman" w:cs="Times New Roman" w:eastAsia="Times New Roman" w:hAnsi="Times New Roman"/>
          <w:sz w:val="18"/>
          <w:szCs w:val="18"/>
          <w:color w:val="auto"/>
        </w:rPr>
        <w:t>Company at a price equal to the product of (A) the Conversion Amount to be redeemed multiplied by (B) the Event of Default Redemption Factor plus, in the case of a Major Event of Default, the Option Value of the conversion feature of the Note calculated on the date preceding such Event of Default (the “</w:t>
      </w:r>
      <w:r>
        <w:rPr>
          <w:rFonts w:ascii="Times New Roman" w:cs="Times New Roman" w:eastAsia="Times New Roman" w:hAnsi="Times New Roman"/>
          <w:sz w:val="18"/>
          <w:szCs w:val="18"/>
          <w:b w:val="1"/>
          <w:bCs w:val="1"/>
          <w:color w:val="auto"/>
        </w:rPr>
        <w:t>Event of Default Redemption Price</w:t>
      </w:r>
      <w:r>
        <w:rPr>
          <w:rFonts w:ascii="Times New Roman" w:cs="Times New Roman" w:eastAsia="Times New Roman" w:hAnsi="Times New Roman"/>
          <w:sz w:val="18"/>
          <w:szCs w:val="18"/>
          <w:color w:val="auto"/>
        </w:rPr>
        <w:t>”); provided, however, that for the benefit of other Holders, each Holder may only be entitled to its pro-rata share (determined by the percentage of the principal amount of all Notes outstanding secured by the Cash Account held by the Holder) of the Cash Account and Bitcoin Escrow Account respectively. Redemptions required by this Section 4(b) shall be made in accordance with the provisions of Section 11.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Ordinary Shares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factor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 The rights of the Holder herein shall be in addition to, and not in limitation of, any rights the Holder, or the Collateral Agent on the Holder’s behalf, shall have under the Pledge Agreement or any of the other Security Documents.</w:t>
      </w:r>
    </w:p>
    <w:p>
      <w:pPr>
        <w:spacing w:after="0" w:line="193" w:lineRule="exact"/>
        <w:rPr>
          <w:sz w:val="20"/>
          <w:szCs w:val="20"/>
          <w:color w:val="auto"/>
        </w:rPr>
      </w:pPr>
    </w:p>
    <w:p>
      <w:pPr>
        <w:jc w:val="both"/>
        <w:ind w:firstLine="745"/>
        <w:spacing w:after="0" w:line="254" w:lineRule="auto"/>
        <w:tabs>
          <w:tab w:leader="none" w:pos="99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upon Bankruptcy Event of Default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of the events in Sections 4(a)(ix), 4(a)(x) and 4(a)(xi) (a “</w:t>
      </w:r>
      <w:r>
        <w:rPr>
          <w:rFonts w:ascii="Times New Roman" w:cs="Times New Roman" w:eastAsia="Times New Roman" w:hAnsi="Times New Roman"/>
          <w:sz w:val="18"/>
          <w:szCs w:val="18"/>
          <w:b w:val="1"/>
          <w:bCs w:val="1"/>
          <w:color w:val="auto"/>
        </w:rPr>
        <w:t>Bankruptcy Event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whether occurring prior to or following the Maturity Date, the Company shall immediately pay to the Holder an amount in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(i) all outstanding Principal, accrued and unpaid Interest and accrued and unpaid Late Charges on such Principal and Interest, multiplied by (ii) the Event of Default Redemption Factor,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spacing w:after="0" w:line="188" w:lineRule="exact"/>
        <w:rPr>
          <w:sz w:val="20"/>
          <w:szCs w:val="20"/>
          <w:color w:val="auto"/>
        </w:rPr>
      </w:pPr>
    </w:p>
    <w:p>
      <w:pPr>
        <w:ind w:left="920" w:hanging="175"/>
        <w:spacing w:after="0"/>
        <w:tabs>
          <w:tab w:leader="none" w:pos="9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FUNDAMENTAL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5"/>
        <w:spacing w:after="0" w:line="252" w:lineRule="auto"/>
        <w:tabs>
          <w:tab w:leader="none" w:pos="99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The Company shall not enter into or be party to a Fundamental Transaction unless the Successor Entity assumes in writing all of the obligations of the Company under this Note and the other Transaction Documents in accordance with the provisions of this Section 5(a) pursuant to written agreements in form and substance reasonably satisfactory to the Holder and approved by the Holder (such approval not to be unreasonably withheld or delayed)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reasonably satisfactory to the Holder.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Ordinary Shares (or other securities,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65" w:name="page66"/>
    <w:bookmarkEnd w:id="65"/>
    <w:p>
      <w:pPr>
        <w:jc w:val="both"/>
        <w:ind w:left="3"/>
        <w:spacing w:after="0" w:line="254" w:lineRule="auto"/>
        <w:rPr>
          <w:sz w:val="20"/>
          <w:szCs w:val="20"/>
          <w:color w:val="auto"/>
        </w:rPr>
      </w:pPr>
      <w:r>
        <w:rPr>
          <w:rFonts w:ascii="Times New Roman" w:cs="Times New Roman" w:eastAsia="Times New Roman" w:hAnsi="Times New Roman"/>
          <w:sz w:val="18"/>
          <w:szCs w:val="18"/>
          <w:color w:val="auto"/>
        </w:rPr>
        <w:t>assets or other property (except such items still issuable under Sections 6 and 15,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spacing w:after="0" w:line="192" w:lineRule="exact"/>
        <w:rPr>
          <w:sz w:val="20"/>
          <w:szCs w:val="20"/>
          <w:color w:val="auto"/>
        </w:rPr>
      </w:pPr>
    </w:p>
    <w:p>
      <w:pPr>
        <w:jc w:val="both"/>
        <w:ind w:left="3" w:firstLine="745"/>
        <w:spacing w:after="0" w:line="261"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 Change of Control</w:t>
      </w:r>
      <w:r>
        <w:rPr>
          <w:rFonts w:ascii="Times New Roman" w:cs="Times New Roman" w:eastAsia="Times New Roman" w:hAnsi="Times New Roman"/>
          <w:sz w:val="18"/>
          <w:szCs w:val="18"/>
          <w:color w:val="auto"/>
        </w:rPr>
        <w:t>. No sooner than thirty (30) Trading Days nor later than twenty (20) Trading Days prior to the consummation of a Change of Control (the “</w:t>
      </w:r>
      <w:r>
        <w:rPr>
          <w:rFonts w:ascii="Times New Roman" w:cs="Times New Roman" w:eastAsia="Times New Roman" w:hAnsi="Times New Roman"/>
          <w:sz w:val="18"/>
          <w:szCs w:val="18"/>
          <w:b w:val="1"/>
          <w:bCs w:val="1"/>
          <w:color w:val="auto"/>
        </w:rPr>
        <w:t>Change of Control Date</w:t>
      </w:r>
      <w:r>
        <w:rPr>
          <w:rFonts w:ascii="Times New Roman" w:cs="Times New Roman" w:eastAsia="Times New Roman" w:hAnsi="Times New Roman"/>
          <w:sz w:val="18"/>
          <w:szCs w:val="18"/>
          <w:color w:val="auto"/>
        </w:rPr>
        <w:t>”), but not prior to the public announcement of such Change of Control, the Company shall to the extent legally permissible deliver written notice thereof via electronic mail and overnight courier to the Holder (a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Control Notice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3" w:firstLine="745"/>
        <w:spacing w:after="0" w:line="254" w:lineRule="auto"/>
        <w:tabs>
          <w:tab w:leader="none" w:pos="101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Change of Control Redemption Right</w:t>
      </w:r>
      <w:r>
        <w:rPr>
          <w:rFonts w:ascii="Times New Roman" w:cs="Times New Roman" w:eastAsia="Times New Roman" w:hAnsi="Times New Roman"/>
          <w:sz w:val="18"/>
          <w:szCs w:val="18"/>
          <w:color w:val="auto"/>
        </w:rPr>
        <w:t>. At any time during the period beginning after the Holder’s receipt of a Change of Control Notice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(a “</w:t>
      </w:r>
      <w:r>
        <w:rPr>
          <w:rFonts w:ascii="Times New Roman" w:cs="Times New Roman" w:eastAsia="Times New Roman" w:hAnsi="Times New Roman"/>
          <w:sz w:val="18"/>
          <w:szCs w:val="18"/>
          <w:b w:val="1"/>
          <w:bCs w:val="1"/>
          <w:color w:val="auto"/>
        </w:rPr>
        <w:t>Holder Change of Control Redemption Notice</w:t>
      </w:r>
      <w:r>
        <w:rPr>
          <w:rFonts w:ascii="Times New Roman" w:cs="Times New Roman" w:eastAsia="Times New Roman" w:hAnsi="Times New Roman"/>
          <w:sz w:val="18"/>
          <w:szCs w:val="18"/>
          <w:color w:val="auto"/>
        </w:rPr>
        <w:t>”) to the Company, which Holder Change of Control Redemption Notice shall indicate the Conversion Amount the Holder is electing to redeem. The portion of this Note subject to redemption pursuant to this Section 5(c) shall be redeemed by the Company in cash in an amount equal to the Holder Change of Control Redemption Factor multiplied by the Conversion Amount being redeemed (the “</w:t>
      </w:r>
      <w:r>
        <w:rPr>
          <w:rFonts w:ascii="Times New Roman" w:cs="Times New Roman" w:eastAsia="Times New Roman" w:hAnsi="Times New Roman"/>
          <w:sz w:val="18"/>
          <w:szCs w:val="18"/>
          <w:b w:val="1"/>
          <w:bCs w:val="1"/>
          <w:color w:val="auto"/>
        </w:rPr>
        <w:t>Holder 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3" w:firstLine="745"/>
        <w:spacing w:after="0" w:line="268" w:lineRule="auto"/>
        <w:tabs>
          <w:tab w:leader="none" w:pos="102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Redemptions required by this Section 5 shall be made in accordance with the provisions of Section 11 and shall have priority to payments to shareholders in connection with such Change of Control. To the extent redemptions required by this Section 5 are deemed or determined by a court of competent jurisdiction to be prepayments of this Note by the Company, such redemptions shall be deemed to be voluntary prepayments. Notwithstanding anything to the contrary in this Section 5, but subject to Section 3(d), until the Holder Change of Control Redemption Price (together with any Late Charges thereon) is paid in full, the Conversion Amount subject to redemption under this Section 5 (together with any Late Charges thereon) may be converted, in whole or in part, by the Holder into Ordinary Shares pursuant to Section</w:t>
      </w:r>
    </w:p>
    <w:p>
      <w:pPr>
        <w:spacing w:after="0" w:line="4" w:lineRule="exact"/>
        <w:rPr>
          <w:rFonts w:ascii="Times New Roman" w:cs="Times New Roman" w:eastAsia="Times New Roman" w:hAnsi="Times New Roman"/>
          <w:sz w:val="17"/>
          <w:szCs w:val="17"/>
          <w:color w:val="auto"/>
        </w:rPr>
      </w:pPr>
    </w:p>
    <w:p>
      <w:pPr>
        <w:jc w:val="both"/>
        <w:ind w:left="3" w:hanging="3"/>
        <w:spacing w:after="0" w:line="253" w:lineRule="auto"/>
        <w:tabs>
          <w:tab w:leader="none" w:pos="20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Company’s redemption of any portion of this Note under this Section 5, the Holder’s damages would be uncertain and difficult to estimate because of the parties’ inability to predict future interest rates and the uncertainty of the availability of a suitable substitute investment opportunity for the Holder. Accordingly, any redemption factor due under this Section 5 is intended by the parties to be, and shall be deemed, a reasonable estimate of the Holder’s actual loss of its investment opportunity and not as a penalty.</w:t>
      </w:r>
    </w:p>
    <w:p>
      <w:pPr>
        <w:spacing w:after="0" w:line="189" w:lineRule="exact"/>
        <w:rPr>
          <w:sz w:val="20"/>
          <w:szCs w:val="20"/>
          <w:color w:val="auto"/>
        </w:rPr>
      </w:pPr>
    </w:p>
    <w:p>
      <w:pPr>
        <w:ind w:left="183" w:hanging="183"/>
        <w:spacing w:after="0"/>
        <w:tabs>
          <w:tab w:leader="none" w:pos="18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54" w:lineRule="auto"/>
        <w:tabs>
          <w:tab w:leader="none" w:pos="103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Note,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Note)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1010285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66" w:name="page67"/>
    <w:bookmarkEnd w:id="66"/>
    <w:p>
      <w:pPr>
        <w:spacing w:after="0" w:line="86" w:lineRule="exact"/>
        <w:rPr>
          <w:sz w:val="20"/>
          <w:szCs w:val="20"/>
          <w:color w:val="auto"/>
        </w:rPr>
      </w:pPr>
    </w:p>
    <w:p>
      <w:pPr>
        <w:jc w:val="both"/>
        <w:ind w:left="3"/>
        <w:spacing w:after="0" w:line="261" w:lineRule="auto"/>
        <w:rPr>
          <w:sz w:val="20"/>
          <w:szCs w:val="20"/>
          <w:color w:val="auto"/>
        </w:rPr>
      </w:pPr>
      <w:r>
        <w:rPr>
          <w:rFonts w:ascii="Times New Roman" w:cs="Times New Roman" w:eastAsia="Times New Roman" w:hAnsi="Times New Roman"/>
          <w:sz w:val="18"/>
          <w:szCs w:val="18"/>
          <w:color w:val="auto"/>
        </w:rPr>
        <w:t>had this Note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6(a) shall apply similarly and equally to successive Corporate Events and shall be applied without regard to any limitations on the conversion or redemption of this Note.</w:t>
      </w:r>
    </w:p>
    <w:p>
      <w:pPr>
        <w:spacing w:after="0" w:line="180" w:lineRule="exact"/>
        <w:rPr>
          <w:sz w:val="20"/>
          <w:szCs w:val="20"/>
          <w:color w:val="auto"/>
        </w:rPr>
      </w:pPr>
    </w:p>
    <w:p>
      <w:pPr>
        <w:jc w:val="both"/>
        <w:ind w:left="3" w:firstLine="745"/>
        <w:spacing w:after="0" w:line="256" w:lineRule="auto"/>
        <w:tabs>
          <w:tab w:leader="none" w:pos="104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Cash Fundamental Transaction</w:t>
      </w:r>
      <w:r>
        <w:rPr>
          <w:rFonts w:ascii="Times New Roman" w:cs="Times New Roman" w:eastAsia="Times New Roman" w:hAnsi="Times New Roman"/>
          <w:sz w:val="18"/>
          <w:szCs w:val="18"/>
          <w:color w:val="auto"/>
        </w:rPr>
        <w:t xml:space="preserve">. Notwithstanding anything to the contrary set forth in Section 6(a), in the event of a Fundamental Transaction that is an all cash transaction, the Company or any Successor Entity shall, concurrently with the consummation of the Fundamental Transaction, purchase this Note from the Holder by paying to the Holder an amount in cash equal to the (i) the outstanding Principal and Interest due hereunder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 amount equal to the product of (a) the number of Conversion Shares issuable upon full conversion of this Note (without regard to any limitation on conversion of this Note) and (b) the positive difference between the cash per Ordinary Share paid in such Fundamental Transaction minus the then in effect Conversion Price.</w:t>
      </w:r>
    </w:p>
    <w:p>
      <w:pPr>
        <w:spacing w:after="0" w:line="187"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OTHER SECURITIES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56" w:lineRule="auto"/>
        <w:tabs>
          <w:tab w:leader="none" w:pos="9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w:t>
      </w:r>
      <w:r>
        <w:rPr>
          <w:rFonts w:ascii="Times New Roman" w:cs="Times New Roman" w:eastAsia="Times New Roman" w:hAnsi="Times New Roman"/>
          <w:sz w:val="18"/>
          <w:szCs w:val="18"/>
          <w:color w:val="auto"/>
        </w:rPr>
        <w:t>. Without limiting any provision of Section 6 or Section 15, if the Company at any time on or after the Subscription Date subdivides (by any stock split, stock dividend, stock combination, reverse stock split, recapitalization or other similar transaction) one or more classes of its outstanding Ordinary Shares into a greater number of shares, the Conversion Price in effect immediately prior to such subdivision will be proportionately reduced. Any adjustment pursuant to this Section 7(a) shall become effective immediately after the effective date of such subdivision or combination. If any event requiring an adjustment under this Section 7(a) occurs during the period that a Conversion Price is calculated hereunder, then the calculation of such Conversion Price shall be adjusted appropriately to reflect such event.</w:t>
      </w:r>
    </w:p>
    <w:p>
      <w:pPr>
        <w:spacing w:after="0" w:line="190" w:lineRule="exact"/>
        <w:rPr>
          <w:rFonts w:ascii="Times New Roman" w:cs="Times New Roman" w:eastAsia="Times New Roman" w:hAnsi="Times New Roman"/>
          <w:sz w:val="18"/>
          <w:szCs w:val="18"/>
          <w:color w:val="auto"/>
        </w:rPr>
      </w:pPr>
    </w:p>
    <w:p>
      <w:pPr>
        <w:jc w:val="both"/>
        <w:ind w:left="3" w:firstLine="745"/>
        <w:spacing w:after="0" w:line="222" w:lineRule="auto"/>
        <w:tabs>
          <w:tab w:leader="none" w:pos="100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by rounding to the nearest cent or the nearest 1/100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of a share, as applicable. The number of Ordinary Shares outstanding at any given time shall not include shares owned or held by or for the account of the Company, and the disposition of any such shares shall be considered an issue or sale of Ordinary Shares.</w:t>
      </w:r>
    </w:p>
    <w:p>
      <w:pPr>
        <w:spacing w:after="0" w:line="199" w:lineRule="exact"/>
        <w:rPr>
          <w:rFonts w:ascii="Times New Roman" w:cs="Times New Roman" w:eastAsia="Times New Roman" w:hAnsi="Times New Roman"/>
          <w:sz w:val="18"/>
          <w:szCs w:val="18"/>
          <w:color w:val="auto"/>
        </w:rPr>
      </w:pPr>
    </w:p>
    <w:p>
      <w:pPr>
        <w:jc w:val="both"/>
        <w:ind w:left="3" w:firstLine="745"/>
        <w:spacing w:after="0" w:line="266" w:lineRule="auto"/>
        <w:tabs>
          <w:tab w:leader="none" w:pos="101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Note, with the prior written consent of the Required Holders, reduce the then current Conversion Price of each of the Notes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left="-757" w:firstLine="757"/>
        <w:spacing w:after="0" w:line="253" w:lineRule="auto"/>
        <w:tabs>
          <w:tab w:leader="none" w:pos="17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the Articles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Ordinary Shares receivable upon conversion of this Note above the Conversion Price then in effect, and (b) shall take all such actions as may be necessary or appropriate in order that the Company may validly and legally issue fully paid and nonassessable Ordinary Shares upon the conversion of this Note. Notwithstanding anything herein to the contrary, if after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Ordinary Shares.</w:t>
      </w:r>
    </w:p>
    <w:p>
      <w:pPr>
        <w:spacing w:after="0" w:line="194"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AUTHORIZED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66" w:lineRule="auto"/>
        <w:tabs>
          <w:tab w:leader="none" w:pos="101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w:t>
      </w:r>
      <w:r>
        <w:rPr>
          <w:rFonts w:ascii="Times New Roman" w:cs="Times New Roman" w:eastAsia="Times New Roman" w:hAnsi="Times New Roman"/>
          <w:sz w:val="18"/>
          <w:szCs w:val="18"/>
          <w:color w:val="auto"/>
        </w:rPr>
        <w:t>. So long as any Notes remain outstanding, the Company shall at all times maintain allotment authority and a plan reserve for at least 100% of the number of Ordinary Shares as shall from time to time be necessary to effect the conversion of all of the Notes then outstanding (without regard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1002030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67" w:name="page68"/>
    <w:bookmarkEnd w:id="67"/>
    <w:p>
      <w:pPr>
        <w:spacing w:after="0" w:line="86" w:lineRule="exact"/>
        <w:rPr>
          <w:sz w:val="20"/>
          <w:szCs w:val="20"/>
          <w:color w:val="auto"/>
        </w:rPr>
      </w:pPr>
    </w:p>
    <w:p>
      <w:pPr>
        <w:ind w:left="3"/>
        <w:spacing w:after="0" w:line="282" w:lineRule="auto"/>
        <w:rPr>
          <w:sz w:val="20"/>
          <w:szCs w:val="20"/>
          <w:color w:val="auto"/>
        </w:rPr>
      </w:pPr>
      <w:r>
        <w:rPr>
          <w:rFonts w:ascii="Times New Roman" w:cs="Times New Roman" w:eastAsia="Times New Roman" w:hAnsi="Times New Roman"/>
          <w:sz w:val="18"/>
          <w:szCs w:val="18"/>
          <w:color w:val="auto"/>
        </w:rPr>
        <w:t>limitations on conversions and assuming such Notes remain outstanding until the Maturity Date) at the Conversion Price then in effect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3" w:firstLine="745"/>
        <w:spacing w:after="0" w:line="252" w:lineRule="auto"/>
        <w:tabs>
          <w:tab w:leader="none" w:pos="100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9(a), and not in limitation thereof, at any time while any of the Notes remain outstanding the Company does not have a sufficient unutilised allotment authority for such number of authorized and unreserved Ordinary Shares to satisfy its obligation to reserve for issuance upon conversion of the Notes at least a number of Ordinary Shares equal to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allotment authority in relation authorized Ordinary Shares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ninety (90) days after the occurrence of such Authorized Share Failure, and if required by the Eligible Market or the Articles, the Company shall hold a meeting of its shareholders for the approval of an increase in the allotment authority in relation to the number of authorized Ordinary Shares. In connection with such meeting, the Company shall (i) provide each shareholder with a proxy statement and (ii) use its best efforts to solicit its shareholders’ approval of such increase in authorized Ordinary Shares and to cause its board of directors to recommend to the shareholders that they approve such proposal. In the event that the Company is prohibited from issuing Ordinary Shares pursuant to the terms of this Note due to the failure by the Company to have sufficient unissued Ordinary Shares available for allotment under the available allotment authority (such unavailable number of Ordinary Shares, the “</w:t>
      </w:r>
      <w:r>
        <w:rPr>
          <w:rFonts w:ascii="Times New Roman" w:cs="Times New Roman" w:eastAsia="Times New Roman" w:hAnsi="Times New Roman"/>
          <w:sz w:val="18"/>
          <w:szCs w:val="18"/>
          <w:b w:val="1"/>
          <w:bCs w:val="1"/>
          <w:color w:val="auto"/>
        </w:rPr>
        <w:t>Authorized Failure Shares</w:t>
      </w:r>
      <w:r>
        <w:rPr>
          <w:rFonts w:ascii="Times New Roman" w:cs="Times New Roman" w:eastAsia="Times New Roman" w:hAnsi="Times New Roman"/>
          <w:sz w:val="18"/>
          <w:szCs w:val="18"/>
          <w:color w:val="auto"/>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Ordinary Shares on any Trading Day during the period commencing on the date the Holder delivers the applicable Conversion Notice with respect to such Authorized Failure Shares to the Company and ending on the date of such issuance and payment under this Section 9(a) Nothing contained in Section 9(a) or this Section 9(b) shall limit any obligations of the Company under any provision of the Securities Purchase Agreement.</w:t>
      </w:r>
    </w:p>
    <w:p>
      <w:pPr>
        <w:spacing w:after="0" w:line="190" w:lineRule="exact"/>
        <w:rPr>
          <w:rFonts w:ascii="Times New Roman" w:cs="Times New Roman" w:eastAsia="Times New Roman" w:hAnsi="Times New Roman"/>
          <w:sz w:val="18"/>
          <w:szCs w:val="18"/>
          <w:color w:val="auto"/>
        </w:rPr>
      </w:pPr>
    </w:p>
    <w:p>
      <w:pPr>
        <w:jc w:val="both"/>
        <w:ind w:left="-757" w:firstLine="757"/>
        <w:spacing w:after="0" w:line="252" w:lineRule="auto"/>
        <w:tabs>
          <w:tab w:leader="none" w:pos="28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 AT THE HOLDER’S ELECTION</w:t>
      </w:r>
      <w:r>
        <w:rPr>
          <w:rFonts w:ascii="Times New Roman" w:cs="Times New Roman" w:eastAsia="Times New Roman" w:hAnsi="Times New Roman"/>
          <w:sz w:val="18"/>
          <w:szCs w:val="18"/>
          <w:color w:val="auto"/>
        </w:rPr>
        <w:t>. The Holder shall have the right, in its sole and absolute discretion, to require that the Company redeem (a “</w:t>
      </w:r>
      <w:r>
        <w:rPr>
          <w:rFonts w:ascii="Times New Roman" w:cs="Times New Roman" w:eastAsia="Times New Roman" w:hAnsi="Times New Roman"/>
          <w:sz w:val="18"/>
          <w:szCs w:val="18"/>
          <w:b w:val="1"/>
          <w:bCs w:val="1"/>
          <w:color w:val="auto"/>
        </w:rPr>
        <w:t>Holder Optional Redemption</w:t>
      </w:r>
      <w:r>
        <w:rPr>
          <w:rFonts w:ascii="Times New Roman" w:cs="Times New Roman" w:eastAsia="Times New Roman" w:hAnsi="Times New Roman"/>
          <w:sz w:val="18"/>
          <w:szCs w:val="18"/>
          <w:color w:val="auto"/>
        </w:rPr>
        <w:t>”) all or any portion of the Conversion Amount of this Note up to an amount equal to the Holders pro-rata share of the cash held in the Cash Account on the date of the Holder Optional Redemption Notice Date. The Holder shall deliver written notice of the Holder’s election to exercise its Holder Optional Redemption (a “</w:t>
      </w:r>
      <w:r>
        <w:rPr>
          <w:rFonts w:ascii="Times New Roman" w:cs="Times New Roman" w:eastAsia="Times New Roman" w:hAnsi="Times New Roman"/>
          <w:sz w:val="18"/>
          <w:szCs w:val="18"/>
          <w:b w:val="1"/>
          <w:bCs w:val="1"/>
          <w:color w:val="auto"/>
        </w:rPr>
        <w:t>Holder Optional Redemption Notice</w:t>
      </w:r>
      <w:r>
        <w:rPr>
          <w:rFonts w:ascii="Times New Roman" w:cs="Times New Roman" w:eastAsia="Times New Roman" w:hAnsi="Times New Roman"/>
          <w:sz w:val="18"/>
          <w:szCs w:val="18"/>
          <w:color w:val="auto"/>
        </w:rPr>
        <w:t>” and the date the Holder delivers such notice to the Company, Trust Trustee, Holder Representative a “</w:t>
      </w:r>
      <w:r>
        <w:rPr>
          <w:rFonts w:ascii="Times New Roman" w:cs="Times New Roman" w:eastAsia="Times New Roman" w:hAnsi="Times New Roman"/>
          <w:sz w:val="18"/>
          <w:szCs w:val="18"/>
          <w:b w:val="1"/>
          <w:bCs w:val="1"/>
          <w:color w:val="auto"/>
        </w:rPr>
        <w:t>Holder Optional Redemption Notice Date</w:t>
      </w:r>
      <w:r>
        <w:rPr>
          <w:rFonts w:ascii="Times New Roman" w:cs="Times New Roman" w:eastAsia="Times New Roman" w:hAnsi="Times New Roman"/>
          <w:sz w:val="18"/>
          <w:szCs w:val="18"/>
          <w:color w:val="auto"/>
        </w:rPr>
        <w:t>”) to the Company which notice shall state (i) the portion of this Note that is being redeemed by the Holder, (ii) the date on which the Holder Optional Redemption shall occur, which date shall be the second (2nd) Business Day from the applicable Holder Optional Redemption Notice Date (a “</w:t>
      </w:r>
      <w:r>
        <w:rPr>
          <w:rFonts w:ascii="Times New Roman" w:cs="Times New Roman" w:eastAsia="Times New Roman" w:hAnsi="Times New Roman"/>
          <w:sz w:val="18"/>
          <w:szCs w:val="18"/>
          <w:b w:val="1"/>
          <w:bCs w:val="1"/>
          <w:color w:val="auto"/>
        </w:rPr>
        <w:t>Holder Optional Redemption Date</w:t>
      </w:r>
      <w:r>
        <w:rPr>
          <w:rFonts w:ascii="Times New Roman" w:cs="Times New Roman" w:eastAsia="Times New Roman" w:hAnsi="Times New Roman"/>
          <w:sz w:val="18"/>
          <w:szCs w:val="18"/>
          <w:color w:val="auto"/>
        </w:rPr>
        <w:t>”) and (iii) the wire instructions for the payment of the applicable Holder Optional Redemption Price (as defined below) to the Holder. The Company shall provide notice to all Additional Noteholders and the Holder Representative of such request. The portion of this Note subject to redemption pursuant to this Section 10 shall be redeemed by the Company in cash at a price equal to the Conversion Amount being redeemed, including, without limitation, any accrued and unpaid Interest and Late Charges, if any, on such Conversion Amount and Interest through the applicable Holder Optional Redemption Date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Optional Redemption Price</w:t>
      </w:r>
      <w:r>
        <w:rPr>
          <w:rFonts w:ascii="Times New Roman" w:cs="Times New Roman" w:eastAsia="Times New Roman" w:hAnsi="Times New Roman"/>
          <w:sz w:val="18"/>
          <w:szCs w:val="18"/>
          <w:color w:val="auto"/>
        </w:rPr>
        <w:t>”). On the applicable Holder Optional Redemption Date, the Company shall deliver or shall cause to be delivered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the Holder Optional Redemption Price in cash from the Cash Account by wire transfer of immediately available funds pursuant to wire instructions provided by the Holder in writing to the Company. Holder Optional Redemptions made pursuant to this Section 10 shall be made in accordance with the procedures set forth in Section 11. To the extent redemptions required by this Section 10 are deemed or determined by a court of competent jurisdiction to be prepayments of the Note by the Company, such redemptions shall be deemed to be voluntary prepayments. Notwithstanding anything to the contrary in this Section 10, but subject to Section 3(d), until the Holder Optional Redemption Price (together with any Late Charges thereon) is paid in full, the Conversion Amount submitted for redemption under this Section 10 (together with any Late Charges thereon) may be converted, in whole or in part, by the Holder into Ordinary Shares pursuant to Section 3. The parties hereto agree that in the event of the Company’s redemption of any portion of the Note under this Section 10, the Holder’s damages would be uncertain and difficult to estimate because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1010920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inability to predict future interest rates and the uncertainty of the availability of a suitable substitute investment opportunity for the Holder.</w:t>
      </w:r>
    </w:p>
    <w:p>
      <w:pPr>
        <w:spacing w:after="0" w:line="225" w:lineRule="exact"/>
        <w:rPr>
          <w:sz w:val="20"/>
          <w:szCs w:val="20"/>
          <w:color w:val="auto"/>
        </w:rPr>
      </w:pPr>
    </w:p>
    <w:p>
      <w:pPr>
        <w:ind w:left="1020" w:hanging="26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firstLine="745"/>
        <w:spacing w:after="0" w:line="251" w:lineRule="auto"/>
        <w:tabs>
          <w:tab w:leader="none" w:pos="176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The Company shall deliver the applicable Event of Default Redemption Price to the Holder in cash within five (5) Business Days after the Company’s receipt of the Holder’s Event of Default Redemption Notice (the “</w:t>
      </w:r>
      <w:r>
        <w:rPr>
          <w:rFonts w:ascii="Times New Roman" w:cs="Times New Roman" w:eastAsia="Times New Roman" w:hAnsi="Times New Roman"/>
          <w:sz w:val="18"/>
          <w:szCs w:val="18"/>
          <w:b w:val="1"/>
          <w:bCs w:val="1"/>
          <w:color w:val="auto"/>
        </w:rPr>
        <w:t>Event of Default Redemption Date</w:t>
      </w:r>
      <w:r>
        <w:rPr>
          <w:rFonts w:ascii="Times New Roman" w:cs="Times New Roman" w:eastAsia="Times New Roman" w:hAnsi="Times New Roman"/>
          <w:sz w:val="18"/>
          <w:szCs w:val="18"/>
          <w:color w:val="auto"/>
        </w:rPr>
        <w:t>”). If the Holder has submitted a Holder Change of Control Redemption Notice in accordance with Section 5(c), the Company shall deliver the applicable Holder Change of Control Redemption Price to the Holder in cash concurrently with the consummation of such Change of Control if such notice is received prior to the consummation of such Change of Control and otherwise within five (5) Business Days after the Company’s receipt of such notice. The Company shall deliver the Holder Optional Redemption Price to the Holder on the Holder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at the option of the Holder, the Company shall promptly cause to be issued and delivered to the Holder a new Note (in accordance with Section 18(d))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18(d)), to the Holder, and in each case the principal amount of this Note or such new Note (as the case may be) shall be increased by an amount equal to the difference between (1) the applicable Redemption Price (as the case may be, and as adjusted pursuant to this Section 11, if applicable) minus (2) the Principal portion of the Conversion Amount submitted for redemption.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205" w:lineRule="exact"/>
        <w:rPr>
          <w:rFonts w:ascii="Times New Roman" w:cs="Times New Roman" w:eastAsia="Times New Roman" w:hAnsi="Times New Roman"/>
          <w:sz w:val="18"/>
          <w:szCs w:val="18"/>
          <w:color w:val="auto"/>
        </w:rPr>
      </w:pPr>
    </w:p>
    <w:p>
      <w:pPr>
        <w:jc w:val="both"/>
        <w:ind w:left="760" w:firstLine="745"/>
        <w:spacing w:after="0" w:line="254" w:lineRule="auto"/>
        <w:tabs>
          <w:tab w:leader="none" w:pos="179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by Other Holders</w:t>
      </w:r>
      <w:r>
        <w:rPr>
          <w:rFonts w:ascii="Times New Roman" w:cs="Times New Roman" w:eastAsia="Times New Roman" w:hAnsi="Times New Roman"/>
          <w:sz w:val="18"/>
          <w:szCs w:val="18"/>
          <w:color w:val="auto"/>
        </w:rPr>
        <w:t>. Upon the Company’s receipt of notice from any of the holders of the Additional Notes for redemption or repayment as a result of an event or occurrence substantially similar to the events or occurrences described in Section 4(b), Section 5(c) or Section 10 (each, an “</w:t>
      </w:r>
      <w:r>
        <w:rPr>
          <w:rFonts w:ascii="Times New Roman" w:cs="Times New Roman" w:eastAsia="Times New Roman" w:hAnsi="Times New Roman"/>
          <w:sz w:val="18"/>
          <w:szCs w:val="18"/>
          <w:b w:val="1"/>
          <w:bCs w:val="1"/>
          <w:color w:val="auto"/>
        </w:rPr>
        <w:t>Other Redemption Notice</w:t>
      </w:r>
      <w:r>
        <w:rPr>
          <w:rFonts w:ascii="Times New Roman" w:cs="Times New Roman" w:eastAsia="Times New Roman" w:hAnsi="Times New Roman"/>
          <w:sz w:val="18"/>
          <w:szCs w:val="18"/>
          <w:color w:val="auto"/>
        </w:rPr>
        <w:t>”), the Company shall immediately, but no later than one (1) Business Day of its receipt thereof, forward to the Holder by electronic mail and overnight courier a copy of such notice. If the Company receives a Redemption Notice and one or more Other Redemption Notices, during the seven (7) Business Day period beginning on and including the date which is two</w:t>
      </w:r>
    </w:p>
    <w:p>
      <w:pPr>
        <w:spacing w:after="0" w:line="3" w:lineRule="exact"/>
        <w:rPr>
          <w:rFonts w:ascii="Times New Roman" w:cs="Times New Roman" w:eastAsia="Times New Roman" w:hAnsi="Times New Roman"/>
          <w:sz w:val="18"/>
          <w:szCs w:val="18"/>
          <w:color w:val="auto"/>
        </w:rPr>
      </w:pPr>
    </w:p>
    <w:p>
      <w:pPr>
        <w:jc w:val="both"/>
        <w:ind w:left="7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spacing w:after="0" w:line="189" w:lineRule="exact"/>
        <w:rPr>
          <w:rFonts w:ascii="Times New Roman" w:cs="Times New Roman" w:eastAsia="Times New Roman" w:hAnsi="Times New Roman"/>
          <w:sz w:val="18"/>
          <w:szCs w:val="18"/>
          <w:color w:val="auto"/>
        </w:rPr>
      </w:pPr>
    </w:p>
    <w:p>
      <w:pPr>
        <w:jc w:val="both"/>
        <w:ind w:left="760" w:firstLine="745"/>
        <w:spacing w:after="0" w:line="266" w:lineRule="auto"/>
        <w:tabs>
          <w:tab w:leader="none" w:pos="176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any redemption obligation of the Company that has then become due under the Notes to the Holder (each, a “</w:t>
      </w:r>
      <w:r>
        <w:rPr>
          <w:rFonts w:ascii="Times New Roman" w:cs="Times New Roman" w:eastAsia="Times New Roman" w:hAnsi="Times New Roman"/>
          <w:sz w:val="18"/>
          <w:szCs w:val="18"/>
          <w:b w:val="1"/>
          <w:bCs w:val="1"/>
          <w:color w:val="auto"/>
        </w:rPr>
        <w:t>Redemption Payment Obligation</w:t>
      </w:r>
      <w:r>
        <w:rPr>
          <w:rFonts w:ascii="Times New Roman" w:cs="Times New Roman" w:eastAsia="Times New Roman" w:hAnsi="Times New Roman"/>
          <w:sz w:val="18"/>
          <w:szCs w:val="18"/>
          <w:color w:val="auto"/>
        </w:rPr>
        <w:t>”), may be satisfied from the cash deposited in the Cash Account, to the extent there is cash available in the Cash Account. The Company hereby irrevocably consents to the Holder’s delivery of an instruction letter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Collateral Agent instructing the Collateral Agent to send a written instruction to the bank holding the Cash Account to release to the Holder (to the bank account of Holder identified to the Collateral Agent in such Holder’s instruction letter to the Collateral Agent) cash deposited in the Cash Account, in each case, in an amount not to exceed any Redemption Payment Obligation. For the avoidance of doubt, in no event shall the available cash in the Cash Account limit the Company’s Redemption Payment Obligation to the Holder under an Event of Default, in which case, the Company shall pay to the Holder any Redemption Payment Obligation.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shall have no voting rights as the holder of this Note, except as required by law and as expressly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w:t>
      </w:r>
    </w:p>
    <w:p>
      <w:pPr>
        <w:spacing w:after="0" w:line="207" w:lineRule="exact"/>
        <w:rPr>
          <w:sz w:val="20"/>
          <w:szCs w:val="20"/>
          <w:color w:val="auto"/>
        </w:rPr>
      </w:pPr>
    </w:p>
    <w:p>
      <w:pPr>
        <w:ind w:firstLine="851"/>
        <w:spacing w:after="0" w:line="282" w:lineRule="auto"/>
        <w:tabs>
          <w:tab w:leader="none" w:pos="111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Until all of the Notes have been converted, redeemed or otherwise satisfied in accordance with their terms, without the prior written consent of the Required Holders:</w:t>
      </w:r>
    </w:p>
    <w:p>
      <w:pPr>
        <w:spacing w:after="0" w:line="159"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xml:space="preserve">. All payments due under this Note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Additional Notes.</w:t>
      </w:r>
    </w:p>
    <w:p>
      <w:pPr>
        <w:spacing w:after="0" w:line="227" w:lineRule="exact"/>
        <w:rPr>
          <w:rFonts w:ascii="Times New Roman" w:cs="Times New Roman" w:eastAsia="Times New Roman" w:hAnsi="Times New Roman"/>
          <w:sz w:val="18"/>
          <w:szCs w:val="18"/>
          <w:color w:val="auto"/>
        </w:rPr>
      </w:pPr>
    </w:p>
    <w:p>
      <w:pPr>
        <w:jc w:val="both"/>
        <w:ind w:left="760" w:firstLine="745"/>
        <w:spacing w:after="0" w:line="258" w:lineRule="auto"/>
        <w:tabs>
          <w:tab w:leader="none" w:pos="177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Incurrence of Indebtedness</w:t>
      </w:r>
      <w:r>
        <w:rPr>
          <w:rFonts w:ascii="Times New Roman" w:cs="Times New Roman" w:eastAsia="Times New Roman" w:hAnsi="Times New Roman"/>
          <w:sz w:val="18"/>
          <w:szCs w:val="18"/>
          <w:color w:val="auto"/>
        </w:rPr>
        <w:t>. The Company shall not, and the Company shall cause each of its Subsidiaries (including without limitation the New SPV Subsidiary) to not, and each Guarantor shall not, and each Guarantor shall cause each of its Subsidiaries to not, directly or indirectly, incur or guarantee, assume or suffer to exist any Indebtedness (other than the Indebtedness evidenced by this Note and the Additional Notes and the Indebtedness identified on Schedule 3(s) to the Securities Purchase Agreement or permit any such Indebtedness (other than the Notes and the Additional Notes) to be secured by the New SPV Subsidiary or any assets of the New SPV Subsidiary.</w:t>
      </w:r>
    </w:p>
    <w:p>
      <w:pPr>
        <w:spacing w:after="0" w:line="183" w:lineRule="exact"/>
        <w:rPr>
          <w:rFonts w:ascii="Times New Roman" w:cs="Times New Roman" w:eastAsia="Times New Roman" w:hAnsi="Times New Roman"/>
          <w:sz w:val="18"/>
          <w:szCs w:val="18"/>
          <w:color w:val="auto"/>
        </w:rPr>
      </w:pPr>
    </w:p>
    <w:p>
      <w:pPr>
        <w:jc w:val="both"/>
        <w:ind w:left="760" w:firstLine="745"/>
        <w:spacing w:after="0" w:line="256" w:lineRule="auto"/>
        <w:tabs>
          <w:tab w:leader="none" w:pos="175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of Liens</w:t>
      </w:r>
      <w:r>
        <w:rPr>
          <w:rFonts w:ascii="Times New Roman" w:cs="Times New Roman" w:eastAsia="Times New Roman" w:hAnsi="Times New Roman"/>
          <w:sz w:val="18"/>
          <w:szCs w:val="18"/>
          <w:color w:val="auto"/>
        </w:rPr>
        <w:t>. The Company shall not, and the Company shall cause each of its Subsidiaries (including without limitation the New SPV Subsidiary) to not, and each Guarantor shall not, and each Guarantor shall cause each of its Subsidiaries (including without limitation the New SPV Subsidiary) to not, directly or indirectly, allow or suffer to exist any mortgage, lien, pledge, charge, security interest or other encumbrance upon or in any property or assets (including accounts and contract rights)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owned by the New SPV Subsidiary. No Liens of any type shall exist on any Collateral, any Trust Property or any assets deposited in the Cash Account or any Escrow Bitcoin or any assets transferred to the Bitcoin Escrow Account.</w:t>
      </w:r>
    </w:p>
    <w:p>
      <w:pPr>
        <w:spacing w:after="0" w:line="187" w:lineRule="exact"/>
        <w:rPr>
          <w:rFonts w:ascii="Times New Roman" w:cs="Times New Roman" w:eastAsia="Times New Roman" w:hAnsi="Times New Roman"/>
          <w:sz w:val="18"/>
          <w:szCs w:val="18"/>
          <w:color w:val="auto"/>
        </w:rPr>
      </w:pPr>
    </w:p>
    <w:p>
      <w:pPr>
        <w:jc w:val="both"/>
        <w:ind w:left="760" w:firstLine="840"/>
        <w:spacing w:after="0" w:line="266" w:lineRule="auto"/>
        <w:tabs>
          <w:tab w:leader="none" w:pos="1858"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Transfer of Assets</w:t>
      </w:r>
      <w:r>
        <w:rPr>
          <w:rFonts w:ascii="Times New Roman" w:cs="Times New Roman" w:eastAsia="Times New Roman" w:hAnsi="Times New Roman"/>
          <w:sz w:val="18"/>
          <w:szCs w:val="18"/>
          <w:color w:val="auto"/>
        </w:rPr>
        <w:t>. The Company shall not, and the Company shall cause the New SPV Subsidiary to not, directly or indirectly, sell, lease, license, assign, transfer, spin-off, split-off, close, convey or otherwise dispose of any assets or rights of the New SPV Subsidiary owned or hereafter acquired whether in a single transaction or a series of related transactions.</w:t>
      </w:r>
    </w:p>
    <w:p>
      <w:pPr>
        <w:spacing w:after="0" w:line="176" w:lineRule="exact"/>
        <w:rPr>
          <w:sz w:val="20"/>
          <w:szCs w:val="20"/>
          <w:color w:val="auto"/>
        </w:rPr>
      </w:pPr>
    </w:p>
    <w:p>
      <w:pPr>
        <w:jc w:val="both"/>
        <w:ind w:left="760" w:firstLine="745"/>
        <w:spacing w:after="0" w:line="261" w:lineRule="auto"/>
        <w:tabs>
          <w:tab w:leader="none" w:pos="176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The Company shall cause the New SPV Subsidiary to not, directly or indirectly, engage in any material line of business substantially different from those lines of business conducted by it on the Subscription Date or any business substantially related or incidental thereto. The Company shall cause the New SPV Subsidiary to not, directly or indirectly, modify its or their corporate structure or purpose.</w:t>
      </w:r>
    </w:p>
    <w:p>
      <w:pPr>
        <w:spacing w:after="0" w:line="179" w:lineRule="exact"/>
        <w:rPr>
          <w:rFonts w:ascii="Times New Roman" w:cs="Times New Roman" w:eastAsia="Times New Roman" w:hAnsi="Times New Roman"/>
          <w:sz w:val="18"/>
          <w:szCs w:val="18"/>
          <w:color w:val="auto"/>
        </w:rPr>
      </w:pPr>
    </w:p>
    <w:p>
      <w:pPr>
        <w:jc w:val="both"/>
        <w:ind w:left="760" w:firstLine="745"/>
        <w:spacing w:after="0" w:line="261" w:lineRule="auto"/>
        <w:tabs>
          <w:tab w:leader="none" w:pos="174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The Company shall maintain and preserve, and cause the New SPV Subsidiary to maintain and preserve, its existence, rights and privileges, and become or remain, and cause the New SPV Subsidiary to become or remain, duly qualified and in good standing in each jurisdiction in which the character of the properties owned or leased by it or in which the transaction of its business makes such qualification necessary.</w:t>
      </w:r>
    </w:p>
    <w:p>
      <w:pPr>
        <w:spacing w:after="0" w:line="179" w:lineRule="exact"/>
        <w:rPr>
          <w:rFonts w:ascii="Times New Roman" w:cs="Times New Roman" w:eastAsia="Times New Roman" w:hAnsi="Times New Roman"/>
          <w:sz w:val="18"/>
          <w:szCs w:val="18"/>
          <w:color w:val="auto"/>
        </w:rPr>
      </w:pPr>
    </w:p>
    <w:p>
      <w:pPr>
        <w:jc w:val="both"/>
        <w:ind w:left="760" w:firstLine="745"/>
        <w:spacing w:after="0" w:line="261" w:lineRule="auto"/>
        <w:tabs>
          <w:tab w:leader="none" w:pos="176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The Company shall cause the New SPV Subsidiary to maintain and preserve, all of its properties which are necessary or useful in the proper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ind w:left="640" w:hanging="255"/>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60" w:firstLine="745"/>
        <w:spacing w:after="0" w:line="266" w:lineRule="auto"/>
        <w:tabs>
          <w:tab w:leader="none" w:pos="61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and each of its Subsidiaries shall remain insured by insurers of generally recognized financial responsibility in the market against such losses and risks and in such amounts as management of the Company believes in good faith to be prudent and customary in the businesses in which the Company and its Subsidiaries are engaged.</w:t>
      </w:r>
    </w:p>
    <w:p>
      <w:pPr>
        <w:spacing w:after="0" w:line="175" w:lineRule="exact"/>
        <w:rPr>
          <w:rFonts w:ascii="Times New Roman" w:cs="Times New Roman" w:eastAsia="Times New Roman" w:hAnsi="Times New Roman"/>
          <w:sz w:val="18"/>
          <w:szCs w:val="18"/>
          <w:color w:val="auto"/>
        </w:rPr>
      </w:pPr>
    </w:p>
    <w:p>
      <w:pPr>
        <w:jc w:val="both"/>
        <w:ind w:left="-360" w:firstLine="745"/>
        <w:spacing w:after="0" w:line="256" w:lineRule="auto"/>
        <w:tabs>
          <w:tab w:leader="none" w:pos="61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Company shall not, nor shall it permit any of its Subsidiaries (including without limitation the New SPV Subsidiary) to, and each Guarantor shall not,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that are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87" w:lineRule="exact"/>
        <w:rPr>
          <w:rFonts w:ascii="Times New Roman" w:cs="Times New Roman" w:eastAsia="Times New Roman" w:hAnsi="Times New Roman"/>
          <w:sz w:val="18"/>
          <w:szCs w:val="18"/>
          <w:color w:val="auto"/>
        </w:rPr>
      </w:pPr>
    </w:p>
    <w:p>
      <w:pPr>
        <w:jc w:val="both"/>
        <w:ind w:left="-360" w:right="20" w:firstLine="745"/>
        <w:spacing w:after="0" w:line="266" w:lineRule="auto"/>
        <w:tabs>
          <w:tab w:leader="none" w:pos="6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Issuances</w:t>
      </w:r>
      <w:r>
        <w:rPr>
          <w:rFonts w:ascii="Times New Roman" w:cs="Times New Roman" w:eastAsia="Times New Roman" w:hAnsi="Times New Roman"/>
          <w:sz w:val="18"/>
          <w:szCs w:val="18"/>
          <w:color w:val="auto"/>
        </w:rPr>
        <w:t>. The Company shall not, and each Guarantor shall not, directly or indirectly, without the prior written consent of the Required Holders, issue any Notes (other than as contemplated by the Securities Purchase Agreement and the Notes) or any other securities that would cause a an Event of Default under the Notes.</w:t>
      </w:r>
    </w:p>
    <w:p>
      <w:pPr>
        <w:spacing w:after="0" w:line="175" w:lineRule="exact"/>
        <w:rPr>
          <w:rFonts w:ascii="Times New Roman" w:cs="Times New Roman" w:eastAsia="Times New Roman" w:hAnsi="Times New Roman"/>
          <w:sz w:val="18"/>
          <w:szCs w:val="18"/>
          <w:color w:val="auto"/>
        </w:rPr>
      </w:pPr>
    </w:p>
    <w:p>
      <w:pPr>
        <w:jc w:val="both"/>
        <w:ind w:left="-360" w:firstLine="745"/>
        <w:spacing w:after="0" w:line="251" w:lineRule="auto"/>
        <w:tabs>
          <w:tab w:leader="none" w:pos="63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At the request of the Holder either (x) at any time when an Event of Default has occurred and is continuing, (y) upon the occurrence of an event that with the passage of time or giving of notice would constitute an Event of Default or (z) at any time the 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 w:cs="Times New Roman" w:eastAsia="Times New Roman" w:hAnsi="Times New Roman"/>
          <w:sz w:val="18"/>
          <w:szCs w:val="18"/>
          <w:b w:val="1"/>
          <w:bCs w:val="1"/>
          <w:color w:val="auto"/>
        </w:rPr>
        <w:t>Independent Investigator</w:t>
      </w:r>
      <w:r>
        <w:rPr>
          <w:rFonts w:ascii="Times New Roman" w:cs="Times New Roman" w:eastAsia="Times New Roman" w:hAnsi="Times New Roman"/>
          <w:sz w:val="18"/>
          <w:szCs w:val="18"/>
          <w:color w:val="auto"/>
        </w:rPr>
        <w:t>”). If the Independent Investigator determines that such breach of this Note has occurred, the Independent Investigator shall notify the 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the Guarantors and their respective Subsidiaries (including without limitation the New SPV Subsidiary) and, to the extent available to the Company, the Guarantors and their respective Subsidiaries (including without limitation the New SPV Subsidiary) after the Company uses its reasonable best efforts to obtain them, the records of its legal advisors and accountants (including the accountants’ work papers) and any books of account, records, reports and other papers not contractually required of the Company or the Guarantors to be confidential or secret, or subject to attorney-client or other evidentiary privilege, and the Independent Investigator may make such copies and inspections thereof as the Independent Investigator may reasonably request. The Company, the Guarantors and their respective Subsidiaries (including without limitation the New SPV Subsidiary) shall furnish the Independent Investigator with such financial and operating data and other information with respect to the business and properties of the Company, the Guarantors and their respective Subsidiaries (including without limitation the New SPV Subsidiary) as the Independent Investigator may reasonably request. The Company, the Guarantors and their respective Subsidiaries (including without limitation the New SPV Subsidiary) shall permit the Independent Investigator to discuss the affairs, finances and accounts of the Company, the Guarantors and their respective Subsidiaries (including without limitation the New SPV Subsidiary) with, and to make proposals and furnish advice with respect thereto to, the Company’s officers, directors, key employees and independent public accountants or any of them (and by this provision the Company. each Guarantor and each of their respective Subsidiaries (including without limitation the New SPV Subsidiary) authorizes said accountants to discuss with such Independent Investigator the finances and affairs of the Company, each Guarantor and any of their Subsidiaries), all at such reasonable times, upon reasonable notice, and as often as may be reasonably requested.</w:t>
      </w:r>
    </w:p>
    <w:p>
      <w:pPr>
        <w:spacing w:after="0" w:line="205" w:lineRule="exact"/>
        <w:rPr>
          <w:rFonts w:ascii="Times New Roman" w:cs="Times New Roman" w:eastAsia="Times New Roman" w:hAnsi="Times New Roman"/>
          <w:sz w:val="18"/>
          <w:szCs w:val="18"/>
          <w:color w:val="auto"/>
        </w:rPr>
      </w:pPr>
    </w:p>
    <w:p>
      <w:pPr>
        <w:ind w:left="700" w:hanging="315"/>
        <w:spacing w:after="0"/>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and Cash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60" w:firstLine="745"/>
        <w:spacing w:after="0" w:line="282" w:lineRule="auto"/>
        <w:tabs>
          <w:tab w:leader="none" w:pos="60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 all times shall maintain in the Cash Account and Bitcoin Escrow Account an aggregate amount equal to or greater than the aggregate Purchase Price (as defined in the Securities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993140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1" w:name="page72"/>
    <w:bookmarkEnd w:id="71"/>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Agreement) for all Notes issued pursuant to the Securities Purchase Agreement on a specific Closing Date (such amount, the “</w:t>
      </w: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and such requirement to maintain the Borrowing Base, the “</w:t>
      </w:r>
      <w:r>
        <w:rPr>
          <w:rFonts w:ascii="Times New Roman" w:cs="Times New Roman" w:eastAsia="Times New Roman" w:hAnsi="Times New Roman"/>
          <w:sz w:val="18"/>
          <w:szCs w:val="18"/>
          <w:b w:val="1"/>
          <w:bCs w:val="1"/>
          <w:color w:val="auto"/>
        </w:rPr>
        <w:t>Borrowing Base Requirement</w:t>
      </w:r>
      <w:r>
        <w:rPr>
          <w:rFonts w:ascii="Times New Roman" w:cs="Times New Roman" w:eastAsia="Times New Roman" w:hAnsi="Times New Roman"/>
          <w:sz w:val="18"/>
          <w:szCs w:val="18"/>
          <w:color w:val="auto"/>
        </w:rPr>
        <w:t>”) (the Notes issued pursuant to the Securities Purchase Agreement on a specific Closing Date, collectively, a “</w:t>
      </w:r>
      <w:r>
        <w:rPr>
          <w:rFonts w:ascii="Times New Roman" w:cs="Times New Roman" w:eastAsia="Times New Roman" w:hAnsi="Times New Roman"/>
          <w:sz w:val="18"/>
          <w:szCs w:val="18"/>
          <w:b w:val="1"/>
          <w:bCs w:val="1"/>
          <w:color w:val="auto"/>
        </w:rPr>
        <w:t>Note Tranche</w:t>
      </w:r>
      <w:r>
        <w:rPr>
          <w:rFonts w:ascii="Times New Roman" w:cs="Times New Roman" w:eastAsia="Times New Roman" w:hAnsi="Times New Roman"/>
          <w:sz w:val="18"/>
          <w:szCs w:val="18"/>
          <w:color w:val="auto"/>
        </w:rPr>
        <w:t>”) with the Borrowing Base Requirement not decreasing upon conversion, or redemption, of this Note or the Additional Notes and shall remain in place until the expiration of the Company’s obligation to issue Additional Notes; provided, that on each six (6) month anniversary of a Closing Date, to the extent that more than 50% of the Original Principal Amount of the Note Tranche issued on such Closing Date has been converted, there has been no Event of Default within that six (6) month period, and if the cash in the Cash Account relating to such Note Tranche is greater than the aggregate outstanding Principal amount of the Notes issued in such Note Tranche, (A) the Company may transfer and unencumber (with the approval of the Collateral Agent and the Required Holders) (a “</w:t>
      </w:r>
      <w:r>
        <w:rPr>
          <w:rFonts w:ascii="Times New Roman" w:cs="Times New Roman" w:eastAsia="Times New Roman" w:hAnsi="Times New Roman"/>
          <w:sz w:val="18"/>
          <w:szCs w:val="18"/>
          <w:b w:val="1"/>
          <w:bCs w:val="1"/>
          <w:color w:val="auto"/>
        </w:rPr>
        <w:t>Bitcoin Escrow Transfer Request</w:t>
      </w:r>
      <w:r>
        <w:rPr>
          <w:rFonts w:ascii="Times New Roman" w:cs="Times New Roman" w:eastAsia="Times New Roman" w:hAnsi="Times New Roman"/>
          <w:sz w:val="18"/>
          <w:szCs w:val="18"/>
          <w:color w:val="auto"/>
        </w:rPr>
        <w:t>”) Bitcoin from the Bitcoin Escrow Account related to such Note Tranche to the Company (at which point the Company shall own such Bitcoin free and clear of all Liens), up to an amount such that the Borrowing Base for the Notes issued in such Note Tranche shall equal not less than 120% of the aggregate Principal amount of the Notes issued in such Note Tranche and any accrued and unpaid Interest on such Notes after such Bitcoin release, with such Bitcoin in the Bitcoin Escrow Account being marked to market for valuation purposes at the time of any Bitcoin Escrow Transfer Request for determination of its satisfaction of the Company’s Borrowing Base obligations under this Section 13(m)(i) or (B) the Company may transfer and unencumber (with the approval of the Collateral Agent and the Required Holders) (a “</w:t>
      </w:r>
      <w:r>
        <w:rPr>
          <w:rFonts w:ascii="Times New Roman" w:cs="Times New Roman" w:eastAsia="Times New Roman" w:hAnsi="Times New Roman"/>
          <w:sz w:val="18"/>
          <w:szCs w:val="18"/>
          <w:b w:val="1"/>
          <w:bCs w:val="1"/>
          <w:color w:val="auto"/>
        </w:rPr>
        <w:t>Cash Escrow Transfer Request</w:t>
      </w:r>
      <w:r>
        <w:rPr>
          <w:rFonts w:ascii="Times New Roman" w:cs="Times New Roman" w:eastAsia="Times New Roman" w:hAnsi="Times New Roman"/>
          <w:sz w:val="18"/>
          <w:szCs w:val="18"/>
          <w:color w:val="auto"/>
        </w:rPr>
        <w:t>”) cash from the Cash Escrow Account related to such Note Tranche to the Company (at which point the Company shall own such cash free and clear of all Liens), up to an amount such that after the Cash Escrow Transfer Request the cash in the Cash Escrow Account related to such Note Tranche shall equal not less than 120% of the aggregate outstanding Principal amount of the Notes issued in such Note Tranche and any accrued and unpaid Interest on such Notes, and the Company’s Borrowing Base obligations under this Section 13(m)(i) shall be reduced by the Cash Escrow Transfer Request. For the avoidance of doubt, this adjustment of the Borrowing Base for a particular Note Tranche shall have no effect on the Borrowing Base for any other Note Tranche. For the purposes of the Borrowing Base Requirement other than in connection with a Bitcoin Escrow Transfer Request, the Bitcoin purchased with proceeds from a Cash Account Release Amount (as defined below) and held in the Bitcoin Escrow Account shall be valued at the Cash Account Release Amount and shall not be increased or decreased based on fluctuations in the market price of Bitcoin. For the avoidance of doubt, in connection with a Bitcoin Escrow Transfer Request, the Bitcoin purchased with proceeds from a Cash Account Release Amount and held in the Bitcoin Escrow Account shall be valued mark to market at the time of the applicable Bitcoin Escrow Transfer Request.</w:t>
      </w:r>
    </w:p>
    <w:p>
      <w:pPr>
        <w:spacing w:after="0" w:line="208" w:lineRule="exact"/>
        <w:rPr>
          <w:sz w:val="20"/>
          <w:szCs w:val="20"/>
          <w:color w:val="auto"/>
        </w:rPr>
      </w:pPr>
    </w:p>
    <w:p>
      <w:pPr>
        <w:jc w:val="both"/>
        <w:ind w:firstLine="745"/>
        <w:spacing w:after="0" w:line="252" w:lineRule="auto"/>
        <w:tabs>
          <w:tab w:leader="none" w:pos="102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the New SPV Subsidiary to at all times maintain on deposit in the Cash Account cash in an aggregate amount no less than (A) the Purchase Price paid by the initial Holder of this Note to the Company on the Closing Date, less (B) funds released from the Cash Account to purchase Bitcoin (the “</w:t>
      </w:r>
      <w:r>
        <w:rPr>
          <w:rFonts w:ascii="Times New Roman" w:cs="Times New Roman" w:eastAsia="Times New Roman" w:hAnsi="Times New Roman"/>
          <w:sz w:val="18"/>
          <w:szCs w:val="18"/>
          <w:b w:val="1"/>
          <w:bCs w:val="1"/>
          <w:color w:val="auto"/>
        </w:rPr>
        <w:t>Cash Account Release Amount</w:t>
      </w:r>
      <w:r>
        <w:rPr>
          <w:rFonts w:ascii="Times New Roman" w:cs="Times New Roman" w:eastAsia="Times New Roman" w:hAnsi="Times New Roman"/>
          <w:sz w:val="18"/>
          <w:szCs w:val="18"/>
          <w:color w:val="auto"/>
        </w:rPr>
        <w:t>”) ((A), and (B), are collectively referred to herein as the “</w:t>
      </w:r>
      <w:r>
        <w:rPr>
          <w:rFonts w:ascii="Times New Roman" w:cs="Times New Roman" w:eastAsia="Times New Roman" w:hAnsi="Times New Roman"/>
          <w:sz w:val="18"/>
          <w:szCs w:val="18"/>
          <w:b w:val="1"/>
          <w:bCs w:val="1"/>
          <w:color w:val="auto"/>
        </w:rPr>
        <w:t>Trust Property</w:t>
      </w:r>
      <w:r>
        <w:rPr>
          <w:rFonts w:ascii="Times New Roman" w:cs="Times New Roman" w:eastAsia="Times New Roman" w:hAnsi="Times New Roman"/>
          <w:sz w:val="18"/>
          <w:szCs w:val="18"/>
          <w:color w:val="auto"/>
        </w:rPr>
        <w:t>”). The Company shall cause the New SPV Subsidiary to use the entire Cash Account Release Amount to immediately and in no more than one (1) Business Day following receipt of the Cash Account Release Amount, purchase Bitcoin, and all Bitcoin purchased shall be immediately placed in the Bitcoin Escrow Account. Except in cases where Trust Property is released to pay Interest and after paying Interest remains above the Borrowing Base Requirement, the Trust Property may only be released if all of the following conditions have been met: (1) the Market Cap Condition has been satisfied as of the Cash Account Release Notice Date (as defined below), (2) the Cash Account Release Amount is less than or equal to ten percent (10%) of the lowest daily trading value of the Ordinary Shares during market hours (and explicitly excluding pre-market and post-market trades) of any of the 20 Trading Days prior to the Cash Account Release Notice Date, (3) no Equity Conditions Failure has occurred that is then continuing as of the Cash Account Release Notice Date, (4) the Cash Account Release Amount does not exceed 10% of the Original Principal Amount and the Company has not issued a Cash Account Release Notice within the thirty (30) calendar day period immediately preceding such Cash Account Release Notice Date, (5) the Cash Account Release Notice has been provided pursuant to the terms of this Note , (6) the Bitcoin Escrow Account and the Bitcoin Escrow Account Control Agreement (as defined in the Securities Purchase Agreement) have been executed and delivered and are in full force and effect, and (7) the Holders shall have received the opinion the Company’s counsel, dated no later than the initial Cash Account Release Notice Date, in the form and from the law firm approved in writing by each Buyer, which opinion will address,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1013460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72" w:name="page73"/>
    <w:bookmarkEnd w:id="72"/>
    <w:p>
      <w:pPr>
        <w:spacing w:after="0" w:line="86" w:lineRule="exact"/>
        <w:rPr>
          <w:sz w:val="20"/>
          <w:szCs w:val="20"/>
          <w:color w:val="auto"/>
        </w:rPr>
      </w:pPr>
    </w:p>
    <w:p>
      <w:pPr>
        <w:jc w:val="both"/>
        <w:ind w:left="3"/>
        <w:spacing w:after="0" w:line="248" w:lineRule="auto"/>
        <w:rPr>
          <w:sz w:val="20"/>
          <w:szCs w:val="20"/>
          <w:color w:val="auto"/>
        </w:rPr>
      </w:pPr>
      <w:r>
        <w:rPr>
          <w:rFonts w:ascii="Times New Roman" w:cs="Times New Roman" w:eastAsia="Times New Roman" w:hAnsi="Times New Roman"/>
          <w:sz w:val="18"/>
          <w:szCs w:val="18"/>
          <w:color w:val="auto"/>
        </w:rPr>
        <w:t>customary opinions on perfection by filing and perfection by control in respect of the Bitcoin Escrow Account (the conditions set forth in clauses (1), (2), (3), (4), (5), (6) and (7) are collectively referred to herein as the “</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The determination of whether the Release Conditions have been satisfied shall be determined by the Required Holders. The Holder Representative may waive the Release Conditions at any time but only after obtaining the written consent of the Required Holders. The Company shall give written notice (the “</w:t>
      </w:r>
      <w:r>
        <w:rPr>
          <w:rFonts w:ascii="Times New Roman" w:cs="Times New Roman" w:eastAsia="Times New Roman" w:hAnsi="Times New Roman"/>
          <w:sz w:val="18"/>
          <w:szCs w:val="18"/>
          <w:b w:val="1"/>
          <w:bCs w:val="1"/>
          <w:color w:val="auto"/>
        </w:rPr>
        <w:t>Cash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Release Notice</w:t>
      </w:r>
      <w:r>
        <w:rPr>
          <w:rFonts w:ascii="Times New Roman" w:cs="Times New Roman" w:eastAsia="Times New Roman" w:hAnsi="Times New Roman"/>
          <w:sz w:val="18"/>
          <w:szCs w:val="18"/>
          <w:color w:val="auto"/>
        </w:rPr>
        <w:t>” and the date the Holder and all the holders of the Additional Notes receive such notice is referred to as the “</w:t>
      </w:r>
      <w:r>
        <w:rPr>
          <w:rFonts w:ascii="Times New Roman" w:cs="Times New Roman" w:eastAsia="Times New Roman" w:hAnsi="Times New Roman"/>
          <w:sz w:val="18"/>
          <w:szCs w:val="18"/>
          <w:b w:val="1"/>
          <w:bCs w:val="1"/>
          <w:color w:val="auto"/>
        </w:rPr>
        <w:t>Cash Account Release Notice Date</w:t>
      </w:r>
      <w:r>
        <w:rPr>
          <w:rFonts w:ascii="Times New Roman" w:cs="Times New Roman" w:eastAsia="Times New Roman" w:hAnsi="Times New Roman"/>
          <w:sz w:val="18"/>
          <w:szCs w:val="18"/>
          <w:color w:val="auto"/>
        </w:rPr>
        <w:t>”) to the Holder and to the Collateral Agent of its desire to have Trust Property released from the Cash Account, certifying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Release Conditions have been satisfied as of the Cash Account Release Notice Date and setting forth the date of such release, which date shall not be less than five (5) Business Days following the Cash Account Release Notice Date. Each Holder shall be permitted to exercise a Holder Optional Redemption in response to the Cash Account Release Notice. The Cash Account Release Notice shall not contain any material, nonpublic information with respect to the Company or subject the Holder or Collateral Agent to any duty of confidentiality. The Collateral Agent agrees, absent any issue or deficiency with or other objection to the Cash Account Release Notice, to instruct the depository bank in which the Trust Property is maintained to release the requested amounts set forth in the Cash Account Release Notice. For the avoidance of doubt, for purposes of this Section 13(m) the Equity Conditions Measurement Period shall have commenced on the thirtieth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calendar day prior to the delivery of the Cash Account Release Notice and have ended on the Cash Account Release Notice Date. The Company and the Holder agree and acknowledge that as soon as all of the Notes issued in a particular Note Tranche have been converted into Ordinary Shares, redeemed, or are otherwise no longer outstanding and all obligations owing under such Notes and the related Transaction Documents have been fully and indefeasibly satisfied by the Company, the New SPV Subsidiary (i) will own all Bitcoin purchased with respect to the proceeds of the Notes issued in such Note Tranche and pursuant to the terms hereof and/or contained in the Bitcoin Escrow Account, free and clear of the Collateral Agent’s Liens and (ii) may use such Bitcoin or other remaining proceeds hereunder for any purpose it determines in its sole discretion.</w:t>
      </w:r>
    </w:p>
    <w:p>
      <w:pPr>
        <w:spacing w:after="0" w:line="198" w:lineRule="exact"/>
        <w:rPr>
          <w:sz w:val="20"/>
          <w:szCs w:val="20"/>
          <w:color w:val="auto"/>
        </w:rPr>
      </w:pPr>
    </w:p>
    <w:p>
      <w:pPr>
        <w:jc w:val="both"/>
        <w:ind w:left="-757" w:firstLine="757"/>
        <w:spacing w:after="0" w:line="261" w:lineRule="auto"/>
        <w:tabs>
          <w:tab w:leader="none" w:pos="27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This Note and the Additional Notes are secured to the extent and in the manner set forth in the Security Documents. The Security Documents relating to a Note Tranche shall be released as and to the extent referred to in section 3(a) hereof and shall be released upon the earlier of the full redemption and/or conversion of all of the Notes issued in such Note Tranche or other full and indefeasible satisfaction of the amounts due in respect of such Notes.</w:t>
      </w:r>
    </w:p>
    <w:p>
      <w:pPr>
        <w:spacing w:after="0" w:line="112"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57" w:firstLine="757"/>
        <w:spacing w:after="0" w:line="254" w:lineRule="auto"/>
        <w:tabs>
          <w:tab w:leader="none" w:pos="26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AMENDING THE TERMS OF THIS NOTE</w:t>
      </w:r>
      <w:r>
        <w:rPr>
          <w:rFonts w:ascii="Times New Roman" w:cs="Times New Roman" w:eastAsia="Times New Roman" w:hAnsi="Times New Roman"/>
          <w:sz w:val="18"/>
          <w:szCs w:val="18"/>
          <w:color w:val="auto"/>
        </w:rPr>
        <w:t>. Except for Section 3(d), which may not be amended, modified or waived by the parties hereto, the prior written consent of the Required Holders shall be required for any amendment, modification or waiver to this Note. Any amendment, modification or waiver so approved shall be binding upon all existing and future holders of this Note and any Additional Notes; provided, however, that no such change, waiver or amendment, as applied to any of the Notes held by any particular holder of Notes, shall, without the written consent of that particular holder, (i) reduce the amount of Principal, reduce the amount of accrued and unpaid Interest, or extend the Maturity Date, of the Notes, (ii) disproportionally and adversely affect any rights under the Notes of any holder of Notes; (iii) modify any of the provisions of, or impair the right of any holder of Notes under, this Section 16; or (iv) amend the Cash Account Control Agreement (as defined in the Securities Purchase Agreement), the Bitcoin Escrow Account Control Agreement (as defined in the Securities Purchase Agreement) or the rights of the Holder under Section 10 of this Note.</w:t>
      </w:r>
    </w:p>
    <w:p>
      <w:pPr>
        <w:spacing w:after="0" w:line="191" w:lineRule="exact"/>
        <w:rPr>
          <w:rFonts w:ascii="Times New Roman" w:cs="Times New Roman" w:eastAsia="Times New Roman" w:hAnsi="Times New Roman"/>
          <w:sz w:val="18"/>
          <w:szCs w:val="18"/>
          <w:color w:val="auto"/>
        </w:rPr>
      </w:pPr>
    </w:p>
    <w:p>
      <w:pPr>
        <w:jc w:val="both"/>
        <w:ind w:left="-757" w:firstLine="757"/>
        <w:spacing w:after="0" w:line="261" w:lineRule="auto"/>
        <w:tabs>
          <w:tab w:leader="none" w:pos="26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Note may be offered, sold, assigned or transferred by the Holder without the consent of the Company but with the consent of the Holder Representative, subject only to the provisions of Section 2(g) of the Securities Purchase Agreement. Notwithstanding anything the contrary contained herein or in any Transaction Document, the Ordinary Shares issued upon conversion of this Note in accordance with the terms hereof shall be freely transferable in all respects subject only to applicable law.</w:t>
      </w:r>
    </w:p>
    <w:p>
      <w:pPr>
        <w:spacing w:after="0" w:line="179"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NOTE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1033145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73" w:name="page74"/>
    <w:bookmarkEnd w:id="73"/>
    <w:p>
      <w:pPr>
        <w:jc w:val="both"/>
        <w:ind w:left="3" w:firstLine="745"/>
        <w:spacing w:after="0" w:line="256" w:lineRule="auto"/>
        <w:tabs>
          <w:tab w:leader="none" w:pos="101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Note is to be transferred, the Holder shall surrender this Note to the Company, whereupon the Company will forthwith issue and deliver upon the order of the Holder a new Note (in accordance with Section 18(d)), registered as the Holder may request, representing the outstanding Principal being transferred by the Holder and, if less than the entire outstanding Principal is being transferred, a new Note (in accordance with Section 18(d))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187" w:lineRule="exact"/>
        <w:rPr>
          <w:rFonts w:ascii="Times New Roman" w:cs="Times New Roman" w:eastAsia="Times New Roman" w:hAnsi="Times New Roman"/>
          <w:sz w:val="18"/>
          <w:szCs w:val="18"/>
          <w:color w:val="auto"/>
        </w:rPr>
      </w:pPr>
    </w:p>
    <w:p>
      <w:pPr>
        <w:jc w:val="both"/>
        <w:ind w:left="3" w:firstLine="745"/>
        <w:spacing w:after="0" w:line="258"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18(d) ) representing the outstanding Principal.</w:t>
      </w:r>
    </w:p>
    <w:p>
      <w:pPr>
        <w:spacing w:after="0" w:line="183" w:lineRule="exact"/>
        <w:rPr>
          <w:rFonts w:ascii="Times New Roman" w:cs="Times New Roman" w:eastAsia="Times New Roman" w:hAnsi="Times New Roman"/>
          <w:sz w:val="18"/>
          <w:szCs w:val="18"/>
          <w:color w:val="auto"/>
        </w:rPr>
      </w:pPr>
    </w:p>
    <w:p>
      <w:pPr>
        <w:jc w:val="both"/>
        <w:ind w:left="3" w:firstLine="745"/>
        <w:spacing w:after="0" w:line="261" w:lineRule="auto"/>
        <w:tabs>
          <w:tab w:leader="none" w:pos="102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18(d)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ind w:left="1003" w:hanging="255"/>
        <w:spacing w:after="0"/>
        <w:tabs>
          <w:tab w:leader="none" w:pos="100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Notes</w:t>
      </w:r>
      <w:r>
        <w:rPr>
          <w:rFonts w:ascii="Times New Roman" w:cs="Times New Roman" w:eastAsia="Times New Roman" w:hAnsi="Times New Roman"/>
          <w:sz w:val="18"/>
          <w:szCs w:val="18"/>
          <w:color w:val="auto"/>
        </w:rPr>
        <w:t>. Whenever the Company is required to issue a new Note pursuant to the terms of this Note, such new Note</w:t>
      </w:r>
    </w:p>
    <w:p>
      <w:pPr>
        <w:spacing w:after="0" w:line="27" w:lineRule="exact"/>
        <w:rPr>
          <w:rFonts w:ascii="Times New Roman" w:cs="Times New Roman" w:eastAsia="Times New Roman" w:hAnsi="Times New Roman"/>
          <w:sz w:val="18"/>
          <w:szCs w:val="18"/>
          <w:color w:val="auto"/>
        </w:rPr>
      </w:pPr>
    </w:p>
    <w:p>
      <w:pPr>
        <w:jc w:val="both"/>
        <w:ind w:left="3" w:hanging="3"/>
        <w:spacing w:after="0" w:line="252" w:lineRule="auto"/>
        <w:tabs>
          <w:tab w:leader="none" w:pos="22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Note, (ii) shall represent, as indicated on the face of such new Note, the Principal remaining outstanding (or in the case of a new Note being issued pursuant to Section 18(a) or Section 18(c),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190" w:lineRule="exact"/>
        <w:rPr>
          <w:sz w:val="20"/>
          <w:szCs w:val="20"/>
          <w:color w:val="auto"/>
        </w:rPr>
      </w:pPr>
    </w:p>
    <w:p>
      <w:pPr>
        <w:jc w:val="both"/>
        <w:ind w:left="-757" w:firstLine="757"/>
        <w:spacing w:after="0" w:line="252" w:lineRule="auto"/>
        <w:tabs>
          <w:tab w:leader="none" w:pos="2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1014095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74" w:name="page75"/>
    <w:bookmarkEnd w:id="74"/>
    <w:p>
      <w:pPr>
        <w:jc w:val="both"/>
        <w:ind w:left="-757" w:firstLine="757"/>
        <w:spacing w:after="0" w:line="255" w:lineRule="auto"/>
        <w:tabs>
          <w:tab w:leader="none" w:pos="28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reasonable attorneys’ fees and disbursements. The Company expressly acknowledges and agrees that no amounts due under this Note shall be affected, or limited, by the fact that the Purchase Price paid for this Note was less than the original Principal amount hereof.</w:t>
      </w:r>
    </w:p>
    <w:p>
      <w:pPr>
        <w:spacing w:after="0" w:line="188" w:lineRule="exact"/>
        <w:rPr>
          <w:rFonts w:ascii="Times New Roman" w:cs="Times New Roman" w:eastAsia="Times New Roman" w:hAnsi="Times New Roman"/>
          <w:sz w:val="18"/>
          <w:szCs w:val="18"/>
          <w:color w:val="auto"/>
        </w:rPr>
      </w:pPr>
    </w:p>
    <w:p>
      <w:pPr>
        <w:jc w:val="both"/>
        <w:ind w:left="-757" w:firstLine="757"/>
        <w:spacing w:after="0" w:line="254" w:lineRule="auto"/>
        <w:tabs>
          <w:tab w:leader="none" w:pos="2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w:t>
      </w:r>
    </w:p>
    <w:p>
      <w:pPr>
        <w:spacing w:after="0" w:line="191" w:lineRule="exact"/>
        <w:rPr>
          <w:rFonts w:ascii="Times New Roman" w:cs="Times New Roman" w:eastAsia="Times New Roman" w:hAnsi="Times New Roman"/>
          <w:sz w:val="18"/>
          <w:szCs w:val="18"/>
          <w:color w:val="auto"/>
        </w:rPr>
      </w:pPr>
    </w:p>
    <w:p>
      <w:pPr>
        <w:jc w:val="both"/>
        <w:ind w:left="-757" w:firstLine="757"/>
        <w:spacing w:after="0" w:line="261" w:lineRule="auto"/>
        <w:tabs>
          <w:tab w:leader="none" w:pos="26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22 shall permit any waiver of any provision of Section 3(d).</w:t>
      </w:r>
    </w:p>
    <w:p>
      <w:pPr>
        <w:spacing w:after="0" w:line="179"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CURRENCY;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54" w:lineRule="auto"/>
        <w:tabs>
          <w:tab w:leader="none" w:pos="99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at least fifteen (15) days prior to the date on which the Company closes its books or takes a record (A) with respect to any dividend or distribution upon the Ordinary Shares, (B) with respect to any grant, issuances, or sales of any Options, Convertible Securities or rights to purchase stock, warrants, securities or other property to holders of Ordinary Shares or (C)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187" w:lineRule="exact"/>
        <w:rPr>
          <w:rFonts w:ascii="Times New Roman" w:cs="Times New Roman" w:eastAsia="Times New Roman" w:hAnsi="Times New Roman"/>
          <w:sz w:val="18"/>
          <w:szCs w:val="18"/>
          <w:color w:val="auto"/>
        </w:rPr>
      </w:pPr>
    </w:p>
    <w:p>
      <w:pPr>
        <w:jc w:val="both"/>
        <w:ind w:left="3" w:firstLine="745"/>
        <w:spacing w:after="0" w:line="257" w:lineRule="auto"/>
        <w:tabs>
          <w:tab w:leader="none" w:pos="100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dollar amounts referred to in this Note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86" w:lineRule="exact"/>
        <w:rPr>
          <w:rFonts w:ascii="Times New Roman" w:cs="Times New Roman" w:eastAsia="Times New Roman" w:hAnsi="Times New Roman"/>
          <w:sz w:val="18"/>
          <w:szCs w:val="18"/>
          <w:color w:val="auto"/>
        </w:rPr>
      </w:pPr>
    </w:p>
    <w:p>
      <w:pPr>
        <w:jc w:val="both"/>
        <w:ind w:left="3" w:firstLine="745"/>
        <w:spacing w:after="0" w:line="266" w:lineRule="auto"/>
        <w:tabs>
          <w:tab w:leader="none" w:pos="101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via wire transfer of immediately available funds by providing the Company with prior written notice setting out such request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1002030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75" w:name="page76"/>
    <w:bookmarkEnd w:id="75"/>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(except to the extent such amount is simultaneously accruing Interest at the Default Rate hereunder) shall result in a late charge being incurred and payable by the Company in an amount equal to interest on such amount at the rate of eighteen percent (18%)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757"/>
        <w:spacing w:after="0" w:line="266" w:lineRule="auto"/>
        <w:tabs>
          <w:tab w:leader="none" w:pos="10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all Principal, accrued Interest, Late Charges and other amounts at any time owed on this Note have been indefeasibly paid in full, this Note shall automatically be deemed canceled, shall (if an original copy shall have been delivered to the Holder) be surrendered to the Company for cancellation and shall not be reissued.</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75" w:lineRule="exact"/>
        <w:rPr>
          <w:rFonts w:ascii="Times New Roman" w:cs="Times New Roman" w:eastAsia="Times New Roman" w:hAnsi="Times New Roman"/>
          <w:sz w:val="18"/>
          <w:szCs w:val="18"/>
          <w:color w:val="auto"/>
        </w:rPr>
      </w:pPr>
    </w:p>
    <w:p>
      <w:pPr>
        <w:jc w:val="both"/>
        <w:ind w:firstLine="757"/>
        <w:spacing w:after="0" w:line="252" w:lineRule="auto"/>
        <w:tabs>
          <w:tab w:leader="none" w:pos="10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(other than Sections 5-1401 and 5-1402 of the New York General Obligations Law)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IRREVOCABLY</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WAIVES ANY RIGHT IT MAY HAVE TO, AND AGREES NOT TO REQUEST, A JURY TRIAL FOR THE ADJUDICATION OF ANY DISPUTE HEREUNDER OR IN CONNECTION WITH OR ARISING OUT OF THIS NOTE OR ANY TRANSACTION CONTEMPLATED HEREBY. THE COMPANY (A) CERTIFIES THAT NO REPRESENTATIVE, AGENT OR ATTORNEY OF THE HOLDER HAS REPRESENTED, EXPRESSLY OR OTHERWISE, THAT THE HOLDER WOULD NOT, IN THE EVENT OF LITIGATION, SEEK TO ENFORCE THE FOREGOING WAIVER OF A JURY TRIAL AND (B) ACKNOWLEDGES THAT THE HOLDER HAS BEEN INDUCED TO ENTER INTO THIS AGREEMENT BY, AMONG OTHER THINGS, THE WAIVERS AND CERTIFICATIONS IN THIS PARAGRAPH.</w:t>
      </w:r>
    </w:p>
    <w:p>
      <w:pPr>
        <w:spacing w:after="0" w:line="18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firstLine="745"/>
        <w:spacing w:after="0" w:line="266" w:lineRule="auto"/>
        <w:tabs>
          <w:tab w:leader="none" w:pos="175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or enforcing judgment against the Company in any court in any jurisdiction it becomes necessary to convert into any other currency (such other currency being hereinafter in this Section 28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Note, the conversion shall be made at the Exchange Rate prevailing on the Trading Day immediately preceding:</w:t>
      </w:r>
    </w:p>
    <w:p>
      <w:pPr>
        <w:spacing w:after="0" w:line="175" w:lineRule="exact"/>
        <w:rPr>
          <w:rFonts w:ascii="Times New Roman" w:cs="Times New Roman" w:eastAsia="Times New Roman" w:hAnsi="Times New Roman"/>
          <w:sz w:val="18"/>
          <w:szCs w:val="18"/>
          <w:color w:val="auto"/>
        </w:rPr>
      </w:pPr>
    </w:p>
    <w:p>
      <w:pPr>
        <w:ind w:left="1140" w:firstLine="1114"/>
        <w:spacing w:after="0" w:line="282" w:lineRule="auto"/>
        <w:tabs>
          <w:tab w:leader="none" w:pos="2489"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actual payment of the amount due, in the case of any proceeding in the courts of New York or in the courts of any other jurisdiction that will give effect to such conversion being made on such date: or</w:t>
      </w:r>
    </w:p>
    <w:p>
      <w:pPr>
        <w:spacing w:after="0" w:line="161" w:lineRule="exact"/>
        <w:rPr>
          <w:rFonts w:ascii="Times New Roman" w:cs="Times New Roman" w:eastAsia="Times New Roman" w:hAnsi="Times New Roman"/>
          <w:sz w:val="18"/>
          <w:szCs w:val="18"/>
          <w:color w:val="auto"/>
        </w:rPr>
      </w:pPr>
    </w:p>
    <w:p>
      <w:pPr>
        <w:jc w:val="both"/>
        <w:ind w:left="1140" w:firstLine="1114"/>
        <w:spacing w:after="0" w:line="266" w:lineRule="auto"/>
        <w:tabs>
          <w:tab w:leader="none" w:pos="2534"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foreign court determines, in the case of any proceeding in the courts of any other jurisdiction (the date as of which such conversion is made pursuant to this Section 28(a)(ii)being hereinafter referred to as the “</w:t>
      </w:r>
      <w:r>
        <w:rPr>
          <w:rFonts w:ascii="Times New Roman" w:cs="Times New Roman" w:eastAsia="Times New Roman" w:hAnsi="Times New Roman"/>
          <w:sz w:val="18"/>
          <w:szCs w:val="18"/>
          <w:b w:val="1"/>
          <w:bCs w:val="1"/>
          <w:color w:val="auto"/>
        </w:rPr>
        <w:t>Judgment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jc w:val="both"/>
        <w:ind w:left="3" w:firstLine="745"/>
        <w:spacing w:after="0" w:line="258" w:lineRule="auto"/>
        <w:tabs>
          <w:tab w:leader="none" w:pos="103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proceeding in the court of any jurisdiction referred to in Section 28(a)(ii)above,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83" w:lineRule="exact"/>
        <w:rPr>
          <w:rFonts w:ascii="Times New Roman" w:cs="Times New Roman" w:eastAsia="Times New Roman" w:hAnsi="Times New Roman"/>
          <w:sz w:val="18"/>
          <w:szCs w:val="18"/>
          <w:color w:val="auto"/>
        </w:rPr>
      </w:pPr>
    </w:p>
    <w:p>
      <w:pPr>
        <w:ind w:left="3" w:firstLine="745"/>
        <w:spacing w:after="0" w:line="282" w:lineRule="auto"/>
        <w:tabs>
          <w:tab w:leader="none" w:pos="101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the Company under this provision shall be due as a separate debt and shall not be affected by judgment being obtained for any other amounts due under or in respect of this Note.</w:t>
      </w:r>
    </w:p>
    <w:p>
      <w:pPr>
        <w:spacing w:after="0" w:line="161" w:lineRule="exact"/>
        <w:rPr>
          <w:rFonts w:ascii="Times New Roman" w:cs="Times New Roman" w:eastAsia="Times New Roman" w:hAnsi="Times New Roman"/>
          <w:sz w:val="18"/>
          <w:szCs w:val="18"/>
          <w:color w:val="auto"/>
        </w:rPr>
      </w:pPr>
    </w:p>
    <w:p>
      <w:pPr>
        <w:jc w:val="both"/>
        <w:ind w:left="-757" w:firstLine="757"/>
        <w:spacing w:after="0" w:line="254" w:lineRule="auto"/>
        <w:tabs>
          <w:tab w:leader="none" w:pos="2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jc w:val="both"/>
        <w:ind w:left="-757" w:firstLine="757"/>
        <w:spacing w:after="0" w:line="261" w:lineRule="auto"/>
        <w:tabs>
          <w:tab w:leader="none" w:pos="26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PAYMENTS</w:t>
      </w:r>
      <w:r>
        <w:rPr>
          <w:rFonts w:ascii="Times New Roman" w:cs="Times New Roman" w:eastAsia="Times New Roman" w:hAnsi="Times New Roman"/>
          <w:sz w:val="18"/>
          <w:szCs w:val="18"/>
          <w:color w:val="auto"/>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spacing w:after="0" w:line="179" w:lineRule="exact"/>
        <w:rPr>
          <w:rFonts w:ascii="Times New Roman" w:cs="Times New Roman" w:eastAsia="Times New Roman" w:hAnsi="Times New Roman"/>
          <w:sz w:val="18"/>
          <w:szCs w:val="18"/>
          <w:color w:val="auto"/>
        </w:rPr>
      </w:pPr>
    </w:p>
    <w:p>
      <w:pPr>
        <w:ind w:left="-757" w:firstLine="757"/>
        <w:spacing w:after="0" w:line="282" w:lineRule="auto"/>
        <w:tabs>
          <w:tab w:leader="none" w:pos="26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but not otherwise defined herein shall have the meaning ascribed thereto in the Securities Purchase Agreement. For purposes of this Note, the following terms shall have the following meanings:</w:t>
      </w:r>
    </w:p>
    <w:p>
      <w:pPr>
        <w:spacing w:after="0" w:line="157" w:lineRule="exact"/>
        <w:rPr>
          <w:rFonts w:ascii="Times New Roman" w:cs="Times New Roman" w:eastAsia="Times New Roman" w:hAnsi="Times New Roman"/>
          <w:sz w:val="18"/>
          <w:szCs w:val="18"/>
          <w:color w:val="auto"/>
        </w:rPr>
      </w:pPr>
    </w:p>
    <w:p>
      <w:pPr>
        <w:ind w:left="1003" w:hanging="255"/>
        <w:spacing w:after="0"/>
        <w:tabs>
          <w:tab w:leader="none" w:pos="100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1003" w:hanging="255"/>
        <w:spacing w:after="0"/>
        <w:tabs>
          <w:tab w:leader="none" w:pos="100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have the meaning ascribed to such term in Rule 405 of the Securities Act of 1933, as amended.</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56" w:lineRule="auto"/>
        <w:tabs>
          <w:tab w:leader="none" w:pos="99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Ordinary Shares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ind w:left="1003" w:hanging="255"/>
        <w:spacing w:after="0"/>
        <w:tabs>
          <w:tab w:leader="none" w:pos="100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Bitcoin Escrow Account</w:t>
      </w:r>
      <w:r>
        <w:rPr>
          <w:rFonts w:ascii="Times New Roman" w:cs="Times New Roman" w:eastAsia="Times New Roman" w:hAnsi="Times New Roman"/>
          <w:sz w:val="18"/>
          <w:szCs w:val="18"/>
          <w:color w:val="auto"/>
        </w:rPr>
        <w:t>” shall have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ind w:left="1003" w:hanging="255"/>
        <w:spacing w:after="0"/>
        <w:tabs>
          <w:tab w:leader="none" w:pos="100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ind w:left="3" w:firstLine="745"/>
        <w:spacing w:after="0" w:line="286" w:lineRule="auto"/>
        <w:tabs>
          <w:tab w:leader="none" w:pos="97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991235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77" w:name="page78"/>
    <w:bookmarkEnd w:id="77"/>
    <w:p>
      <w:pPr>
        <w:jc w:val="both"/>
        <w:ind w:left="3"/>
        <w:spacing w:after="0" w:line="261" w:lineRule="auto"/>
        <w:rPr>
          <w:sz w:val="20"/>
          <w:szCs w:val="20"/>
          <w:color w:val="auto"/>
        </w:rPr>
      </w:pPr>
      <w:r>
        <w:rPr>
          <w:rFonts w:ascii="Times New Roman" w:cs="Times New Roman" w:eastAsia="Times New Roman" w:hAnsi="Times New Roman"/>
          <w:sz w:val="18"/>
          <w:szCs w:val="18"/>
          <w:color w:val="auto"/>
        </w:rPr>
        <w:t>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6" w:lineRule="exact"/>
        <w:rPr>
          <w:sz w:val="20"/>
          <w:szCs w:val="20"/>
          <w:color w:val="auto"/>
        </w:rPr>
      </w:pPr>
    </w:p>
    <w:p>
      <w:pPr>
        <w:ind w:left="1003" w:hanging="255"/>
        <w:spacing w:after="0"/>
        <w:tabs>
          <w:tab w:leader="none" w:pos="100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Account</w:t>
      </w:r>
      <w:r>
        <w:rPr>
          <w:rFonts w:ascii="Times New Roman" w:cs="Times New Roman" w:eastAsia="Times New Roman" w:hAnsi="Times New Roman"/>
          <w:sz w:val="18"/>
          <w:szCs w:val="18"/>
          <w:color w:val="auto"/>
        </w:rPr>
        <w:t>” shall have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55" w:lineRule="auto"/>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Fundamental Transaction other than (i) any merger of the Company or any of its, direct or indirect, wholly-owned Subsidiaries with or into any of the foregoing Persons, (ii) any reorganization, recapitalization or reclassification of the Ordinary Shares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84" w:lineRule="exact"/>
        <w:rPr>
          <w:rFonts w:ascii="Times New Roman" w:cs="Times New Roman" w:eastAsia="Times New Roman" w:hAnsi="Times New Roman"/>
          <w:sz w:val="18"/>
          <w:szCs w:val="18"/>
          <w:color w:val="auto"/>
        </w:rPr>
      </w:pPr>
    </w:p>
    <w:p>
      <w:pPr>
        <w:jc w:val="both"/>
        <w:ind w:left="3" w:firstLine="745"/>
        <w:spacing w:after="0" w:line="253"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OTC Markets Group Inc. (formerly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All such determinations shall be appropriately adjusted for any stock splits, stock dividends, stock combinations, recapitalizations or other similar transactions during such period.</w:t>
      </w:r>
    </w:p>
    <w:p>
      <w:pPr>
        <w:spacing w:after="0" w:line="187" w:lineRule="exact"/>
        <w:rPr>
          <w:rFonts w:ascii="Times New Roman" w:cs="Times New Roman" w:eastAsia="Times New Roman" w:hAnsi="Times New Roman"/>
          <w:sz w:val="18"/>
          <w:szCs w:val="18"/>
          <w:color w:val="auto"/>
        </w:rPr>
      </w:pPr>
    </w:p>
    <w:p>
      <w:pPr>
        <w:ind w:left="963" w:hanging="215"/>
        <w:spacing w:after="0"/>
        <w:tabs>
          <w:tab w:leader="none" w:pos="96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set forth in the Securities Purchase Agreement.</w:t>
      </w:r>
    </w:p>
    <w:p>
      <w:pPr>
        <w:spacing w:after="0" w:line="225" w:lineRule="exact"/>
        <w:rPr>
          <w:rFonts w:ascii="Times New Roman" w:cs="Times New Roman" w:eastAsia="Times New Roman" w:hAnsi="Times New Roman"/>
          <w:sz w:val="18"/>
          <w:szCs w:val="18"/>
          <w:color w:val="auto"/>
        </w:rPr>
      </w:pPr>
    </w:p>
    <w:p>
      <w:pPr>
        <w:ind w:left="1003" w:hanging="255"/>
        <w:spacing w:after="0"/>
        <w:tabs>
          <w:tab w:leader="none" w:pos="100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shall have the meaning as set forth in the Securities Purchase Agreement.</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68" w:lineRule="auto"/>
        <w:tabs>
          <w:tab w:leader="none" w:pos="96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Ordinary Shares (or any securities into which the Ordinary Shares are converted or exchanged).</w:t>
      </w:r>
    </w:p>
    <w:p>
      <w:pPr>
        <w:spacing w:after="0" w:line="170" w:lineRule="exact"/>
        <w:rPr>
          <w:rFonts w:ascii="Times New Roman" w:cs="Times New Roman" w:eastAsia="Times New Roman" w:hAnsi="Times New Roman"/>
          <w:sz w:val="18"/>
          <w:szCs w:val="18"/>
          <w:color w:val="auto"/>
        </w:rPr>
      </w:pPr>
    </w:p>
    <w:p>
      <w:pPr>
        <w:ind w:left="3" w:right="20" w:firstLine="745"/>
        <w:spacing w:after="0" w:line="286" w:lineRule="auto"/>
        <w:tabs>
          <w:tab w:leader="none" w:pos="105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Capital Market, the Nasdaq Global Select Market or the Nasdaq Global Market.</w:t>
      </w:r>
    </w:p>
    <w:p>
      <w:pPr>
        <w:spacing w:after="0" w:line="154" w:lineRule="exact"/>
        <w:rPr>
          <w:rFonts w:ascii="Times New Roman" w:cs="Times New Roman" w:eastAsia="Times New Roman" w:hAnsi="Times New Roman"/>
          <w:sz w:val="18"/>
          <w:szCs w:val="18"/>
          <w:color w:val="auto"/>
        </w:rPr>
      </w:pPr>
    </w:p>
    <w:p>
      <w:pPr>
        <w:ind w:left="1023" w:hanging="275"/>
        <w:spacing w:after="0"/>
        <w:tabs>
          <w:tab w:leader="none" w:pos="102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w:t>
      </w:r>
      <w:r>
        <w:rPr>
          <w:rFonts w:ascii="Times New Roman" w:cs="Times New Roman" w:eastAsia="Times New Roman" w:hAnsi="Times New Roman"/>
          <w:sz w:val="18"/>
          <w:szCs w:val="18"/>
          <w:color w:val="auto"/>
        </w:rPr>
        <w:t>” means, with respect to any given date of determination: (i) on each day during the period beginning thirty</w:t>
      </w:r>
    </w:p>
    <w:p>
      <w:pPr>
        <w:spacing w:after="0" w:line="31" w:lineRule="exact"/>
        <w:rPr>
          <w:rFonts w:ascii="Times New Roman" w:cs="Times New Roman" w:eastAsia="Times New Roman" w:hAnsi="Times New Roman"/>
          <w:sz w:val="18"/>
          <w:szCs w:val="18"/>
          <w:color w:val="auto"/>
        </w:rPr>
      </w:pPr>
    </w:p>
    <w:p>
      <w:pPr>
        <w:jc w:val="both"/>
        <w:ind w:left="3" w:hanging="3"/>
        <w:spacing w:after="0" w:line="255" w:lineRule="auto"/>
        <w:tabs>
          <w:tab w:leader="none" w:pos="3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prior to the applicable date of determination and ending on and including the applicable date of determination (the “</w:t>
      </w: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Conditions Measuring Period</w:t>
      </w:r>
      <w:r>
        <w:rPr>
          <w:rFonts w:ascii="Times New Roman" w:cs="Times New Roman" w:eastAsia="Times New Roman" w:hAnsi="Times New Roman"/>
          <w:sz w:val="18"/>
          <w:szCs w:val="18"/>
          <w:color w:val="auto"/>
        </w:rPr>
        <w:t>”), one or more registration statements shall be effective and the prospectus contained therein shall be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such applicable date of determination (with, for the avoidance of doubt, any Ordinary Shares previously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1008380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78" w:name="page79"/>
    <w:bookmarkEnd w:id="78"/>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such prospectus deemed unavailable) for the resale of all Ordinary Shares issuable pursuant to the terms of the Notes (without regard to any limitations on conversion set forth in Section 3(d) or otherwise)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(ii) on each day during the Equity Conditions Measuring Period, the Ordinary Shares (including all of the Conversion Shares) are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writing by such Eligible Market; (iii) during the Equity Conditions Measuring Period, the Company shall have delivered on a timely basis all Ordinary Shares issuable pursuant to the terms of any securities issued by the Company that are then held by the Holder, including, without limitation pursuant to the terms of the Notes; (iv) on each day during the Equity Conditions Measuring Period, all of the Conversion Shares may be issued in full without violating the rules or regulations of the Eligible Market on which the Ordinary Shares is then listed or designated for quotation (as applicable); (v) on each day during the Equity Conditions Measuring Period, no public announcement of a pending, proposed or intended Fundamental Transaction shall have occurred which has not been abandoned, terminated or consummated; (vi) on each day during the Equity Conditions Measuring Period, the Company shall have no knowledge of any fact that would reasonably be expected to cause the applicable Registration Statement to not be effective or the prospectus contained therein to not be available for the resale of any of the Conversion Shares; (vii) on each day during the Equity Conditions Measuring Period, the Holder shall not be in possession of any material, non-public information provided by the Company, any of its Subsidiaries or any of their respective affiliates, employees, officers, representatives, agents or the like; (viii) on each day during the Equity Conditions Measuring Period, the Company shall have been in compliance in all material respects with each covenant and other term or condition of each Transaction Document, including, without limitation, the Company shall not have failed to timely make any payment pursuant to any Transaction Document, nor shall there have occurred an event that with the passage of time or giving of notice would constitute such a breach of any covenant and other term or condition of each Transaction Document; (ix) on each day during the Equity Conditions Measuring Period, the Company shall not have received an opinion or report from the Company’s independent auditors regarding doubt about the Company’s ability to continue as a going concern; (x) on each day during the Equity Conditions Measuring Period, all Ordinary Shares issuable pursuant to the terms of the Notes may be issued in full without violating Section 3(d) hereof (or the equivalent provisions of any applicable Additional Notes), (xi) on each day during the Equity Conditions Measuring Period, (A) no Authorized Share Failure shall exist or be continuing and (B) all of the Conversion Shares may be issued in full without resulting in an Authorized Share Failure; (xii) on each day during the Equity Conditions Measuring Period, no bona fide dispute shall exist, by and between any of the holders of the Notes, the Company, the Principal Market (or such applicable Eligible Market in which the Ordinary Shares of the Company is then principally trading) and/or FINRA with respect to any term or provision of the Notes or any other Transaction Document; and (xiii) on each day during the Equity Conditions Measuring Period, the Volume Conditions shall have been satisfied.</w:t>
      </w:r>
    </w:p>
    <w:p>
      <w:pPr>
        <w:spacing w:after="0" w:line="205" w:lineRule="exact"/>
        <w:rPr>
          <w:sz w:val="20"/>
          <w:szCs w:val="20"/>
          <w:color w:val="auto"/>
        </w:rPr>
      </w:pPr>
    </w:p>
    <w:p>
      <w:pPr>
        <w:jc w:val="both"/>
        <w:ind w:firstLine="745"/>
        <w:spacing w:after="0" w:line="222" w:lineRule="auto"/>
        <w:tabs>
          <w:tab w:leader="none" w:pos="100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 Failure</w:t>
      </w:r>
      <w:r>
        <w:rPr>
          <w:rFonts w:ascii="Times New Roman" w:cs="Times New Roman" w:eastAsia="Times New Roman" w:hAnsi="Times New Roman"/>
          <w:sz w:val="18"/>
          <w:szCs w:val="18"/>
          <w:color w:val="auto"/>
        </w:rPr>
        <w:t>” means that on each day during the period beginning on the twentieth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Trading Day prior to the applicable date of determination and ending on and including the applicable date of determination, the Equity Conditions have not been satisfied (or waived in writing by the Holder).</w:t>
      </w:r>
    </w:p>
    <w:p>
      <w:pPr>
        <w:spacing w:after="0" w:line="195" w:lineRule="exact"/>
        <w:rPr>
          <w:rFonts w:ascii="Times New Roman" w:cs="Times New Roman" w:eastAsia="Times New Roman" w:hAnsi="Times New Roman"/>
          <w:sz w:val="18"/>
          <w:szCs w:val="18"/>
          <w:color w:val="auto"/>
        </w:rPr>
      </w:pPr>
    </w:p>
    <w:p>
      <w:pPr>
        <w:ind w:left="1000" w:hanging="255"/>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Redemption Factor</w:t>
      </w:r>
      <w:r>
        <w:rPr>
          <w:rFonts w:ascii="Times New Roman" w:cs="Times New Roman" w:eastAsia="Times New Roman" w:hAnsi="Times New Roman"/>
          <w:sz w:val="18"/>
          <w:szCs w:val="18"/>
          <w:color w:val="auto"/>
        </w:rPr>
        <w:t>” means 100%.</w:t>
      </w:r>
    </w:p>
    <w:p>
      <w:pPr>
        <w:spacing w:after="0" w:line="225" w:lineRule="exact"/>
        <w:rPr>
          <w:rFonts w:ascii="Times New Roman" w:cs="Times New Roman" w:eastAsia="Times New Roman" w:hAnsi="Times New Roman"/>
          <w:sz w:val="18"/>
          <w:szCs w:val="18"/>
          <w:color w:val="auto"/>
        </w:rPr>
      </w:pPr>
    </w:p>
    <w:p>
      <w:pPr>
        <w:jc w:val="both"/>
        <w:ind w:firstLine="745"/>
        <w:spacing w:after="0" w:line="257" w:lineRule="auto"/>
        <w:tabs>
          <w:tab w:leader="none" w:pos="100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Ordinary Shares be subject to or party to one or more Subject Entities making,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1008380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79" w:name="page80"/>
    <w:bookmarkEnd w:id="79"/>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purchase, tender or exchange offer that is accepted by the holders of at least either (x) 50% of the outstanding Ordinary Shares, (y) 50% of the outstanding Ordinary Shares calculated as if any Ordinary Shares held by all Subject Entities making or party to, or Affiliated with any Subject Entities making or party to, such purchase, tender or exchange offer were not outstanding; or (z) such number of Ordinary Shares such that all Subject Entities making or party to, or Affiliated with any Subject Entity making or party to, such purchase, tender or exchange offer, become collectively the beneficial owners (as defined in Rule 13d-3 under the 1934 Act) of at least 50% of the outstanding Ordinary Shares,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Ordinary Shares, (y) at least 50% of the outstanding Ordinary Shares calculated as if any Ordinary Shares held by all the Subject Entities making or party to, or Affiliated with any Subject Entity making or party to, such stock purchase agreement or other business combination were not outstanding; or (z) such number of Ordinary Shares such that the Subject Entities become collectively the beneficial owners (as defined in Rule 13d-3 under the 1934 Act) of at least 50% of the outstanding Ordinary Shares, or (v) reorganize, recapitalize or reclassify its Ordinary Shares,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Ordinary Shares,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Ordinary Shares, (y) at least 50% of the aggregate ordinary voting power represented by issued and outstanding Ordinary Shares not held by all such Subject Entities as of the Subscription Date calculated as if any Ordinary Shares held by all such Subject Entities were not outstanding, or (z) a percentage of the aggregate ordinary voting power represented by issued and outstanding Ordinary Shares or other equity securities of the Company sufficient to allow such Subject Entities to effect a statutory short form merger or other transaction requiring other shareholders of the Company to surrender their Ordinary Shares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ind w:left="980" w:hanging="235"/>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rFonts w:ascii="Times New Roman" w:cs="Times New Roman" w:eastAsia="Times New Roman" w:hAnsi="Times New Roman"/>
          <w:sz w:val="18"/>
          <w:szCs w:val="18"/>
          <w:color w:val="auto"/>
        </w:rPr>
      </w:pPr>
    </w:p>
    <w:p>
      <w:pPr>
        <w:ind w:left="980" w:hanging="235"/>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ind w:left="980" w:hanging="235"/>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shall have the meaning ascribed to such term in the Guarantee Agreement (as defined in the Securities Purchase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2" w:lineRule="exact"/>
        <w:rPr>
          <w:rFonts w:ascii="Times New Roman" w:cs="Times New Roman" w:eastAsia="Times New Roman" w:hAnsi="Times New Roman"/>
          <w:sz w:val="18"/>
          <w:szCs w:val="18"/>
          <w:color w:val="auto"/>
        </w:rPr>
      </w:pPr>
    </w:p>
    <w:p>
      <w:pPr>
        <w:ind w:left="1000" w:hanging="255"/>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Change of Control Redemption Factor</w:t>
      </w:r>
      <w:r>
        <w:rPr>
          <w:rFonts w:ascii="Times New Roman" w:cs="Times New Roman" w:eastAsia="Times New Roman" w:hAnsi="Times New Roman"/>
          <w:sz w:val="18"/>
          <w:szCs w:val="18"/>
          <w:color w:val="auto"/>
        </w:rPr>
        <w:t>” means 100%.</w:t>
      </w:r>
    </w:p>
    <w:p>
      <w:pPr>
        <w:spacing w:after="0" w:line="225" w:lineRule="exact"/>
        <w:rPr>
          <w:rFonts w:ascii="Times New Roman" w:cs="Times New Roman" w:eastAsia="Times New Roman" w:hAnsi="Times New Roman"/>
          <w:sz w:val="18"/>
          <w:szCs w:val="18"/>
          <w:color w:val="auto"/>
        </w:rPr>
      </w:pPr>
    </w:p>
    <w:p>
      <w:pPr>
        <w:ind w:left="1000" w:hanging="255"/>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Representative</w:t>
      </w:r>
      <w:r>
        <w:rPr>
          <w:rFonts w:ascii="Times New Roman" w:cs="Times New Roman" w:eastAsia="Times New Roman" w:hAnsi="Times New Roman"/>
          <w:sz w:val="18"/>
          <w:szCs w:val="18"/>
          <w:color w:val="auto"/>
        </w:rPr>
        <w:t>” means JBAAM SPECIAL OPPORTUNITIES FUND - II LLC.</w:t>
      </w:r>
    </w:p>
    <w:p>
      <w:pPr>
        <w:spacing w:after="0" w:line="225" w:lineRule="exact"/>
        <w:rPr>
          <w:rFonts w:ascii="Times New Roman" w:cs="Times New Roman" w:eastAsia="Times New Roman" w:hAnsi="Times New Roman"/>
          <w:sz w:val="18"/>
          <w:szCs w:val="18"/>
          <w:color w:val="auto"/>
        </w:rPr>
      </w:pPr>
    </w:p>
    <w:p>
      <w:pPr>
        <w:ind w:left="1040" w:hanging="295"/>
        <w:spacing w:after="0"/>
        <w:tabs>
          <w:tab w:leader="none" w:pos="10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shall have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ind w:left="1000" w:hanging="255"/>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shall have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ind w:left="1000" w:hanging="255"/>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means the date set forth above as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1035685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80" w:name="page81"/>
    <w:bookmarkEnd w:id="80"/>
    <w:p>
      <w:pPr>
        <w:jc w:val="both"/>
        <w:ind w:left="752" w:firstLine="745"/>
        <w:spacing w:after="0" w:line="278" w:lineRule="auto"/>
        <w:tabs>
          <w:tab w:leader="none" w:pos="1804"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Major Events of Default</w:t>
      </w:r>
      <w:r>
        <w:rPr>
          <w:rFonts w:ascii="Times New Roman" w:cs="Times New Roman" w:eastAsia="Times New Roman" w:hAnsi="Times New Roman"/>
          <w:sz w:val="17"/>
          <w:szCs w:val="17"/>
          <w:color w:val="auto"/>
        </w:rPr>
        <w:t>” shall mean (a) any Event of Default set forth in Section 4(a)(i), 4(a)(iv), 4(a)(v), 4(a)(vi), , 4(a)(ix), 4(a)(x), 4(a)(xi), 4(a)(xii), 4(a)(xv), , 4(a)(xviii), 4(a)(xxiv), 4(a)(xxvi), 4(a)(xxvii) or 4(a)(xxix) or (b) any Event of Default arising under Section</w:t>
      </w:r>
    </w:p>
    <w:p>
      <w:pPr>
        <w:spacing w:after="0" w:line="1" w:lineRule="exact"/>
        <w:rPr>
          <w:rFonts w:ascii="Times New Roman" w:cs="Times New Roman" w:eastAsia="Times New Roman" w:hAnsi="Times New Roman"/>
          <w:sz w:val="17"/>
          <w:szCs w:val="17"/>
          <w:color w:val="auto"/>
        </w:rPr>
      </w:pPr>
    </w:p>
    <w:p>
      <w:pPr>
        <w:ind w:left="752"/>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4(a)(vii), 4(a)(xix), 4(a)(xx) or 4(a)(xxii) as a result of any action or inaction by or on behalf of the Company, any of its Subsidiaries (including the New SPV Subsidiary) or any Guarantor (as determined in good faith by the Collateral Agent or the Required Holders).</w:t>
      </w:r>
    </w:p>
    <w:p>
      <w:pPr>
        <w:spacing w:after="0" w:line="177" w:lineRule="exact"/>
        <w:rPr>
          <w:sz w:val="20"/>
          <w:szCs w:val="20"/>
          <w:color w:val="auto"/>
        </w:rPr>
      </w:pPr>
    </w:p>
    <w:p>
      <w:pPr>
        <w:jc w:val="both"/>
        <w:ind w:left="752" w:right="20" w:firstLine="745"/>
        <w:spacing w:after="0" w:line="278" w:lineRule="auto"/>
        <w:tabs>
          <w:tab w:leader="none" w:pos="1861"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 Cap Condition</w:t>
      </w:r>
      <w:r>
        <w:rPr>
          <w:rFonts w:ascii="Times New Roman" w:cs="Times New Roman" w:eastAsia="Times New Roman" w:hAnsi="Times New Roman"/>
          <w:sz w:val="17"/>
          <w:szCs w:val="17"/>
          <w:color w:val="auto"/>
        </w:rPr>
        <w:t>” means, with respect to a particular date of determination, (i) the market capitalization of the Company, as measured by the VWAP of the Ordinary Shares on each Trading Day during the previous ten (10) Trading Days exceeded $1,221,932,000 and</w:t>
      </w:r>
    </w:p>
    <w:p>
      <w:pPr>
        <w:spacing w:after="0" w:line="1" w:lineRule="exact"/>
        <w:rPr>
          <w:rFonts w:ascii="Times New Roman" w:cs="Times New Roman" w:eastAsia="Times New Roman" w:hAnsi="Times New Roman"/>
          <w:sz w:val="17"/>
          <w:szCs w:val="17"/>
          <w:color w:val="auto"/>
        </w:rPr>
      </w:pPr>
    </w:p>
    <w:p>
      <w:pPr>
        <w:jc w:val="both"/>
        <w:ind w:left="752" w:hanging="3"/>
        <w:spacing w:after="0" w:line="255" w:lineRule="auto"/>
        <w:tabs>
          <w:tab w:leader="none" w:pos="102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Ordinary Shares on each Trading Day during the previous ten (10) Trading Days exceeded 150% of the Conversion Price as of the Issuance Date and shall not be subject to adjustment. All such determinations to be appropriately adjusted for any stock splits, stock dividends, stock combinations, recapitalizations or other similar transactions during any such measuring period.</w:t>
      </w:r>
    </w:p>
    <w:p>
      <w:pPr>
        <w:spacing w:after="0" w:line="181" w:lineRule="exact"/>
        <w:rPr>
          <w:rFonts w:ascii="Times New Roman" w:cs="Times New Roman" w:eastAsia="Times New Roman" w:hAnsi="Times New Roman"/>
          <w:sz w:val="18"/>
          <w:szCs w:val="18"/>
          <w:color w:val="auto"/>
        </w:rPr>
      </w:pPr>
    </w:p>
    <w:p>
      <w:pPr>
        <w:ind w:left="752" w:firstLine="745"/>
        <w:spacing w:after="0" w:line="286" w:lineRule="auto"/>
        <w:tabs>
          <w:tab w:leader="none" w:pos="185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shall have the meaning ascribed to such term in the Securities Purchase Agreement, except that, solely for purposes of Section 4(a)(xvii), such term shall not include the word “prospects”.</w:t>
      </w:r>
    </w:p>
    <w:p>
      <w:pPr>
        <w:spacing w:after="0" w:line="165" w:lineRule="exact"/>
        <w:rPr>
          <w:rFonts w:ascii="Times New Roman" w:cs="Times New Roman" w:eastAsia="Times New Roman" w:hAnsi="Times New Roman"/>
          <w:sz w:val="18"/>
          <w:szCs w:val="18"/>
          <w:color w:val="auto"/>
        </w:rPr>
      </w:pPr>
    </w:p>
    <w:p>
      <w:pPr>
        <w:jc w:val="both"/>
        <w:ind w:left="752" w:firstLine="745"/>
        <w:spacing w:after="0" w:line="237" w:lineRule="auto"/>
        <w:tabs>
          <w:tab w:leader="none" w:pos="182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subject to acceleration upon full redemption or conversion pursuant to the terms of this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Maturity Date may be extended at the option of the Holder in the event that, and for so long as, an Event of Default set forth in clauses (vi), (v) or (vii) of Section 4(a) shall have occurred and be continuing or any event shall have occurred and be continuing that with the passage of time and the failure to cure would result in such an Event of Default.</w:t>
      </w:r>
    </w:p>
    <w:p>
      <w:pPr>
        <w:spacing w:after="0" w:line="196" w:lineRule="exact"/>
        <w:rPr>
          <w:rFonts w:ascii="Times New Roman" w:cs="Times New Roman" w:eastAsia="Times New Roman" w:hAnsi="Times New Roman"/>
          <w:sz w:val="18"/>
          <w:szCs w:val="18"/>
          <w:color w:val="auto"/>
        </w:rPr>
      </w:pPr>
    </w:p>
    <w:p>
      <w:pPr>
        <w:jc w:val="both"/>
        <w:ind w:left="752" w:firstLine="745"/>
        <w:spacing w:after="0" w:line="253" w:lineRule="auto"/>
        <w:tabs>
          <w:tab w:leader="none" w:pos="185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Ordinary Shares or Convertible Securities, other than pursuant to an Approved Share Plan, the Rezolve AI Limited Long Term Incentive Plan (including Annex 1 thereto) and/or any rights, warrants or options or restricted share units (including any variation thereof such as performance share units or deferred share units) to subscribe for or purchase Ordinary Shares or Convertible Securities: (i) issued to any employee, officer or director or other service provider for services provided to the Company or subsidiary or holding company thereof (as those terms are defined in the UK Companies Act 2006) in their capacity as such (whether such person is engaged directly or indirectly to provide such services) pursuant to any agreement approved by the board of directors for this purpose; and/or (ii) held by any person in their capacity as an employee, officer, or director or other service provider to a Person acquired by the Company or a subsidiary or holding company thereof, which the Company has agreed to satisfy. As used herein,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Plan</w:t>
      </w:r>
      <w:r>
        <w:rPr>
          <w:rFonts w:ascii="Times New Roman" w:cs="Times New Roman" w:eastAsia="Times New Roman" w:hAnsi="Times New Roman"/>
          <w:sz w:val="18"/>
          <w:szCs w:val="18"/>
          <w:color w:val="auto"/>
        </w:rPr>
        <w:t>” means any equity incentive plan or arrangement (including any standalone equity incentive agreement) as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directors on the Company’s board of directors (or a duly constituted committee of the board of directors of the Company comprised of a majority of independent directors of the Company) prior to or subsequent to the date hereof pursuant to which Ordinary Shares and options and restricted share units (including any variation thereof such as performance share units or deferred share units) to purchase Ordinary Shares may be issued to any employee, officer or director or other service provider for services provided to the Company or subsidiary or holding company thereof (as those terms are defined in the UK Companies Act 2006) in their capacity as such (whether such person is engaged directly or indirectly to provide such services).</w:t>
      </w:r>
    </w:p>
    <w:p>
      <w:pPr>
        <w:spacing w:after="0" w:line="183" w:lineRule="exact"/>
        <w:rPr>
          <w:rFonts w:ascii="Times New Roman" w:cs="Times New Roman" w:eastAsia="Times New Roman" w:hAnsi="Times New Roman"/>
          <w:sz w:val="18"/>
          <w:szCs w:val="18"/>
          <w:color w:val="auto"/>
        </w:rPr>
      </w:pPr>
    </w:p>
    <w:p>
      <w:pPr>
        <w:jc w:val="both"/>
        <w:ind w:left="752" w:firstLine="745"/>
        <w:spacing w:after="0" w:line="256" w:lineRule="auto"/>
        <w:tabs>
          <w:tab w:leader="none" w:pos="183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Value</w:t>
      </w:r>
      <w:r>
        <w:rPr>
          <w:rFonts w:ascii="Times New Roman" w:cs="Times New Roman" w:eastAsia="Times New Roman" w:hAnsi="Times New Roman"/>
          <w:sz w:val="18"/>
          <w:szCs w:val="18"/>
          <w:color w:val="auto"/>
        </w:rPr>
        <w:t>” means the value of an Option based on the Black and Scholes Option Pricing model obtained from the “OV” function on Bloomberg determined as of (A) the Trading Day prior to the public announcement of the issuance of the applicable Option, if the issuance of such Option is publicly announced or (B) the Trading Day immediately following the issuance of the applicable Option if the issuance of such Option is not publicly announced, for pricing purposes and reflecting (i) a risk-free interest rate corresponding to the U.S. Treasury rate for a period equal to the remaining term of the applicable Option as of the applicable date of determination, (ii) an expected volatility equal to the greater of 100% and the 100 day volatility obtained from the HVT function on Bloomberg as of (A) the Trading Day immediately following the public announcement of the applicable Option if the issuance of such Option is publicly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117475</wp:posOffset>
            </wp:positionV>
            <wp:extent cx="168846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87" w:lineRule="exact"/>
        <w:rPr>
          <w:sz w:val="20"/>
          <w:szCs w:val="20"/>
          <w:color w:val="auto"/>
        </w:rPr>
      </w:pPr>
    </w:p>
    <w:p>
      <w:pPr>
        <w:ind w:left="112" w:hanging="112"/>
        <w:spacing w:after="0"/>
        <w:tabs>
          <w:tab w:leader="none" w:pos="112" w:val="left"/>
        </w:tabs>
        <w:numPr>
          <w:ilvl w:val="0"/>
          <w:numId w:val="1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Insert fifth (5th) anniversary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878840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81" w:name="page82"/>
    <w:bookmarkEnd w:id="81"/>
    <w:p>
      <w:pPr>
        <w:jc w:val="both"/>
        <w:spacing w:after="0" w:line="256" w:lineRule="auto"/>
        <w:rPr>
          <w:sz w:val="20"/>
          <w:szCs w:val="20"/>
          <w:color w:val="auto"/>
        </w:rPr>
      </w:pPr>
      <w:r>
        <w:rPr>
          <w:rFonts w:ascii="Times New Roman" w:cs="Times New Roman" w:eastAsia="Times New Roman" w:hAnsi="Times New Roman"/>
          <w:sz w:val="18"/>
          <w:szCs w:val="18"/>
          <w:color w:val="auto"/>
        </w:rPr>
        <w:t>announced or (B) the Trading Day immediately following the issuance of the applicable Option if the issuance of such Option is not publicly announced, (iii) the underlying price per share used in such calculation shall be the highest weighted average price of the Ordinary Shares during the period beginning on the Trading Day prior to the execution of definitive documentation relating to the issuance of the applicable Option and ending on (A) the Trading Day immediately following the public announcement of such issuance, if the issuance of such Option is publicly announced or (B) the Trading Day immediately following the issuance of the applicable Option if the issuance of such Option is not publicly announced, (iv) a zero cost of borrow and (v) a 360 day annualization factor.</w:t>
      </w:r>
    </w:p>
    <w:p>
      <w:pPr>
        <w:spacing w:after="0" w:line="183" w:lineRule="exact"/>
        <w:rPr>
          <w:sz w:val="20"/>
          <w:szCs w:val="20"/>
          <w:color w:val="auto"/>
        </w:rPr>
      </w:pPr>
    </w:p>
    <w:p>
      <w:pPr>
        <w:ind w:right="20" w:firstLine="745"/>
        <w:spacing w:after="0" w:line="286" w:lineRule="auto"/>
        <w:tabs>
          <w:tab w:leader="none" w:pos="104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 (i) the Company’s ordinary shares, par value £0.0001 per share, and (ii) any capital stock into which such common stock shall have been changed or any share capital resulting from a reclassification of such ordinary shares.</w:t>
      </w:r>
    </w:p>
    <w:p>
      <w:pPr>
        <w:spacing w:after="0" w:line="154" w:lineRule="exact"/>
        <w:rPr>
          <w:rFonts w:ascii="Times New Roman" w:cs="Times New Roman" w:eastAsia="Times New Roman" w:hAnsi="Times New Roman"/>
          <w:sz w:val="18"/>
          <w:szCs w:val="18"/>
          <w:color w:val="auto"/>
        </w:rPr>
      </w:pPr>
    </w:p>
    <w:p>
      <w:pPr>
        <w:jc w:val="both"/>
        <w:ind w:firstLine="745"/>
        <w:spacing w:after="0" w:line="268" w:lineRule="auto"/>
        <w:tabs>
          <w:tab w:leader="none" w:pos="10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0" w:lineRule="exact"/>
        <w:rPr>
          <w:rFonts w:ascii="Times New Roman" w:cs="Times New Roman" w:eastAsia="Times New Roman" w:hAnsi="Times New Roman"/>
          <w:sz w:val="18"/>
          <w:szCs w:val="18"/>
          <w:color w:val="auto"/>
        </w:rPr>
      </w:pPr>
    </w:p>
    <w:p>
      <w:pPr>
        <w:ind w:firstLine="745"/>
        <w:spacing w:after="0" w:line="286" w:lineRule="auto"/>
        <w:tabs>
          <w:tab w:leader="none" w:pos="10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xml:space="preserve"> means the Eligible Market that is the principal securities exchange market for the Ordinary Shares.</w:t>
      </w:r>
    </w:p>
    <w:p>
      <w:pPr>
        <w:spacing w:after="0" w:line="225" w:lineRule="exact"/>
        <w:rPr>
          <w:rFonts w:ascii="Times New Roman" w:cs="Times New Roman" w:eastAsia="Times New Roman" w:hAnsi="Times New Roman"/>
          <w:sz w:val="18"/>
          <w:szCs w:val="18"/>
          <w:color w:val="auto"/>
        </w:rPr>
      </w:pPr>
    </w:p>
    <w:p>
      <w:pPr>
        <w:ind w:firstLine="745"/>
        <w:spacing w:after="0" w:line="286" w:lineRule="auto"/>
        <w:tabs>
          <w:tab w:leader="none" w:pos="101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Notices</w:t>
      </w:r>
      <w:r>
        <w:rPr>
          <w:rFonts w:ascii="Times New Roman" w:cs="Times New Roman" w:eastAsia="Times New Roman" w:hAnsi="Times New Roman"/>
          <w:sz w:val="18"/>
          <w:szCs w:val="18"/>
          <w:color w:val="auto"/>
        </w:rPr>
        <w:t>” means, collectively, the Event of Default Redemption Notices, the Holder Change of Control Redemption Notices, the Holder Optional Redemption Notices, and each of the foregoing, individually,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firstLine="745"/>
        <w:spacing w:after="0" w:line="286" w:lineRule="auto"/>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Prices</w:t>
      </w:r>
      <w:r>
        <w:rPr>
          <w:rFonts w:ascii="Times New Roman" w:cs="Times New Roman" w:eastAsia="Times New Roman" w:hAnsi="Times New Roman"/>
          <w:sz w:val="18"/>
          <w:szCs w:val="18"/>
          <w:color w:val="auto"/>
        </w:rPr>
        <w:t>” means, collectively, Event of Default Redemption Prices, the Holder Change of Control Redemption Prices, the Holder Optional Redemption Prices, and each of the foregoing, individually, a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745"/>
        <w:spacing w:after="0" w:line="268" w:lineRule="auto"/>
        <w:tabs>
          <w:tab w:leader="none" w:pos="102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Initial Closing Date, by and among the Company and the initial holders of the Notes relating to, among other things, the registration of the resale of the Ordinary Shares issuable upon conversion of the Notes or otherwise pursuant to the terms of the Notes, as may be amended from time to time.</w:t>
      </w:r>
    </w:p>
    <w:p>
      <w:pPr>
        <w:spacing w:after="0" w:line="170" w:lineRule="exact"/>
        <w:rPr>
          <w:rFonts w:ascii="Times New Roman" w:cs="Times New Roman" w:eastAsia="Times New Roman" w:hAnsi="Times New Roman"/>
          <w:sz w:val="18"/>
          <w:szCs w:val="18"/>
          <w:color w:val="auto"/>
        </w:rPr>
      </w:pPr>
    </w:p>
    <w:p>
      <w:pPr>
        <w:ind w:left="1200" w:hanging="455"/>
        <w:spacing w:after="0"/>
        <w:tabs>
          <w:tab w:leader="none" w:pos="12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have the meaning ascribed to such term in the Registration Rights Agreement.</w:t>
      </w:r>
    </w:p>
    <w:p>
      <w:pPr>
        <w:spacing w:after="0" w:line="225" w:lineRule="exact"/>
        <w:rPr>
          <w:rFonts w:ascii="Times New Roman" w:cs="Times New Roman" w:eastAsia="Times New Roman" w:hAnsi="Times New Roman"/>
          <w:sz w:val="18"/>
          <w:szCs w:val="18"/>
          <w:color w:val="auto"/>
        </w:rPr>
      </w:pPr>
    </w:p>
    <w:p>
      <w:pPr>
        <w:ind w:left="1100" w:hanging="355"/>
        <w:spacing w:after="0"/>
        <w:tabs>
          <w:tab w:leader="none" w:pos="11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means, with respect to any Person, a fund or account managed by such Person or an Affiliate of such Person.</w:t>
      </w:r>
    </w:p>
    <w:p>
      <w:pPr>
        <w:spacing w:after="0" w:line="225" w:lineRule="exact"/>
        <w:rPr>
          <w:rFonts w:ascii="Times New Roman" w:cs="Times New Roman" w:eastAsia="Times New Roman" w:hAnsi="Times New Roman"/>
          <w:sz w:val="18"/>
          <w:szCs w:val="18"/>
          <w:color w:val="auto"/>
        </w:rPr>
      </w:pPr>
    </w:p>
    <w:p>
      <w:pPr>
        <w:jc w:val="both"/>
        <w:ind w:firstLine="745"/>
        <w:spacing w:after="0" w:line="262" w:lineRule="auto"/>
        <w:tabs>
          <w:tab w:leader="none" w:pos="10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holders of a majority of the outstanding principal amount of Notes as of such time, or if no Notes are outstanding at such time, a majority of the Underlying Securities, which majority shall include all holders of Notes having an aggregate principal amount of $25,000,000 or more as of such time (excluding any Underlying Securities held by the Company or any of its Subsidiaries as of such time) issued or issuable hereunder or pursuant to the Notes.</w:t>
      </w:r>
    </w:p>
    <w:p>
      <w:pPr>
        <w:spacing w:after="0" w:line="176" w:lineRule="exact"/>
        <w:rPr>
          <w:rFonts w:ascii="Times New Roman" w:cs="Times New Roman" w:eastAsia="Times New Roman" w:hAnsi="Times New Roman"/>
          <w:sz w:val="18"/>
          <w:szCs w:val="18"/>
          <w:color w:val="auto"/>
        </w:rPr>
      </w:pPr>
    </w:p>
    <w:p>
      <w:pPr>
        <w:ind w:left="1100" w:hanging="355"/>
        <w:spacing w:after="0"/>
        <w:tabs>
          <w:tab w:leader="none" w:pos="11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jc w:val="both"/>
        <w:ind w:firstLine="745"/>
        <w:spacing w:after="0" w:line="268" w:lineRule="auto"/>
        <w:tabs>
          <w:tab w:leader="none" w:pos="10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dated as of the Subscription Date, by and among the Company and the initial holders of the Notes pursuant to which the Company issued the Notes, as each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1001395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82" w:name="page83"/>
    <w:bookmarkEnd w:id="82"/>
    <w:p>
      <w:pPr>
        <w:ind w:left="1043" w:hanging="295"/>
        <w:spacing w:after="0"/>
        <w:tabs>
          <w:tab w:leader="none" w:pos="104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shall have the meaning as set forth in the Securities Purchase Agreement.</w:t>
      </w:r>
    </w:p>
    <w:p>
      <w:pPr>
        <w:spacing w:after="0" w:line="225" w:lineRule="exact"/>
        <w:rPr>
          <w:rFonts w:ascii="Times New Roman" w:cs="Times New Roman" w:eastAsia="Times New Roman" w:hAnsi="Times New Roman"/>
          <w:sz w:val="18"/>
          <w:szCs w:val="18"/>
          <w:color w:val="auto"/>
        </w:rPr>
      </w:pPr>
    </w:p>
    <w:p>
      <w:pPr>
        <w:ind w:left="1063" w:hanging="315"/>
        <w:spacing w:after="0"/>
        <w:tabs>
          <w:tab w:leader="none" w:pos="106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have the meaning as set forth in the Securities Purchase Agreement.</w:t>
      </w:r>
    </w:p>
    <w:p>
      <w:pPr>
        <w:spacing w:after="0" w:line="225" w:lineRule="exact"/>
        <w:rPr>
          <w:rFonts w:ascii="Times New Roman" w:cs="Times New Roman" w:eastAsia="Times New Roman" w:hAnsi="Times New Roman"/>
          <w:sz w:val="18"/>
          <w:szCs w:val="18"/>
          <w:color w:val="auto"/>
        </w:rPr>
      </w:pPr>
    </w:p>
    <w:p>
      <w:pPr>
        <w:ind w:left="1023" w:hanging="275"/>
        <w:spacing w:after="0"/>
        <w:tabs>
          <w:tab w:leader="none" w:pos="102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68" w:lineRule="auto"/>
        <w:tabs>
          <w:tab w:leader="none" w:pos="109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jc w:val="both"/>
        <w:ind w:left="3" w:firstLine="745"/>
        <w:spacing w:after="0" w:line="254" w:lineRule="auto"/>
        <w:tabs>
          <w:tab w:leader="none" w:pos="109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(x) with respect to all price or trading volume determinations relating to the Ordinary Shares, any day on which the Ordinary Shares is traded on the Principal Market, or, if the Principal Market is not the principal trading market for the Ordinary Shares, then on the principal securities exchange or securities market on which the Ordinary Shares is then traded, provided that “Trading Day” shall not include any day on which the Ordinary Shares is scheduled to trade on such exchange or market for less than 4.5 hours or any day that the Ordinary Shares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Ordinary Shares, any day on which The New York Stock Exchange (or any successor thereto) is open for trading of securities.</w:t>
      </w:r>
    </w:p>
    <w:p>
      <w:pPr>
        <w:spacing w:after="0" w:line="188" w:lineRule="exact"/>
        <w:rPr>
          <w:rFonts w:ascii="Times New Roman" w:cs="Times New Roman" w:eastAsia="Times New Roman" w:hAnsi="Times New Roman"/>
          <w:sz w:val="18"/>
          <w:szCs w:val="18"/>
          <w:color w:val="auto"/>
        </w:rPr>
      </w:pPr>
    </w:p>
    <w:p>
      <w:pPr>
        <w:ind w:left="1183" w:hanging="435"/>
        <w:spacing w:after="0"/>
        <w:tabs>
          <w:tab w:leader="none" w:pos="118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shall have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68" w:lineRule="auto"/>
        <w:tabs>
          <w:tab w:leader="none" w:pos="111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Volume Condition</w:t>
      </w:r>
      <w:r>
        <w:rPr>
          <w:rFonts w:ascii="Times New Roman" w:cs="Times New Roman" w:eastAsia="Times New Roman" w:hAnsi="Times New Roman"/>
          <w:sz w:val="18"/>
          <w:szCs w:val="18"/>
          <w:color w:val="auto"/>
        </w:rPr>
        <w:t>” means, with respect to a particular date of determination, the aggregate daily dollar composite trading volume (as reported on Bloomberg) of the Ordinary Shares on the Principal Market on each Trading Day during the previous fifteen (15) Trading Days is at least $2.0 million.</w:t>
      </w:r>
    </w:p>
    <w:p>
      <w:pPr>
        <w:spacing w:after="0" w:line="170" w:lineRule="exact"/>
        <w:rPr>
          <w:rFonts w:ascii="Times New Roman" w:cs="Times New Roman" w:eastAsia="Times New Roman" w:hAnsi="Times New Roman"/>
          <w:sz w:val="18"/>
          <w:szCs w:val="18"/>
          <w:color w:val="auto"/>
        </w:rPr>
      </w:pPr>
    </w:p>
    <w:p>
      <w:pPr>
        <w:jc w:val="both"/>
        <w:ind w:left="3" w:firstLine="745"/>
        <w:spacing w:after="0" w:line="253" w:lineRule="auto"/>
        <w:tabs>
          <w:tab w:leader="none" w:pos="111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the VWAP cannot be calculated for such security on such date on any of the foregoing,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23. All such determinations shall be appropriately adjusted for any stock dividend, stock split, stock combination, recapitalization or other similar transaction during such period.</w:t>
      </w:r>
    </w:p>
    <w:p>
      <w:pPr>
        <w:spacing w:after="0" w:line="191" w:lineRule="exact"/>
        <w:rPr>
          <w:rFonts w:ascii="Times New Roman" w:cs="Times New Roman" w:eastAsia="Times New Roman" w:hAnsi="Times New Roman"/>
          <w:sz w:val="18"/>
          <w:szCs w:val="18"/>
          <w:color w:val="auto"/>
        </w:rPr>
      </w:pPr>
    </w:p>
    <w:p>
      <w:pPr>
        <w:jc w:val="both"/>
        <w:ind w:left="-757" w:firstLine="757"/>
        <w:spacing w:after="0" w:line="256" w:lineRule="auto"/>
        <w:tabs>
          <w:tab w:leader="none" w:pos="26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(including without limitation any Cash Account Release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Report on Form 6-K or otherwise. In the event that the Company believes that a notice contains material, non-public information relating to the Company or any of its Subsidiaries,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1009650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83" w:name="page84"/>
    <w:bookmarkEnd w:id="83"/>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shall so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32 shall limit any obligations of the Company, or any rights of the Holder, under Section 4(i) of the Securities Purchase Agreement.</w:t>
      </w:r>
    </w:p>
    <w:p>
      <w:pPr>
        <w:spacing w:after="0" w:line="183" w:lineRule="exact"/>
        <w:rPr>
          <w:sz w:val="20"/>
          <w:szCs w:val="20"/>
          <w:color w:val="auto"/>
        </w:rPr>
      </w:pPr>
    </w:p>
    <w:p>
      <w:pPr>
        <w:jc w:val="both"/>
        <w:ind w:firstLine="757"/>
        <w:spacing w:after="0" w:line="256" w:lineRule="auto"/>
        <w:tabs>
          <w:tab w:leader="none" w:pos="10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of the Company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that it may possess and use any information provided by the Company in connection with such trading activity, and may disclose any such information to any third party.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 as of the Issuance Date set out above.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17145</wp:posOffset>
            </wp:positionV>
            <wp:extent cx="31375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Secured Convertible Note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897255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85" w:name="page86"/>
    <w:bookmarkEnd w:id="85"/>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0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Reference is made to the Secured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Rezolve AI Limited, a private limited company incorporated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Ordinary Shares, £0.0001 par value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the Company, as of the date specified below. Capitalized terms not defined herein shall have the meaning as set forth in the Note.</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wp:posOffset>
            </wp:positionV>
            <wp:extent cx="527177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2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Aggregate Principal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17145</wp:posOffset>
            </wp:positionV>
            <wp:extent cx="398589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85895" cy="17145"/>
                    </a:xfrm>
                    <a:prstGeom prst="rect">
                      <a:avLst/>
                    </a:prstGeom>
                    <a:noFill/>
                  </pic:spPr>
                </pic:pic>
              </a:graphicData>
            </a:graphic>
          </wp:anchor>
        </w:drawing>
      </w:r>
    </w:p>
    <w:p>
      <w:pPr>
        <w:spacing w:after="0" w:line="232" w:lineRule="exact"/>
        <w:rPr>
          <w:sz w:val="20"/>
          <w:szCs w:val="20"/>
          <w:color w:val="auto"/>
        </w:rPr>
      </w:pPr>
    </w:p>
    <w:p>
      <w:pPr>
        <w:ind w:left="1380"/>
        <w:spacing w:after="0"/>
        <w:tabs>
          <w:tab w:leader="none" w:pos="2240" w:val="left"/>
          <w:tab w:leader="none" w:pos="2940" w:val="left"/>
          <w:tab w:leader="none" w:pos="3340" w:val="left"/>
          <w:tab w:leader="none" w:pos="3980" w:val="left"/>
          <w:tab w:leader="none" w:pos="4660" w:val="left"/>
        </w:tabs>
        <w:rPr>
          <w:sz w:val="20"/>
          <w:szCs w:val="20"/>
          <w:color w:val="auto"/>
        </w:rPr>
      </w:pPr>
      <w:r>
        <w:rPr>
          <w:rFonts w:ascii="Times New Roman" w:cs="Times New Roman" w:eastAsia="Times New Roman" w:hAnsi="Times New Roman"/>
          <w:sz w:val="18"/>
          <w:szCs w:val="18"/>
          <w:color w:val="auto"/>
        </w:rPr>
        <w:t>Aggregate</w:t>
        <w:tab/>
        <w:t>accrued</w:t>
        <w:tab/>
        <w:t>and</w:t>
        <w:tab/>
        <w:t>unpaid</w:t>
        <w:tab/>
        <w:t>Interest</w:t>
        <w:tab/>
        <w:t>and</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accrued and unpaid Late Charges with respect to</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such portion of the Aggregate Principal and such</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Aggregate Interest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5715</wp:posOffset>
            </wp:positionV>
            <wp:extent cx="398589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85895" cy="17145"/>
                    </a:xfrm>
                    <a:prstGeom prst="rect">
                      <a:avLst/>
                    </a:prstGeom>
                    <a:noFill/>
                  </pic:spPr>
                </pic:pic>
              </a:graphicData>
            </a:graphic>
          </wp:anchor>
        </w:drawing>
      </w:r>
    </w:p>
    <w:p>
      <w:pPr>
        <w:spacing w:after="0" w:line="2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AGGREGATE CONVERSION AMOUNT</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5715</wp:posOffset>
            </wp:positionV>
            <wp:extent cx="398589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8589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498919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Number of Ordinary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17145</wp:posOffset>
            </wp:positionV>
            <wp:extent cx="398589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8589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Please issue the Ordinary Shares into which the Note is being converted to Holder, or for its benefit, as follows:</w:t>
      </w:r>
    </w:p>
    <w:p>
      <w:pPr>
        <w:spacing w:after="0" w:line="225" w:lineRule="exact"/>
        <w:rPr>
          <w:sz w:val="20"/>
          <w:szCs w:val="20"/>
          <w:color w:val="auto"/>
        </w:rPr>
      </w:pPr>
    </w:p>
    <w:p>
      <w:pPr>
        <w:ind w:left="1380" w:right="2060" w:hanging="9"/>
        <w:spacing w:after="0" w:line="532" w:lineRule="auto"/>
        <w:tabs>
          <w:tab w:leader="none" w:pos="1947" w:val="left"/>
        </w:tabs>
        <w:numPr>
          <w:ilvl w:val="0"/>
          <w:numId w:val="1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-158750</wp:posOffset>
            </wp:positionV>
            <wp:extent cx="55549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54980" cy="1714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-4445</wp:posOffset>
            </wp:positionV>
            <wp:extent cx="55549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80" w:right="3220" w:firstLine="162"/>
        <w:spacing w:after="0" w:line="516" w:lineRule="auto"/>
        <w:tabs>
          <w:tab w:leader="none" w:pos="2118"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 DTC Participant:</w:t>
      </w:r>
    </w:p>
    <w:p>
      <w:pPr>
        <w:ind w:left="1380" w:right="8580"/>
        <w:spacing w:after="0" w:line="611" w:lineRule="auto"/>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DTC Number: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-774065</wp:posOffset>
            </wp:positionV>
            <wp:extent cx="498919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89195"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-482600</wp:posOffset>
            </wp:positionV>
            <wp:extent cx="498919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89195"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-191135</wp:posOffset>
            </wp:positionV>
            <wp:extent cx="498919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8919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841375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_____________ __,</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34290</wp:posOffset>
            </wp:positionV>
            <wp:extent cx="31800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80080"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Tax ID: _____________________________</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Facsimile: _____________________________</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884555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87" w:name="page88"/>
    <w:bookmarkEnd w:id="87"/>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07"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The Company hereby (a) acknowledges this Conversion Notice, (b) certifies that the above indicated number of Ordinary Shares [are][are not] eligible to be resold by the Holder either (i) pursuant to Rule 144 (subject to the Holder’s execution and delivery to the Company of a customary 144 representation letter) or (ii) an effective and available registration statement and (c) hereby directs _________________ to issue the above indicated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Ordinary Shares in accordance with the Irrevocable Transfer Agent Instructions dated _____________, 2025 from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to by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800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8008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2187575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88" w:lineRule="exact"/>
        <w:rPr>
          <w:sz w:val="20"/>
          <w:szCs w:val="20"/>
          <w:color w:val="auto"/>
        </w:rPr>
      </w:pPr>
    </w:p>
    <w:p>
      <w:pPr>
        <w:jc w:val="center"/>
        <w:ind w:right="60"/>
        <w:spacing w:after="0" w:line="278" w:lineRule="auto"/>
        <w:rPr>
          <w:sz w:val="20"/>
          <w:szCs w:val="20"/>
          <w:color w:val="auto"/>
        </w:rPr>
      </w:pPr>
      <w:r>
        <w:rPr>
          <w:rFonts w:ascii="Times New Roman" w:cs="Times New Roman" w:eastAsia="Times New Roman" w:hAnsi="Times New Roman"/>
          <w:sz w:val="29"/>
          <w:szCs w:val="29"/>
          <w:b w:val="1"/>
          <w:bCs w:val="1"/>
          <w:color w:val="auto"/>
        </w:rPr>
        <w:t>Rezolve Ai Launches Groundbreaking $1 Billion Bitcoin Treasury to Fuel the Future of AI-Powered Crypto Commerce</w:t>
      </w:r>
    </w:p>
    <w:p>
      <w:pPr>
        <w:spacing w:after="0" w:line="195" w:lineRule="exact"/>
        <w:rPr>
          <w:sz w:val="20"/>
          <w:szCs w:val="20"/>
          <w:color w:val="auto"/>
        </w:rPr>
      </w:pPr>
    </w:p>
    <w:p>
      <w:pPr>
        <w:jc w:val="center"/>
        <w:ind w:left="640" w:right="340"/>
        <w:spacing w:after="0" w:line="287" w:lineRule="auto"/>
        <w:rPr>
          <w:sz w:val="20"/>
          <w:szCs w:val="20"/>
          <w:color w:val="auto"/>
        </w:rPr>
      </w:pPr>
      <w:r>
        <w:rPr>
          <w:rFonts w:ascii="Times New Roman" w:cs="Times New Roman" w:eastAsia="Times New Roman" w:hAnsi="Times New Roman"/>
          <w:sz w:val="25"/>
          <w:szCs w:val="25"/>
          <w:b w:val="1"/>
          <w:bCs w:val="1"/>
          <w:color w:val="auto"/>
        </w:rPr>
        <w:t>$1 billion initiative to anchor the commercialization of Rezolve Ai and Tether’s crypto payment platform</w:t>
      </w:r>
    </w:p>
    <w:p>
      <w:pPr>
        <w:spacing w:after="0" w:line="19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New York, February 24, 2025 </w:t>
      </w:r>
      <w:r>
        <w:rPr>
          <w:rFonts w:ascii="Times New Roman" w:cs="Times New Roman" w:eastAsia="Times New Roman" w:hAnsi="Times New Roman"/>
          <w:sz w:val="20"/>
          <w:szCs w:val="20"/>
          <w:color w:val="auto"/>
        </w:rPr>
        <w:t>– Rezolve Ai (NASDAQ: RZLV), the trailblazer in AI-driven commerce solutions, today unveiled a</w:t>
      </w:r>
      <w:r>
        <w:rPr>
          <w:rFonts w:ascii="Times New Roman" w:cs="Times New Roman" w:eastAsia="Times New Roman" w:hAnsi="Times New Roman"/>
          <w:sz w:val="20"/>
          <w:szCs w:val="20"/>
          <w:b w:val="1"/>
          <w:bCs w:val="1"/>
          <w:color w:val="auto"/>
        </w:rPr>
        <w:t xml:space="preserve"> bold $1 billion Bitcoin treasury programme</w:t>
      </w:r>
      <w:r>
        <w:rPr>
          <w:rFonts w:ascii="Times New Roman" w:cs="Times New Roman" w:eastAsia="Times New Roman" w:hAnsi="Times New Roman"/>
          <w:sz w:val="20"/>
          <w:szCs w:val="20"/>
          <w:color w:val="auto"/>
        </w:rPr>
        <w:t>, kickstarting with an initial</w:t>
      </w:r>
      <w:r>
        <w:rPr>
          <w:rFonts w:ascii="Times New Roman" w:cs="Times New Roman" w:eastAsia="Times New Roman" w:hAnsi="Times New Roman"/>
          <w:sz w:val="20"/>
          <w:szCs w:val="20"/>
          <w:b w:val="1"/>
          <w:bCs w:val="1"/>
          <w:color w:val="auto"/>
        </w:rPr>
        <w:t xml:space="preserve"> $100 million investment</w:t>
      </w:r>
      <w:r>
        <w:rPr>
          <w:rFonts w:ascii="Times New Roman" w:cs="Times New Roman" w:eastAsia="Times New Roman" w:hAnsi="Times New Roman"/>
          <w:sz w:val="20"/>
          <w:szCs w:val="20"/>
          <w:color w:val="auto"/>
        </w:rPr>
        <w:t>. This visionary move underscores Rezolve Ai's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unwavering commitment to revolutionizing global commerce by seamlessly integrating artificial intelligence, blockchain technology, and cryptocurrency.</w:t>
      </w:r>
    </w:p>
    <w:p>
      <w:pPr>
        <w:spacing w:after="0" w:line="18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 xml:space="preserve">The Bitcoin treasury is not just a financial strategy - it’s a </w:t>
      </w:r>
      <w:r>
        <w:rPr>
          <w:rFonts w:ascii="Times New Roman" w:cs="Times New Roman" w:eastAsia="Times New Roman" w:hAnsi="Times New Roman"/>
          <w:sz w:val="20"/>
          <w:szCs w:val="20"/>
          <w:b w:val="1"/>
          <w:bCs w:val="1"/>
          <w:color w:val="auto"/>
        </w:rPr>
        <w:t>game-changing initiative</w:t>
      </w:r>
      <w:r>
        <w:rPr>
          <w:rFonts w:ascii="Times New Roman" w:cs="Times New Roman" w:eastAsia="Times New Roman" w:hAnsi="Times New Roman"/>
          <w:sz w:val="20"/>
          <w:szCs w:val="20"/>
          <w:color w:val="auto"/>
        </w:rPr>
        <w:t xml:space="preserve"> designed to directly support the planned launch of Rezolve Ai’s crypto payment platform, the recently announced initiative with </w:t>
      </w:r>
      <w:r>
        <w:rPr>
          <w:rFonts w:ascii="Times New Roman" w:cs="Times New Roman" w:eastAsia="Times New Roman" w:hAnsi="Times New Roman"/>
          <w:sz w:val="20"/>
          <w:szCs w:val="20"/>
          <w:b w:val="1"/>
          <w:bCs w:val="1"/>
          <w:color w:val="auto"/>
        </w:rPr>
        <w:t>Tether – the largest company in the digital asset industry</w:t>
      </w:r>
      <w:r>
        <w:rPr>
          <w:rFonts w:ascii="Times New Roman" w:cs="Times New Roman" w:eastAsia="Times New Roman" w:hAnsi="Times New Roman"/>
          <w:sz w:val="20"/>
          <w:szCs w:val="20"/>
          <w:color w:val="auto"/>
        </w:rPr>
        <w:t xml:space="preserve">. By establishing a robust Bitcoin reserve, Rezolve Ai is positioning itself to </w:t>
      </w:r>
      <w:r>
        <w:rPr>
          <w:rFonts w:ascii="Times New Roman" w:cs="Times New Roman" w:eastAsia="Times New Roman" w:hAnsi="Times New Roman"/>
          <w:sz w:val="20"/>
          <w:szCs w:val="20"/>
          <w:b w:val="1"/>
          <w:bCs w:val="1"/>
          <w:color w:val="auto"/>
        </w:rPr>
        <w:t>lead the charge in mainstream crypto adoption</w:t>
      </w:r>
      <w:r>
        <w:rPr>
          <w:rFonts w:ascii="Times New Roman" w:cs="Times New Roman" w:eastAsia="Times New Roman" w:hAnsi="Times New Roman"/>
          <w:sz w:val="20"/>
          <w:szCs w:val="20"/>
          <w:color w:val="auto"/>
        </w:rPr>
        <w:t>, enabling millions of consumers and retailers to transact effortlessly with Bitcoin, Tether, and other digital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Daniel M. Wagner, CEO of Rezolve Ai</w:t>
      </w:r>
      <w:r>
        <w:rPr>
          <w:rFonts w:ascii="Times New Roman" w:cs="Times New Roman" w:eastAsia="Times New Roman" w:hAnsi="Times New Roman"/>
          <w:sz w:val="22"/>
          <w:szCs w:val="22"/>
          <w:color w:val="auto"/>
        </w:rPr>
        <w:t>, declared:</w:t>
      </w:r>
    </w:p>
    <w:p>
      <w:pPr>
        <w:spacing w:after="0" w:line="2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i w:val="1"/>
          <w:iCs w:val="1"/>
          <w:color w:val="auto"/>
        </w:rPr>
        <w:t>"This is more than an investment - it’s a statement of intent. We’re not just embracing the future of finance; we’re building it. Our $1 billion Bitcoin treasury is the fuel that will power our initiative with Tether, enabling seamless, AI-driven crypto payments for retailers and consumers worldwide. This is how we bridge the gap between traditional commerce and the digital asset revolution."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Why Bitcoin? The Rationale Behind the Treasury</w:t>
      </w:r>
    </w:p>
    <w:p>
      <w:pPr>
        <w:spacing w:after="0" w:line="2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 xml:space="preserve">Rezolve Ai’s $1 billion Bitcoin treasury is a </w:t>
      </w:r>
      <w:r>
        <w:rPr>
          <w:rFonts w:ascii="Times New Roman" w:cs="Times New Roman" w:eastAsia="Times New Roman" w:hAnsi="Times New Roman"/>
          <w:sz w:val="20"/>
          <w:szCs w:val="20"/>
          <w:b w:val="1"/>
          <w:bCs w:val="1"/>
          <w:color w:val="auto"/>
        </w:rPr>
        <w:t>strategic cornerstone</w:t>
      </w:r>
      <w:r>
        <w:rPr>
          <w:rFonts w:ascii="Times New Roman" w:cs="Times New Roman" w:eastAsia="Times New Roman" w:hAnsi="Times New Roman"/>
          <w:sz w:val="20"/>
          <w:szCs w:val="20"/>
          <w:color w:val="auto"/>
        </w:rPr>
        <w:t xml:space="preserve"> of its broader vision to </w:t>
      </w:r>
      <w:r>
        <w:rPr>
          <w:rFonts w:ascii="Times New Roman" w:cs="Times New Roman" w:eastAsia="Times New Roman" w:hAnsi="Times New Roman"/>
          <w:sz w:val="20"/>
          <w:szCs w:val="20"/>
          <w:b w:val="1"/>
          <w:bCs w:val="1"/>
          <w:color w:val="auto"/>
        </w:rPr>
        <w:t>pioneer the future of AI-powered commerce</w:t>
      </w:r>
      <w:r>
        <w:rPr>
          <w:rFonts w:ascii="Times New Roman" w:cs="Times New Roman" w:eastAsia="Times New Roman" w:hAnsi="Times New Roman"/>
          <w:sz w:val="20"/>
          <w:szCs w:val="20"/>
          <w:color w:val="auto"/>
        </w:rPr>
        <w:t xml:space="preserve">. By allocating a significant portion of its reserves to Bitcoin, Rezolve Ai believes it is not only safeguarding its financial position against inflation and currency devaluation but also positioning itself to </w:t>
      </w:r>
      <w:r>
        <w:rPr>
          <w:rFonts w:ascii="Times New Roman" w:cs="Times New Roman" w:eastAsia="Times New Roman" w:hAnsi="Times New Roman"/>
          <w:sz w:val="20"/>
          <w:szCs w:val="20"/>
          <w:b w:val="1"/>
          <w:bCs w:val="1"/>
          <w:color w:val="auto"/>
        </w:rPr>
        <w:t>lead the integration of digital assets into everyday commerce</w:t>
      </w:r>
      <w:r>
        <w:rPr>
          <w:rFonts w:ascii="Times New Roman" w:cs="Times New Roman" w:eastAsia="Times New Roman" w:hAnsi="Times New Roman"/>
          <w:sz w:val="20"/>
          <w:szCs w:val="20"/>
          <w:color w:val="auto"/>
        </w:rPr>
        <w:t xml:space="preserve">. This treasury will serve as a </w:t>
      </w:r>
      <w:r>
        <w:rPr>
          <w:rFonts w:ascii="Times New Roman" w:cs="Times New Roman" w:eastAsia="Times New Roman" w:hAnsi="Times New Roman"/>
          <w:sz w:val="20"/>
          <w:szCs w:val="20"/>
          <w:b w:val="1"/>
          <w:bCs w:val="1"/>
          <w:color w:val="auto"/>
        </w:rPr>
        <w:t>foundational asset</w:t>
      </w:r>
      <w:r>
        <w:rPr>
          <w:rFonts w:ascii="Times New Roman" w:cs="Times New Roman" w:eastAsia="Times New Roman" w:hAnsi="Times New Roman"/>
          <w:sz w:val="20"/>
          <w:szCs w:val="20"/>
          <w:color w:val="auto"/>
        </w:rPr>
        <w:t xml:space="preserve"> to support the commercialization of its AI-driven crypto payment platform, developed in collaboration with Tether. The initiative is intended to ensure that Rezolve Ai has the liquidity and flexibility to scale its operations globally, while also aligning with the growing demand for decentralized, secure, and efficient payment solutions. In essence, this move is about </w:t>
      </w:r>
      <w:r>
        <w:rPr>
          <w:rFonts w:ascii="Times New Roman" w:cs="Times New Roman" w:eastAsia="Times New Roman" w:hAnsi="Times New Roman"/>
          <w:sz w:val="20"/>
          <w:szCs w:val="20"/>
          <w:b w:val="1"/>
          <w:bCs w:val="1"/>
          <w:color w:val="auto"/>
        </w:rPr>
        <w:t xml:space="preserve">future-proofing Rezolve Ai’s financial ecosystem </w:t>
      </w:r>
      <w:r>
        <w:rPr>
          <w:rFonts w:ascii="Times New Roman" w:cs="Times New Roman" w:eastAsia="Times New Roman" w:hAnsi="Times New Roman"/>
          <w:sz w:val="20"/>
          <w:szCs w:val="20"/>
          <w:color w:val="auto"/>
        </w:rPr>
        <w:t>and enabling the seamless adoption of crypto payments for retailers and consumers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worldwide.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Bitcoin, as the world’s most trusted and liquid cryptocurrency, offers unparalleled benefits:</w:t>
      </w:r>
    </w:p>
    <w:p>
      <w:pPr>
        <w:spacing w:after="0" w:line="225" w:lineRule="exact"/>
        <w:rPr>
          <w:sz w:val="20"/>
          <w:szCs w:val="20"/>
          <w:color w:val="auto"/>
        </w:rPr>
      </w:pPr>
    </w:p>
    <w:p>
      <w:pPr>
        <w:ind w:left="480" w:right="240"/>
        <w:spacing w:after="0" w:line="253" w:lineRule="auto"/>
        <w:rPr>
          <w:sz w:val="20"/>
          <w:szCs w:val="20"/>
          <w:color w:val="auto"/>
        </w:rPr>
      </w:pPr>
      <w:r>
        <w:rPr>
          <w:rFonts w:ascii="Times New Roman" w:cs="Times New Roman" w:eastAsia="Times New Roman" w:hAnsi="Times New Roman"/>
          <w:sz w:val="20"/>
          <w:szCs w:val="20"/>
          <w:b w:val="1"/>
          <w:bCs w:val="1"/>
          <w:color w:val="auto"/>
        </w:rPr>
        <w:t>Inflation Hedge</w:t>
      </w:r>
      <w:r>
        <w:rPr>
          <w:rFonts w:ascii="Times New Roman" w:cs="Times New Roman" w:eastAsia="Times New Roman" w:hAnsi="Times New Roman"/>
          <w:sz w:val="20"/>
          <w:szCs w:val="20"/>
          <w:color w:val="auto"/>
        </w:rPr>
        <w:t>: In an era of economic uncertainty, Bitcoin serves as a reliable store of value, protecting Rezolve Ai’s balance sheet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against inflationary pressures.</w:t>
      </w:r>
    </w:p>
    <w:p>
      <w:pPr>
        <w:ind w:left="480" w:right="320"/>
        <w:spacing w:after="0" w:line="239" w:lineRule="auto"/>
        <w:rPr>
          <w:sz w:val="20"/>
          <w:szCs w:val="20"/>
          <w:color w:val="auto"/>
        </w:rPr>
      </w:pPr>
      <w:r>
        <w:rPr>
          <w:rFonts w:ascii="Times New Roman" w:cs="Times New Roman" w:eastAsia="Times New Roman" w:hAnsi="Times New Roman"/>
          <w:sz w:val="20"/>
          <w:szCs w:val="20"/>
          <w:b w:val="1"/>
          <w:bCs w:val="1"/>
          <w:color w:val="auto"/>
        </w:rPr>
        <w:t>Liquidity &amp; Flexibility</w:t>
      </w:r>
      <w:r>
        <w:rPr>
          <w:rFonts w:ascii="Times New Roman" w:cs="Times New Roman" w:eastAsia="Times New Roman" w:hAnsi="Times New Roman"/>
          <w:sz w:val="20"/>
          <w:szCs w:val="20"/>
          <w:color w:val="auto"/>
        </w:rPr>
        <w:t>: Bitcoin’s global liquidity ensures that Rezolve Ai can swiftly deploy capital to support the rapid scaling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braincheckout and other crypto-commerce initiatives.</w:t>
      </w:r>
    </w:p>
    <w:p>
      <w:pPr>
        <w:ind w:left="480" w:right="120"/>
        <w:spacing w:after="0" w:line="246" w:lineRule="auto"/>
        <w:rPr>
          <w:sz w:val="20"/>
          <w:szCs w:val="20"/>
          <w:color w:val="auto"/>
        </w:rPr>
      </w:pPr>
      <w:r>
        <w:rPr>
          <w:rFonts w:ascii="Times New Roman" w:cs="Times New Roman" w:eastAsia="Times New Roman" w:hAnsi="Times New Roman"/>
          <w:sz w:val="20"/>
          <w:szCs w:val="20"/>
          <w:b w:val="1"/>
          <w:bCs w:val="1"/>
          <w:color w:val="auto"/>
        </w:rPr>
        <w:t>Strategic Alignment</w:t>
      </w:r>
      <w:r>
        <w:rPr>
          <w:rFonts w:ascii="Times New Roman" w:cs="Times New Roman" w:eastAsia="Times New Roman" w:hAnsi="Times New Roman"/>
          <w:sz w:val="20"/>
          <w:szCs w:val="20"/>
          <w:color w:val="auto"/>
        </w:rPr>
        <w:t>: By holding Bitcoin, Rezolve Ai aligns itself with the future of money, ensuring it remains at the forefront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digital economy.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Future of Retail Payments</w:t>
      </w:r>
    </w:p>
    <w:p>
      <w:pPr>
        <w:spacing w:after="0" w:line="21"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 xml:space="preserve">Later this year, Rezolve Ai expects to launch a revolutionary AI-powered crypto payment platform developed in collaboration with Tether. This groundbreaking solution will allow consumers to </w:t>
      </w:r>
      <w:r>
        <w:rPr>
          <w:rFonts w:ascii="Times New Roman" w:cs="Times New Roman" w:eastAsia="Times New Roman" w:hAnsi="Times New Roman"/>
          <w:sz w:val="20"/>
          <w:szCs w:val="20"/>
          <w:b w:val="1"/>
          <w:bCs w:val="1"/>
          <w:color w:val="auto"/>
        </w:rPr>
        <w: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9" w:name="page90"/>
    <w:bookmarkEnd w:id="89"/>
    <w:p>
      <w:pPr>
        <w:ind w:right="2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with Bitcoin, Tether, and other digital assets </w:t>
      </w:r>
      <w:r>
        <w:rPr>
          <w:rFonts w:ascii="Times New Roman" w:cs="Times New Roman" w:eastAsia="Times New Roman" w:hAnsi="Times New Roman"/>
          <w:sz w:val="20"/>
          <w:szCs w:val="20"/>
          <w:color w:val="auto"/>
        </w:rPr>
        <w:t>directly at the point of sale, while retailers benefit from the elimination of merchant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instant crypto-to-fiat conversions and AI-driven transaction intelligence.</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"We aren’t just introducing a payment platform - it’s a paradigm shift," </w:t>
      </w:r>
      <w:r>
        <w:rPr>
          <w:rFonts w:ascii="Times New Roman" w:cs="Times New Roman" w:eastAsia="Times New Roman" w:hAnsi="Times New Roman"/>
          <w:sz w:val="20"/>
          <w:szCs w:val="20"/>
          <w:color w:val="auto"/>
        </w:rPr>
        <w:t>Wagner added.</w:t>
      </w:r>
      <w:r>
        <w:rPr>
          <w:rFonts w:ascii="Times New Roman" w:cs="Times New Roman" w:eastAsia="Times New Roman" w:hAnsi="Times New Roman"/>
          <w:sz w:val="20"/>
          <w:szCs w:val="20"/>
          <w:i w:val="1"/>
          <w:iCs w:val="1"/>
          <w:color w:val="auto"/>
        </w:rPr>
        <w:t xml:space="preserve"> "We’re empowering consumers to use their digital assets in everyday transactions, while giving retailers the tools to thrive in the crypto economy. This is the future of commerce, and Rezolve Ai is leading the charge."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Secure, Transparent, and Future-Proof Strategy</w:t>
      </w:r>
    </w:p>
    <w:p>
      <w:pPr>
        <w:spacing w:after="0" w:line="2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The Bitcoin treasury will be managed under a </w:t>
      </w:r>
      <w:r>
        <w:rPr>
          <w:rFonts w:ascii="Times New Roman" w:cs="Times New Roman" w:eastAsia="Times New Roman" w:hAnsi="Times New Roman"/>
          <w:sz w:val="20"/>
          <w:szCs w:val="20"/>
          <w:b w:val="1"/>
          <w:bCs w:val="1"/>
          <w:color w:val="auto"/>
        </w:rPr>
        <w:t>secured, transparent structure</w:t>
      </w:r>
      <w:r>
        <w:rPr>
          <w:rFonts w:ascii="Times New Roman" w:cs="Times New Roman" w:eastAsia="Times New Roman" w:hAnsi="Times New Roman"/>
          <w:sz w:val="20"/>
          <w:szCs w:val="20"/>
          <w:color w:val="auto"/>
        </w:rPr>
        <w:t>, with assets held in escrow accounts governed by strict protocols. This ensures maximum security for investors while providing Rezolve Ai with the flexibility to capitalize on Bitcoin’s long-term appreciation.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Why This Matters</w:t>
      </w:r>
    </w:p>
    <w:p>
      <w:pPr>
        <w:spacing w:after="0" w:line="2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Rezolve Ai’s Bitcoin treasury programme is more than a financial strategy - it’s a </w:t>
      </w:r>
      <w:r>
        <w:rPr>
          <w:rFonts w:ascii="Times New Roman" w:cs="Times New Roman" w:eastAsia="Times New Roman" w:hAnsi="Times New Roman"/>
          <w:sz w:val="20"/>
          <w:szCs w:val="20"/>
          <w:b w:val="1"/>
          <w:bCs w:val="1"/>
          <w:color w:val="auto"/>
        </w:rPr>
        <w:t>commercial initiative</w:t>
      </w:r>
      <w:r>
        <w:rPr>
          <w:rFonts w:ascii="Times New Roman" w:cs="Times New Roman" w:eastAsia="Times New Roman" w:hAnsi="Times New Roman"/>
          <w:sz w:val="20"/>
          <w:szCs w:val="20"/>
          <w:color w:val="auto"/>
        </w:rPr>
        <w:t xml:space="preserve"> that positions the company as a </w:t>
      </w:r>
      <w:r>
        <w:rPr>
          <w:rFonts w:ascii="Times New Roman" w:cs="Times New Roman" w:eastAsia="Times New Roman" w:hAnsi="Times New Roman"/>
          <w:sz w:val="20"/>
          <w:szCs w:val="20"/>
          <w:b w:val="1"/>
          <w:bCs w:val="1"/>
          <w:color w:val="auto"/>
        </w:rPr>
        <w:t>pioneer in the convergence of AI, blockchain, and commerce</w:t>
      </w:r>
      <w:r>
        <w:rPr>
          <w:rFonts w:ascii="Times New Roman" w:cs="Times New Roman" w:eastAsia="Times New Roman" w:hAnsi="Times New Roman"/>
          <w:sz w:val="20"/>
          <w:szCs w:val="20"/>
          <w:color w:val="auto"/>
        </w:rPr>
        <w:t>. By integrating Bitcoin into its overall business strategy, Rezolve Ai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only future-proofing its balance sheet but also laying the foundation for a </w:t>
      </w:r>
      <w:r>
        <w:rPr>
          <w:rFonts w:ascii="Times New Roman" w:cs="Times New Roman" w:eastAsia="Times New Roman" w:hAnsi="Times New Roman"/>
          <w:sz w:val="20"/>
          <w:szCs w:val="20"/>
          <w:b w:val="1"/>
          <w:bCs w:val="1"/>
          <w:color w:val="auto"/>
        </w:rPr>
        <w:t>new era of decentralized, AI-driven commerce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Committed to crypto and AI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Rezolve Ai is committed to delivering </w:t>
      </w:r>
      <w:r>
        <w:rPr>
          <w:rFonts w:ascii="Times New Roman" w:cs="Times New Roman" w:eastAsia="Times New Roman" w:hAnsi="Times New Roman"/>
          <w:sz w:val="19"/>
          <w:szCs w:val="19"/>
          <w:b w:val="1"/>
          <w:bCs w:val="1"/>
          <w:color w:val="auto"/>
        </w:rPr>
        <w:t>cutting-edge AI solutions</w:t>
      </w:r>
      <w:r>
        <w:rPr>
          <w:rFonts w:ascii="Times New Roman" w:cs="Times New Roman" w:eastAsia="Times New Roman" w:hAnsi="Times New Roman"/>
          <w:sz w:val="19"/>
          <w:szCs w:val="19"/>
          <w:color w:val="auto"/>
        </w:rPr>
        <w:t xml:space="preserve"> that empower retailers, merchants, and brands to thrive in the digital age.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the planned launch of its AI-powered crypto payment platform developed in collaboration with Tether and the establishment of its</w:t>
      </w:r>
    </w:p>
    <w:p>
      <w:pPr>
        <w:spacing w:after="0"/>
        <w:rPr>
          <w:sz w:val="20"/>
          <w:szCs w:val="20"/>
          <w:color w:val="auto"/>
        </w:rPr>
      </w:pPr>
      <w:r>
        <w:rPr>
          <w:rFonts w:ascii="Times New Roman" w:cs="Times New Roman" w:eastAsia="Times New Roman" w:hAnsi="Times New Roman"/>
          <w:sz w:val="20"/>
          <w:szCs w:val="20"/>
          <w:color w:val="auto"/>
        </w:rPr>
        <w:t>Bitcoin treasury, Rezolve Ai is poised to redefine the future of global commerce.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Advisors</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20"/>
          <w:szCs w:val="20"/>
          <w:color w:val="auto"/>
        </w:rPr>
        <w:t>Cohen &amp; Company Capital Markets, a division of J.V.B. Financial Group, LLC acted as placement agent to Rezolve Ai in the transaction.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Rezolve Ai</w:t>
      </w:r>
    </w:p>
    <w:p>
      <w:pPr>
        <w:spacing w:after="0" w:line="2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Rezolve Ai (NASDAQ: RZLV) is an industry leader in AI-powered solutions, specializing in enhancing customer engagement, operational efficiency, and revenue growth. The Brain Suite delivers advanced tools that harness artificial intelligence to optimize processes, improve decision-making, and enable seamless digital experiences. For more information, visit www.rezolve.com.</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CORE IR</w:t>
      </w:r>
    </w:p>
    <w:p>
      <w:pPr>
        <w:spacing w:after="0"/>
        <w:rPr>
          <w:sz w:val="20"/>
          <w:szCs w:val="20"/>
          <w:color w:val="auto"/>
        </w:rPr>
      </w:pPr>
      <w:r>
        <w:rPr>
          <w:rFonts w:ascii="Times New Roman" w:cs="Times New Roman" w:eastAsia="Times New Roman" w:hAnsi="Times New Roman"/>
          <w:sz w:val="20"/>
          <w:szCs w:val="20"/>
          <w:color w:val="auto"/>
        </w:rPr>
        <w:t>+15162222560</w:t>
      </w: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This press release includes "forward-looking statements" within the meaning of the "safe harbor" provisions of the Private Securities Litigation Reform Act of 1996. The actual results of Rezolve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9" w:right="519" w:bottom="1440" w:gutter="0" w:footer="0" w:header="0"/>
        </w:sectPr>
      </w:pPr>
    </w:p>
    <w:bookmarkStart w:id="90" w:name="page91"/>
    <w:bookmarkEnd w:id="90"/>
    <w:p>
      <w:pPr>
        <w:spacing w:after="0" w:line="241" w:lineRule="auto"/>
        <w:rPr>
          <w:sz w:val="20"/>
          <w:szCs w:val="20"/>
          <w:color w:val="auto"/>
        </w:rPr>
      </w:pPr>
      <w:r>
        <w:rPr>
          <w:rFonts w:ascii="Times New Roman" w:cs="Times New Roman" w:eastAsia="Times New Roman" w:hAnsi="Times New Roman"/>
          <w:sz w:val="20"/>
          <w:szCs w:val="20"/>
          <w:color w:val="auto"/>
        </w:rPr>
        <w:t>Limited ("Rezolve") may differ from their expectations, estimates, and projections.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Forward looking statements in this press release include Rezolve’s expectations regarding the size of its Bitcoin treasury, the benefits of its Bitcoin treasury, and it’s ability to develop and launch a crypto payment platform in 2025. These forward-looking statements involve significant risks and uncertainties that could cause the actual results to differ materially from the expected results. Factors that may cause such differences include, but are not limited to: (1) competition, the ability of Rezolve to grow and manage growth profitably, and retain its management and key employees; (2) costs related to Rezolve's completed business combination with Armada Acquisition Corp. I; (3) changes in applicable laws or regulations; and (4)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Rezolve does not undertake or accept any obligation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1197610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lowerLetter"/>
      <w:start w:val="9"/>
    </w:lvl>
    <w:lvl w:ilvl="1">
      <w:lvlJc w:val="left"/>
      <w:lvlText w:val="%2."/>
      <w:numFmt w:val="upperLetter"/>
      <w:start w:val="4"/>
    </w:lvl>
  </w:abstractNum>
  <w:abstractNum w:abstractNumId="1">
    <w:nsid w:val="4AD084E9"/>
    <w:multiLevelType w:val="hybridMultilevel"/>
    <w:lvl w:ilvl="0">
      <w:lvlJc w:val="left"/>
      <w:lvlText w:val="(%1)"/>
      <w:numFmt w:val="lowerLetter"/>
      <w:start w:val="2"/>
    </w:lvl>
    <w:lvl w:ilvl="1">
      <w:lvlJc w:val="left"/>
      <w:lvlText w:val="%2"/>
      <w:numFmt w:val="upperLetter"/>
      <w:start w:val="1"/>
    </w:lvl>
  </w:abstractNum>
  <w:abstractNum w:abstractNumId="2">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138182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4">
    <w:nsid w:val="5DB70AE5"/>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5">
    <w:nsid w:val="100F8FCA"/>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
    <w:nsid w:val="6590700B"/>
    <w:multiLevelType w:val="hybridMultilevel"/>
    <w:lvl w:ilvl="0">
      <w:lvlJc w:val="left"/>
      <w:lvlText w:val="(%1)"/>
      <w:numFmt w:val="lowerLetter"/>
      <w:start w:val="1"/>
    </w:lvl>
  </w:abstractNum>
  <w:abstractNum w:abstractNumId="7">
    <w:nsid w:val="15014ACB"/>
    <w:multiLevelType w:val="hybridMultilevel"/>
    <w:lvl w:ilvl="0">
      <w:lvlJc w:val="left"/>
      <w:lvlText w:val="%1"/>
      <w:numFmt w:val="lowerLetter"/>
      <w:start w:val="1"/>
    </w:lvl>
    <w:lvl w:ilvl="1">
      <w:lvlJc w:val="left"/>
      <w:lvlText w:val="(%2)"/>
      <w:numFmt w:val="lowerLetter"/>
      <w:start w:val="6"/>
    </w:lvl>
  </w:abstractNum>
  <w:abstractNum w:abstractNumId="8">
    <w:nsid w:val="5F5E7FD0"/>
    <w:multiLevelType w:val="hybridMultilevel"/>
    <w:lvl w:ilvl="0">
      <w:lvlJc w:val="left"/>
      <w:lvlText w:val="(%1)"/>
      <w:numFmt w:val="lowerLetter"/>
      <w:start w:val="35"/>
    </w:lvl>
    <w:lvl w:ilvl="1">
      <w:lvlJc w:val="left"/>
      <w:lvlText w:val="(%2)"/>
      <w:numFmt w:val="lowerLetter"/>
      <w:start w:val="8"/>
    </w:lvl>
  </w:abstractNum>
  <w:abstractNum w:abstractNumId="9">
    <w:nsid w:val="98A3148"/>
    <w:multiLevelType w:val="hybridMultilevel"/>
    <w:lvl w:ilvl="0">
      <w:lvlJc w:val="left"/>
      <w:lvlText w:val="%1"/>
      <w:numFmt w:val="decimal"/>
      <w:start w:val="1"/>
    </w:lvl>
    <w:lvl w:ilvl="1">
      <w:lvlJc w:val="left"/>
      <w:lvlText w:val="(%2)"/>
      <w:numFmt w:val="lowerLetter"/>
      <w:start w:val="12"/>
    </w:lvl>
  </w:abstractNum>
  <w:abstractNum w:abstractNumId="10">
    <w:nsid w:val="799D0247"/>
    <w:multiLevelType w:val="hybridMultilevel"/>
    <w:lvl w:ilvl="0">
      <w:lvlJc w:val="left"/>
      <w:lvlText w:val="%1."/>
      <w:numFmt w:val="decimal"/>
      <w:start w:val="3"/>
    </w:lvl>
    <w:lvl w:ilvl="1">
      <w:lvlJc w:val="left"/>
      <w:lvlText w:val="%2"/>
      <w:numFmt w:val="lowerLetter"/>
      <w:start w:val="1"/>
    </w:lvl>
  </w:abstractNum>
  <w:abstractNum w:abstractNumId="11">
    <w:nsid w:val="6B94764"/>
    <w:multiLevelType w:val="hybridMultilevel"/>
    <w:lvl w:ilvl="0">
      <w:lvlJc w:val="left"/>
      <w:lvlText w:val="(%1)"/>
      <w:numFmt w:val="lowerLetter"/>
      <w:start w:val="1"/>
    </w:lvl>
  </w:abstractNum>
  <w:abstractNum w:abstractNumId="12">
    <w:nsid w:val="42C296BD"/>
    <w:multiLevelType w:val="hybridMultilevel"/>
    <w:lvl w:ilvl="0">
      <w:lvlJc w:val="left"/>
      <w:lvlText w:val="%1"/>
      <w:numFmt w:val="lowerLetter"/>
      <w:start w:val="1"/>
    </w:lvl>
    <w:lvl w:ilvl="1">
      <w:lvlJc w:val="left"/>
      <w:lvlText w:val="(%2)"/>
      <w:numFmt w:val="lowerLetter"/>
      <w:start w:val="3"/>
    </w:lvl>
  </w:abstractNum>
  <w:abstractNum w:abstractNumId="13">
    <w:nsid w:val="168E121F"/>
    <w:multiLevelType w:val="hybridMultilevel"/>
    <w:lvl w:ilvl="0">
      <w:lvlJc w:val="left"/>
      <w:lvlText w:val="(%1)"/>
      <w:numFmt w:val="lowerLetter"/>
      <w:start w:val="9"/>
    </w:lvl>
    <w:lvl w:ilvl="1">
      <w:lvlJc w:val="left"/>
      <w:lvlText w:val="(%2)"/>
      <w:numFmt w:val="lowerLetter"/>
      <w:start w:val="5"/>
    </w:lvl>
  </w:abstractNum>
  <w:abstractNum w:abstractNumId="14">
    <w:nsid w:val="1EBA5D23"/>
    <w:multiLevelType w:val="hybridMultilevel"/>
    <w:lvl w:ilvl="0">
      <w:lvlJc w:val="left"/>
      <w:lvlText w:val="%1"/>
      <w:numFmt w:val="lowerLetter"/>
      <w:start w:val="1"/>
    </w:lvl>
    <w:lvl w:ilvl="1">
      <w:lvlJc w:val="left"/>
      <w:lvlText w:val="(%2)"/>
      <w:numFmt w:val="lowerLetter"/>
      <w:start w:val="6"/>
    </w:lvl>
  </w:abstractNum>
  <w:abstractNum w:abstractNumId="15">
    <w:nsid w:val="661E3F1E"/>
    <w:multiLevelType w:val="hybridMultilevel"/>
    <w:lvl w:ilvl="0">
      <w:lvlJc w:val="left"/>
      <w:lvlText w:val="(%1)"/>
      <w:numFmt w:val="lowerLetter"/>
      <w:start w:val="61"/>
    </w:lvl>
    <w:lvl w:ilvl="1">
      <w:lvlJc w:val="left"/>
      <w:lvlText w:val="(%2)"/>
      <w:numFmt w:val="lowerLetter"/>
      <w:start w:val="7"/>
    </w:lvl>
  </w:abstractNum>
  <w:abstractNum w:abstractNumId="16">
    <w:nsid w:val="5DC79EA8"/>
    <w:multiLevelType w:val="hybridMultilevel"/>
    <w:lvl w:ilvl="0">
      <w:lvlJc w:val="left"/>
      <w:lvlText w:val="(%1)"/>
      <w:numFmt w:val="lowerLetter"/>
      <w:start w:val="10"/>
    </w:lvl>
  </w:abstractNum>
  <w:abstractNum w:abstractNumId="17">
    <w:nsid w:val="540A471C"/>
    <w:multiLevelType w:val="hybridMultilevel"/>
    <w:lvl w:ilvl="0">
      <w:lvlJc w:val="left"/>
      <w:lvlText w:val="(%1)"/>
      <w:numFmt w:val="lowerLetter"/>
      <w:start w:val="13"/>
    </w:lvl>
    <w:lvl w:ilvl="1">
      <w:lvlJc w:val="left"/>
      <w:lvlText w:val="(%2)"/>
      <w:numFmt w:val="lowerRoman"/>
      <w:start w:val="1"/>
    </w:lvl>
  </w:abstractNum>
  <w:abstractNum w:abstractNumId="18">
    <w:nsid w:val="7BD3EE7B"/>
    <w:multiLevelType w:val="hybridMultilevel"/>
    <w:lvl w:ilvl="0">
      <w:lvlJc w:val="left"/>
      <w:lvlText w:val="%1"/>
      <w:numFmt w:val="lowerLetter"/>
      <w:start w:val="1"/>
    </w:lvl>
    <w:lvl w:ilvl="1">
      <w:lvlJc w:val="left"/>
      <w:lvlText w:val="(%2)"/>
      <w:numFmt w:val="lowerLetter"/>
      <w:start w:val="17"/>
    </w:lvl>
    <w:lvl w:ilvl="2">
      <w:lvlJc w:val="left"/>
      <w:lvlText w:val="%3"/>
      <w:numFmt w:val="lowerRoman"/>
      <w:start w:val="1"/>
    </w:lvl>
    <w:lvl w:ilvl="3">
      <w:lvlJc w:val="left"/>
      <w:lvlText w:val="%4"/>
      <w:numFmt w:val="upperLetter"/>
      <w:start w:val="1"/>
    </w:lvl>
  </w:abstractNum>
  <w:abstractNum w:abstractNumId="19">
    <w:nsid w:val="51D9C564"/>
    <w:multiLevelType w:val="hybridMultilevel"/>
    <w:lvl w:ilvl="0">
      <w:lvlJc w:val="left"/>
      <w:lvlText w:val="(%1)"/>
      <w:numFmt w:val="lowerLetter"/>
      <w:start w:val="35"/>
    </w:lvl>
    <w:lvl w:ilvl="1">
      <w:lvlJc w:val="left"/>
      <w:lvlText w:val="(%2)"/>
      <w:numFmt w:val="lowerLetter"/>
      <w:start w:val="18"/>
    </w:lvl>
    <w:lvl w:ilvl="2">
      <w:lvlJc w:val="left"/>
      <w:lvlText w:val="(%3)"/>
      <w:numFmt w:val="lowerRoman"/>
      <w:start w:val="1"/>
    </w:lvl>
    <w:lvl w:ilvl="3">
      <w:lvlJc w:val="left"/>
      <w:lvlText w:val="(%4)"/>
      <w:numFmt w:val="upperLetter"/>
      <w:start w:val="1"/>
    </w:lvl>
  </w:abstractNum>
  <w:abstractNum w:abstractNumId="20">
    <w:nsid w:val="613EFDC5"/>
    <w:multiLevelType w:val="hybridMultilevel"/>
    <w:lvl w:ilvl="0">
      <w:lvlJc w:val="left"/>
      <w:lvlText w:val="%1"/>
      <w:numFmt w:val="lowerLetter"/>
      <w:start w:val="1"/>
    </w:lvl>
    <w:lvl w:ilvl="1">
      <w:lvlJc w:val="left"/>
      <w:lvlText w:val="(%2)"/>
      <w:numFmt w:val="lowerRoman"/>
      <w:start w:val="4"/>
    </w:lvl>
  </w:abstractNum>
  <w:abstractNum w:abstractNumId="21">
    <w:nsid w:val="BF72B14"/>
    <w:multiLevelType w:val="hybridMultilevel"/>
    <w:lvl w:ilvl="0">
      <w:lvlJc w:val="left"/>
      <w:lvlText w:val="(%1)"/>
      <w:numFmt w:val="lowerLetter"/>
      <w:start w:val="19"/>
    </w:lvl>
    <w:lvl w:ilvl="1">
      <w:lvlJc w:val="left"/>
      <w:lvlText w:val="%2"/>
      <w:numFmt w:val="lowerRoman"/>
      <w:start w:val="1"/>
    </w:lvl>
  </w:abstractNum>
  <w:abstractNum w:abstractNumId="22">
    <w:nsid w:val="11447B73"/>
    <w:multiLevelType w:val="hybridMultilevel"/>
    <w:lvl w:ilvl="0">
      <w:lvlJc w:val="left"/>
      <w:lvlText w:val="(%1)"/>
      <w:numFmt w:val="lowerLetter"/>
      <w:start w:val="20"/>
    </w:lvl>
    <w:lvl w:ilvl="1">
      <w:lvlJc w:val="left"/>
      <w:lvlText w:val="(%2)"/>
      <w:numFmt w:val="lowerLetter"/>
      <w:start w:val="23"/>
    </w:lvl>
    <w:lvl w:ilvl="2">
      <w:lvlJc w:val="left"/>
      <w:lvlText w:val="(%3)"/>
      <w:numFmt w:val="lowerLetter"/>
      <w:start w:val="9"/>
    </w:lvl>
  </w:abstractNum>
  <w:abstractNum w:abstractNumId="23">
    <w:nsid w:val="42963E5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4">
    <w:nsid w:val="A0382C5"/>
    <w:multiLevelType w:val="hybridMultilevel"/>
    <w:lvl w:ilvl="0">
      <w:lvlJc w:val="left"/>
      <w:lvlText w:val="(%1)"/>
      <w:numFmt w:val="lowerLetter"/>
      <w:start w:val="24"/>
    </w:lvl>
    <w:lvl w:ilvl="1">
      <w:lvlJc w:val="left"/>
      <w:lvlText w:val="(%2)"/>
      <w:numFmt w:val="lowerRoman"/>
      <w:start w:val="1"/>
    </w:lvl>
    <w:lvl w:ilvl="2">
      <w:lvlJc w:val="left"/>
      <w:lvlText w:val="(%3)"/>
      <w:numFmt w:val="upperLetter"/>
      <w:start w:val="1"/>
    </w:lvl>
  </w:abstractNum>
  <w:abstractNum w:abstractNumId="25">
    <w:nsid w:val="8F2B15E"/>
    <w:multiLevelType w:val="hybridMultilevel"/>
    <w:lvl w:ilvl="0">
      <w:lvlJc w:val="left"/>
      <w:lvlText w:val="%1"/>
      <w:numFmt w:val="lowerLetter"/>
      <w:start w:val="1"/>
    </w:lvl>
    <w:lvl w:ilvl="1">
      <w:lvlJc w:val="left"/>
      <w:lvlText w:val="(%2)"/>
      <w:numFmt w:val="lowerRoman"/>
      <w:start w:val="3"/>
    </w:lvl>
  </w:abstractNum>
  <w:abstractNum w:abstractNumId="26">
    <w:nsid w:val="1A32234B"/>
    <w:multiLevelType w:val="hybridMultilevel"/>
    <w:lvl w:ilvl="0">
      <w:lvlJc w:val="left"/>
      <w:lvlText w:val="(%1)"/>
      <w:numFmt w:val="lowerLetter"/>
      <w:start w:val="26"/>
    </w:lvl>
    <w:lvl w:ilvl="1">
      <w:lvlJc w:val="left"/>
      <w:lvlText w:val="%2"/>
      <w:numFmt w:val="lowerRoman"/>
      <w:start w:val="1"/>
    </w:lvl>
  </w:abstractNum>
  <w:abstractNum w:abstractNumId="27">
    <w:nsid w:val="3B0FD379"/>
    <w:multiLevelType w:val="hybridMultilevel"/>
    <w:lvl w:ilvl="0">
      <w:lvlJc w:val="left"/>
      <w:lvlText w:val="(%1)"/>
      <w:numFmt w:val="lowerLetter"/>
      <w:start w:val="27"/>
    </w:lvl>
  </w:abstractNum>
  <w:abstractNum w:abstractNumId="28">
    <w:nsid w:val="68EB2F63"/>
    <w:multiLevelType w:val="hybridMultilevel"/>
    <w:lvl w:ilvl="0">
      <w:lvlJc w:val="left"/>
      <w:lvlText w:val="(%1)"/>
      <w:numFmt w:val="lowerLetter"/>
      <w:start w:val="31"/>
    </w:lvl>
  </w:abstractNum>
  <w:abstractNum w:abstractNumId="29">
    <w:nsid w:val="4962813B"/>
    <w:multiLevelType w:val="hybridMultilevel"/>
    <w:lvl w:ilvl="0">
      <w:lvlJc w:val="left"/>
      <w:lvlText w:val="(%1)"/>
      <w:numFmt w:val="lowerLetter"/>
      <w:start w:val="37"/>
    </w:lvl>
    <w:lvl w:ilvl="1">
      <w:lvlJc w:val="left"/>
      <w:lvlText w:val="(%2)"/>
      <w:numFmt w:val="lowerRoman"/>
      <w:start w:val="1"/>
    </w:lvl>
    <w:lvl w:ilvl="2">
      <w:lvlJc w:val="left"/>
      <w:lvlText w:val="(%3)"/>
      <w:numFmt w:val="decimal"/>
      <w:start w:val="1"/>
    </w:lvl>
  </w:abstractNum>
  <w:abstractNum w:abstractNumId="30">
    <w:nsid w:val="60B6DF7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5"/>
    </w:lvl>
  </w:abstractNum>
  <w:abstractNum w:abstractNumId="31">
    <w:nsid w:val="6A5EE64"/>
    <w:multiLevelType w:val="hybridMultilevel"/>
    <w:lvl w:ilvl="0">
      <w:lvlJc w:val="left"/>
      <w:lvlText w:val="%1"/>
      <w:numFmt w:val="lowerLetter"/>
      <w:start w:val="1"/>
    </w:lvl>
    <w:lvl w:ilvl="1">
      <w:lvlJc w:val="left"/>
      <w:lvlText w:val="(%2)"/>
      <w:numFmt w:val="lowerLetter"/>
      <w:start w:val="41"/>
    </w:lvl>
    <w:lvl w:ilvl="2">
      <w:lvlJc w:val="left"/>
      <w:lvlText w:val="%3"/>
      <w:numFmt w:val="lowerLetter"/>
      <w:start w:val="1"/>
    </w:lvl>
    <w:lvl w:ilvl="3">
      <w:lvlJc w:val="left"/>
      <w:lvlText w:val="%4"/>
      <w:numFmt w:val="lowerRoman"/>
      <w:start w:val="1"/>
    </w:lvl>
  </w:abstractNum>
  <w:abstractNum w:abstractNumId="32">
    <w:nsid w:val="14330624"/>
    <w:multiLevelType w:val="hybridMultilevel"/>
    <w:lvl w:ilvl="0">
      <w:lvlJc w:val="left"/>
      <w:lvlText w:val="(%1)"/>
      <w:numFmt w:val="lowerLetter"/>
      <w:start w:val="42"/>
    </w:lvl>
    <w:lvl w:ilvl="1">
      <w:lvlJc w:val="left"/>
      <w:lvlText w:val="%2"/>
      <w:numFmt w:val="lowerLetter"/>
      <w:start w:val="1"/>
    </w:lvl>
    <w:lvl w:ilvl="2">
      <w:lvlJc w:val="left"/>
      <w:lvlText w:val="(%3)"/>
      <w:numFmt w:val="lowerLetter"/>
      <w:start w:val="43"/>
    </w:lvl>
    <w:lvl w:ilvl="3">
      <w:lvlJc w:val="left"/>
      <w:lvlText w:val="%4"/>
      <w:numFmt w:val="lowerRoman"/>
      <w:start w:val="1"/>
    </w:lvl>
  </w:abstractNum>
  <w:abstractNum w:abstractNumId="33">
    <w:nsid w:val="7FFFCA11"/>
    <w:multiLevelType w:val="hybridMultilevel"/>
    <w:lvl w:ilvl="0">
      <w:lvlJc w:val="left"/>
      <w:lvlText w:val="(%1)"/>
      <w:numFmt w:val="lowerLetter"/>
      <w:start w:val="44"/>
    </w:lvl>
  </w:abstractNum>
  <w:abstractNum w:abstractNumId="34">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9"/>
    </w:lvl>
  </w:abstractNum>
  <w:abstractNum w:abstractNumId="35">
    <w:nsid w:val="71EA1109"/>
    <w:multiLevelType w:val="hybridMultilevel"/>
    <w:lvl w:ilvl="0">
      <w:lvlJc w:val="left"/>
      <w:lvlText w:val="%1"/>
      <w:numFmt w:val="decimal"/>
      <w:start w:val="1"/>
    </w:lvl>
    <w:lvl w:ilvl="1">
      <w:lvlJc w:val="left"/>
      <w:lvlText w:val="(%2)"/>
      <w:numFmt w:val="lowerLetter"/>
      <w:start w:val="50"/>
    </w:lvl>
    <w:lvl w:ilvl="2">
      <w:lvlJc w:val="left"/>
      <w:lvlText w:val="%3"/>
      <w:numFmt w:val="lowerLetter"/>
      <w:start w:val="1"/>
    </w:lvl>
  </w:abstractNum>
  <w:abstractNum w:abstractNumId="36">
    <w:nsid w:val="100F59D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7">
    <w:nsid w:val="7FB7E0AA"/>
    <w:multiLevelType w:val="hybridMultilevel"/>
    <w:lvl w:ilvl="0">
      <w:lvlJc w:val="left"/>
      <w:lvlText w:val="(%1)"/>
      <w:numFmt w:val="lowerLetter"/>
      <w:start w:val="3"/>
    </w:lvl>
  </w:abstractNum>
  <w:abstractNum w:abstractNumId="38">
    <w:nsid w:val="6EB5BD4"/>
    <w:multiLevelType w:val="hybridMultilevel"/>
    <w:lvl w:ilvl="0">
      <w:lvlJc w:val="left"/>
      <w:lvlText w:val="(%1)"/>
      <w:numFmt w:val="lowerRoman"/>
      <w:start w:val="1"/>
    </w:lvl>
    <w:lvl w:ilvl="1">
      <w:lvlJc w:val="left"/>
      <w:lvlText w:val="(%2)"/>
      <w:numFmt w:val="lowerRoman"/>
      <w:start w:val="1"/>
    </w:lvl>
  </w:abstractNum>
  <w:abstractNum w:abstractNumId="39">
    <w:nsid w:val="6F6DD9AC"/>
    <w:multiLevelType w:val="hybridMultilevel"/>
    <w:lvl w:ilvl="0">
      <w:lvlJc w:val="left"/>
      <w:lvlText w:val="(%1)"/>
      <w:numFmt w:val="lowerRoman"/>
      <w:start w:val="4"/>
    </w:lvl>
  </w:abstractNum>
  <w:abstractNum w:abstractNumId="40">
    <w:nsid w:val="94211F2"/>
    <w:multiLevelType w:val="hybridMultilevel"/>
    <w:lvl w:ilvl="0">
      <w:lvlJc w:val="left"/>
      <w:lvlText w:val="%1"/>
      <w:numFmt w:val="upperLetter"/>
      <w:start w:val="1"/>
    </w:lvl>
    <w:lvl w:ilvl="1">
      <w:lvlJc w:val="left"/>
      <w:lvlText w:val="(%2)"/>
      <w:numFmt w:val="decimal"/>
      <w:start w:val="1"/>
    </w:lvl>
  </w:abstractNum>
  <w:abstractNum w:abstractNumId="41">
    <w:nsid w:val="885E1B"/>
    <w:multiLevelType w:val="hybridMultilevel"/>
    <w:lvl w:ilvl="0">
      <w:lvlJc w:val="left"/>
      <w:lvlText w:val="(%1)"/>
      <w:numFmt w:val="upperLetter"/>
      <w:start w:val="9"/>
    </w:lvl>
    <w:lvl w:ilvl="1">
      <w:lvlJc w:val="left"/>
      <w:lvlText w:val="%2"/>
      <w:numFmt w:val="decimal"/>
      <w:start w:val="1"/>
    </w:lvl>
  </w:abstractNum>
  <w:abstractNum w:abstractNumId="42">
    <w:nsid w:val="76272110"/>
    <w:multiLevelType w:val="hybridMultilevel"/>
    <w:lvl w:ilvl="0">
      <w:lvlJc w:val="left"/>
      <w:lvlText w:val="%1"/>
      <w:numFmt w:val="lowerLetter"/>
      <w:start w:val="1"/>
    </w:lvl>
    <w:lvl w:ilvl="1">
      <w:lvlJc w:val="left"/>
      <w:lvlText w:val="(%2)"/>
      <w:numFmt w:val="lowerLetter"/>
      <w:start w:val="10"/>
    </w:lvl>
  </w:abstractNum>
  <w:abstractNum w:abstractNumId="43">
    <w:nsid w:val="4C04A8AF"/>
    <w:multiLevelType w:val="hybridMultilevel"/>
    <w:lvl w:ilvl="0">
      <w:lvlJc w:val="left"/>
      <w:lvlText w:val="(%1)"/>
      <w:numFmt w:val="lowerLetter"/>
      <w:start w:val="25"/>
    </w:lvl>
    <w:lvl w:ilvl="1">
      <w:lvlJc w:val="left"/>
      <w:lvlText w:val="%2"/>
      <w:numFmt w:val="lowerLetter"/>
      <w:start w:val="1"/>
    </w:lvl>
  </w:abstractNum>
  <w:abstractNum w:abstractNumId="44">
    <w:nsid w:val="1716703B"/>
    <w:multiLevelType w:val="hybridMultilevel"/>
    <w:lvl w:ilvl="0">
      <w:lvlJc w:val="left"/>
      <w:lvlText w:val="(%1)"/>
      <w:numFmt w:val="lowerLetter"/>
      <w:start w:val="13"/>
    </w:lvl>
  </w:abstractNum>
  <w:abstractNum w:abstractNumId="45">
    <w:nsid w:val="14E17E33"/>
    <w:multiLevelType w:val="hybridMultilevel"/>
    <w:lvl w:ilvl="0">
      <w:lvlJc w:val="left"/>
      <w:lvlText w:val="(%1)"/>
      <w:numFmt w:val="lowerLetter"/>
      <w:start w:val="22"/>
    </w:lvl>
    <w:lvl w:ilvl="1">
      <w:lvlJc w:val="left"/>
      <w:lvlText w:val="(%2)"/>
      <w:numFmt w:val="lowerLetter"/>
      <w:start w:val="23"/>
    </w:lvl>
  </w:abstractNum>
  <w:abstractNum w:abstractNumId="46">
    <w:nsid w:val="3222E7CD"/>
    <w:multiLevelType w:val="hybridMultilevel"/>
    <w:lvl w:ilvl="0">
      <w:lvlJc w:val="left"/>
      <w:lvlText w:val="(%1)"/>
      <w:numFmt w:val="lowerLetter"/>
      <w:start w:val="24"/>
    </w:lvl>
    <w:lvl w:ilvl="1">
      <w:lvlJc w:val="left"/>
      <w:lvlText w:val="(%2)"/>
      <w:numFmt w:val="lowerLetter"/>
      <w:start w:val="25"/>
    </w:lvl>
    <w:lvl w:ilvl="2">
      <w:lvlJc w:val="left"/>
      <w:lvlText w:val="(%3)"/>
      <w:numFmt w:val="lowerRoman"/>
      <w:start w:val="1"/>
    </w:lvl>
  </w:abstractNum>
  <w:abstractNum w:abstractNumId="47">
    <w:nsid w:val="74DE0EE3"/>
    <w:multiLevelType w:val="hybridMultilevel"/>
    <w:lvl w:ilvl="0">
      <w:lvlJc w:val="left"/>
      <w:lvlText w:val="%1"/>
      <w:numFmt w:val="lowerRoman"/>
      <w:start w:val="1"/>
    </w:lvl>
    <w:lvl w:ilvl="1">
      <w:lvlJc w:val="left"/>
      <w:lvlText w:val="(%2)"/>
      <w:numFmt w:val="lowerRoman"/>
      <w:start w:val="4"/>
    </w:lvl>
  </w:abstractNum>
  <w:abstractNum w:abstractNumId="48">
    <w:nsid w:val="68EBC550"/>
    <w:multiLevelType w:val="hybridMultilevel"/>
    <w:lvl w:ilvl="0">
      <w:lvlJc w:val="left"/>
      <w:lvlText w:val="(%1)"/>
      <w:numFmt w:val="lowerRoman"/>
      <w:start w:val="5"/>
    </w:lvl>
    <w:lvl w:ilvl="1">
      <w:lvlJc w:val="left"/>
      <w:lvlText w:val="%2"/>
      <w:numFmt w:val="lowerRoman"/>
      <w:start w:val="1"/>
    </w:lvl>
  </w:abstractNum>
  <w:abstractNum w:abstractNumId="49">
    <w:nsid w:val="2DF6D648"/>
    <w:multiLevelType w:val="hybridMultilevel"/>
    <w:lvl w:ilvl="0">
      <w:lvlJc w:val="left"/>
      <w:lvlText w:val="(%1)"/>
      <w:numFmt w:val="lowerLetter"/>
      <w:start w:val="26"/>
    </w:lvl>
  </w:abstractNum>
  <w:abstractNum w:abstractNumId="50">
    <w:nsid w:val="46B7D447"/>
    <w:multiLevelType w:val="hybridMultilevel"/>
    <w:lvl w:ilvl="0">
      <w:lvlJc w:val="left"/>
      <w:lvlText w:val="(%1)"/>
      <w:numFmt w:val="lowerLetter"/>
      <w:start w:val="27"/>
    </w:lvl>
    <w:lvl w:ilvl="1">
      <w:lvlJc w:val="left"/>
      <w:lvlText w:val="(%2)"/>
      <w:numFmt w:val="lowerLetter"/>
      <w:start w:val="30"/>
    </w:lvl>
  </w:abstractNum>
  <w:abstractNum w:abstractNumId="51">
    <w:nsid w:val="4A2AC315"/>
    <w:multiLevelType w:val="hybridMultilevel"/>
    <w:lvl w:ilvl="0">
      <w:lvlJc w:val="left"/>
      <w:lvlText w:val="(%1)"/>
      <w:numFmt w:val="lowerLetter"/>
      <w:start w:val="31"/>
    </w:lvl>
  </w:abstractNum>
  <w:abstractNum w:abstractNumId="52">
    <w:nsid w:val="39EE015C"/>
    <w:multiLevelType w:val="hybridMultilevel"/>
    <w:lvl w:ilvl="0">
      <w:lvlJc w:val="left"/>
      <w:lvlText w:val="%1."/>
      <w:numFmt w:val="decimal"/>
      <w:start w:val="5"/>
    </w:lvl>
    <w:lvl w:ilvl="1">
      <w:lvlJc w:val="left"/>
      <w:lvlText w:val="(%2)"/>
      <w:numFmt w:val="lowerLetter"/>
      <w:start w:val="1"/>
    </w:lvl>
  </w:abstractNum>
  <w:abstractNum w:abstractNumId="53">
    <w:nsid w:val="57FC4FBB"/>
    <w:multiLevelType w:val="hybridMultilevel"/>
    <w:lvl w:ilvl="0">
      <w:lvlJc w:val="left"/>
      <w:lvlText w:val="(%1)"/>
      <w:numFmt w:val="lowerLetter"/>
      <w:start w:val="3"/>
    </w:lvl>
  </w:abstractNum>
  <w:abstractNum w:abstractNumId="54">
    <w:nsid w:val="CC1016F"/>
    <w:multiLevelType w:val="hybridMultilevel"/>
    <w:lvl w:ilvl="0">
      <w:lvlJc w:val="left"/>
      <w:lvlText w:val="(%1)"/>
      <w:numFmt w:val="lowerLetter"/>
      <w:start w:val="4"/>
    </w:lvl>
  </w:abstractNum>
  <w:abstractNum w:abstractNumId="55">
    <w:nsid w:val="43F18422"/>
    <w:multiLevelType w:val="hybridMultilevel"/>
    <w:lvl w:ilvl="0">
      <w:lvlJc w:val="left"/>
      <w:lvlText w:val="(%1)"/>
      <w:numFmt w:val="lowerLetter"/>
      <w:start w:val="5"/>
    </w:lvl>
  </w:abstractNum>
  <w:abstractNum w:abstractNumId="56">
    <w:nsid w:val="60EF011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7">
    <w:nsid w:val="26F324B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8">
    <w:nsid w:val="7F01579B"/>
    <w:multiLevelType w:val="hybridMultilevel"/>
    <w:lvl w:ilvl="0">
      <w:lvlJc w:val="left"/>
      <w:lvlText w:val="(%1)"/>
      <w:numFmt w:val="lowerRoman"/>
      <w:start w:val="3"/>
    </w:lvl>
  </w:abstractNum>
  <w:abstractNum w:abstractNumId="59">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4"/>
    </w:lvl>
    <w:lvl w:ilvl="3">
      <w:lvlJc w:val="left"/>
      <w:lvlText w:val="(%4)"/>
      <w:numFmt w:val="lowerLetter"/>
      <w:start w:val="50"/>
    </w:lvl>
  </w:abstractNum>
  <w:abstractNum w:abstractNumId="60">
    <w:nsid w:val="7055A5F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61">
    <w:nsid w:val="5FB8370B"/>
    <w:multiLevelType w:val="hybridMultilevel"/>
    <w:lvl w:ilvl="0">
      <w:lvlJc w:val="left"/>
      <w:lvlText w:val="%1"/>
      <w:numFmt w:val="decimal"/>
      <w:start w:val="1"/>
    </w:lvl>
    <w:lvl w:ilvl="1">
      <w:lvlJc w:val="left"/>
      <w:lvlText w:val="(%2)"/>
      <w:numFmt w:val="lowerLetter"/>
      <w:start w:val="2"/>
    </w:lvl>
  </w:abstractNum>
  <w:abstractNum w:abstractNumId="62">
    <w:nsid w:val="50801EE1"/>
    <w:multiLevelType w:val="hybridMultilevel"/>
    <w:lvl w:ilvl="0">
      <w:lvlJc w:val="left"/>
      <w:lvlText w:val="%1."/>
      <w:numFmt w:val="decimal"/>
      <w:start w:val="9"/>
    </w:lvl>
    <w:lvl w:ilvl="1">
      <w:lvlJc w:val="left"/>
      <w:lvlText w:val="(%2)"/>
      <w:numFmt w:val="lowerLetter"/>
      <w:start w:val="1"/>
    </w:lvl>
  </w:abstractNum>
  <w:abstractNum w:abstractNumId="63">
    <w:nsid w:val="488AC1A"/>
    <w:multiLevelType w:val="hybridMultilevel"/>
    <w:lvl w:ilvl="0">
      <w:lvlJc w:val="left"/>
      <w:lvlText w:val="(%1)"/>
      <w:numFmt w:val="lowerLetter"/>
      <w:start w:val="2"/>
    </w:lvl>
  </w:abstractNum>
  <w:abstractNum w:abstractNumId="64">
    <w:nsid w:val="5FB8011C"/>
    <w:multiLevelType w:val="hybridMultilevel"/>
    <w:lvl w:ilvl="0">
      <w:lvlJc w:val="left"/>
      <w:lvlText w:val="(%1)"/>
      <w:numFmt w:val="lowerLetter"/>
      <w:start w:val="9"/>
    </w:lvl>
    <w:lvl w:ilvl="1">
      <w:lvlJc w:val="left"/>
      <w:lvlText w:val="(%2)"/>
      <w:numFmt w:val="lowerLetter"/>
      <w:start w:val="6"/>
    </w:lvl>
  </w:abstractNum>
  <w:abstractNum w:abstractNumId="65">
    <w:nsid w:val="6AA78F7F"/>
    <w:multiLevelType w:val="hybridMultilevel"/>
    <w:lvl w:ilvl="0">
      <w:lvlJc w:val="left"/>
      <w:lvlText w:val="(%1)"/>
      <w:numFmt w:val="lowerLetter"/>
      <w:start w:val="7"/>
    </w:lvl>
  </w:abstractNum>
  <w:abstractNum w:abstractNumId="66">
    <w:nsid w:val="7672BD23"/>
    <w:multiLevelType w:val="hybridMultilevel"/>
    <w:lvl w:ilvl="0">
      <w:lvlJc w:val="left"/>
      <w:lvlText w:val="(%1)"/>
      <w:numFmt w:val="lowerLetter"/>
      <w:start w:val="8"/>
    </w:lvl>
  </w:abstractNum>
  <w:abstractNum w:abstractNumId="67">
    <w:nsid w:val="6FC75AF8"/>
    <w:multiLevelType w:val="hybridMultilevel"/>
    <w:lvl w:ilvl="0">
      <w:lvlJc w:val="left"/>
      <w:lvlText w:val="(%1)"/>
      <w:numFmt w:val="lowerRoman"/>
      <w:start w:val="1"/>
    </w:lvl>
  </w:abstractNum>
  <w:abstractNum w:abstractNumId="68">
    <w:nsid w:val="6A5F7029"/>
    <w:multiLevelType w:val="hybridMultilevel"/>
    <w:lvl w:ilvl="0">
      <w:lvlJc w:val="left"/>
      <w:lvlText w:val="%1"/>
      <w:numFmt w:val="lowerLetter"/>
      <w:start w:val="1"/>
    </w:lvl>
    <w:lvl w:ilvl="1">
      <w:lvlJc w:val="left"/>
      <w:lvlText w:val="(%2)"/>
      <w:numFmt w:val="lowerRoman"/>
      <w:start w:val="2"/>
    </w:lvl>
  </w:abstractNum>
  <w:abstractNum w:abstractNumId="69">
    <w:nsid w:val="7D5E18F8"/>
    <w:multiLevelType w:val="hybridMultilevel"/>
    <w:lvl w:ilvl="0">
      <w:lvlJc w:val="left"/>
      <w:lvlText w:val="(%1)"/>
      <w:numFmt w:val="lowerLetter"/>
      <w:start w:val="12"/>
    </w:lvl>
    <w:lvl w:ilvl="1">
      <w:lvlJc w:val="left"/>
      <w:lvlText w:val="%2"/>
      <w:numFmt w:val="lowerRoman"/>
      <w:start w:val="1"/>
    </w:lvl>
  </w:abstractNum>
  <w:abstractNum w:abstractNumId="70">
    <w:nsid w:val="5F3534A4"/>
    <w:multiLevelType w:val="hybridMultilevel"/>
    <w:lvl w:ilvl="0">
      <w:lvlJc w:val="left"/>
      <w:lvlText w:val="(%1)"/>
      <w:numFmt w:val="lowerLetter"/>
      <w:start w:val="14"/>
    </w:lvl>
    <w:lvl w:ilvl="1">
      <w:lvlJc w:val="left"/>
      <w:lvlText w:val="(%2)"/>
      <w:numFmt w:val="lowerRoman"/>
      <w:start w:val="1"/>
    </w:lvl>
    <w:lvl w:ilvl="2">
      <w:lvlJc w:val="left"/>
      <w:lvlText w:val="(%3)"/>
      <w:numFmt w:val="decimal"/>
      <w:start w:val="1"/>
    </w:lvl>
  </w:abstractNum>
  <w:abstractNum w:abstractNumId="71">
    <w:nsid w:val="73A1821B"/>
    <w:multiLevelType w:val="hybridMultilevel"/>
    <w:lvl w:ilvl="0">
      <w:lvlJc w:val="left"/>
      <w:lvlText w:val="%1"/>
      <w:numFmt w:val="lowerLetter"/>
      <w:start w:val="1"/>
    </w:lvl>
    <w:lvl w:ilvl="1">
      <w:lvlJc w:val="left"/>
      <w:lvlText w:val="(%2)"/>
      <w:numFmt w:val="lowerLetter"/>
      <w:start w:val="61"/>
    </w:lvl>
  </w:abstractNum>
  <w:abstractNum w:abstractNumId="72">
    <w:nsid w:val="7DE67713"/>
    <w:multiLevelType w:val="hybridMultilevel"/>
    <w:lvl w:ilvl="0">
      <w:lvlJc w:val="left"/>
      <w:lvlText w:val="(%1)"/>
      <w:numFmt w:val="lowerLetter"/>
      <w:start w:val="17"/>
    </w:lvl>
    <w:lvl w:ilvl="1">
      <w:lvlJc w:val="left"/>
      <w:lvlText w:val="%2"/>
      <w:numFmt w:val="lowerLetter"/>
      <w:start w:val="1"/>
    </w:lvl>
  </w:abstractNum>
  <w:abstractNum w:abstractNumId="73">
    <w:nsid w:val="555C55B5"/>
    <w:multiLevelType w:val="hybridMultilevel"/>
    <w:lvl w:ilvl="0">
      <w:lvlJc w:val="left"/>
      <w:lvlText w:val="%1."/>
      <w:numFmt w:val="decimal"/>
      <w:start w:val="1"/>
    </w:lvl>
  </w:abstractNum>
  <w:abstractNum w:abstractNumId="74">
    <w:nsid w:val="3FA62ACA"/>
    <w:multiLevelType w:val="hybridMultilevel"/>
    <w:lvl w:ilvl="0">
      <w:lvlJc w:val="left"/>
      <w:lvlText w:val="(%1)"/>
      <w:numFmt w:val="lowerLetter"/>
      <w:start w:val="1"/>
    </w:lvl>
    <w:lvl w:ilvl="1">
      <w:lvlJc w:val="left"/>
      <w:lvlText w:val="%2."/>
      <w:numFmt w:val="decimal"/>
      <w:start w:val="3"/>
    </w:lvl>
  </w:abstractNum>
  <w:abstractNum w:abstractNumId="75">
    <w:nsid w:val="14FCE74E"/>
    <w:multiLevelType w:val="hybridMultilevel"/>
    <w:lvl w:ilvl="0">
      <w:lvlJc w:val="left"/>
      <w:lvlText w:val="(%1)"/>
      <w:numFmt w:val="lowerLetter"/>
      <w:start w:val="1"/>
    </w:lvl>
  </w:abstractNum>
  <w:abstractNum w:abstractNumId="76">
    <w:nsid w:val="6A3DD3E8"/>
    <w:multiLevelType w:val="hybridMultilevel"/>
    <w:lvl w:ilvl="0">
      <w:lvlJc w:val="left"/>
      <w:lvlText w:val="(%1)"/>
      <w:numFmt w:val="lowerLetter"/>
      <w:start w:val="2"/>
    </w:lvl>
    <w:lvl w:ilvl="1">
      <w:lvlJc w:val="left"/>
      <w:lvlText w:val="(%2)"/>
      <w:numFmt w:val="lowerRoman"/>
      <w:start w:val="1"/>
    </w:lvl>
  </w:abstractNum>
  <w:abstractNum w:abstractNumId="77">
    <w:nsid w:val="71C91298"/>
    <w:multiLevelType w:val="hybridMultilevel"/>
    <w:lvl w:ilvl="0">
      <w:lvlJc w:val="left"/>
      <w:lvlText w:val="(%1)"/>
      <w:numFmt w:val="decimal"/>
      <w:start w:val="1"/>
    </w:lvl>
  </w:abstractNum>
  <w:abstractNum w:abstractNumId="78">
    <w:nsid w:val="9DAF63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79">
    <w:nsid w:val="53299938"/>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80">
    <w:nsid w:val="1FBFE8E0"/>
    <w:multiLevelType w:val="hybridMultilevel"/>
    <w:lvl w:ilvl="0">
      <w:lvlJc w:val="left"/>
      <w:lvlText w:val="(%1)"/>
      <w:numFmt w:val="decimal"/>
      <w:start w:val="1"/>
    </w:lvl>
    <w:lvl w:ilvl="1">
      <w:lvlJc w:val="left"/>
      <w:lvlText w:val="(%2)"/>
      <w:numFmt w:val="lowerRoman"/>
      <w:start w:val="2"/>
    </w:lvl>
  </w:abstractNum>
  <w:abstractNum w:abstractNumId="81">
    <w:nsid w:val="5092CA79"/>
    <w:multiLevelType w:val="hybridMultilevel"/>
    <w:lvl w:ilvl="0">
      <w:lvlJc w:val="left"/>
      <w:lvlText w:val="(%1)"/>
      <w:numFmt w:val="lowerRoman"/>
      <w:start w:val="3"/>
    </w:lvl>
  </w:abstractNum>
  <w:abstractNum w:abstractNumId="82">
    <w:nsid w:val="1D545C4D"/>
    <w:multiLevelType w:val="hybridMultilevel"/>
    <w:lvl w:ilvl="0">
      <w:lvlJc w:val="left"/>
      <w:lvlText w:val="%1"/>
      <w:numFmt w:val="lowerLetter"/>
      <w:start w:val="1"/>
    </w:lvl>
    <w:lvl w:ilvl="1">
      <w:lvlJc w:val="left"/>
      <w:lvlText w:val="(%2)"/>
      <w:numFmt w:val="lowerRoman"/>
      <w:start w:val="4"/>
    </w:lvl>
  </w:abstractNum>
  <w:abstractNum w:abstractNumId="83">
    <w:nsid w:val="59ADEA3D"/>
    <w:multiLevelType w:val="hybridMultilevel"/>
    <w:lvl w:ilvl="0">
      <w:lvlJc w:val="left"/>
      <w:lvlText w:val="(%1)"/>
      <w:numFmt w:val="lowerLetter"/>
      <w:start w:val="4"/>
    </w:lvl>
    <w:lvl w:ilvl="1">
      <w:lvlJc w:val="left"/>
      <w:lvlText w:val="%2"/>
      <w:numFmt w:val="lowerRoman"/>
      <w:start w:val="1"/>
    </w:lvl>
  </w:abstractNum>
  <w:abstractNum w:abstractNumId="84">
    <w:nsid w:val="288F1A34"/>
    <w:multiLevelType w:val="hybridMultilevel"/>
    <w:lvl w:ilvl="0">
      <w:lvlJc w:val="left"/>
      <w:lvlText w:val="%1."/>
      <w:numFmt w:val="decimal"/>
      <w:start w:val="4"/>
    </w:lvl>
    <w:lvl w:ilvl="1">
      <w:lvlJc w:val="left"/>
      <w:lvlText w:val="(%2)"/>
      <w:numFmt w:val="lowerLetter"/>
      <w:start w:val="1"/>
    </w:lvl>
  </w:abstractNum>
  <w:abstractNum w:abstractNumId="85">
    <w:nsid w:val="2A155DBC"/>
    <w:multiLevelType w:val="hybridMultilevel"/>
    <w:lvl w:ilvl="0">
      <w:lvlJc w:val="left"/>
      <w:lvlText w:val="(%1)"/>
      <w:numFmt w:val="lowerRoman"/>
      <w:start w:val="2"/>
    </w:lvl>
  </w:abstractNum>
  <w:abstractNum w:abstractNumId="86">
    <w:nsid w:val="1D9F6E5F"/>
    <w:multiLevelType w:val="hybridMultilevel"/>
    <w:lvl w:ilvl="0">
      <w:lvlJc w:val="left"/>
      <w:lvlText w:val="(%1)"/>
      <w:numFmt w:val="lowerRoman"/>
      <w:start w:val="7"/>
    </w:lvl>
  </w:abstractNum>
  <w:abstractNum w:abstractNumId="87">
    <w:nsid w:val="97E1B4E"/>
    <w:multiLevelType w:val="hybridMultilevel"/>
    <w:lvl w:ilvl="0">
      <w:lvlJc w:val="left"/>
      <w:lvlText w:val="(%1)"/>
      <w:numFmt w:val="lowerRoman"/>
      <w:start w:val="12"/>
    </w:lvl>
  </w:abstractNum>
  <w:abstractNum w:abstractNumId="88">
    <w:nsid w:val="51088277"/>
    <w:multiLevelType w:val="hybridMultilevel"/>
    <w:lvl w:ilvl="0">
      <w:lvlJc w:val="left"/>
      <w:lvlText w:val="%1"/>
      <w:numFmt w:val="decimal"/>
      <w:start w:val="1"/>
    </w:lvl>
    <w:lvl w:ilvl="1">
      <w:lvlJc w:val="left"/>
      <w:lvlText w:val="(%2)"/>
      <w:numFmt w:val="lowerRoman"/>
      <w:start w:val="18"/>
    </w:lvl>
  </w:abstractNum>
  <w:abstractNum w:abstractNumId="89">
    <w:nsid w:val="1CA0C5FA"/>
    <w:multiLevelType w:val="hybridMultilevel"/>
    <w:lvl w:ilvl="0">
      <w:lvlJc w:val="left"/>
      <w:lvlText w:val="(%1)"/>
      <w:numFmt w:val="decimal"/>
      <w:start w:val="5"/>
    </w:lvl>
    <w:lvl w:ilvl="1">
      <w:lvlJc w:val="left"/>
      <w:lvlText w:val="(%2)"/>
      <w:numFmt w:val="lowerRoman"/>
      <w:start w:val="19"/>
    </w:lvl>
  </w:abstractNum>
  <w:abstractNum w:abstractNumId="90">
    <w:nsid w:val="53584BCB"/>
    <w:multiLevelType w:val="hybridMultilevel"/>
    <w:lvl w:ilvl="0">
      <w:lvlJc w:val="left"/>
      <w:lvlText w:val="%1"/>
      <w:numFmt w:val="lowerLetter"/>
      <w:start w:val="1"/>
    </w:lvl>
    <w:lvl w:ilvl="1">
      <w:lvlJc w:val="left"/>
      <w:lvlText w:val="(%2)"/>
      <w:numFmt w:val="lowerRoman"/>
      <w:start w:val="25"/>
    </w:lvl>
  </w:abstractNum>
  <w:abstractNum w:abstractNumId="91">
    <w:nsid w:val="415E286C"/>
    <w:multiLevelType w:val="hybridMultilevel"/>
    <w:lvl w:ilvl="0">
      <w:lvlJc w:val="left"/>
      <w:lvlText w:val="(%1)"/>
      <w:numFmt w:val="lowerLetter"/>
      <w:start w:val="2"/>
    </w:lvl>
    <w:lvl w:ilvl="1">
      <w:lvlJc w:val="left"/>
      <w:lvlText w:val="%2"/>
      <w:numFmt w:val="lowerRoman"/>
      <w:start w:val="1"/>
    </w:lvl>
  </w:abstractNum>
  <w:abstractNum w:abstractNumId="92">
    <w:nsid w:val="7C58FD05"/>
    <w:multiLevelType w:val="hybridMultilevel"/>
    <w:lvl w:ilvl="0">
      <w:lvlJc w:val="left"/>
      <w:lvlText w:val="(%1)"/>
      <w:numFmt w:val="lowerLetter"/>
      <w:start w:val="3"/>
    </w:lvl>
  </w:abstractNum>
  <w:abstractNum w:abstractNumId="93">
    <w:nsid w:val="23D86AAC"/>
    <w:multiLevelType w:val="hybridMultilevel"/>
    <w:lvl w:ilvl="0">
      <w:lvlJc w:val="left"/>
      <w:lvlText w:val="%1."/>
      <w:numFmt w:val="decimal"/>
      <w:start w:val="5"/>
    </w:lvl>
  </w:abstractNum>
  <w:abstractNum w:abstractNumId="94">
    <w:nsid w:val="45E6D486"/>
    <w:multiLevelType w:val="hybridMultilevel"/>
    <w:lvl w:ilvl="0">
      <w:lvlJc w:val="left"/>
      <w:lvlText w:val="(%1)"/>
      <w:numFmt w:val="lowerLetter"/>
      <w:start w:val="1"/>
    </w:lvl>
  </w:abstractNum>
  <w:abstractNum w:abstractNumId="95">
    <w:nsid w:val="5C10FE21"/>
    <w:multiLevelType w:val="hybridMultilevel"/>
    <w:lvl w:ilvl="0">
      <w:lvlJc w:val="left"/>
      <w:lvlText w:val="%1"/>
      <w:numFmt w:val="decimal"/>
      <w:start w:val="1"/>
    </w:lvl>
    <w:lvl w:ilvl="1">
      <w:lvlJc w:val="left"/>
      <w:lvlText w:val="(%2)"/>
      <w:numFmt w:val="lowerLetter"/>
      <w:start w:val="2"/>
    </w:lvl>
  </w:abstractNum>
  <w:abstractNum w:abstractNumId="96">
    <w:nsid w:val="E7FFA2B"/>
    <w:multiLevelType w:val="hybridMultilevel"/>
    <w:lvl w:ilvl="0">
      <w:lvlJc w:val="left"/>
      <w:lvlText w:val="%1."/>
      <w:numFmt w:val="decimal"/>
      <w:start w:val="3"/>
    </w:lvl>
    <w:lvl w:ilvl="1">
      <w:lvlJc w:val="left"/>
      <w:lvlText w:val="%2"/>
      <w:numFmt w:val="lowerLetter"/>
      <w:start w:val="1"/>
    </w:lvl>
  </w:abstractNum>
  <w:abstractNum w:abstractNumId="97">
    <w:nsid w:val="3C5991AA"/>
    <w:multiLevelType w:val="hybridMultilevel"/>
    <w:lvl w:ilvl="0">
      <w:lvlJc w:val="left"/>
      <w:lvlText w:val="%1."/>
      <w:numFmt w:val="decimal"/>
      <w:start w:val="6"/>
    </w:lvl>
    <w:lvl w:ilvl="1">
      <w:lvlJc w:val="left"/>
      <w:lvlText w:val="(%2)"/>
      <w:numFmt w:val="lowerLetter"/>
      <w:start w:val="1"/>
    </w:lvl>
  </w:abstractNum>
  <w:abstractNum w:abstractNumId="98">
    <w:nsid w:val="4BD8591A"/>
    <w:multiLevelType w:val="hybridMultilevel"/>
    <w:lvl w:ilvl="0">
      <w:lvlJc w:val="left"/>
      <w:lvlText w:val="%1"/>
      <w:numFmt w:val="decimal"/>
      <w:start w:val="1"/>
    </w:lvl>
    <w:lvl w:ilvl="1">
      <w:lvlJc w:val="left"/>
      <w:lvlText w:val="(%2)"/>
      <w:numFmt w:val="lowerLetter"/>
      <w:start w:val="2"/>
    </w:lvl>
  </w:abstractNum>
  <w:abstractNum w:abstractNumId="99">
    <w:nsid w:val="78DF6A55"/>
    <w:multiLevelType w:val="hybridMultilevel"/>
    <w:lvl w:ilvl="0">
      <w:lvlJc w:val="left"/>
      <w:lvlText w:val="%1."/>
      <w:numFmt w:val="decimal"/>
      <w:start w:val="7"/>
    </w:lvl>
    <w:lvl w:ilvl="1">
      <w:lvlJc w:val="left"/>
      <w:lvlText w:val="(%2)"/>
      <w:numFmt w:val="lowerLetter"/>
      <w:start w:val="1"/>
    </w:lvl>
  </w:abstractNum>
  <w:abstractNum w:abstractNumId="100">
    <w:nsid w:val="39B7AAA2"/>
    <w:multiLevelType w:val="hybridMultilevel"/>
    <w:lvl w:ilvl="0">
      <w:lvlJc w:val="left"/>
      <w:lvlText w:val="%1"/>
      <w:numFmt w:val="decimal"/>
      <w:start w:val="1"/>
    </w:lvl>
    <w:lvl w:ilvl="1">
      <w:lvlJc w:val="left"/>
      <w:lvlText w:val="(%2)"/>
      <w:numFmt w:val="lowerLetter"/>
      <w:start w:val="2"/>
    </w:lvl>
  </w:abstractNum>
  <w:abstractNum w:abstractNumId="101">
    <w:nsid w:val="2B0D8DBE"/>
    <w:multiLevelType w:val="hybridMultilevel"/>
    <w:lvl w:ilvl="0">
      <w:lvlJc w:val="left"/>
      <w:lvlText w:val="%1."/>
      <w:numFmt w:val="decimal"/>
      <w:start w:val="10"/>
    </w:lvl>
    <w:lvl w:ilvl="1">
      <w:lvlJc w:val="left"/>
      <w:lvlText w:val="%2"/>
      <w:numFmt w:val="lowerLetter"/>
      <w:start w:val="1"/>
    </w:lvl>
  </w:abstractNum>
  <w:abstractNum w:abstractNumId="102">
    <w:nsid w:val="6C80EC70"/>
    <w:multiLevelType w:val="hybridMultilevel"/>
    <w:lvl w:ilvl="0">
      <w:lvlJc w:val="left"/>
      <w:lvlText w:val="%1."/>
      <w:numFmt w:val="decimal"/>
      <w:start w:val="11"/>
    </w:lvl>
    <w:lvl w:ilvl="1">
      <w:lvlJc w:val="left"/>
      <w:lvlText w:val="(%2)"/>
      <w:numFmt w:val="lowerLetter"/>
      <w:start w:val="1"/>
    </w:lvl>
  </w:abstractNum>
  <w:abstractNum w:abstractNumId="103">
    <w:nsid w:val="379E21B5"/>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4"/>
    </w:lvl>
  </w:abstractNum>
  <w:abstractNum w:abstractNumId="104">
    <w:nsid w:val="69E373"/>
    <w:multiLevelType w:val="hybridMultilevel"/>
    <w:lvl w:ilvl="0">
      <w:lvlJc w:val="left"/>
      <w:lvlText w:val="(%1)"/>
      <w:numFmt w:val="lowerLetter"/>
      <w:start w:val="5"/>
    </w:lvl>
  </w:abstractNum>
  <w:abstractNum w:abstractNumId="105">
    <w:nsid w:val="2C27173B"/>
    <w:multiLevelType w:val="hybridMultilevel"/>
    <w:lvl w:ilvl="0">
      <w:lvlJc w:val="left"/>
      <w:lvlText w:val="(%1)"/>
      <w:numFmt w:val="lowerLetter"/>
      <w:start w:val="8"/>
    </w:lvl>
  </w:abstractNum>
  <w:abstractNum w:abstractNumId="106">
    <w:nsid w:val="4C9B0904"/>
    <w:multiLevelType w:val="hybridMultilevel"/>
    <w:lvl w:ilvl="0">
      <w:lvlJc w:val="left"/>
      <w:lvlText w:val="(%1)"/>
      <w:numFmt w:val="lowerRoman"/>
      <w:start w:val="1"/>
    </w:lvl>
  </w:abstractNum>
  <w:abstractNum w:abstractNumId="107">
    <w:nsid w:val="6AA7B75C"/>
    <w:multiLevelType w:val="hybridMultilevel"/>
    <w:lvl w:ilvl="0">
      <w:lvlJc w:val="left"/>
      <w:lvlText w:val="(%1)"/>
      <w:numFmt w:val="lowerRoman"/>
      <w:start w:val="2"/>
    </w:lvl>
  </w:abstractNum>
  <w:abstractNum w:abstractNumId="108">
    <w:nsid w:val="1DF029D3"/>
    <w:multiLevelType w:val="hybridMultilevel"/>
    <w:lvl w:ilvl="0">
      <w:lvlJc w:val="left"/>
      <w:lvlText w:val="%1."/>
      <w:numFmt w:val="decimal"/>
      <w:start w:val="14"/>
    </w:lvl>
  </w:abstractNum>
  <w:abstractNum w:abstractNumId="109">
    <w:nsid w:val="5675FF36"/>
    <w:multiLevelType w:val="hybridMultilevel"/>
    <w:lvl w:ilvl="0">
      <w:lvlJc w:val="left"/>
      <w:lvlText w:val="%1"/>
      <w:numFmt w:val="lowerLetter"/>
      <w:start w:val="1"/>
    </w:lvl>
    <w:lvl w:ilvl="1">
      <w:lvlJc w:val="left"/>
      <w:lvlText w:val="(%2)"/>
      <w:numFmt w:val="lowerLetter"/>
      <w:start w:val="1"/>
    </w:lvl>
  </w:abstractNum>
  <w:abstractNum w:abstractNumId="110">
    <w:nsid w:val="3DD15094"/>
    <w:multiLevelType w:val="hybridMultilevel"/>
    <w:lvl w:ilvl="0">
      <w:lvlJc w:val="left"/>
      <w:lvlText w:val="(%1)"/>
      <w:numFmt w:val="lowerLetter"/>
      <w:start w:val="9"/>
    </w:lvl>
    <w:lvl w:ilvl="1">
      <w:lvlJc w:val="left"/>
      <w:lvlText w:val="%2"/>
      <w:numFmt w:val="lowerLetter"/>
      <w:start w:val="1"/>
    </w:lvl>
  </w:abstractNum>
  <w:abstractNum w:abstractNumId="111">
    <w:nsid w:val="3DB012B3"/>
    <w:multiLevelType w:val="hybridMultilevel"/>
    <w:lvl w:ilvl="0">
      <w:lvlJc w:val="left"/>
      <w:lvlText w:val="%1."/>
      <w:numFmt w:val="decimal"/>
      <w:start w:val="19"/>
    </w:lvl>
  </w:abstractNum>
  <w:abstractNum w:abstractNumId="112">
    <w:nsid w:val="2708C9AF"/>
    <w:multiLevelType w:val="hybridMultilevel"/>
    <w:lvl w:ilvl="0">
      <w:lvlJc w:val="left"/>
      <w:lvlText w:val="%1."/>
      <w:numFmt w:val="decimal"/>
      <w:start w:val="20"/>
    </w:lvl>
    <w:lvl w:ilvl="1">
      <w:lvlJc w:val="left"/>
      <w:lvlText w:val="(%2)"/>
      <w:numFmt w:val="lowerLetter"/>
      <w:start w:val="1"/>
    </w:lvl>
  </w:abstractNum>
  <w:abstractNum w:abstractNumId="113">
    <w:nsid w:val="5B25ACE2"/>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114">
    <w:nsid w:val="175DFCF0"/>
    <w:multiLevelType w:val="hybridMultilevel"/>
    <w:lvl w:ilvl="0">
      <w:lvlJc w:val="left"/>
      <w:lvlText w:val="%1"/>
      <w:numFmt w:val="decimal"/>
      <w:start w:val="1"/>
    </w:lvl>
    <w:lvl w:ilvl="1">
      <w:lvlJc w:val="left"/>
      <w:lvlText w:val="(%2)"/>
      <w:numFmt w:val="lowerLetter"/>
      <w:start w:val="2"/>
    </w:lvl>
  </w:abstractNum>
  <w:abstractNum w:abstractNumId="115">
    <w:nsid w:val="4F97E3E4"/>
    <w:multiLevelType w:val="hybridMultilevel"/>
    <w:lvl w:ilvl="0">
      <w:lvlJc w:val="left"/>
      <w:lvlText w:val="%1."/>
      <w:numFmt w:val="decimal"/>
      <w:start w:val="29"/>
    </w:lvl>
    <w:lvl w:ilvl="1">
      <w:lvlJc w:val="left"/>
      <w:lvlText w:val="(%2)"/>
      <w:numFmt w:val="lowerLetter"/>
      <w:start w:val="1"/>
    </w:lvl>
  </w:abstractNum>
  <w:abstractNum w:abstractNumId="116">
    <w:nsid w:val="53B0A9E"/>
    <w:multiLevelType w:val="hybridMultilevel"/>
    <w:lvl w:ilvl="0">
      <w:lvlJc w:val="left"/>
      <w:lvlText w:val="%1"/>
      <w:numFmt w:val="decimal"/>
      <w:start w:val="1"/>
    </w:lvl>
    <w:lvl w:ilvl="1">
      <w:lvlJc w:val="left"/>
      <w:lvlText w:val="(%2)"/>
      <w:numFmt w:val="lowerLetter"/>
      <w:start w:val="7"/>
    </w:lvl>
  </w:abstractNum>
  <w:abstractNum w:abstractNumId="117">
    <w:nsid w:val="34FD6B4F"/>
    <w:multiLevelType w:val="hybridMultilevel"/>
    <w:lvl w:ilvl="0">
      <w:lvlJc w:val="left"/>
      <w:lvlText w:val="(%1)"/>
      <w:numFmt w:val="decimal"/>
      <w:start w:val="30"/>
    </w:lvl>
    <w:lvl w:ilvl="1">
      <w:lvlJc w:val="left"/>
      <w:lvlText w:val="%2"/>
      <w:numFmt w:val="lowerLetter"/>
      <w:start w:val="1"/>
    </w:lvl>
  </w:abstractNum>
  <w:abstractNum w:abstractNumId="118">
    <w:nsid w:val="5915FF32"/>
    <w:multiLevelType w:val="hybridMultilevel"/>
    <w:lvl w:ilvl="0">
      <w:lvlJc w:val="left"/>
      <w:lvlText w:val="(%1)"/>
      <w:numFmt w:val="lowerLetter"/>
      <w:start w:val="15"/>
    </w:lvl>
  </w:abstractNum>
  <w:abstractNum w:abstractNumId="119">
    <w:nsid w:val="56438D15"/>
    <w:multiLevelType w:val="hybridMultilevel"/>
    <w:lvl w:ilvl="0">
      <w:lvlJc w:val="left"/>
      <w:lvlText w:val="(%1)"/>
      <w:numFmt w:val="lowerLetter"/>
      <w:start w:val="18"/>
    </w:lvl>
  </w:abstractNum>
  <w:abstractNum w:abstractNumId="120">
    <w:nsid w:val="519E3149"/>
    <w:multiLevelType w:val="hybridMultilevel"/>
    <w:lvl w:ilvl="0">
      <w:lvlJc w:val="left"/>
      <w:lvlText w:val="(%1)"/>
      <w:numFmt w:val="lowerLetter"/>
      <w:start w:val="26"/>
    </w:lvl>
  </w:abstractNum>
  <w:abstractNum w:abstractNumId="121">
    <w:nsid w:val="2C6E4AFD"/>
    <w:multiLevelType w:val="hybridMultilevel"/>
    <w:lvl w:ilvl="0">
      <w:lvlJc w:val="left"/>
      <w:lvlText w:val="%1"/>
      <w:numFmt w:val="lowerLetter"/>
      <w:start w:val="1"/>
    </w:lvl>
    <w:lvl w:ilvl="1">
      <w:lvlJc w:val="left"/>
      <w:lvlText w:val="(%2)"/>
      <w:numFmt w:val="lowerLetter"/>
      <w:start w:val="27"/>
    </w:lvl>
  </w:abstractNum>
  <w:abstractNum w:abstractNumId="122">
    <w:nsid w:val="17A1B582"/>
    <w:multiLevelType w:val="hybridMultilevel"/>
    <w:lvl w:ilvl="0">
      <w:lvlJc w:val="left"/>
      <w:lvlText w:val="(%1)"/>
      <w:numFmt w:val="lowerLetter"/>
      <w:start w:val="35"/>
    </w:lvl>
    <w:lvl w:ilvl="1">
      <w:lvlJc w:val="left"/>
      <w:lvlText w:val="(%2)"/>
      <w:numFmt w:val="lowerLetter"/>
      <w:start w:val="28"/>
    </w:lvl>
  </w:abstractNum>
  <w:abstractNum w:abstractNumId="123">
    <w:nsid w:val="4DF72E4E"/>
    <w:multiLevelType w:val="hybridMultilevel"/>
    <w:lvl w:ilvl="0">
      <w:lvlJc w:val="left"/>
      <w:lvlText w:val="1"/>
      <w:numFmt w:val="bullet"/>
      <w:start w:val="1"/>
    </w:lvl>
  </w:abstractNum>
  <w:abstractNum w:abstractNumId="124">
    <w:nsid w:val="5046B5A9"/>
    <w:multiLevelType w:val="hybridMultilevel"/>
    <w:lvl w:ilvl="0">
      <w:lvlJc w:val="left"/>
      <w:lvlText w:val="(%1)"/>
      <w:numFmt w:val="lowerLetter"/>
      <w:start w:val="32"/>
    </w:lvl>
  </w:abstractNum>
  <w:abstractNum w:abstractNumId="125">
    <w:nsid w:val="5D888A08"/>
    <w:multiLevelType w:val="hybridMultilevel"/>
    <w:lvl w:ilvl="0">
      <w:lvlJc w:val="left"/>
      <w:lvlText w:val="%1"/>
      <w:numFmt w:val="decimal"/>
      <w:start w:val="1"/>
    </w:lvl>
    <w:lvl w:ilvl="1">
      <w:lvlJc w:val="left"/>
      <w:lvlText w:val="(%2)"/>
      <w:numFmt w:val="lowerLetter"/>
      <w:start w:val="44"/>
    </w:lvl>
  </w:abstractNum>
  <w:abstractNum w:abstractNumId="126">
    <w:nsid w:val="2A082C70"/>
    <w:multiLevelType w:val="hybridMultilevel"/>
    <w:lvl w:ilvl="0">
      <w:lvlJc w:val="left"/>
      <w:lvlText w:val="%1."/>
      <w:numFmt w:val="decimal"/>
      <w:start w:val="32"/>
    </w:lvl>
    <w:lvl w:ilvl="1">
      <w:lvlJc w:val="left"/>
      <w:lvlText w:val="%2"/>
      <w:numFmt w:val="lowerLetter"/>
      <w:start w:val="1"/>
    </w:lvl>
  </w:abstractNum>
  <w:abstractNum w:abstractNumId="127">
    <w:nsid w:val="5EC6AFD4"/>
    <w:multiLevelType w:val="hybridMultilevel"/>
    <w:lvl w:ilvl="0">
      <w:lvlJc w:val="left"/>
      <w:lvlText w:val="%1."/>
      <w:numFmt w:val="decimal"/>
      <w:start w:val="33"/>
    </w:lvl>
  </w:abstractNum>
  <w:abstractNum w:abstractNumId="128">
    <w:nsid w:val="19E21BB2"/>
    <w:multiLevelType w:val="hybridMultilevel"/>
    <w:lvl w:ilvl="0">
      <w:lvlJc w:val="left"/>
      <w:lvlText w:val="☐"/>
      <w:numFmt w:val="bullet"/>
      <w:start w:val="1"/>
    </w:lvl>
  </w:abstractNum>
  <w:abstractNum w:abstractNumId="129">
    <w:nsid w:val="75E0858A"/>
    <w:multiLevelType w:val="hybridMultilevel"/>
    <w:lvl w:ilvl="0">
      <w:lvlJc w:val="left"/>
      <w:lvlText w:val="☐"/>
      <w:numFmt w:val="bullet"/>
      <w:start w:val="1"/>
    </w:lvl>
  </w:abstractNum>
  <w:abstractNum w:abstractNumId="130">
    <w:nsid w:val="57A61A29"/>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2025-02-25T08:22:40Z</dcterms:created>
  <dcterms:modified xsi:type="dcterms:W3CDTF">2025-02-25T08:22:40Z</dcterms:modified>
</cp:coreProperties>
</file>