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1357630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355600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387985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ind w:left="240" w:right="319"/>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OF THE SECURITIES EXCHANGE ACT OF 1934</w:t>
      </w:r>
    </w:p>
    <w:p>
      <w:pPr>
        <w:spacing w:after="0" w:line="127" w:lineRule="exact"/>
        <w:rPr>
          <w:sz w:val="24"/>
          <w:szCs w:val="24"/>
          <w:color w:val="auto"/>
        </w:rPr>
      </w:pPr>
    </w:p>
    <w:p>
      <w:pPr>
        <w:ind w:left="2920"/>
        <w:spacing w:after="0"/>
        <w:rPr>
          <w:sz w:val="20"/>
          <w:szCs w:val="20"/>
          <w:color w:val="auto"/>
        </w:rPr>
      </w:pPr>
      <w:r>
        <w:rPr>
          <w:rFonts w:ascii="Times New Roman" w:cs="Times New Roman" w:eastAsia="Times New Roman" w:hAnsi="Times New Roman"/>
          <w:sz w:val="22"/>
          <w:szCs w:val="22"/>
          <w:b w:val="1"/>
          <w:bCs w:val="1"/>
          <w:color w:val="auto"/>
        </w:rPr>
        <w:t>For the month of September 2025</w:t>
      </w:r>
    </w:p>
    <w:p>
      <w:pPr>
        <w:spacing w:after="0" w:line="18"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22"/>
          <w:szCs w:val="22"/>
          <w:b w:val="1"/>
          <w:bCs w:val="1"/>
          <w:color w:val="auto"/>
        </w:rPr>
        <w:t>Commission File Number 001-42254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355600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Rezolve AI plc</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364490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21 Sackville Street,</w:t>
      </w:r>
    </w:p>
    <w:p>
      <w:pPr>
        <w:spacing w:after="0" w:line="31"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London, W1S 3DN</w:t>
      </w:r>
    </w:p>
    <w:p>
      <w:pPr>
        <w:spacing w:after="0" w:line="9"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356235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jc w:val="center"/>
        <w:ind w:left="240" w:right="279"/>
        <w:spacing w:after="0" w:line="3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-718185</wp:posOffset>
            </wp:positionH>
            <wp:positionV relativeFrom="paragraph">
              <wp:posOffset>2104390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342265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650875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1117600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INFORMATION CONTAINED IN THIS REPORT ON FORM 6-K</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Purchase Agreements</w:t>
      </w:r>
    </w:p>
    <w:p>
      <w:pPr>
        <w:spacing w:after="0" w:line="22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September 24, 2025, Rezolve AI plc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entered into securities purchase agreements (the “</w:t>
      </w:r>
      <w:r>
        <w:rPr>
          <w:rFonts w:ascii="Times New Roman" w:cs="Times New Roman" w:eastAsia="Times New Roman" w:hAnsi="Times New Roman"/>
          <w:sz w:val="18"/>
          <w:szCs w:val="18"/>
          <w:b w:val="1"/>
          <w:bCs w:val="1"/>
          <w:i w:val="1"/>
          <w:iCs w:val="1"/>
          <w:color w:val="auto"/>
        </w:rPr>
        <w:t>Purchase Agreements</w:t>
      </w:r>
      <w:r>
        <w:rPr>
          <w:rFonts w:ascii="Times New Roman" w:cs="Times New Roman" w:eastAsia="Times New Roman" w:hAnsi="Times New Roman"/>
          <w:sz w:val="18"/>
          <w:szCs w:val="18"/>
          <w:color w:val="auto"/>
        </w:rPr>
        <w:t>”) with certain investors (the “</w:t>
      </w:r>
      <w:r>
        <w:rPr>
          <w:rFonts w:ascii="Times New Roman" w:cs="Times New Roman" w:eastAsia="Times New Roman" w:hAnsi="Times New Roman"/>
          <w:sz w:val="18"/>
          <w:szCs w:val="18"/>
          <w:b w:val="1"/>
          <w:bCs w:val="1"/>
          <w:i w:val="1"/>
          <w:iCs w:val="1"/>
          <w:color w:val="auto"/>
        </w:rPr>
        <w:t>Purchasers</w:t>
      </w:r>
      <w:r>
        <w:rPr>
          <w:rFonts w:ascii="Times New Roman" w:cs="Times New Roman" w:eastAsia="Times New Roman" w:hAnsi="Times New Roman"/>
          <w:sz w:val="18"/>
          <w:szCs w:val="18"/>
          <w:color w:val="auto"/>
        </w:rPr>
        <w:t>”) pursuant to which the Company agreed to sell and issue to the Purchasers in a private placement offering (the “</w:t>
      </w:r>
      <w:r>
        <w:rPr>
          <w:rFonts w:ascii="Times New Roman" w:cs="Times New Roman" w:eastAsia="Times New Roman" w:hAnsi="Times New Roman"/>
          <w:sz w:val="18"/>
          <w:szCs w:val="18"/>
          <w:b w:val="1"/>
          <w:bCs w:val="1"/>
          <w:i w:val="1"/>
          <w:iCs w:val="1"/>
          <w:color w:val="auto"/>
        </w:rPr>
        <w:t>PIPE Financing</w:t>
      </w:r>
      <w:r>
        <w:rPr>
          <w:rFonts w:ascii="Times New Roman" w:cs="Times New Roman" w:eastAsia="Times New Roman" w:hAnsi="Times New Roman"/>
          <w:sz w:val="18"/>
          <w:szCs w:val="18"/>
          <w:color w:val="auto"/>
        </w:rPr>
        <w:t>”) 37,000,000 ordinary shares, par value £0.0001 per share (the “</w:t>
      </w:r>
      <w:r>
        <w:rPr>
          <w:rFonts w:ascii="Times New Roman" w:cs="Times New Roman" w:eastAsia="Times New Roman" w:hAnsi="Times New Roman"/>
          <w:sz w:val="18"/>
          <w:szCs w:val="18"/>
          <w:b w:val="1"/>
          <w:bCs w:val="1"/>
          <w:i w:val="1"/>
          <w:iCs w:val="1"/>
          <w:color w:val="auto"/>
        </w:rPr>
        <w:t>Ordinary Shares</w:t>
      </w:r>
      <w:r>
        <w:rPr>
          <w:rFonts w:ascii="Times New Roman" w:cs="Times New Roman" w:eastAsia="Times New Roman" w:hAnsi="Times New Roman"/>
          <w:sz w:val="18"/>
          <w:szCs w:val="18"/>
          <w:color w:val="auto"/>
        </w:rPr>
        <w:t>”), at an offering price of $5.40 per Ordinary Share. The Company intends to use the net proceeds of the PIPE Financing for accelerated investment into its sales organization, potential accretive M&amp;A opportunities, working capital and general corporate purposes, including further development of its Brain Commerce Platform, and expansion of Visual Search and Brain Checkout. A.G.P/Alliance Global Partners (“</w:t>
      </w:r>
      <w:r>
        <w:rPr>
          <w:rFonts w:ascii="Times New Roman" w:cs="Times New Roman" w:eastAsia="Times New Roman" w:hAnsi="Times New Roman"/>
          <w:sz w:val="18"/>
          <w:szCs w:val="18"/>
          <w:b w:val="1"/>
          <w:bCs w:val="1"/>
          <w:i w:val="1"/>
          <w:iCs w:val="1"/>
          <w:color w:val="auto"/>
        </w:rPr>
        <w:t>A.G.P</w:t>
      </w:r>
      <w:r>
        <w:rPr>
          <w:rFonts w:ascii="Times New Roman" w:cs="Times New Roman" w:eastAsia="Times New Roman" w:hAnsi="Times New Roman"/>
          <w:sz w:val="18"/>
          <w:szCs w:val="18"/>
          <w:color w:val="auto"/>
        </w:rPr>
        <w:t>”) acted as a placement agent in connection with the PIPE Financing.</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Ordinary Shares are being offered pursuant to the exemption from registration under Section 4(a)(2) of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 Rule 506(b) of Regulation D promulgated thereunder, and applicable state securities laws.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Purchase Agreements, the Company has agreed not to issue, enter into any agreement to issue, or announce the issuance or proposed issuance of any Ordinary Shares or Ordinary Share equivalents, or file any registration statement or any amendment or supplement thereto, for a period of 60 days after the date the Initial Registration Statement (as defined below) has been declared effective by the Securities and Exchange Commission, subject to certain exceptions.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PIPE Financing closed on September 25, 2025, resulting in aggregate gross proceeds to the Company of $200 million, before deducting the placement agent’s fee and offering expenses payable by the Company.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Placement Agent Agreement</w:t>
      </w:r>
    </w:p>
    <w:p>
      <w:pPr>
        <w:spacing w:after="0" w:line="22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Company also entered into a Placement Agent Agreement (the “</w:t>
      </w:r>
      <w:r>
        <w:rPr>
          <w:rFonts w:ascii="Times New Roman" w:cs="Times New Roman" w:eastAsia="Times New Roman" w:hAnsi="Times New Roman"/>
          <w:sz w:val="18"/>
          <w:szCs w:val="18"/>
          <w:b w:val="1"/>
          <w:bCs w:val="1"/>
          <w:i w:val="1"/>
          <w:iCs w:val="1"/>
          <w:color w:val="auto"/>
        </w:rPr>
        <w:t>Placement Agent Agreement</w:t>
      </w:r>
      <w:r>
        <w:rPr>
          <w:rFonts w:ascii="Times New Roman" w:cs="Times New Roman" w:eastAsia="Times New Roman" w:hAnsi="Times New Roman"/>
          <w:sz w:val="18"/>
          <w:szCs w:val="18"/>
          <w:color w:val="auto"/>
        </w:rPr>
        <w:t>”) with A.G.P., dated September 24, 2025, pursuant to which A.G.P agreed to serve as placement agent for the Company in connection with the PIPE Financing. The Company agreed to pay A.G.P a cash fee equal to 6.0% of the gross cash proceeds received in the PIPE Financing; however, A.G.P. agreed to apply a credit to the Company equal to $3,000,000. In addition, the Company agreed to reimburse A.G.P for up to $120,000 of its legal fees and other out-of-pocket expenses in connection with the PIPE Financing as well as non-accountable expenses incurred by A.G.P for up to $10,000 in connection with the PIPE Financing. Pursuant to the Placement Agent Agreement, the Company shall be subject to securities issuance restrictions as described in the Purchase Agreements</w:t>
      </w:r>
    </w:p>
    <w:p>
      <w:pPr>
        <w:spacing w:after="0" w:line="18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Placement Agent Agreement contains customary representations, warranties, and agreements by the Company, customary conditions to closing, indemnification obligations of the Company, other obligations of the parties, and termination provisions.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Registration Rights Agreement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Concurrently with the Purchase Agreements and the Placement Agent Agreement, on September 24, 2025, the Company and the Purchasers entered into a Registration Rights Agreement (the “</w:t>
      </w:r>
      <w:r>
        <w:rPr>
          <w:rFonts w:ascii="Times New Roman" w:cs="Times New Roman" w:eastAsia="Times New Roman" w:hAnsi="Times New Roman"/>
          <w:sz w:val="18"/>
          <w:szCs w:val="18"/>
          <w:b w:val="1"/>
          <w:bCs w:val="1"/>
          <w:i w:val="1"/>
          <w:iCs w:val="1"/>
          <w:color w:val="auto"/>
        </w:rPr>
        <w:t>Registration Rights Agreement</w:t>
      </w:r>
      <w:r>
        <w:rPr>
          <w:rFonts w:ascii="Times New Roman" w:cs="Times New Roman" w:eastAsia="Times New Roman" w:hAnsi="Times New Roman"/>
          <w:sz w:val="18"/>
          <w:szCs w:val="18"/>
          <w:color w:val="auto"/>
        </w:rPr>
        <w:t>”) pursuant to which the Company agreed to file a registration statement (the “</w:t>
      </w:r>
      <w:r>
        <w:rPr>
          <w:rFonts w:ascii="Times New Roman" w:cs="Times New Roman" w:eastAsia="Times New Roman" w:hAnsi="Times New Roman"/>
          <w:sz w:val="18"/>
          <w:szCs w:val="18"/>
          <w:b w:val="1"/>
          <w:bCs w:val="1"/>
          <w:i w:val="1"/>
          <w:iCs w:val="1"/>
          <w:color w:val="auto"/>
        </w:rPr>
        <w:t>Initial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providing for the resale of the Ordinary Shares within 3 business days following the closing of the PIPE Financing, to have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registration statement declared effective with 30 days of the filing date (or 60 days, if the Securities and Exchange Commission conducts a full review), and to maintain the effectiveness of such registration statement.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summaries of the Purchase Agreements, the Placement Agency Agreement, and the Registration Rights Agreement, do not purport to be complete and are qualified in their entirety by reference to the complete text of those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both"/>
        <w:spacing w:after="0" w:line="282" w:lineRule="auto"/>
        <w:rPr>
          <w:sz w:val="20"/>
          <w:szCs w:val="20"/>
          <w:color w:val="auto"/>
        </w:rPr>
      </w:pPr>
      <w:r>
        <w:rPr>
          <w:rFonts w:ascii="Times New Roman" w:cs="Times New Roman" w:eastAsia="Times New Roman" w:hAnsi="Times New Roman"/>
          <w:sz w:val="18"/>
          <w:szCs w:val="18"/>
          <w:color w:val="auto"/>
        </w:rPr>
        <w:t>agreements, which are attached hereto as Exhibits 10.1, 10.2, and 10.3 respectively, to this Report of Foreign Private Issuer on Form 6-K and are incorporated herein by reference.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included in this Report on Form 6-K (including Exhibits 10.1, 10.2 and 10.3) is hereby incorporated by reference into the Company’s Registration Statement on Form F-3 (File No. 333-290523) (including any prospectuses forming a part of such registration statement) and to be a part thereof from the date on which this Report on Form 6-K is filed,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466090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0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280" w:type="dxa"/>
            <w:vAlign w:val="bottom"/>
          </w:tcPr>
          <w:p>
            <w:pPr>
              <w:spacing w:after="0"/>
              <w:rPr>
                <w:sz w:val="24"/>
                <w:szCs w:val="24"/>
                <w:color w:val="auto"/>
              </w:rPr>
            </w:pPr>
          </w:p>
        </w:tc>
        <w:tc>
          <w:tcPr>
            <w:tcW w:w="28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Form of Securities Purchase Agreement</w:t>
            </w:r>
          </w:p>
        </w:tc>
        <w:tc>
          <w:tcPr>
            <w:tcW w:w="6180" w:type="dxa"/>
            <w:vAlign w:val="bottom"/>
            <w:gridSpan w:val="2"/>
          </w:tcPr>
          <w:p>
            <w:pPr>
              <w:spacing w:after="0"/>
              <w:rPr>
                <w:sz w:val="24"/>
                <w:szCs w:val="24"/>
                <w:color w:val="auto"/>
              </w:rPr>
            </w:pPr>
          </w:p>
        </w:tc>
      </w:tr>
      <w:tr>
        <w:trPr>
          <w:trHeight w:val="196"/>
        </w:trPr>
        <w:tc>
          <w:tcPr>
            <w:tcW w:w="90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280" w:type="dxa"/>
            <w:vAlign w:val="bottom"/>
          </w:tcPr>
          <w:p>
            <w:pPr>
              <w:spacing w:after="0"/>
              <w:rPr>
                <w:sz w:val="17"/>
                <w:szCs w:val="17"/>
                <w:color w:val="auto"/>
              </w:rPr>
            </w:pPr>
          </w:p>
        </w:tc>
        <w:tc>
          <w:tcPr>
            <w:tcW w:w="862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Placement Agency Agreement, dated September 24, 2025, between Rezolve AI plc and A.G.P/Alliance Global Partners</w:t>
            </w:r>
          </w:p>
        </w:tc>
        <w:tc>
          <w:tcPr>
            <w:tcW w:w="440" w:type="dxa"/>
            <w:vAlign w:val="bottom"/>
          </w:tcPr>
          <w:p>
            <w:pPr>
              <w:spacing w:after="0"/>
              <w:rPr>
                <w:sz w:val="17"/>
                <w:szCs w:val="17"/>
                <w:color w:val="auto"/>
              </w:rPr>
            </w:pPr>
          </w:p>
        </w:tc>
      </w:tr>
      <w:tr>
        <w:trPr>
          <w:trHeight w:val="196"/>
        </w:trPr>
        <w:tc>
          <w:tcPr>
            <w:tcW w:w="90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280" w:type="dxa"/>
            <w:vAlign w:val="bottom"/>
          </w:tcPr>
          <w:p>
            <w:pPr>
              <w:spacing w:after="0"/>
              <w:rPr>
                <w:sz w:val="17"/>
                <w:szCs w:val="17"/>
                <w:color w:val="auto"/>
              </w:rPr>
            </w:pPr>
          </w:p>
        </w:tc>
        <w:tc>
          <w:tcPr>
            <w:tcW w:w="90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Form of Registration Rights Agreement</w:t>
            </w:r>
          </w:p>
        </w:tc>
      </w:tr>
      <w:tr>
        <w:trPr>
          <w:trHeight w:val="1222"/>
        </w:trPr>
        <w:tc>
          <w:tcPr>
            <w:tcW w:w="2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900" w:type="dxa"/>
            <w:vAlign w:val="bottom"/>
            <w:tcBorders>
              <w:top w:val="single" w:sz="8" w:color="0000FF"/>
              <w:bottom w:val="single" w:sz="8" w:color="808080"/>
            </w:tcBorders>
          </w:tcPr>
          <w:p>
            <w:pPr>
              <w:spacing w:after="0"/>
              <w:rPr>
                <w:sz w:val="24"/>
                <w:szCs w:val="24"/>
                <w:color w:val="auto"/>
              </w:rPr>
            </w:pPr>
          </w:p>
        </w:tc>
        <w:tc>
          <w:tcPr>
            <w:tcW w:w="1960" w:type="dxa"/>
            <w:vAlign w:val="bottom"/>
            <w:tcBorders>
              <w:top w:val="single" w:sz="8" w:color="0000FF"/>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574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r>
      <w:tr>
        <w:trPr>
          <w:trHeight w:val="1648"/>
        </w:trPr>
        <w:tc>
          <w:tcPr>
            <w:tcW w:w="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7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380" w:firstLine="57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September 26, 2025</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Daniel Wagner</w:t>
            </w:r>
          </w:p>
        </w:tc>
        <w:tc>
          <w:tcPr>
            <w:tcW w:w="0" w:type="dxa"/>
            <w:vAlign w:val="bottom"/>
          </w:tcPr>
          <w:p>
            <w:pPr>
              <w:spacing w:after="0"/>
              <w:rPr>
                <w:sz w:val="1"/>
                <w:szCs w:val="1"/>
                <w:color w:val="auto"/>
              </w:rPr>
            </w:pPr>
          </w:p>
        </w:tc>
      </w:tr>
      <w:tr>
        <w:trPr>
          <w:trHeight w:val="108"/>
        </w:trPr>
        <w:tc>
          <w:tcPr>
            <w:tcW w:w="1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928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1960" w:type="dxa"/>
            <w:vAlign w:val="bottom"/>
            <w:vMerge w:val="continue"/>
          </w:tcPr>
          <w:p>
            <w:pPr>
              <w:spacing w:after="0"/>
              <w:rPr>
                <w:sz w:val="17"/>
                <w:szCs w:val="17"/>
                <w:color w:val="auto"/>
              </w:rPr>
            </w:pPr>
          </w:p>
        </w:tc>
        <w:tc>
          <w:tcPr>
            <w:tcW w:w="92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Daniel Wagner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and Chairman</w:t>
            </w:r>
          </w:p>
        </w:tc>
        <w:tc>
          <w:tcPr>
            <w:tcW w:w="0" w:type="dxa"/>
            <w:vAlign w:val="bottom"/>
          </w:tcPr>
          <w:p>
            <w:pPr>
              <w:spacing w:after="0"/>
              <w:rPr>
                <w:sz w:val="1"/>
                <w:szCs w:val="1"/>
                <w:color w:val="auto"/>
              </w:rPr>
            </w:pPr>
          </w:p>
        </w:tc>
      </w:tr>
      <w:tr>
        <w:trPr>
          <w:trHeight w:val="675"/>
        </w:trPr>
        <w:tc>
          <w:tcPr>
            <w:tcW w:w="1960" w:type="dxa"/>
            <w:vAlign w:val="bottom"/>
            <w:tcBorders>
              <w:bottom w:val="single" w:sz="8" w:color="808080"/>
            </w:tcBorders>
          </w:tcPr>
          <w:p>
            <w:pPr>
              <w:spacing w:after="0"/>
              <w:rPr>
                <w:sz w:val="24"/>
                <w:szCs w:val="24"/>
                <w:color w:val="auto"/>
              </w:rPr>
            </w:pPr>
          </w:p>
        </w:tc>
        <w:tc>
          <w:tcPr>
            <w:tcW w:w="92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1620"/>
        </w:trPr>
        <w:tc>
          <w:tcPr>
            <w:tcW w:w="1960" w:type="dxa"/>
            <w:vAlign w:val="bottom"/>
            <w:tcBorders>
              <w:bottom w:val="single" w:sz="8" w:color="9A9A9A"/>
            </w:tcBorders>
          </w:tcPr>
          <w:p>
            <w:pPr>
              <w:spacing w:after="0"/>
              <w:rPr>
                <w:sz w:val="24"/>
                <w:szCs w:val="24"/>
                <w:color w:val="auto"/>
              </w:rPr>
            </w:pPr>
          </w:p>
        </w:tc>
        <w:tc>
          <w:tcPr>
            <w:tcW w:w="9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PURCHASE AGREEMENT</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This Securities Purchase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dated as of September 24, 2025, between Rezolve AI plc, a limited company incorporated under the laws of England and Wales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each purchaser identified on the signature pages hereto (each, including its successors and assigns, a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WHEREAS, subject to the terms and conditions set forth in this Agreement and pursuant to Section 4(a)(2) of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Rule 506(b) of Regulation D promulgated thereunder, the Company desires to issue and sell to each Purchaser, and each Purchaser, severally and not jointly, desires to purchase from the Company, securities of the Company as more fully described in this Agreement;</w:t>
      </w:r>
    </w:p>
    <w:p>
      <w:pPr>
        <w:spacing w:after="0" w:line="176"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 xml:space="preserve">WHEREAS, contemporaneously with the sale of the securities hereunder, the parties hereto will execute and deliver a Registration Rights Agreement,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pursuant to which the Company will agree to provide certain registration rights in respect of the Shares (as hereinafter defined) under the Securities Act, and the rules and regulations promulgated thereunder, and applicable state securities laws;</w:t>
      </w:r>
    </w:p>
    <w:p>
      <w:pPr>
        <w:spacing w:after="0" w:line="180"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NOW, THEREFORE, IN CONSIDERATION of the mutual covenants contained in this Agreement, and for other good and valuable consideration, the receipt and adequacy of which are hereby acknowledged, the Company and each Purchaser agree as follows:</w:t>
      </w: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In addition to the terms defined elsewhere in this Agreement, for all purposes of this Agreement, the following terms have the meanings set forth in this Section 1.1:</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shall have the meaning ascribed to such term in Section 4.5.</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shall have the meaning ascribed to such term in Section 3.1(j).</w:t>
      </w:r>
    </w:p>
    <w:p>
      <w:pPr>
        <w:spacing w:after="0" w:line="225"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Saturday, Sunday or other day on which commercial banks in The City of New York are authorized or required by law to remain closed; provided, however,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generally open for use by customers on such day.</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means the closing of the purchase and sale of the Securities pursuant to Section 2.1.</w:t>
      </w:r>
    </w:p>
    <w:p>
      <w:pPr>
        <w:spacing w:after="0" w:line="225"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Trading Day on which all of the Transaction Documents have been executed and delivered by the applicable parties thereto, and all conditions precedent to (i) the Purchasers’ obligations to pay the Subscription Amount and (ii) the Company’s obligations to deliver the Shares, in each case, have been satisfied or waived.</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1033145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 w:name="page6"/>
    <w:bookmarkEnd w:id="5"/>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UK Counsel</w:t>
      </w:r>
      <w:r>
        <w:rPr>
          <w:rFonts w:ascii="Times New Roman" w:cs="Times New Roman" w:eastAsia="Times New Roman" w:hAnsi="Times New Roman"/>
          <w:sz w:val="18"/>
          <w:szCs w:val="18"/>
          <w:color w:val="auto"/>
        </w:rPr>
        <w:t>” means Taylor Wessing LLP, with offices located at Hill House, 1 Little New Street, London EC4A 3TR UK.</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US Counsel</w:t>
      </w:r>
      <w:r>
        <w:rPr>
          <w:rFonts w:ascii="Times New Roman" w:cs="Times New Roman" w:eastAsia="Times New Roman" w:hAnsi="Times New Roman"/>
          <w:sz w:val="18"/>
          <w:szCs w:val="18"/>
          <w:color w:val="auto"/>
        </w:rPr>
        <w:t>” means DLA Piper LLP (US), with offices located at 1201 W Peachtree St NE #2800, Atlanta, GA 30309, USA.</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Schedules</w:t>
      </w:r>
      <w:r>
        <w:rPr>
          <w:rFonts w:ascii="Times New Roman" w:cs="Times New Roman" w:eastAsia="Times New Roman" w:hAnsi="Times New Roman"/>
          <w:sz w:val="18"/>
          <w:szCs w:val="18"/>
          <w:color w:val="auto"/>
        </w:rPr>
        <w:t>” means the Disclosure Schedules of the Company delivered concurrently herewith.</w:t>
      </w:r>
    </w:p>
    <w:p>
      <w:pPr>
        <w:spacing w:after="0" w:line="22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Time</w:t>
      </w:r>
      <w:r>
        <w:rPr>
          <w:rFonts w:ascii="Times New Roman" w:cs="Times New Roman" w:eastAsia="Times New Roman" w:hAnsi="Times New Roman"/>
          <w:sz w:val="18"/>
          <w:szCs w:val="18"/>
          <w:color w:val="auto"/>
        </w:rPr>
        <w:t>” means, (i) if this Agreement is signed on a day that is not a Trading Day or after 9:00 a.m. (New York City time) and before midnight (New York City time) on any Trading Day, 9:01 a.m. (New York City time) on the Trading Day immediately following the date hereof, unless otherwise instructed as to an earlier time by the Placement Agent, and (ii) if this Agreement is signed between midnight (New York City time) and 9:00 a.m. (New York City time) on any Trading Day, no later than 9:01 a.m. (New York City time) on the date hereof, unless otherwise instructed as to an earlier time by the Placement Agent.</w:t>
      </w:r>
    </w:p>
    <w:p>
      <w:pPr>
        <w:spacing w:after="0" w:line="18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means the earliest of the date that (a) the initial Registration Statement registering for resale all Shares has been declared effective by the Commission, (b) all of the Shares have been sold pursuant to Rule 144 or may be sold pursuant to Rule 144 without the requirement for the Company to be in compliance with the current public information requirement of Rule 144 and without volume or manner-of-sale restrictions, (c) following the one year anniversary of the Closing Date provided that a holder of Shares is not an Affiliate of the Company, or (d) all of the Shares may be sold pursuant to an exemption from registration under Section 4(a)(1) of the Securities Act without volume or manner-of-sale restrictions.</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Evaluation Date</w:t>
      </w:r>
      <w:r>
        <w:rPr>
          <w:rFonts w:ascii="Times New Roman" w:cs="Times New Roman" w:eastAsia="Times New Roman" w:hAnsi="Times New Roman"/>
          <w:sz w:val="18"/>
          <w:szCs w:val="18"/>
          <w:color w:val="auto"/>
        </w:rPr>
        <w:t>” shall have the meaning ascribed to such term in Section 3.1(s).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means the Foreign Corrupt Practices Act of 1977, as amended.</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shall have the meaning ascribed to such term in Section 3.1(h).</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shall have the meaning ascribed to such term in Section 3.1(bb).</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shall have the meaning ascribed to such term in Section 3.1(p).</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Legend Removal Date</w:t>
      </w:r>
      <w:r>
        <w:rPr>
          <w:rFonts w:ascii="Times New Roman" w:cs="Times New Roman" w:eastAsia="Times New Roman" w:hAnsi="Times New Roman"/>
          <w:sz w:val="18"/>
          <w:szCs w:val="18"/>
          <w:color w:val="auto"/>
        </w:rPr>
        <w:t>” shall have the meaning ascribed to such term in Section 4.1(c).</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means a lien, charge, pledge, security interest, encumbrance, right of first refusal, preemptive right or other restriction.</w:t>
      </w:r>
    </w:p>
    <w:p>
      <w:pPr>
        <w:spacing w:after="0" w:line="225"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Lock-Up Agreement</w:t>
      </w:r>
      <w:r>
        <w:rPr>
          <w:rFonts w:ascii="Times New Roman" w:cs="Times New Roman" w:eastAsia="Times New Roman" w:hAnsi="Times New Roman"/>
          <w:sz w:val="18"/>
          <w:szCs w:val="18"/>
          <w:color w:val="auto"/>
        </w:rPr>
        <w:t xml:space="preserve">” means the Lock-Up Agreement, dated as of the date hereof, by and among the Company and certain of the executive officers,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attached hereto.</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shall have the meaning assigned to such term in Section 3.1(b).</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shall have the meaning ascribed to such term in Section 3.1(n).</w:t>
      </w:r>
    </w:p>
    <w:p>
      <w:pPr>
        <w:spacing w:after="0" w:line="225"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 means the Company’s Ordinary Shares, £0.0001 nominal value per share, and any other class of securities into which such securities may hereafter be reclassified or changed.</w:t>
      </w:r>
    </w:p>
    <w:p>
      <w:pPr>
        <w:spacing w:after="0" w:line="16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Ordinary Share Equivalents</w:t>
      </w:r>
      <w:r>
        <w:rPr>
          <w:rFonts w:ascii="Times New Roman" w:cs="Times New Roman" w:eastAsia="Times New Roman" w:hAnsi="Times New Roman"/>
          <w:sz w:val="18"/>
          <w:szCs w:val="18"/>
          <w:color w:val="auto"/>
        </w:rPr>
        <w:t>” means any securities of the Company or the Subsidiaries which would entitle the holder thereof to acquire at any time Ordinary Shares, including, without limitation, any debt, preferred shares, right, option, warrant or other instrument that is at any time convertible into or exercisable or exchangeable for, or otherwise entitles the holder thereof to receive, Ordinary Shares.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 w:name="page7"/>
    <w:bookmarkEnd w:id="6"/>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Share Purchase Price</w:t>
      </w:r>
      <w:r>
        <w:rPr>
          <w:rFonts w:ascii="Times New Roman" w:cs="Times New Roman" w:eastAsia="Times New Roman" w:hAnsi="Times New Roman"/>
          <w:sz w:val="18"/>
          <w:szCs w:val="18"/>
          <w:color w:val="auto"/>
        </w:rPr>
        <w:t>” equals $5.40, subject to adjustment for reverse and forward stock splits, stock dividends, stock combinations and other similar transactions of the Ordinary Shares that occur after the date of this Agreement and before the Closing Date.</w:t>
      </w:r>
    </w:p>
    <w:p>
      <w:pPr>
        <w:spacing w:after="0" w:line="162"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Placement Agent</w:t>
      </w:r>
      <w:r>
        <w:rPr>
          <w:rFonts w:ascii="Times New Roman" w:cs="Times New Roman" w:eastAsia="Times New Roman" w:hAnsi="Times New Roman"/>
          <w:sz w:val="18"/>
          <w:szCs w:val="18"/>
          <w:color w:val="auto"/>
        </w:rPr>
        <w:t>” means A.G.P./Alliance Global Partners.</w:t>
      </w:r>
    </w:p>
    <w:p>
      <w:pPr>
        <w:spacing w:after="0" w:line="225"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 action, claim, suit, investigation or proceeding (including, without limitation, an informal investigation or partial proceeding, such as a deposition), whether commenced or threatened.</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Information Failure</w:t>
      </w:r>
      <w:r>
        <w:rPr>
          <w:rFonts w:ascii="Times New Roman" w:cs="Times New Roman" w:eastAsia="Times New Roman" w:hAnsi="Times New Roman"/>
          <w:sz w:val="18"/>
          <w:szCs w:val="18"/>
          <w:color w:val="auto"/>
        </w:rPr>
        <w:t>” shall have the meaning ascribed to such term in Section 4.2(b).</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Information Failure Payments</w:t>
      </w:r>
      <w:r>
        <w:rPr>
          <w:rFonts w:ascii="Times New Roman" w:cs="Times New Roman" w:eastAsia="Times New Roman" w:hAnsi="Times New Roman"/>
          <w:sz w:val="18"/>
          <w:szCs w:val="18"/>
          <w:color w:val="auto"/>
        </w:rPr>
        <w:t>” shall have the meaning ascribed to such term in Section 4.2(b).</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Party</w:t>
      </w:r>
      <w:r>
        <w:rPr>
          <w:rFonts w:ascii="Times New Roman" w:cs="Times New Roman" w:eastAsia="Times New Roman" w:hAnsi="Times New Roman"/>
          <w:sz w:val="18"/>
          <w:szCs w:val="18"/>
          <w:color w:val="auto"/>
        </w:rPr>
        <w:t>” shall have the meaning ascribed to such term in Section 4.8.</w:t>
      </w:r>
    </w:p>
    <w:p>
      <w:pPr>
        <w:spacing w:after="0" w:line="225"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a resale registration statement meeting the requirements of the Registration Rights Agreement and covering the resale by the Purchasers of the Shares.</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 shall have the meaning ascribed to such term in Section 3.1(e).</w:t>
      </w:r>
    </w:p>
    <w:p>
      <w:pPr>
        <w:spacing w:after="0" w:line="225"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62"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424</w:t>
      </w:r>
      <w:r>
        <w:rPr>
          <w:rFonts w:ascii="Times New Roman" w:cs="Times New Roman" w:eastAsia="Times New Roman" w:hAnsi="Times New Roman"/>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shall have the meaning ascribed to such term in Section 3.1(h).</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means the Shares.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means the Ordinary Shares issued or issuable for the benefit of each Purchaser pursuant to this Agreement.</w:t>
      </w:r>
    </w:p>
    <w:p>
      <w:pPr>
        <w:spacing w:after="0" w:line="225"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Short Sales</w:t>
      </w:r>
      <w:r>
        <w:rPr>
          <w:rFonts w:ascii="Times New Roman" w:cs="Times New Roman" w:eastAsia="Times New Roman" w:hAnsi="Times New Roman"/>
          <w:sz w:val="18"/>
          <w:szCs w:val="18"/>
          <w:color w:val="auto"/>
        </w:rPr>
        <w:t>” means all “short sales” as defined in Rule 200 of Regulation SHO under the Exchange Act (but shall not be deemed to include locating and/or borrowing Ordinary Shares).</w:t>
      </w:r>
    </w:p>
    <w:p>
      <w:pPr>
        <w:spacing w:after="0" w:line="16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Subscription Amount</w:t>
      </w:r>
      <w:r>
        <w:rPr>
          <w:rFonts w:ascii="Times New Roman" w:cs="Times New Roman" w:eastAsia="Times New Roman" w:hAnsi="Times New Roman"/>
          <w:sz w:val="18"/>
          <w:szCs w:val="18"/>
          <w:color w:val="auto"/>
        </w:rPr>
        <w:t>” means, as to each Purchaser, the aggregate amount to be paid for Shares purchased hereunder as specified below such Purchaser’s name on the signature page of this Agreement and next to the heading “Subscription Amount,” in United States dollars and in immediately available funds.</w:t>
      </w:r>
    </w:p>
    <w:p>
      <w:pPr>
        <w:spacing w:after="0" w:line="176"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subsidiary of the Company as set forth in the SEC Reports and shall, where applicable, also include any direct or indirect subsidiary of the Company formed or acquired after the date hereof.</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principal Trading Market is open for trading.</w:t>
      </w:r>
    </w:p>
    <w:p>
      <w:pPr>
        <w:spacing w:after="0" w:line="225"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Ordinary Shares are listed or quoted for trading on the date in question: the NYSE American, the Nasdaq Capital Market, the Nasdaq Global</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Market, the Nasdaq Global Select Market, the New York Stock Exchange, OTCQB or OTCQX (or any successors to any of the foregoing).</w:t>
      </w:r>
    </w:p>
    <w:p>
      <w:pPr>
        <w:spacing w:after="0" w:line="225"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this Agreement, the Registration Rights Agreement, the Lock-Up Agreement and all exhibits and schedules thereto and hereto and any other documents or agreements executed in connection with the transactions contemplated hereunder.</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Computershare Inc., and any successor transfer agent of the Company.</w:t>
      </w:r>
    </w:p>
    <w:p>
      <w:pPr>
        <w:spacing w:after="0" w:line="225"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Ordinary Shares are then listed or quoted on a Trading Market, the daily volume weighted average price of the Ordinary Shares for such date (or the nearest preceding date) on the Trading Market on which the Ordinary Shares are then listed or quoted as reported by Bloomberg L.P. (based on a Trading Day from 9:30 a.m. (New York City time) to 4:02 p.m. (New York City time)), (b) if OTCQB or OTCQX is not a Trading Market, the volume weighted average price of the Ordinary Shares for such date (or the nearest preceding date) on OTCQB or OTCQX as applicable, (c) if the Ordinary Shares are not then listed or quoted for trading on OTCQB or OTCQX and if prices for the Ordinary Shares are then reported on the Pink Open Market (or a similar organization or agency succeeding to its functions of reporting prices), the most recent bid price per Ordinary Share so reported, or (d) in all other cases, the fair market value of an Ordinary Share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PURCHASE AND SALE</w:t>
      </w:r>
    </w:p>
    <w:p>
      <w:pPr>
        <w:spacing w:after="0" w:line="207"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On the Closing Date, upon the terms and subject to the conditions set forth herein, substantially concurrent with the execution and delivery of this Agreement by the parties hereto, the Company agrees to issue, and the Purchasers, severally and not jointly, agree to purchase, up to an aggregate of approximately $200.0 million of Shares. Each Purchaser shall deliver to the Company, via wire transfer, immediately available funds equal to such Purchaser’s Subscription Amount as set forth on the signature page hereto executed by such Purchaser, and the Company shall deliver to each Purchaser its respective Shares, as determined pursuant to Section 2.2(a), and the Company and each Purchaser shall deliver the other items set forth in Section 2.2 deliverable at the Closing. Upon satisfaction of the covenants and conditions set forth in Sections 2.2 and 2.3, the Closing shall occur at the offices of the Placement Agent or such other location as the parties shall mutually agree. In the event that the Closing does not occur within five (5) Business Days after the date hereof, upon the request of one or more Purchasers, the Company shall promptly (but not later than two (2) Business Days thereafter) return the previously wired amount to such respective Purchaser by wire transfer of United States dollars in immediately available funds to the account specified by such Purchaser, and any book entries for the Shares contemplated to be issued to such Purchaser shall be deemed cancelled.</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Deliveries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000" w:hanging="243"/>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the Company shall deliver or cause to be delivered to each Purchaser the following:</w:t>
      </w:r>
    </w:p>
    <w:p>
      <w:pPr>
        <w:spacing w:after="0" w:line="225" w:lineRule="exact"/>
        <w:rPr>
          <w:rFonts w:ascii="Times New Roman" w:cs="Times New Roman" w:eastAsia="Times New Roman" w:hAnsi="Times New Roman"/>
          <w:sz w:val="18"/>
          <w:szCs w:val="18"/>
          <w:color w:val="auto"/>
        </w:rPr>
      </w:pPr>
    </w:p>
    <w:p>
      <w:pPr>
        <w:ind w:left="980" w:hanging="223"/>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the Company;</w:t>
      </w:r>
    </w:p>
    <w:p>
      <w:pPr>
        <w:spacing w:after="0" w:line="225" w:lineRule="exact"/>
        <w:rPr>
          <w:sz w:val="20"/>
          <w:szCs w:val="20"/>
          <w:color w:val="auto"/>
        </w:rPr>
      </w:pPr>
    </w:p>
    <w:p>
      <w:pPr>
        <w:ind w:firstLine="757"/>
        <w:spacing w:after="0" w:line="282" w:lineRule="auto"/>
        <w:tabs>
          <w:tab w:leader="none" w:pos="103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opinions of Company US Counsel and Company UK Counsel, directed to the Placement Agent and the Purchasers, each in a form reasonably acceptable to the Placement Agent and the Purchasers;</w:t>
      </w:r>
    </w:p>
    <w:p>
      <w:pPr>
        <w:spacing w:after="0" w:line="161" w:lineRule="exact"/>
        <w:rPr>
          <w:rFonts w:ascii="Times New Roman" w:cs="Times New Roman" w:eastAsia="Times New Roman" w:hAnsi="Times New Roman"/>
          <w:sz w:val="18"/>
          <w:szCs w:val="18"/>
          <w:color w:val="auto"/>
        </w:rPr>
      </w:pPr>
    </w:p>
    <w:p>
      <w:pPr>
        <w:jc w:val="both"/>
        <w:ind w:right="20" w:firstLine="757"/>
        <w:spacing w:after="0" w:line="266" w:lineRule="auto"/>
        <w:tabs>
          <w:tab w:leader="none" w:pos="110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irrevocable instructions to the Transfer Agent instructing the Transfer Agent to deliver depositary receipt certificates representing such number of depositary receipts issued by the Transfer Agent that is equivalent to the number of Shares equal to such Purchaser’s Subscription Amount divided by the Per Share Purchase Price, with such depositary receipts to be registered in the name of such Purchaser;</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 w:name="page9"/>
    <w:bookmarkEnd w:id="8"/>
    <w:p>
      <w:pPr>
        <w:ind w:left="1060" w:hanging="303"/>
        <w:spacing w:after="0"/>
        <w:tabs>
          <w:tab w:leader="none" w:pos="10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wire instructions, on Company letterhead and executed by the Chief Executive Officer or Chief Financial Officer;</w:t>
      </w:r>
    </w:p>
    <w:p>
      <w:pPr>
        <w:spacing w:after="0" w:line="225"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Lock-Up Agreements; and</w:t>
      </w:r>
    </w:p>
    <w:p>
      <w:pPr>
        <w:spacing w:after="0" w:line="225" w:lineRule="exact"/>
        <w:rPr>
          <w:rFonts w:ascii="Times New Roman" w:cs="Times New Roman" w:eastAsia="Times New Roman" w:hAnsi="Times New Roman"/>
          <w:sz w:val="18"/>
          <w:szCs w:val="18"/>
          <w:color w:val="auto"/>
        </w:rPr>
      </w:pPr>
    </w:p>
    <w:p>
      <w:pPr>
        <w:ind w:left="1060" w:hanging="303"/>
        <w:spacing w:after="0"/>
        <w:tabs>
          <w:tab w:leader="none" w:pos="10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Rights Agreement duly executed by the Company.</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(b) On or prior to the Closing Date, each Purchaser shall deliver or cause to be delivered to the Company the following:</w:t>
      </w:r>
    </w:p>
    <w:p>
      <w:pPr>
        <w:spacing w:after="0" w:line="225" w:lineRule="exact"/>
        <w:rPr>
          <w:sz w:val="20"/>
          <w:szCs w:val="20"/>
          <w:color w:val="auto"/>
        </w:rPr>
      </w:pPr>
    </w:p>
    <w:p>
      <w:pPr>
        <w:ind w:left="1500" w:hanging="743"/>
        <w:spacing w:after="0"/>
        <w:tabs>
          <w:tab w:leader="none" w:pos="1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such Purchaser;</w:t>
      </w:r>
    </w:p>
    <w:p>
      <w:pPr>
        <w:spacing w:after="0" w:line="238"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Rights Agreement duly executed by such Purchaser; and</w:t>
      </w:r>
    </w:p>
    <w:p>
      <w:pPr>
        <w:spacing w:after="0" w:line="238" w:lineRule="exact"/>
        <w:rPr>
          <w:rFonts w:ascii="Times New Roman" w:cs="Times New Roman" w:eastAsia="Times New Roman" w:hAnsi="Times New Roman"/>
          <w:sz w:val="18"/>
          <w:szCs w:val="18"/>
          <w:color w:val="auto"/>
        </w:rPr>
      </w:pPr>
    </w:p>
    <w:p>
      <w:pPr>
        <w:ind w:left="760" w:right="2720" w:hanging="3"/>
        <w:spacing w:after="0" w:line="500" w:lineRule="auto"/>
        <w:tabs>
          <w:tab w:leader="none" w:pos="150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Purchaser’s Subscription Amount by wire transfer to the account specified by the Company. 2.3 </w:t>
      </w:r>
      <w:r>
        <w:rPr>
          <w:rFonts w:ascii="Times New Roman" w:cs="Times New Roman" w:eastAsia="Times New Roman" w:hAnsi="Times New Roman"/>
          <w:sz w:val="18"/>
          <w:szCs w:val="18"/>
          <w:u w:val="single" w:color="auto"/>
          <w:color w:val="auto"/>
        </w:rPr>
        <w:t>Closing Conditions</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obligations of the Company hereunder in connection with the Closing are subject to the following conditions being met:</w:t>
      </w:r>
    </w:p>
    <w:p>
      <w:pPr>
        <w:spacing w:after="0" w:line="225" w:lineRule="exact"/>
        <w:rPr>
          <w:sz w:val="20"/>
          <w:szCs w:val="20"/>
          <w:color w:val="auto"/>
        </w:rPr>
      </w:pPr>
    </w:p>
    <w:p>
      <w:pPr>
        <w:jc w:val="both"/>
        <w:ind w:firstLine="757"/>
        <w:spacing w:after="0" w:line="266" w:lineRule="auto"/>
        <w:tabs>
          <w:tab w:leader="none" w:pos="96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in all respects) on the Closing Date of the representations and warranties of the Purchasers contained herein (unless as of a specific date therein in which case they shall be accurate in all material respects (or, to the extent representations or warranties are qualified by materiality, in all respects) as of such date);</w:t>
      </w:r>
    </w:p>
    <w:p>
      <w:pPr>
        <w:spacing w:after="0" w:line="175" w:lineRule="exact"/>
        <w:rPr>
          <w:rFonts w:ascii="Times New Roman" w:cs="Times New Roman" w:eastAsia="Times New Roman" w:hAnsi="Times New Roman"/>
          <w:sz w:val="18"/>
          <w:szCs w:val="18"/>
          <w:color w:val="auto"/>
        </w:rPr>
      </w:pPr>
    </w:p>
    <w:p>
      <w:pPr>
        <w:ind w:firstLine="757"/>
        <w:spacing w:after="0" w:line="282" w:lineRule="auto"/>
        <w:tabs>
          <w:tab w:leader="none" w:pos="104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each Purchaser required to be performed at or prior to the Closing Date shall have been performed; and</w:t>
      </w:r>
    </w:p>
    <w:p>
      <w:pPr>
        <w:spacing w:after="0" w:line="161" w:lineRule="exact"/>
        <w:rPr>
          <w:rFonts w:ascii="Times New Roman" w:cs="Times New Roman" w:eastAsia="Times New Roman" w:hAnsi="Times New Roman"/>
          <w:sz w:val="18"/>
          <w:szCs w:val="18"/>
          <w:color w:val="auto"/>
        </w:rPr>
      </w:pPr>
    </w:p>
    <w:p>
      <w:pPr>
        <w:ind w:left="1080" w:hanging="323"/>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each Purchaser of the items set forth in Section 2.2(b) of this Agreement.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(b) The respective obligations of the Purchasers hereunder in connection with the Closing are subject to the following conditions being met:</w:t>
      </w:r>
    </w:p>
    <w:p>
      <w:pPr>
        <w:spacing w:after="0" w:line="225" w:lineRule="exact"/>
        <w:rPr>
          <w:sz w:val="20"/>
          <w:szCs w:val="20"/>
          <w:color w:val="auto"/>
        </w:rPr>
      </w:pPr>
    </w:p>
    <w:p>
      <w:pPr>
        <w:jc w:val="both"/>
        <w:ind w:firstLine="757"/>
        <w:spacing w:after="0" w:line="261" w:lineRule="auto"/>
        <w:tabs>
          <w:tab w:leader="none" w:pos="96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or Material Adverse Effect, in all respects) when made and on the Closing Date of the representations and warranties of the Company contained herein (unless as of a specific date therein in which case they shall be accurate in all material respects (or, to the extent representations or warranties are qualified by materiality or Material Adverse Effect, in all respects) as of such date);</w:t>
      </w:r>
    </w:p>
    <w:p>
      <w:pPr>
        <w:spacing w:after="0" w:line="179" w:lineRule="exact"/>
        <w:rPr>
          <w:rFonts w:ascii="Times New Roman" w:cs="Times New Roman" w:eastAsia="Times New Roman" w:hAnsi="Times New Roman"/>
          <w:sz w:val="18"/>
          <w:szCs w:val="18"/>
          <w:color w:val="auto"/>
        </w:rPr>
      </w:pPr>
    </w:p>
    <w:p>
      <w:pPr>
        <w:ind w:left="1060" w:hanging="303"/>
        <w:spacing w:after="0"/>
        <w:tabs>
          <w:tab w:leader="none" w:pos="10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the Company required to be performed at or prior to the Closing Date shall have been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w:t>
      </w:r>
    </w:p>
    <w:p>
      <w:pPr>
        <w:spacing w:after="0" w:line="206" w:lineRule="exact"/>
        <w:rPr>
          <w:rFonts w:ascii="Times New Roman" w:cs="Times New Roman" w:eastAsia="Times New Roman" w:hAnsi="Times New Roman"/>
          <w:sz w:val="18"/>
          <w:szCs w:val="18"/>
          <w:color w:val="auto"/>
        </w:rPr>
      </w:pPr>
    </w:p>
    <w:p>
      <w:pPr>
        <w:ind w:left="1080" w:hanging="323"/>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the Company of the items set forth in Section 2.2(a) of this Agreement;</w:t>
      </w:r>
    </w:p>
    <w:p>
      <w:pPr>
        <w:spacing w:after="0" w:line="225" w:lineRule="exact"/>
        <w:rPr>
          <w:rFonts w:ascii="Times New Roman" w:cs="Times New Roman" w:eastAsia="Times New Roman" w:hAnsi="Times New Roman"/>
          <w:sz w:val="18"/>
          <w:szCs w:val="18"/>
          <w:color w:val="auto"/>
        </w:rPr>
      </w:pPr>
    </w:p>
    <w:p>
      <w:pPr>
        <w:ind w:left="1060" w:hanging="303"/>
        <w:spacing w:after="0"/>
        <w:tabs>
          <w:tab w:leader="none" w:pos="10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been no Material Adverse Effect with respect to the Company since the date hereof;</w:t>
      </w:r>
    </w:p>
    <w:p>
      <w:pPr>
        <w:spacing w:after="0" w:line="225" w:lineRule="exact"/>
        <w:rPr>
          <w:rFonts w:ascii="Times New Roman" w:cs="Times New Roman" w:eastAsia="Times New Roman" w:hAnsi="Times New Roman"/>
          <w:sz w:val="18"/>
          <w:szCs w:val="18"/>
          <w:color w:val="auto"/>
        </w:rPr>
      </w:pPr>
    </w:p>
    <w:p>
      <w:pPr>
        <w:jc w:val="both"/>
        <w:ind w:firstLine="757"/>
        <w:spacing w:after="0" w:line="255" w:lineRule="auto"/>
        <w:tabs>
          <w:tab w:leader="none" w:pos="100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to the Closing Date, trading in the Ordinary Shares shall not have been suspended by the Commission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Securities at the Closing; and</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 w:name="page10"/>
    <w:bookmarkEnd w:id="9"/>
    <w:p>
      <w:pPr>
        <w:jc w:val="both"/>
        <w:ind w:firstLine="757"/>
        <w:spacing w:after="0" w:line="266" w:lineRule="auto"/>
        <w:tabs>
          <w:tab w:leader="none" w:pos="107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the issuance of the Ordinary Shares pursuant to this Agreement, on the Closing Date, no fewer than 285,174,536 Ordinary Shares shall have been issued and outstanding, and all such issued and outstanding Ordinary Shares shall have been issued prior to or contemporaneously with the issuance of the Ordinary Shares to the Purchasers.</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207"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Except as set forth in the Disclosure Schedules, which Disclosure Schedules shall be deemed a part hereof and shall qualify any representation or otherwise made herein to the extent of the disclosure contained in the corresponding section of the Disclosure Schedules, the Company hereby makes the following representations and warranties to each Purchaser:</w:t>
      </w:r>
    </w:p>
    <w:p>
      <w:pPr>
        <w:spacing w:after="0" w:line="176" w:lineRule="exact"/>
        <w:rPr>
          <w:sz w:val="20"/>
          <w:szCs w:val="20"/>
          <w:color w:val="auto"/>
        </w:rPr>
      </w:pPr>
    </w:p>
    <w:p>
      <w:pPr>
        <w:jc w:val="both"/>
        <w:ind w:firstLine="757"/>
        <w:spacing w:after="0" w:line="261" w:lineRule="auto"/>
        <w:tabs>
          <w:tab w:leader="none" w:pos="100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All of the direct and indirect subsidiaries of the Company are set forth in the SEC Reports. The Company owns, directly or indirectly, all of its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 If the Company has no subsidiaries, all other references to the Subsidiaries or any of them in the Transaction Documents shall be disregarded.</w:t>
      </w:r>
    </w:p>
    <w:p>
      <w:pPr>
        <w:spacing w:after="0" w:line="179" w:lineRule="exact"/>
        <w:rPr>
          <w:rFonts w:ascii="Times New Roman" w:cs="Times New Roman" w:eastAsia="Times New Roman" w:hAnsi="Times New Roman"/>
          <w:sz w:val="18"/>
          <w:szCs w:val="18"/>
          <w:color w:val="auto"/>
        </w:rPr>
      </w:pPr>
    </w:p>
    <w:p>
      <w:pPr>
        <w:jc w:val="both"/>
        <w:ind w:firstLine="757"/>
        <w:spacing w:after="0" w:line="253" w:lineRule="auto"/>
        <w:tabs>
          <w:tab w:leader="none" w:pos="101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any Transaction Document, (ii) 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and no Proceeding has been instituted in any such jurisdiction revoking, limiting or curtailing or seeking to revoke, limit or curtail such power and authority or qualification.</w:t>
      </w:r>
    </w:p>
    <w:p>
      <w:pPr>
        <w:spacing w:after="0" w:line="191" w:lineRule="exact"/>
        <w:rPr>
          <w:rFonts w:ascii="Times New Roman" w:cs="Times New Roman" w:eastAsia="Times New Roman" w:hAnsi="Times New Roman"/>
          <w:sz w:val="18"/>
          <w:szCs w:val="18"/>
          <w:color w:val="auto"/>
        </w:rPr>
      </w:pPr>
    </w:p>
    <w:p>
      <w:pPr>
        <w:jc w:val="both"/>
        <w:ind w:firstLine="757"/>
        <w:spacing w:after="0" w:line="253" w:lineRule="auto"/>
        <w:tabs>
          <w:tab w:leader="none" w:pos="99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Enforcement</w:t>
      </w:r>
      <w:r>
        <w:rPr>
          <w:rFonts w:ascii="Times New Roman" w:cs="Times New Roman" w:eastAsia="Times New Roman" w:hAnsi="Times New Roman"/>
          <w:sz w:val="18"/>
          <w:szCs w:val="18"/>
          <w:color w:val="auto"/>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91" w:lineRule="exact"/>
        <w:rPr>
          <w:rFonts w:ascii="Times New Roman" w:cs="Times New Roman" w:eastAsia="Times New Roman" w:hAnsi="Times New Roman"/>
          <w:sz w:val="18"/>
          <w:szCs w:val="18"/>
          <w:color w:val="auto"/>
        </w:rPr>
      </w:pPr>
    </w:p>
    <w:p>
      <w:pPr>
        <w:jc w:val="both"/>
        <w:ind w:firstLine="757"/>
        <w:spacing w:after="0" w:line="266" w:lineRule="auto"/>
        <w:tabs>
          <w:tab w:leader="none" w:pos="10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by the Company of this Agreement and the other Transaction Documents to which it is a party, the issuance of the Securities and the consummation by it of the transactions contemplated hereby and thereby do not and will not (i) conflict with or violate any provision of the Company’s or any Subsidiary’s certificate or articles of incorporation, bylaws or other organizational or charter</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 w:name="page11"/>
    <w:bookmarkEnd w:id="10"/>
    <w:p>
      <w:pPr>
        <w:jc w:val="both"/>
        <w:spacing w:after="0" w:line="254" w:lineRule="auto"/>
        <w:rPr>
          <w:sz w:val="20"/>
          <w:szCs w:val="20"/>
          <w:color w:val="auto"/>
        </w:rPr>
      </w:pPr>
      <w:r>
        <w:rPr>
          <w:rFonts w:ascii="Times New Roman" w:cs="Times New Roman" w:eastAsia="Times New Roman" w:hAnsi="Times New Roman"/>
          <w:sz w:val="18"/>
          <w:szCs w:val="18"/>
          <w:color w:val="auto"/>
        </w:rPr>
        <w:t>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Material Adverse Effect.</w:t>
      </w:r>
    </w:p>
    <w:p>
      <w:pPr>
        <w:spacing w:after="0" w:line="188" w:lineRule="exact"/>
        <w:rPr>
          <w:sz w:val="20"/>
          <w:szCs w:val="20"/>
          <w:color w:val="auto"/>
        </w:rPr>
      </w:pPr>
    </w:p>
    <w:p>
      <w:pPr>
        <w:jc w:val="both"/>
        <w:ind w:firstLine="757"/>
        <w:spacing w:after="0" w:line="254" w:lineRule="auto"/>
        <w:tabs>
          <w:tab w:leader="none" w:pos="99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Filings, Consents and Approvals</w:t>
      </w:r>
      <w:r>
        <w:rPr>
          <w:rFonts w:ascii="Times New Roman" w:cs="Times New Roman" w:eastAsia="Times New Roman" w:hAnsi="Times New Roman"/>
          <w:sz w:val="18"/>
          <w:szCs w:val="18"/>
          <w:color w:val="auto"/>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Section 4.4 of this Agreement, (ii) the notice and/or additional listing application(s) to each applicable Trading Market for the listing of the Shares for trading thereon in the time and manner required thereby; (iii) the registration statement required to be filed by the Registration Rights Agreement; (iv) the filing of Form D with the Commission and such filings as are required to be made under applicable state securities laws and (v) post-Closing filings with UK Companies House notifying the issuance of the Shares (collectively, the “</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 For greater certainty, the Company is not required to submit an original listing application to its Trading Market in connection with the offer and sale of the Securities.</w:t>
      </w:r>
    </w:p>
    <w:p>
      <w:pPr>
        <w:spacing w:after="0" w:line="191" w:lineRule="exact"/>
        <w:rPr>
          <w:rFonts w:ascii="Times New Roman" w:cs="Times New Roman" w:eastAsia="Times New Roman" w:hAnsi="Times New Roman"/>
          <w:sz w:val="18"/>
          <w:szCs w:val="18"/>
          <w:color w:val="auto"/>
        </w:rPr>
      </w:pPr>
    </w:p>
    <w:p>
      <w:pPr>
        <w:jc w:val="both"/>
        <w:ind w:firstLine="757"/>
        <w:spacing w:after="0" w:line="266" w:lineRule="auto"/>
        <w:tabs>
          <w:tab w:leader="none" w:pos="98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the Securities</w:t>
      </w:r>
      <w:r>
        <w:rPr>
          <w:rFonts w:ascii="Times New Roman" w:cs="Times New Roman" w:eastAsia="Times New Roman" w:hAnsi="Times New Roman"/>
          <w:sz w:val="18"/>
          <w:szCs w:val="18"/>
          <w:color w:val="auto"/>
        </w:rPr>
        <w:t>. The Securities are duly authorized and, when issued and paid for in accordance with the applicable Transaction Documents, will be duly and validly issued, fully paid and nonassessable, free and clear of all Liens imposed by the Company other than restrictions on transfer provided for in the Transaction Documents.</w:t>
      </w:r>
    </w:p>
    <w:p>
      <w:pPr>
        <w:spacing w:after="0" w:line="175" w:lineRule="exact"/>
        <w:rPr>
          <w:rFonts w:ascii="Times New Roman" w:cs="Times New Roman" w:eastAsia="Times New Roman" w:hAnsi="Times New Roman"/>
          <w:sz w:val="18"/>
          <w:szCs w:val="18"/>
          <w:color w:val="auto"/>
        </w:rPr>
      </w:pPr>
    </w:p>
    <w:p>
      <w:pPr>
        <w:jc w:val="both"/>
        <w:ind w:firstLine="757"/>
        <w:spacing w:after="0" w:line="252" w:lineRule="auto"/>
        <w:tabs>
          <w:tab w:leader="none" w:pos="100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xml:space="preserve">. The capitalization of the Company as of the date hereof is as set forth on </w:t>
      </w:r>
      <w:r>
        <w:rPr>
          <w:rFonts w:ascii="Times New Roman" w:cs="Times New Roman" w:eastAsia="Times New Roman" w:hAnsi="Times New Roman"/>
          <w:sz w:val="18"/>
          <w:szCs w:val="18"/>
          <w:u w:val="single" w:color="auto"/>
          <w:color w:val="auto"/>
        </w:rPr>
        <w:t>Schedule 3.1(g)</w:t>
      </w:r>
      <w:r>
        <w:rPr>
          <w:rFonts w:ascii="Times New Roman" w:cs="Times New Roman" w:eastAsia="Times New Roman" w:hAnsi="Times New Roman"/>
          <w:sz w:val="18"/>
          <w:szCs w:val="18"/>
          <w:color w:val="auto"/>
        </w:rPr>
        <w:t xml:space="preserve">, which </w:t>
      </w:r>
      <w:r>
        <w:rPr>
          <w:rFonts w:ascii="Times New Roman" w:cs="Times New Roman" w:eastAsia="Times New Roman" w:hAnsi="Times New Roman"/>
          <w:sz w:val="18"/>
          <w:szCs w:val="18"/>
          <w:u w:val="single" w:color="auto"/>
          <w:color w:val="auto"/>
        </w:rPr>
        <w:t>Schedule 3.1(g)</w:t>
      </w:r>
      <w:r>
        <w:rPr>
          <w:rFonts w:ascii="Times New Roman" w:cs="Times New Roman" w:eastAsia="Times New Roman" w:hAnsi="Times New Roman"/>
          <w:sz w:val="18"/>
          <w:szCs w:val="18"/>
          <w:color w:val="auto"/>
        </w:rPr>
        <w:t xml:space="preserve"> shall also include the number of Ordinary Shares owned beneficially, and of record, by Affiliates of the Company as of the date hereof. Except as set forth on </w:t>
      </w:r>
      <w:r>
        <w:rPr>
          <w:rFonts w:ascii="Times New Roman" w:cs="Times New Roman" w:eastAsia="Times New Roman" w:hAnsi="Times New Roman"/>
          <w:sz w:val="18"/>
          <w:szCs w:val="18"/>
          <w:u w:val="single" w:color="auto"/>
          <w:color w:val="auto"/>
        </w:rPr>
        <w:t>Schedule 3.1(g)</w:t>
      </w:r>
      <w:r>
        <w:rPr>
          <w:rFonts w:ascii="Times New Roman" w:cs="Times New Roman" w:eastAsia="Times New Roman" w:hAnsi="Times New Roman"/>
          <w:sz w:val="18"/>
          <w:szCs w:val="18"/>
          <w:color w:val="auto"/>
        </w:rPr>
        <w:t xml:space="preserve"> and as disclosed in the SEC Reports, the Company has not issued any capital stock since its most recently filed periodic report under the Exchange Act, other than pursuant to the exercise of employee stock options under the Company’s stock option plans, the issuance of Ordinary Shares to employees pursuant to the Company’s employee stock purchase plans and pursuant to the conversion and/or exercise of Ordinary Share Equivalents outstanding as of the date of the most recently filed periodic report under the Exchange Act. No Person has any right of first refusal, preemptive right, right of participation, or any similar right to participate in the transactions contemplated by the Transaction Documents. Except as set forth in </w:t>
      </w:r>
      <w:r>
        <w:rPr>
          <w:rFonts w:ascii="Times New Roman" w:cs="Times New Roman" w:eastAsia="Times New Roman" w:hAnsi="Times New Roman"/>
          <w:sz w:val="18"/>
          <w:szCs w:val="18"/>
          <w:u w:val="single" w:color="auto"/>
          <w:color w:val="auto"/>
        </w:rPr>
        <w:t>Schedule 3.1(g)</w:t>
      </w:r>
      <w:r>
        <w:rPr>
          <w:rFonts w:ascii="Times New Roman" w:cs="Times New Roman" w:eastAsia="Times New Roman" w:hAnsi="Times New Roman"/>
          <w:sz w:val="18"/>
          <w:szCs w:val="18"/>
          <w:color w:val="auto"/>
        </w:rPr>
        <w:t xml:space="preserve"> or as a result of the purchase and sale of the Securities,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Ordinary Shares, or the capital stock of any Subsidiary, or contracts, commitments, understandings or arrangements by which the Company or any Subsidiary is or may become bound to issue additional Ordinary Shares or Ordinary Share Equivalents or capital stock of any Subsidiary. The issuance and sale of the Securities will not obligate the Company or any Subsidiary to issue Ordinary Shares or other securities to any Person (other than the Purchasers). There are no outstanding securities or instruments of the Company or any Subsidiary with any provision that adjusts the exercise, conversion, exchange or reset price of such security or instrument upon an issuance of securities by the Company or any Subsidiary.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No further approval or authorization of any stockholder, the Board of Directors or others is required for the issuance and sale of the Securities. There are no stockholders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1" w:name="page12"/>
    <w:bookmarkEnd w:id="11"/>
    <w:p>
      <w:pPr>
        <w:ind w:right="20"/>
        <w:spacing w:after="0" w:line="282" w:lineRule="auto"/>
        <w:rPr>
          <w:sz w:val="20"/>
          <w:szCs w:val="20"/>
          <w:color w:val="auto"/>
        </w:rPr>
      </w:pPr>
      <w:r>
        <w:rPr>
          <w:rFonts w:ascii="Times New Roman" w:cs="Times New Roman" w:eastAsia="Times New Roman" w:hAnsi="Times New Roman"/>
          <w:sz w:val="18"/>
          <w:szCs w:val="18"/>
          <w:color w:val="auto"/>
        </w:rPr>
        <w:t>agreements, voting agreements or other similar agreements with respect to the Company’s capital stock to which the Company is a party or, to the knowledge of the Company, between or among any of the Company’s stockholders.</w:t>
      </w:r>
    </w:p>
    <w:p>
      <w:pPr>
        <w:spacing w:after="0" w:line="162" w:lineRule="exact"/>
        <w:rPr>
          <w:sz w:val="20"/>
          <w:szCs w:val="20"/>
          <w:color w:val="auto"/>
        </w:rPr>
      </w:pPr>
    </w:p>
    <w:p>
      <w:pPr>
        <w:jc w:val="both"/>
        <w:ind w:firstLine="757"/>
        <w:spacing w:after="0" w:line="252" w:lineRule="auto"/>
        <w:tabs>
          <w:tab w:leader="none" w:pos="10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 Reports; Financial Statements</w:t>
      </w:r>
      <w:r>
        <w:rPr>
          <w:rFonts w:ascii="Times New Roman" w:cs="Times New Roman" w:eastAsia="Times New Roman" w:hAnsi="Times New Roman"/>
          <w:sz w:val="18"/>
          <w:szCs w:val="18"/>
          <w:color w:val="auto"/>
        </w:rPr>
        <w:t>. Except as set forth on Schedule 3.1(h), the Company has filed all reports, schedules, forms, statements and other documents required to be filed by the Company under the Securities Act and the Exchange Act, including pursuant to Section 13(a) or 15(d) thereof, for the one year preceding the date hereof (or such shorter period as the Company was required by law or regulation to file such material) (the foregoing materials, including the exhibits thereto and documents incorporated by reference therein, being collectively referred to herein as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Reports</w:t>
      </w:r>
      <w:r>
        <w:rPr>
          <w:rFonts w:ascii="Times New Roman" w:cs="Times New Roman" w:eastAsia="Times New Roman" w:hAnsi="Times New Roman"/>
          <w:sz w:val="18"/>
          <w:szCs w:val="18"/>
          <w:color w:val="auto"/>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195" w:lineRule="exact"/>
        <w:rPr>
          <w:rFonts w:ascii="Times New Roman" w:cs="Times New Roman" w:eastAsia="Times New Roman" w:hAnsi="Times New Roman"/>
          <w:sz w:val="18"/>
          <w:szCs w:val="18"/>
          <w:color w:val="auto"/>
        </w:rPr>
      </w:pPr>
    </w:p>
    <w:p>
      <w:pPr>
        <w:jc w:val="both"/>
        <w:ind w:firstLine="757"/>
        <w:spacing w:after="0" w:line="253" w:lineRule="auto"/>
        <w:tabs>
          <w:tab w:leader="none" w:pos="96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Changes; Undisclosed Events, Liabilities or Developments</w:t>
      </w:r>
      <w:r>
        <w:rPr>
          <w:rFonts w:ascii="Times New Roman" w:cs="Times New Roman" w:eastAsia="Times New Roman" w:hAnsi="Times New Roman"/>
          <w:sz w:val="18"/>
          <w:szCs w:val="18"/>
          <w:color w:val="auto"/>
        </w:rPr>
        <w:t>. Since the date of the latest audited financial statements included within the SEC Reports, except as set forth in the SEC Reports,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stock option plans. The Company does not have pending before the Commission any request for confidential treatment of information. Except for the issuance of the Securities contemplated by this Agreement,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1 Trading Day prior to the date that this representation is made.</w:t>
      </w:r>
    </w:p>
    <w:p>
      <w:pPr>
        <w:spacing w:after="0" w:line="187" w:lineRule="exact"/>
        <w:rPr>
          <w:rFonts w:ascii="Times New Roman" w:cs="Times New Roman" w:eastAsia="Times New Roman" w:hAnsi="Times New Roman"/>
          <w:sz w:val="18"/>
          <w:szCs w:val="18"/>
          <w:color w:val="auto"/>
        </w:rPr>
      </w:pPr>
    </w:p>
    <w:p>
      <w:pPr>
        <w:jc w:val="both"/>
        <w:ind w:firstLine="757"/>
        <w:spacing w:after="0" w:line="253" w:lineRule="auto"/>
        <w:tabs>
          <w:tab w:leader="none" w:pos="96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3.1(j)</w:t>
      </w:r>
      <w:r>
        <w:rPr>
          <w:rFonts w:ascii="Times New Roman" w:cs="Times New Roman" w:eastAsia="Times New Roman" w:hAnsi="Times New Roman"/>
          <w:sz w:val="18"/>
          <w:szCs w:val="18"/>
          <w:color w:val="auto"/>
        </w:rPr>
        <w:t>,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xml:space="preserve">”). None of the Actions set forth on </w:t>
      </w:r>
      <w:r>
        <w:rPr>
          <w:rFonts w:ascii="Times New Roman" w:cs="Times New Roman" w:eastAsia="Times New Roman" w:hAnsi="Times New Roman"/>
          <w:sz w:val="18"/>
          <w:szCs w:val="18"/>
          <w:u w:val="single" w:color="auto"/>
          <w:color w:val="auto"/>
        </w:rPr>
        <w:t>Schedule 3.1(j)</w:t>
      </w:r>
      <w:r>
        <w:rPr>
          <w:rFonts w:ascii="Times New Roman" w:cs="Times New Roman" w:eastAsia="Times New Roman" w:hAnsi="Times New Roman"/>
          <w:sz w:val="18"/>
          <w:szCs w:val="18"/>
          <w:color w:val="auto"/>
        </w:rPr>
        <w:t>, (i) adversely affects or challenges the legality, validity or enforceability of any of the Transaction Documents or the Securities or (ii) could, if there were an unfavorable decision, have or reasonably be expected to result in a Material Adverse Effect. Neither the Company nor any Subsidiary, nor any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Securities Act.</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2" w:name="page13"/>
    <w:bookmarkEnd w:id="12"/>
    <w:p>
      <w:pPr>
        <w:jc w:val="both"/>
        <w:ind w:firstLine="757"/>
        <w:spacing w:after="0" w:line="253" w:lineRule="auto"/>
        <w:tabs>
          <w:tab w:leader="none" w:pos="101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Labor Relations</w:t>
      </w:r>
      <w:r>
        <w:rPr>
          <w:rFonts w:ascii="Times New Roman" w:cs="Times New Roman" w:eastAsia="Times New Roman" w:hAnsi="Times New Roman"/>
          <w:sz w:val="18"/>
          <w:szCs w:val="18"/>
          <w:color w:val="auto"/>
        </w:rPr>
        <w:t>.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p>
      <w:pPr>
        <w:spacing w:after="0" w:line="194" w:lineRule="exact"/>
        <w:rPr>
          <w:rFonts w:ascii="Times New Roman" w:cs="Times New Roman" w:eastAsia="Times New Roman" w:hAnsi="Times New Roman"/>
          <w:sz w:val="18"/>
          <w:szCs w:val="18"/>
          <w:color w:val="auto"/>
        </w:rPr>
      </w:pPr>
    </w:p>
    <w:p>
      <w:pPr>
        <w:jc w:val="both"/>
        <w:ind w:firstLine="757"/>
        <w:spacing w:after="0" w:line="254" w:lineRule="auto"/>
        <w:tabs>
          <w:tab w:leader="none" w:pos="96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could not have or reasonably be expected to result in a Material Adverse Effect.</w:t>
      </w:r>
    </w:p>
    <w:p>
      <w:pPr>
        <w:spacing w:after="0" w:line="191" w:lineRule="exact"/>
        <w:rPr>
          <w:rFonts w:ascii="Times New Roman" w:cs="Times New Roman" w:eastAsia="Times New Roman" w:hAnsi="Times New Roman"/>
          <w:sz w:val="18"/>
          <w:szCs w:val="18"/>
          <w:color w:val="auto"/>
        </w:rPr>
      </w:pPr>
    </w:p>
    <w:p>
      <w:pPr>
        <w:jc w:val="both"/>
        <w:ind w:firstLine="757"/>
        <w:spacing w:after="0" w:line="254" w:lineRule="auto"/>
        <w:tabs>
          <w:tab w:leader="none" w:pos="106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could be reasonably expected to have, individually or in the aggregate, a Material Adverse Effect.</w:t>
      </w:r>
    </w:p>
    <w:p>
      <w:pPr>
        <w:spacing w:after="0" w:line="188" w:lineRule="exact"/>
        <w:rPr>
          <w:rFonts w:ascii="Times New Roman" w:cs="Times New Roman" w:eastAsia="Times New Roman" w:hAnsi="Times New Roman"/>
          <w:sz w:val="18"/>
          <w:szCs w:val="18"/>
          <w:color w:val="auto"/>
        </w:rPr>
      </w:pPr>
    </w:p>
    <w:p>
      <w:pPr>
        <w:jc w:val="both"/>
        <w:ind w:firstLine="757"/>
        <w:spacing w:after="0" w:line="261" w:lineRule="auto"/>
        <w:tabs>
          <w:tab w:leader="none" w:pos="100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Permits</w:t>
      </w:r>
      <w:r>
        <w:rPr>
          <w:rFonts w:ascii="Times New Roman" w:cs="Times New Roman" w:eastAsia="Times New Roman" w:hAnsi="Times New Roman"/>
          <w:sz w:val="18"/>
          <w:szCs w:val="18"/>
          <w:color w:val="auto"/>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and neither the Company nor any Subsidiary has received any notice of proceedings relating to the revocation or modification of any Material Permit.</w:t>
      </w:r>
    </w:p>
    <w:p>
      <w:pPr>
        <w:spacing w:after="0" w:line="179" w:lineRule="exact"/>
        <w:rPr>
          <w:rFonts w:ascii="Times New Roman" w:cs="Times New Roman" w:eastAsia="Times New Roman" w:hAnsi="Times New Roman"/>
          <w:sz w:val="18"/>
          <w:szCs w:val="18"/>
          <w:color w:val="auto"/>
        </w:rPr>
      </w:pPr>
    </w:p>
    <w:p>
      <w:pPr>
        <w:jc w:val="both"/>
        <w:ind w:firstLine="757"/>
        <w:spacing w:after="0" w:line="255" w:lineRule="auto"/>
        <w:tabs>
          <w:tab w:leader="none" w:pos="100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Assets</w:t>
      </w:r>
      <w:r>
        <w:rPr>
          <w:rFonts w:ascii="Times New Roman" w:cs="Times New Roman" w:eastAsia="Times New Roman" w:hAnsi="Times New Roman"/>
          <w:sz w:val="18"/>
          <w:szCs w:val="18"/>
          <w:color w:val="auto"/>
        </w:rPr>
        <w:t>.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 w:name="page14"/>
    <w:bookmarkEnd w:id="13"/>
    <w:p>
      <w:pPr>
        <w:jc w:val="both"/>
        <w:ind w:firstLine="757"/>
        <w:spacing w:after="0" w:line="253" w:lineRule="auto"/>
        <w:tabs>
          <w:tab w:leader="none" w:pos="10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could have a Material Adverse Effect (collectively, the “</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could not have or reasonably be expected to not have a Material Adverse Effect.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w:t>
      </w:r>
    </w:p>
    <w:p>
      <w:pPr>
        <w:spacing w:after="0" w:line="191" w:lineRule="exact"/>
        <w:rPr>
          <w:rFonts w:ascii="Times New Roman" w:cs="Times New Roman" w:eastAsia="Times New Roman" w:hAnsi="Times New Roman"/>
          <w:sz w:val="18"/>
          <w:szCs w:val="18"/>
          <w:color w:val="auto"/>
        </w:rPr>
      </w:pPr>
    </w:p>
    <w:p>
      <w:pPr>
        <w:jc w:val="both"/>
        <w:ind w:firstLine="757"/>
        <w:spacing w:after="0" w:line="254" w:lineRule="auto"/>
        <w:tabs>
          <w:tab w:leader="none" w:pos="10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in amount deemed prudent by the Company.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spacing w:after="0" w:line="3" w:lineRule="exact"/>
        <w:rPr>
          <w:rFonts w:ascii="Times New Roman" w:cs="Times New Roman" w:eastAsia="Times New Roman" w:hAnsi="Times New Roman"/>
          <w:sz w:val="18"/>
          <w:szCs w:val="18"/>
          <w:color w:val="auto"/>
        </w:rPr>
      </w:pPr>
    </w:p>
    <w:p>
      <w:pPr>
        <w:jc w:val="both"/>
        <w:ind w:firstLine="757"/>
        <w:spacing w:after="0" w:line="251" w:lineRule="auto"/>
        <w:tabs>
          <w:tab w:leader="none" w:pos="97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Transactions with Affiliates and Employees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3.1(r)</w:t>
      </w:r>
      <w:r>
        <w:rPr>
          <w:rFonts w:ascii="Times New Roman" w:cs="Times New Roman" w:eastAsia="Times New Roman" w:hAnsi="Times New Roman"/>
          <w:sz w:val="18"/>
          <w:szCs w:val="18"/>
          <w:color w:val="auto"/>
        </w:rPr>
        <w:t>,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and (iii) other employee benefits, including stock option agreements under any stock option plan of the Company.</w:t>
      </w:r>
    </w:p>
    <w:p>
      <w:pPr>
        <w:spacing w:after="0" w:line="193" w:lineRule="exact"/>
        <w:rPr>
          <w:rFonts w:ascii="Times New Roman" w:cs="Times New Roman" w:eastAsia="Times New Roman" w:hAnsi="Times New Roman"/>
          <w:sz w:val="18"/>
          <w:szCs w:val="18"/>
          <w:color w:val="auto"/>
        </w:rPr>
      </w:pPr>
    </w:p>
    <w:p>
      <w:pPr>
        <w:jc w:val="both"/>
        <w:ind w:firstLine="757"/>
        <w:spacing w:after="0" w:line="252" w:lineRule="auto"/>
        <w:tabs>
          <w:tab w:leader="none" w:pos="103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Sarbanes-Oxley; Internal Accounting Controls</w:t>
      </w:r>
      <w:r>
        <w:rPr>
          <w:rFonts w:ascii="Times New Roman" w:cs="Times New Roman" w:eastAsia="Times New Roman" w:hAnsi="Times New Roman"/>
          <w:sz w:val="18"/>
          <w:szCs w:val="18"/>
          <w:color w:val="auto"/>
        </w:rPr>
        <w:t>. The Company and the Subsidiaries are in compliance with any and all applicable requirements of the Sarbanes-Oxley Act of 2002 that are effective as of the date hereof, and any and all applicable rules and regulations promulgated by the Commission thereunder that are effective as of the date hereof and as of the Closing Date.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Times New Roman" w:cs="Times New Roman" w:eastAsia="Times New Roman" w:hAnsi="Times New Roman"/>
          <w:sz w:val="18"/>
          <w:szCs w:val="18"/>
          <w:u w:val="single" w:color="auto"/>
          <w:color w:val="auto"/>
        </w:rPr>
        <w:t>Evaluation Date</w:t>
      </w:r>
      <w:r>
        <w:rPr>
          <w:rFonts w:ascii="Times New Roman" w:cs="Times New Roman" w:eastAsia="Times New Roman" w:hAnsi="Times New Roman"/>
          <w:sz w:val="18"/>
          <w:szCs w:val="18"/>
          <w:color w:val="auto"/>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4" w:name="page15"/>
    <w:bookmarkEnd w:id="14"/>
    <w:p>
      <w:pPr>
        <w:spacing w:after="0" w:line="194" w:lineRule="exact"/>
        <w:rPr>
          <w:sz w:val="20"/>
          <w:szCs w:val="20"/>
          <w:color w:val="auto"/>
        </w:rPr>
      </w:pPr>
    </w:p>
    <w:p>
      <w:pPr>
        <w:jc w:val="both"/>
        <w:ind w:firstLine="757"/>
        <w:spacing w:after="0" w:line="258" w:lineRule="auto"/>
        <w:tabs>
          <w:tab w:leader="none" w:pos="96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Fees</w:t>
      </w:r>
      <w:r>
        <w:rPr>
          <w:rFonts w:ascii="Times New Roman" w:cs="Times New Roman" w:eastAsia="Times New Roman" w:hAnsi="Times New Roman"/>
          <w:sz w:val="18"/>
          <w:szCs w:val="18"/>
          <w:color w:val="auto"/>
        </w:rPr>
        <w:t>. Except for the fees and expenses of the Placement Agent,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spacing w:after="0" w:line="183" w:lineRule="exact"/>
        <w:rPr>
          <w:rFonts w:ascii="Times New Roman" w:cs="Times New Roman" w:eastAsia="Times New Roman" w:hAnsi="Times New Roman"/>
          <w:sz w:val="18"/>
          <w:szCs w:val="18"/>
          <w:color w:val="auto"/>
        </w:rPr>
      </w:pPr>
    </w:p>
    <w:p>
      <w:pPr>
        <w:jc w:val="both"/>
        <w:ind w:firstLine="757"/>
        <w:spacing w:after="0" w:line="266" w:lineRule="auto"/>
        <w:tabs>
          <w:tab w:leader="none" w:pos="100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Private Placement</w:t>
      </w:r>
      <w:r>
        <w:rPr>
          <w:rFonts w:ascii="Times New Roman" w:cs="Times New Roman" w:eastAsia="Times New Roman" w:hAnsi="Times New Roman"/>
          <w:sz w:val="18"/>
          <w:szCs w:val="18"/>
          <w:color w:val="auto"/>
        </w:rPr>
        <w:t>. Assuming the accuracy of the Purchasers’ representations and warranties set forth in Section 3.2, no registration under the Securities Act is required for the offer and sale of the Securities by the Company to the Purchasers as contemplated hereby. The issuance and sale of the Securities hereunder does not contravene the rules and regulations of the Trading Market.</w:t>
      </w:r>
    </w:p>
    <w:p>
      <w:pPr>
        <w:spacing w:after="0" w:line="175" w:lineRule="exact"/>
        <w:rPr>
          <w:rFonts w:ascii="Times New Roman" w:cs="Times New Roman" w:eastAsia="Times New Roman" w:hAnsi="Times New Roman"/>
          <w:sz w:val="18"/>
          <w:szCs w:val="18"/>
          <w:color w:val="auto"/>
        </w:rPr>
      </w:pPr>
    </w:p>
    <w:p>
      <w:pPr>
        <w:jc w:val="both"/>
        <w:ind w:firstLine="757"/>
        <w:spacing w:after="0" w:line="261" w:lineRule="auto"/>
        <w:tabs>
          <w:tab w:leader="none" w:pos="103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w:t>
      </w:r>
      <w:r>
        <w:rPr>
          <w:rFonts w:ascii="Times New Roman" w:cs="Times New Roman" w:eastAsia="Times New Roman" w:hAnsi="Times New Roman"/>
          <w:sz w:val="18"/>
          <w:szCs w:val="18"/>
          <w:color w:val="auto"/>
        </w:rPr>
        <w:t>. The Company is not, and is not an Affiliate of, and immediately after receipt of payment for the Securities and application of the proceeds as set forth under Section 4.7,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spacing w:after="0" w:line="179" w:lineRule="exact"/>
        <w:rPr>
          <w:rFonts w:ascii="Times New Roman" w:cs="Times New Roman" w:eastAsia="Times New Roman" w:hAnsi="Times New Roman"/>
          <w:sz w:val="18"/>
          <w:szCs w:val="18"/>
          <w:color w:val="auto"/>
        </w:rPr>
      </w:pPr>
    </w:p>
    <w:p>
      <w:pPr>
        <w:ind w:firstLine="757"/>
        <w:spacing w:after="0" w:line="282" w:lineRule="auto"/>
        <w:tabs>
          <w:tab w:leader="none" w:pos="104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Other than to each of the Purchasers pursuant to the terms of the Registration Rights Agreement, no Person has any right to cause the Company or any Subsidiary to effect the registration under the Securities Act of any securities of the Company or any Subsidiary.</w:t>
      </w:r>
    </w:p>
    <w:p>
      <w:pPr>
        <w:spacing w:after="0" w:line="161" w:lineRule="exact"/>
        <w:rPr>
          <w:rFonts w:ascii="Times New Roman" w:cs="Times New Roman" w:eastAsia="Times New Roman" w:hAnsi="Times New Roman"/>
          <w:sz w:val="18"/>
          <w:szCs w:val="18"/>
          <w:color w:val="auto"/>
        </w:rPr>
      </w:pPr>
    </w:p>
    <w:p>
      <w:pPr>
        <w:jc w:val="both"/>
        <w:ind w:firstLine="757"/>
        <w:spacing w:after="0" w:line="254" w:lineRule="auto"/>
        <w:tabs>
          <w:tab w:leader="none" w:pos="100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and Maintenance Requirements</w:t>
      </w:r>
      <w:r>
        <w:rPr>
          <w:rFonts w:ascii="Times New Roman" w:cs="Times New Roman" w:eastAsia="Times New Roman" w:hAnsi="Times New Roman"/>
          <w:sz w:val="18"/>
          <w:szCs w:val="18"/>
          <w:color w:val="auto"/>
        </w:rPr>
        <w:t>. The Ordinary Shares are registered pursuant to Section 12(b) or 12(g) of the Exchange Act, and the Company has taken no action designed to, or which to its knowledge is likely to have the effect of, terminating the registration of the Ordinary Shares under the Exchange Act nor has the Company received any notification that the Commission is contemplating terminating such registration. Except as disclosed in the SEC Reports, the Company has not, in the 12 months preceding the date hereof, received notice from any Trading Market on which the Ordinary Shares are or has been listed or quoted to the effect that the Company is not in compliance with the listing or maintenance requirements of such Trading Market. The Company is, and has no reason to believe that it will not in the foreseeable future continue to be, in compliance with all such listing and maintenance requirements. The Ordinary Shares are of a class of Shares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spacing w:after="0" w:line="188" w:lineRule="exact"/>
        <w:rPr>
          <w:rFonts w:ascii="Times New Roman" w:cs="Times New Roman" w:eastAsia="Times New Roman" w:hAnsi="Times New Roman"/>
          <w:sz w:val="18"/>
          <w:szCs w:val="18"/>
          <w:color w:val="auto"/>
        </w:rPr>
      </w:pPr>
    </w:p>
    <w:p>
      <w:pPr>
        <w:jc w:val="both"/>
        <w:ind w:firstLine="757"/>
        <w:spacing w:after="0" w:line="256" w:lineRule="auto"/>
        <w:tabs>
          <w:tab w:leader="none" w:pos="101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Takeover Protections</w:t>
      </w:r>
      <w:r>
        <w:rPr>
          <w:rFonts w:ascii="Times New Roman" w:cs="Times New Roman" w:eastAsia="Times New Roman" w:hAnsi="Times New Roman"/>
          <w:sz w:val="18"/>
          <w:szCs w:val="18"/>
          <w:color w:val="auto"/>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to the Purchasers as a result of the Purchasers and the Company fulfilling their obligations or exercising their rights under the Transaction Documents, including without limitation as a result of the Company’s issuance of the Securities and the Purchasers’ ownership of the Securities.</w:t>
      </w:r>
    </w:p>
    <w:p>
      <w:pPr>
        <w:spacing w:after="0" w:line="187" w:lineRule="exact"/>
        <w:rPr>
          <w:rFonts w:ascii="Times New Roman" w:cs="Times New Roman" w:eastAsia="Times New Roman" w:hAnsi="Times New Roman"/>
          <w:sz w:val="18"/>
          <w:szCs w:val="18"/>
          <w:color w:val="auto"/>
        </w:rPr>
      </w:pPr>
    </w:p>
    <w:p>
      <w:pPr>
        <w:jc w:val="both"/>
        <w:ind w:firstLine="757"/>
        <w:spacing w:after="0" w:line="253" w:lineRule="auto"/>
        <w:tabs>
          <w:tab w:leader="none" w:pos="99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Except with respect to the material terms and conditions of the transactions contemplated by the Transaction Documents and the representations made in Section 3.1(i), the Company confirms that neither it nor any other Person acting on its behalf has provided any of the Purchasers or their agents or counsel with any information that it believes constitutes or might constitute material, non-public information.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including the Disclosure Schedules to this Agreement, is true and correct and does not contain any untrue statement of a material fact or omit to state any material fact necessary in order to make the statements made therein, in the light of the circumstances under which they were made, not misleading. The press releases disseminated by the Company during the twelve months preceding the date of this Agreement taken as a whole do not contain any untrue statement of a material fact or omit to state a material fact required to be stated therein or necessary in order to make the statements therein, in the</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jc w:val="both"/>
        <w:spacing w:after="0" w:line="266" w:lineRule="auto"/>
        <w:rPr>
          <w:sz w:val="20"/>
          <w:szCs w:val="20"/>
          <w:color w:val="auto"/>
        </w:rPr>
      </w:pPr>
      <w:r>
        <w:rPr>
          <w:rFonts w:ascii="Times New Roman" w:cs="Times New Roman" w:eastAsia="Times New Roman" w:hAnsi="Times New Roman"/>
          <w:sz w:val="18"/>
          <w:szCs w:val="18"/>
          <w:color w:val="auto"/>
        </w:rPr>
        <w:t>light of the circumstances under which they were made and when made, not misleading. The Company acknowledges and agrees that no Purchaser makes or has made any representations or warranties with respect to the transactions contemplated hereby other than those specifically set forth in Section 3.2 hereof.</w:t>
      </w:r>
    </w:p>
    <w:p>
      <w:pPr>
        <w:spacing w:after="0" w:line="176" w:lineRule="exact"/>
        <w:rPr>
          <w:sz w:val="20"/>
          <w:szCs w:val="20"/>
          <w:color w:val="auto"/>
        </w:rPr>
      </w:pPr>
    </w:p>
    <w:p>
      <w:pPr>
        <w:jc w:val="both"/>
        <w:ind w:firstLine="757"/>
        <w:spacing w:after="0" w:line="258" w:lineRule="auto"/>
        <w:tabs>
          <w:tab w:leader="none" w:pos="11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Integrated Offering</w:t>
      </w:r>
      <w:r>
        <w:rPr>
          <w:rFonts w:ascii="Times New Roman" w:cs="Times New Roman" w:eastAsia="Times New Roman" w:hAnsi="Times New Roman"/>
          <w:sz w:val="18"/>
          <w:szCs w:val="18"/>
          <w:color w:val="auto"/>
        </w:rPr>
        <w:t>. Assuming the accuracy of the Purchasers’ representations and warranties set forth in Section 3.2, neither the Company, nor any of its Affiliates,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 (i) the Securities Act which would require the registration of any such securities under the Securities Act, or (ii) any applicable shareholder approval provisions of any Trading Market on which any of the securities of the Company are listed or designated.</w:t>
      </w:r>
    </w:p>
    <w:p>
      <w:pPr>
        <w:spacing w:after="0" w:line="183" w:lineRule="exact"/>
        <w:rPr>
          <w:rFonts w:ascii="Times New Roman" w:cs="Times New Roman" w:eastAsia="Times New Roman" w:hAnsi="Times New Roman"/>
          <w:sz w:val="18"/>
          <w:szCs w:val="18"/>
          <w:color w:val="auto"/>
        </w:rPr>
      </w:pPr>
    </w:p>
    <w:p>
      <w:pPr>
        <w:jc w:val="both"/>
        <w:ind w:firstLine="757"/>
        <w:spacing w:after="0" w:line="255" w:lineRule="auto"/>
        <w:tabs>
          <w:tab w:leader="none" w:pos="109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3.1(bb)</w:t>
      </w:r>
      <w:r>
        <w:rPr>
          <w:rFonts w:ascii="Times New Roman" w:cs="Times New Roman" w:eastAsia="Times New Roman" w:hAnsi="Times New Roman"/>
          <w:sz w:val="18"/>
          <w:szCs w:val="18"/>
          <w:color w:val="auto"/>
        </w:rPr>
        <w:t xml:space="preserve"> sets forth as of the date hereof all outstanding secured and unsecured Indebtedness of the Company or any Subsidiary, or for which the Company or any Subsidiary has commitments. For the purposes of this Agreement,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(x) any liabilities for borrowed money or amounts owed in excess of $50,000 (other than trade accounts payable or accrued payroll liabilities incurred in the ordinary course of business), (y)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$50,000 due under leases required to be capitalized in accordance with GAAP. Neither the Company nor any Subsidiary is in default with respect to any Indebtedness.</w:t>
      </w:r>
    </w:p>
    <w:p>
      <w:pPr>
        <w:spacing w:after="0" w:line="188" w:lineRule="exact"/>
        <w:rPr>
          <w:rFonts w:ascii="Times New Roman" w:cs="Times New Roman" w:eastAsia="Times New Roman" w:hAnsi="Times New Roman"/>
          <w:sz w:val="18"/>
          <w:szCs w:val="18"/>
          <w:color w:val="auto"/>
        </w:rPr>
      </w:pPr>
    </w:p>
    <w:p>
      <w:pPr>
        <w:jc w:val="both"/>
        <w:ind w:firstLine="757"/>
        <w:spacing w:after="0" w:line="256" w:lineRule="auto"/>
        <w:tabs>
          <w:tab w:leader="none" w:pos="107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Status</w:t>
      </w:r>
      <w:r>
        <w:rPr>
          <w:rFonts w:ascii="Times New Roman" w:cs="Times New Roman" w:eastAsia="Times New Roman" w:hAnsi="Times New Roman"/>
          <w:sz w:val="18"/>
          <w:szCs w:val="18"/>
          <w:color w:val="auto"/>
        </w:rPr>
        <w:t>. The Company and its Subsidiaries each (i) has made or filed all material United States federal, state and local income and all foreign income and franchise tax returns, reports and declarations required by any jurisdiction to which it is subject, (ii) has paid all material taxes and other governmental assessments and charges that are material in amount, shown or determined to be due on such returns, reports and declarations and (iii) 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spacing w:after="0" w:line="187" w:lineRule="exact"/>
        <w:rPr>
          <w:rFonts w:ascii="Times New Roman" w:cs="Times New Roman" w:eastAsia="Times New Roman" w:hAnsi="Times New Roman"/>
          <w:sz w:val="18"/>
          <w:szCs w:val="18"/>
          <w:color w:val="auto"/>
        </w:rPr>
      </w:pPr>
    </w:p>
    <w:p>
      <w:pPr>
        <w:jc w:val="both"/>
        <w:ind w:firstLine="757"/>
        <w:spacing w:after="0" w:line="266" w:lineRule="auto"/>
        <w:tabs>
          <w:tab w:leader="none" w:pos="109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General Solicitation</w:t>
      </w:r>
      <w:r>
        <w:rPr>
          <w:rFonts w:ascii="Times New Roman" w:cs="Times New Roman" w:eastAsia="Times New Roman" w:hAnsi="Times New Roman"/>
          <w:sz w:val="18"/>
          <w:szCs w:val="18"/>
          <w:color w:val="auto"/>
        </w:rPr>
        <w:t>. Neither the Company nor any Person acting on behalf of the Company has offered or sold any of the Securities by any form of “general solicitation” or “general advertising” (as such terms are defined in Regulation D under the Securities Act). The Company has offered the Securities for sale only to the Purchasers and certain other “qualified purchasers” or “qualified institutional buyers” as defined in the Securities Act.</w:t>
      </w:r>
    </w:p>
    <w:p>
      <w:pPr>
        <w:spacing w:after="0" w:line="175" w:lineRule="exact"/>
        <w:rPr>
          <w:rFonts w:ascii="Times New Roman" w:cs="Times New Roman" w:eastAsia="Times New Roman" w:hAnsi="Times New Roman"/>
          <w:sz w:val="18"/>
          <w:szCs w:val="18"/>
          <w:color w:val="auto"/>
        </w:rPr>
      </w:pPr>
    </w:p>
    <w:p>
      <w:pPr>
        <w:jc w:val="both"/>
        <w:ind w:firstLine="757"/>
        <w:spacing w:after="0" w:line="253" w:lineRule="auto"/>
        <w:tabs>
          <w:tab w:leader="none" w:pos="107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Corrupt Practices</w:t>
      </w:r>
      <w:r>
        <w:rPr>
          <w:rFonts w:ascii="Times New Roman" w:cs="Times New Roman" w:eastAsia="Times New Roman" w:hAnsi="Times New Roman"/>
          <w:sz w:val="18"/>
          <w:szCs w:val="18"/>
          <w:color w:val="auto"/>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p>
    <w:p>
      <w:pPr>
        <w:spacing w:after="0" w:line="5" w:lineRule="exact"/>
        <w:rPr>
          <w:rFonts w:ascii="Times New Roman" w:cs="Times New Roman" w:eastAsia="Times New Roman" w:hAnsi="Times New Roman"/>
          <w:sz w:val="18"/>
          <w:szCs w:val="18"/>
          <w:color w:val="auto"/>
        </w:rPr>
      </w:pPr>
    </w:p>
    <w:p>
      <w:pPr>
        <w:jc w:val="both"/>
        <w:ind w:firstLine="757"/>
        <w:spacing w:after="0" w:line="255" w:lineRule="auto"/>
        <w:tabs>
          <w:tab w:leader="none" w:pos="103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Accountants</w:t>
      </w:r>
      <w:r>
        <w:rPr>
          <w:rFonts w:ascii="Times New Roman" w:cs="Times New Roman" w:eastAsia="Times New Roman" w:hAnsi="Times New Roman"/>
          <w:sz w:val="18"/>
          <w:szCs w:val="18"/>
          <w:color w:val="auto"/>
        </w:rPr>
        <w:t>. The Company’s accounting firm is set forth in the SEC Reports. To the knowledge and belief of the Company, such accounting firm (i) is a registered public accounting firm as required by the Exchange Act and (ii) shall express its opinion with respect to the financial statements to be included in the Company’s Annual Report for the fiscal year ended December 31, 2025.</w:t>
      </w:r>
    </w:p>
    <w:p>
      <w:pPr>
        <w:spacing w:after="0" w:line="185" w:lineRule="exact"/>
        <w:rPr>
          <w:rFonts w:ascii="Times New Roman" w:cs="Times New Roman" w:eastAsia="Times New Roman" w:hAnsi="Times New Roman"/>
          <w:sz w:val="18"/>
          <w:szCs w:val="18"/>
          <w:color w:val="auto"/>
        </w:rPr>
      </w:pPr>
    </w:p>
    <w:p>
      <w:pPr>
        <w:jc w:val="both"/>
        <w:ind w:firstLine="757"/>
        <w:spacing w:after="0" w:line="261" w:lineRule="auto"/>
        <w:tabs>
          <w:tab w:leader="none" w:pos="109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Disagreements with Accountants and Lawyers</w:t>
      </w:r>
      <w:r>
        <w:rPr>
          <w:rFonts w:ascii="Times New Roman" w:cs="Times New Roman" w:eastAsia="Times New Roman" w:hAnsi="Times New Roman"/>
          <w:sz w:val="18"/>
          <w:szCs w:val="18"/>
          <w:color w:val="auto"/>
        </w:rPr>
        <w:t>. There are no disagreements of any kind presently existing, or reasonably anticipated by the Company to arise, between the Company and the accountants and lawyers formerly or presently employed by the Company and the Company is current with respect to any fees owed to its accountants and lawyers which could affect the Company’s ability to perform any of its obligations under any of the Transaction Documents.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6" w:name="page17"/>
    <w:bookmarkEnd w:id="16"/>
    <w:p>
      <w:pPr>
        <w:jc w:val="both"/>
        <w:ind w:firstLine="757"/>
        <w:spacing w:after="0" w:line="254" w:lineRule="auto"/>
        <w:tabs>
          <w:tab w:leader="none" w:pos="1093"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Purchasers’ Purchase of Securities</w:t>
      </w:r>
      <w:r>
        <w:rPr>
          <w:rFonts w:ascii="Times New Roman" w:cs="Times New Roman" w:eastAsia="Times New Roman" w:hAnsi="Times New Roman"/>
          <w:sz w:val="18"/>
          <w:szCs w:val="18"/>
          <w:color w:val="auto"/>
        </w:rPr>
        <w:t>. The Company acknowledges and agrees that, to its knowledge, each of the Purchasers is acting solely in the capacity of an arm’s length purchaser with respect to the Transaction Documents and the transactions contemplated thereby. The Company further acknowledges that, to its knowledge,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Securities.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spacing w:after="0" w:line="191" w:lineRule="exact"/>
        <w:rPr>
          <w:rFonts w:ascii="Times New Roman" w:cs="Times New Roman" w:eastAsia="Times New Roman" w:hAnsi="Times New Roman"/>
          <w:sz w:val="18"/>
          <w:szCs w:val="18"/>
          <w:color w:val="auto"/>
        </w:rPr>
      </w:pPr>
    </w:p>
    <w:p>
      <w:pPr>
        <w:jc w:val="both"/>
        <w:ind w:firstLine="757"/>
        <w:spacing w:after="0" w:line="253" w:lineRule="auto"/>
        <w:tabs>
          <w:tab w:leader="none" w:pos="101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Purchaser’s Trading Activity</w:t>
      </w:r>
      <w:r>
        <w:rPr>
          <w:rFonts w:ascii="Times New Roman" w:cs="Times New Roman" w:eastAsia="Times New Roman" w:hAnsi="Times New Roman"/>
          <w:sz w:val="18"/>
          <w:szCs w:val="18"/>
          <w:color w:val="auto"/>
        </w:rPr>
        <w:t>. Anything in this Agreement or elsewhere herein to the contrary notwithstanding (except for Sections 3.2(g) and 4.14 hereof),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Securities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 any Purchaser, and counter-parties in “derivative” transactions to which any such Purchaser is a party, directly or indirectly, presently may have a “short” position in the Ordinary Shares and</w:t>
      </w:r>
    </w:p>
    <w:p>
      <w:pPr>
        <w:spacing w:after="0" w:line="2" w:lineRule="exact"/>
        <w:rPr>
          <w:rFonts w:ascii="Times New Roman" w:cs="Times New Roman" w:eastAsia="Times New Roman" w:hAnsi="Times New Roman"/>
          <w:sz w:val="18"/>
          <w:szCs w:val="18"/>
          <w:color w:val="auto"/>
        </w:rPr>
      </w:pPr>
    </w:p>
    <w:p>
      <w:pPr>
        <w:jc w:val="both"/>
        <w:ind w:firstLine="8"/>
        <w:spacing w:after="0" w:line="253" w:lineRule="auto"/>
        <w:tabs>
          <w:tab w:leader="none" w:pos="32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Securities are outstanding, and (z) such hedging activities (if any) could reduce the value of the existing stockholders’ equity interests in the Company at and after the time that the hedging activities are being conducted. The Company acknowledges that such aforementioned hedging activities do not constitute a breach of any of the Transaction Documents.</w:t>
      </w:r>
    </w:p>
    <w:p>
      <w:pPr>
        <w:spacing w:after="0" w:line="186" w:lineRule="exact"/>
        <w:rPr>
          <w:rFonts w:ascii="Times New Roman" w:cs="Times New Roman" w:eastAsia="Times New Roman" w:hAnsi="Times New Roman"/>
          <w:sz w:val="18"/>
          <w:szCs w:val="18"/>
          <w:color w:val="auto"/>
        </w:rPr>
      </w:pPr>
    </w:p>
    <w:p>
      <w:pPr>
        <w:jc w:val="both"/>
        <w:ind w:firstLine="757"/>
        <w:spacing w:after="0" w:line="258" w:lineRule="auto"/>
        <w:tabs>
          <w:tab w:leader="none" w:pos="101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Regulation M Compliance</w:t>
      </w:r>
      <w:r>
        <w:rPr>
          <w:rFonts w:ascii="Times New Roman" w:cs="Times New Roman" w:eastAsia="Times New Roman" w:hAnsi="Times New Roman"/>
          <w:sz w:val="18"/>
          <w:szCs w:val="18"/>
          <w:color w:val="auto"/>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 other than, in the case of clauses (ii) and (iii), compensation paid to the Company’s placement agent in connection with the placement of the Securities.</w:t>
      </w:r>
    </w:p>
    <w:p>
      <w:pPr>
        <w:spacing w:after="0" w:line="183" w:lineRule="exact"/>
        <w:rPr>
          <w:rFonts w:ascii="Times New Roman" w:cs="Times New Roman" w:eastAsia="Times New Roman" w:hAnsi="Times New Roman"/>
          <w:sz w:val="18"/>
          <w:szCs w:val="18"/>
          <w:color w:val="auto"/>
        </w:rPr>
      </w:pPr>
    </w:p>
    <w:p>
      <w:pPr>
        <w:jc w:val="both"/>
        <w:ind w:firstLine="757"/>
        <w:spacing w:after="0" w:line="253" w:lineRule="auto"/>
        <w:tabs>
          <w:tab w:leader="none" w:pos="1093"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Cybersecurity</w:t>
      </w:r>
      <w:r>
        <w:rPr>
          <w:rFonts w:ascii="Times New Roman" w:cs="Times New Roman" w:eastAsia="Times New Roman" w:hAnsi="Times New Roman"/>
          <w:sz w:val="18"/>
          <w:szCs w:val="18"/>
          <w:color w:val="auto"/>
        </w:rPr>
        <w:t>. (i)(x) To the Company’s knowledge, there has been no material security breach or other compromise of or relating to any of the Company’s or any Subsidiary’s information technology and computer systems, networks, hardware, software, data (including the data of its respective customers, employees, suppliers, vendors and any third party data maintained by or on behalf of it), equipment or technology (collectively, “IT Systems and Data”) and (y) the Company and the Subsidiaries have not been notified of, and has no knowledge of any event or condition that would reasonably be expected to result in, any security breach or other compromise to its IT Systems and Data; (ii) the Company and the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individually or in the aggregate, have a Material Adverse Effect; (iii) the Company and the Subsidiaries have implemented and maintained commercially reasonable safeguards to maintain and protect its material confidential information and the integrity, continuous operation, redundancy and security of all IT Systems and Data; and (iv) the Company and the Subsidiaries have implemented a commercially reasonable backup and disaster recovery technology.</w:t>
      </w:r>
    </w:p>
    <w:p>
      <w:pPr>
        <w:spacing w:after="0" w:line="191" w:lineRule="exact"/>
        <w:rPr>
          <w:rFonts w:ascii="Times New Roman" w:cs="Times New Roman" w:eastAsia="Times New Roman" w:hAnsi="Times New Roman"/>
          <w:sz w:val="18"/>
          <w:szCs w:val="18"/>
          <w:color w:val="auto"/>
        </w:rPr>
      </w:pPr>
    </w:p>
    <w:p>
      <w:pPr>
        <w:jc w:val="both"/>
        <w:ind w:firstLine="757"/>
        <w:spacing w:after="0" w:line="258" w:lineRule="auto"/>
        <w:tabs>
          <w:tab w:leader="none" w:pos="102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Data Privacy Laws</w:t>
      </w:r>
      <w:r>
        <w:rPr>
          <w:rFonts w:ascii="Times New Roman" w:cs="Times New Roman" w:eastAsia="Times New Roman" w:hAnsi="Times New Roman"/>
          <w:sz w:val="18"/>
          <w:szCs w:val="18"/>
          <w:color w:val="auto"/>
        </w:rPr>
        <w:t>. (i) The Company and the Subsidiaries are, and at all times during the last three (3) years were, in compliance with all applicable state, federal and foreign data privacy and security laws and regulations, including, without limitation, the European Union General Data Protection Regulation (“GDPR”) (EU 2016/679) (collectively, “Privacy Laws”); (ii) the Company and the Subsidiaries have in place, comply with, and take appropriate steps reasonably designed to ensure compliance with their policies and procedures relating to data privacy and security and the collection, storage, use, disclosure, handling and analysis of Personal Data (as defined</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7" w:name="page18"/>
    <w:bookmarkEnd w:id="17"/>
    <w:p>
      <w:pPr>
        <w:jc w:val="both"/>
        <w:spacing w:after="0" w:line="252" w:lineRule="auto"/>
        <w:rPr>
          <w:sz w:val="20"/>
          <w:szCs w:val="20"/>
          <w:color w:val="auto"/>
        </w:rPr>
      </w:pPr>
      <w:r>
        <w:rPr>
          <w:rFonts w:ascii="Times New Roman" w:cs="Times New Roman" w:eastAsia="Times New Roman" w:hAnsi="Times New Roman"/>
          <w:sz w:val="18"/>
          <w:szCs w:val="18"/>
          <w:color w:val="auto"/>
        </w:rPr>
        <w:t>below) (the “Policies”); (iii) the Company provides accurate notice of its applicable Policies to its customers, employees, third party vendors and representatives as required by the Privacy Laws; and (iv) applicable Policies provide accurate and sufficient notice of the Company’s then-current privacy practices relating to its subject matter, and do not contain any material omissions of the Company’s then-current privacy practices, as required by Privacy Laws. “Personal Data” means (i) a natural person’s name, street address, telephone number, email address, photograph, social security number, bank information, or customer or account number; (ii) any information which would qualify as “personally identifying information” under the Federal Trade Commission Act, as amended; (iii) “personal data” as defined by GDPR; and (iv) any other piece of information that allows the identification of such natural person, or his or her family, or permits the collection or analysis of any identifiable data related to an identified person’s health or sexual orientation. (i) None of such disclosures made or contained in any of the Policies have been inaccurate, misleading, or deceptive in violation of any Privacy Laws and (ii) the execution, delivery and performance of the Transaction Documents will not result in a breach of any Privacy Laws or Policies. Neither the Company nor the Subsidiaries (i) to the knowledge of the Company, has received written notice of any actual or potential liability of the Company or the Subsidiaries under, or actual or potential violation by the Company or the Subsidiaries of, any of the Privacy Laws; (ii) is currently conducting or paying for, in whole or in part, any investigation, remediation or other corrective action pursuant to any regulatory request or demand pursuant to any Privacy Law; or (iii) is a party to any order, decree, or agreement by or with any court or arbitrator or governmental or regulatory authority that imposed any obligation or liability under any Privacy Law.</w:t>
      </w:r>
    </w:p>
    <w:p>
      <w:pPr>
        <w:spacing w:after="0" w:line="197" w:lineRule="exact"/>
        <w:rPr>
          <w:sz w:val="20"/>
          <w:szCs w:val="20"/>
          <w:color w:val="auto"/>
        </w:rPr>
      </w:pPr>
    </w:p>
    <w:p>
      <w:pPr>
        <w:jc w:val="both"/>
        <w:ind w:firstLine="757"/>
        <w:spacing w:after="0" w:line="256" w:lineRule="auto"/>
        <w:tabs>
          <w:tab w:leader="none" w:pos="119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Option Plans</w:t>
      </w:r>
      <w:r>
        <w:rPr>
          <w:rFonts w:ascii="Times New Roman" w:cs="Times New Roman" w:eastAsia="Times New Roman" w:hAnsi="Times New Roman"/>
          <w:sz w:val="18"/>
          <w:szCs w:val="18"/>
          <w:color w:val="auto"/>
        </w:rPr>
        <w:t>. Each stock option granted by the Company under the Company’s stock option plan was granted (i) in accordance with the terms of the Company’s stock option plan and (ii) with an exercise price at least equal to the fair market value of the Ordinary Shares on the date such stock option would be considered granted under GAAP and applicable law. No stock option granted under the Company’s stock option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p>
    <w:p>
      <w:pPr>
        <w:spacing w:after="0" w:line="187" w:lineRule="exact"/>
        <w:rPr>
          <w:rFonts w:ascii="Times New Roman" w:cs="Times New Roman" w:eastAsia="Times New Roman" w:hAnsi="Times New Roman"/>
          <w:sz w:val="18"/>
          <w:szCs w:val="18"/>
          <w:color w:val="auto"/>
        </w:rPr>
      </w:pPr>
    </w:p>
    <w:p>
      <w:pPr>
        <w:jc w:val="both"/>
        <w:ind w:firstLine="757"/>
        <w:spacing w:after="0" w:line="266" w:lineRule="auto"/>
        <w:tabs>
          <w:tab w:leader="none" w:pos="109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 of Foreign Assets Control</w:t>
      </w:r>
      <w:r>
        <w:rPr>
          <w:rFonts w:ascii="Times New Roman" w:cs="Times New Roman" w:eastAsia="Times New Roman" w:hAnsi="Times New Roman"/>
          <w:sz w:val="18"/>
          <w:szCs w:val="18"/>
          <w:color w:val="auto"/>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firstLine="757"/>
        <w:spacing w:after="0" w:line="282" w:lineRule="auto"/>
        <w:tabs>
          <w:tab w:leader="none" w:pos="110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 Real Property Holding Corporation</w:t>
      </w:r>
      <w:r>
        <w:rPr>
          <w:rFonts w:ascii="Times New Roman" w:cs="Times New Roman" w:eastAsia="Times New Roman" w:hAnsi="Times New Roman"/>
          <w:sz w:val="18"/>
          <w:szCs w:val="18"/>
          <w:color w:val="auto"/>
        </w:rPr>
        <w:t>. The Company is not and has never been a U.S. real property holding corporation within the meaning of Section 897 of the Internal Revenue Code of 1986, as amended, and the Company shall so certify upon Purchaser’s request.</w:t>
      </w:r>
    </w:p>
    <w:p>
      <w:pPr>
        <w:spacing w:after="0" w:line="161" w:lineRule="exact"/>
        <w:rPr>
          <w:rFonts w:ascii="Times New Roman" w:cs="Times New Roman" w:eastAsia="Times New Roman" w:hAnsi="Times New Roman"/>
          <w:sz w:val="18"/>
          <w:szCs w:val="18"/>
          <w:color w:val="auto"/>
        </w:rPr>
      </w:pPr>
    </w:p>
    <w:p>
      <w:pPr>
        <w:jc w:val="both"/>
        <w:ind w:firstLine="757"/>
        <w:spacing w:after="0" w:line="256" w:lineRule="auto"/>
        <w:tabs>
          <w:tab w:leader="none" w:pos="109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Bank Holding Company Act</w:t>
      </w:r>
      <w:r>
        <w:rPr>
          <w:rFonts w:ascii="Times New Roman" w:cs="Times New Roman" w:eastAsia="Times New Roman" w:hAnsi="Times New Roman"/>
          <w:sz w:val="18"/>
          <w:szCs w:val="18"/>
          <w:color w:val="auto"/>
        </w:rPr>
        <w:t>. Neither the Company nor any of its Subsidiaries or Affiliates is subject to the Bank Holding Company Act of 1956, as amended (the “</w:t>
      </w:r>
      <w:r>
        <w:rPr>
          <w:rFonts w:ascii="Times New Roman" w:cs="Times New Roman" w:eastAsia="Times New Roman" w:hAnsi="Times New Roman"/>
          <w:sz w:val="18"/>
          <w:szCs w:val="18"/>
          <w:u w:val="single" w:color="auto"/>
          <w:color w:val="auto"/>
        </w:rPr>
        <w:t>BHCA</w:t>
      </w:r>
      <w:r>
        <w:rPr>
          <w:rFonts w:ascii="Times New Roman" w:cs="Times New Roman" w:eastAsia="Times New Roman" w:hAnsi="Times New Roman"/>
          <w:sz w:val="18"/>
          <w:szCs w:val="18"/>
          <w:color w:val="auto"/>
        </w:rPr>
        <w:t>”) and to regulation by the Board of Governors of the Federal Reserve System (the “</w:t>
      </w:r>
      <w:r>
        <w:rPr>
          <w:rFonts w:ascii="Times New Roman" w:cs="Times New Roman" w:eastAsia="Times New Roman" w:hAnsi="Times New Roman"/>
          <w:sz w:val="18"/>
          <w:szCs w:val="18"/>
          <w:u w:val="single" w:color="auto"/>
          <w:color w:val="auto"/>
        </w:rPr>
        <w:t>Federal Reserve</w:t>
      </w:r>
      <w:r>
        <w:rPr>
          <w:rFonts w:ascii="Times New Roman" w:cs="Times New Roman" w:eastAsia="Times New Roman" w:hAnsi="Times New Roman"/>
          <w:sz w:val="18"/>
          <w:szCs w:val="18"/>
          <w:color w:val="auto"/>
        </w:rPr>
        <w:t>”). Neither the Company nor any of its Subsidiaries or Affiliates owns or controls, directly or indirectly, five percent (5%) or more of the outstanding shares of any class of voting securities or twenty-five percent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spacing w:after="0" w:line="187" w:lineRule="exact"/>
        <w:rPr>
          <w:rFonts w:ascii="Times New Roman" w:cs="Times New Roman" w:eastAsia="Times New Roman" w:hAnsi="Times New Roman"/>
          <w:sz w:val="18"/>
          <w:szCs w:val="18"/>
          <w:color w:val="auto"/>
        </w:rPr>
      </w:pPr>
    </w:p>
    <w:p>
      <w:pPr>
        <w:jc w:val="both"/>
        <w:ind w:firstLine="757"/>
        <w:spacing w:after="0" w:line="258" w:lineRule="auto"/>
        <w:tabs>
          <w:tab w:leader="none" w:pos="110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Money Laundering</w:t>
      </w:r>
      <w:r>
        <w:rPr>
          <w:rFonts w:ascii="Times New Roman" w:cs="Times New Roman" w:eastAsia="Times New Roman" w:hAnsi="Times New Roman"/>
          <w:sz w:val="18"/>
          <w:szCs w:val="18"/>
          <w:color w:val="auto"/>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spacing w:after="0" w:line="183" w:lineRule="exact"/>
        <w:rPr>
          <w:rFonts w:ascii="Times New Roman" w:cs="Times New Roman" w:eastAsia="Times New Roman" w:hAnsi="Times New Roman"/>
          <w:sz w:val="18"/>
          <w:szCs w:val="18"/>
          <w:color w:val="auto"/>
        </w:rPr>
      </w:pPr>
    </w:p>
    <w:p>
      <w:pPr>
        <w:jc w:val="both"/>
        <w:ind w:firstLine="757"/>
        <w:spacing w:after="0" w:line="266" w:lineRule="auto"/>
        <w:tabs>
          <w:tab w:leader="none" w:pos="103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Disqualification Events</w:t>
      </w:r>
      <w:r>
        <w:rPr>
          <w:rFonts w:ascii="Times New Roman" w:cs="Times New Roman" w:eastAsia="Times New Roman" w:hAnsi="Times New Roman"/>
          <w:sz w:val="18"/>
          <w:szCs w:val="18"/>
          <w:color w:val="auto"/>
        </w:rPr>
        <w:t>. With respect to the Securities to be offered and sold hereunder in reliance on Rule 506(b) of Regulation D under the Securities Act, none of the Company, any of its predecessors, any affiliated issuer, any director, executive officer, other officer of the Company participating in the offering hereunder, any</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8" w:name="page19"/>
    <w:bookmarkEnd w:id="18"/>
    <w:p>
      <w:pPr>
        <w:jc w:val="both"/>
        <w:spacing w:after="0" w:line="256" w:lineRule="auto"/>
        <w:rPr>
          <w:sz w:val="20"/>
          <w:szCs w:val="20"/>
          <w:color w:val="auto"/>
        </w:rPr>
      </w:pPr>
      <w:r>
        <w:rPr>
          <w:rFonts w:ascii="Times New Roman" w:cs="Times New Roman" w:eastAsia="Times New Roman" w:hAnsi="Times New Roman"/>
          <w:sz w:val="18"/>
          <w:szCs w:val="18"/>
          <w:color w:val="auto"/>
        </w:rPr>
        <w:t>beneficial owner of 20% or more of the Company’s outstanding voting equity securities, calculated on the basis of voting power, nor any promoter (as that term is defined in Rule 405 under the Securities Act) connected with the Company in any capacity at the time of sale (each, an “</w:t>
      </w:r>
      <w:r>
        <w:rPr>
          <w:rFonts w:ascii="Times New Roman" w:cs="Times New Roman" w:eastAsia="Times New Roman" w:hAnsi="Times New Roman"/>
          <w:sz w:val="18"/>
          <w:szCs w:val="18"/>
          <w:u w:val="single" w:color="auto"/>
          <w:color w:val="auto"/>
        </w:rPr>
        <w:t>Issuer Covered Person</w:t>
      </w:r>
      <w:r>
        <w:rPr>
          <w:rFonts w:ascii="Times New Roman" w:cs="Times New Roman" w:eastAsia="Times New Roman" w:hAnsi="Times New Roman"/>
          <w:sz w:val="18"/>
          <w:szCs w:val="18"/>
          <w:color w:val="auto"/>
        </w:rPr>
        <w:t>” and, together, “</w:t>
      </w:r>
      <w:r>
        <w:rPr>
          <w:rFonts w:ascii="Times New Roman" w:cs="Times New Roman" w:eastAsia="Times New Roman" w:hAnsi="Times New Roman"/>
          <w:sz w:val="18"/>
          <w:szCs w:val="18"/>
          <w:u w:val="single" w:color="auto"/>
          <w:color w:val="auto"/>
        </w:rPr>
        <w:t>Issuer Covered Persons</w:t>
      </w:r>
      <w:r>
        <w:rPr>
          <w:rFonts w:ascii="Times New Roman" w:cs="Times New Roman" w:eastAsia="Times New Roman" w:hAnsi="Times New Roman"/>
          <w:sz w:val="18"/>
          <w:szCs w:val="18"/>
          <w:color w:val="auto"/>
        </w:rPr>
        <w:t>”) is subject to any of the “Bad Actor” disqualifications described in Rule 506(d)(1)(i) to (viii) under the Securities Act (a “</w:t>
      </w:r>
      <w:r>
        <w:rPr>
          <w:rFonts w:ascii="Times New Roman" w:cs="Times New Roman" w:eastAsia="Times New Roman" w:hAnsi="Times New Roman"/>
          <w:sz w:val="18"/>
          <w:szCs w:val="18"/>
          <w:u w:val="single" w:color="auto"/>
          <w:color w:val="auto"/>
        </w:rPr>
        <w:t>Disqualification Event</w:t>
      </w:r>
      <w:r>
        <w:rPr>
          <w:rFonts w:ascii="Times New Roman" w:cs="Times New Roman" w:eastAsia="Times New Roman" w:hAnsi="Times New Roman"/>
          <w:sz w:val="18"/>
          <w:szCs w:val="18"/>
          <w:color w:val="auto"/>
        </w:rPr>
        <w:t>”), except for a Disqualification Event covered by Rule 506(d)(2) or (d)(3). The Company has exercised reasonable care to determine whether any Issuer Covered Person is subject to a Disqualification Event. The Company has complied, to the extent applicable, with its disclosure obligations under Rule 506(e), and has furnished to the Purchasers a copy of any disclosures provided thereunder.</w:t>
      </w:r>
    </w:p>
    <w:p>
      <w:pPr>
        <w:spacing w:after="0" w:line="187" w:lineRule="exact"/>
        <w:rPr>
          <w:sz w:val="20"/>
          <w:szCs w:val="20"/>
          <w:color w:val="auto"/>
        </w:rPr>
      </w:pPr>
    </w:p>
    <w:p>
      <w:pPr>
        <w:ind w:firstLine="757"/>
        <w:spacing w:after="0" w:line="282" w:lineRule="auto"/>
        <w:tabs>
          <w:tab w:leader="none" w:pos="105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Covered Persons</w:t>
      </w:r>
      <w:r>
        <w:rPr>
          <w:rFonts w:ascii="Times New Roman" w:cs="Times New Roman" w:eastAsia="Times New Roman" w:hAnsi="Times New Roman"/>
          <w:sz w:val="18"/>
          <w:szCs w:val="18"/>
          <w:color w:val="auto"/>
        </w:rPr>
        <w:t>. Other than the Placement Agent, the Company is not aware of any person (other than any Issuer Covered Person) that has been or will be paid (directly or indirectly) remuneration for solicitation of purchasers in connection with the sale of any Securities.</w:t>
      </w:r>
    </w:p>
    <w:p>
      <w:pPr>
        <w:spacing w:after="0" w:line="161"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Disqualification Events</w:t>
      </w:r>
      <w:r>
        <w:rPr>
          <w:rFonts w:ascii="Times New Roman" w:cs="Times New Roman" w:eastAsia="Times New Roman" w:hAnsi="Times New Roman"/>
          <w:sz w:val="18"/>
          <w:szCs w:val="18"/>
          <w:color w:val="auto"/>
        </w:rPr>
        <w:t>. The Company will notify the Purchasers and the Placement Agent in writing, prior to the Closing Date of</w:t>
      </w:r>
    </w:p>
    <w:p>
      <w:pPr>
        <w:spacing w:after="0" w:line="27" w:lineRule="exact"/>
        <w:rPr>
          <w:rFonts w:ascii="Times New Roman" w:cs="Times New Roman" w:eastAsia="Times New Roman" w:hAnsi="Times New Roman"/>
          <w:sz w:val="18"/>
          <w:szCs w:val="18"/>
          <w:color w:val="auto"/>
        </w:rPr>
      </w:pPr>
    </w:p>
    <w:p>
      <w:pPr>
        <w:ind w:right="20" w:firstLine="8"/>
        <w:spacing w:after="0" w:line="260" w:lineRule="auto"/>
        <w:tabs>
          <w:tab w:leader="none" w:pos="23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Disqualification Event relating to any Issuer Covered Person and (ii) any event that would, with the passage of time, become a Disqualification Event relating to any Issuer Covered Person.</w:t>
      </w:r>
    </w:p>
    <w:p>
      <w:pPr>
        <w:spacing w:after="0" w:line="181"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Representations and Warranties of the Purchasers</w:t>
      </w:r>
      <w:r>
        <w:rPr>
          <w:rFonts w:ascii="Times New Roman" w:cs="Times New Roman" w:eastAsia="Times New Roman" w:hAnsi="Times New Roman"/>
          <w:sz w:val="18"/>
          <w:szCs w:val="18"/>
          <w:color w:val="auto"/>
        </w:rPr>
        <w:t>. Each Purchaser, for itself and for no other Purchaser, hereby represents and warrants as of the date hereof and as of the Closing Date to the Company as follows (unless as of a specific date therein, in which case they shall be accurate as of such date):</w:t>
      </w:r>
    </w:p>
    <w:p>
      <w:pPr>
        <w:spacing w:after="0" w:line="176" w:lineRule="exact"/>
        <w:rPr>
          <w:sz w:val="20"/>
          <w:szCs w:val="20"/>
          <w:color w:val="auto"/>
        </w:rPr>
      </w:pPr>
    </w:p>
    <w:p>
      <w:pPr>
        <w:jc w:val="both"/>
        <w:ind w:firstLine="757"/>
        <w:spacing w:after="0" w:line="253" w:lineRule="auto"/>
        <w:tabs>
          <w:tab w:leader="none" w:pos="1021" w:val="left"/>
        </w:tabs>
        <w:numPr>
          <w:ilvl w:val="0"/>
          <w:numId w:val="2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Organization; Authority</w:t>
      </w:r>
      <w:r>
        <w:rPr>
          <w:rFonts w:ascii="Times New Roman" w:cs="Times New Roman" w:eastAsia="Times New Roman" w:hAnsi="Times New Roman"/>
          <w:sz w:val="18"/>
          <w:szCs w:val="18"/>
          <w:color w:val="auto"/>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94" w:lineRule="exact"/>
        <w:rPr>
          <w:rFonts w:ascii="Times New Roman" w:cs="Times New Roman" w:eastAsia="Times New Roman" w:hAnsi="Times New Roman"/>
          <w:sz w:val="18"/>
          <w:szCs w:val="18"/>
          <w:u w:val="single" w:color="auto"/>
          <w:color w:val="auto"/>
        </w:rPr>
      </w:pPr>
    </w:p>
    <w:p>
      <w:pPr>
        <w:jc w:val="both"/>
        <w:ind w:firstLine="757"/>
        <w:spacing w:after="0" w:line="253" w:lineRule="auto"/>
        <w:tabs>
          <w:tab w:leader="none" w:pos="101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Understandings or Arrangements</w:t>
      </w:r>
      <w:r>
        <w:rPr>
          <w:rFonts w:ascii="Times New Roman" w:cs="Times New Roman" w:eastAsia="Times New Roman" w:hAnsi="Times New Roman"/>
          <w:sz w:val="18"/>
          <w:szCs w:val="18"/>
          <w:color w:val="auto"/>
        </w:rPr>
        <w:t>. Such Purchaser is acquiring the Securities as principal for its own account and has no direct or indirect arrangement or understandings with any other persons to distribute or regarding the distribution of such Securities (this representation and warranty not limiting such Purchaser’s right to sell the Securities pursuant to the Registration Statement or otherwise in compliance with applicable federal and state securities laws). Such Purchaser understands that the Securities are “restricted securities” and have not been registered under the Securities Act or any applicable state securities law and is acquiring the Securities as principal for its own account and not with a view to or for distributing or reselling such Securities or any part thereof in violation of the Securities Act or any applicable state or other securities law, has no present intention of distributing any of such Securities in violation of the Securities Act or any applicable state or other securities law and has no direct or indirect arrangement or understandings with any other persons to distribute or regarding the distribution of such Securities in violation of the Securities Act or any applicable state or other securities law (this representation and warranty not limiting such Purchaser’s right to sell the Securities pursuant to the Registration Statement or otherwise in compliance with applicable federal and state securities laws). Such Purchaser is acquiring the Securities hereunder in the ordinary course of its business.</w:t>
      </w:r>
    </w:p>
    <w:p>
      <w:pPr>
        <w:spacing w:after="0" w:line="194" w:lineRule="exact"/>
        <w:rPr>
          <w:rFonts w:ascii="Times New Roman" w:cs="Times New Roman" w:eastAsia="Times New Roman" w:hAnsi="Times New Roman"/>
          <w:sz w:val="18"/>
          <w:szCs w:val="18"/>
          <w:color w:val="auto"/>
        </w:rPr>
      </w:pPr>
    </w:p>
    <w:p>
      <w:pPr>
        <w:jc w:val="both"/>
        <w:ind w:firstLine="757"/>
        <w:spacing w:after="0" w:line="261" w:lineRule="auto"/>
        <w:tabs>
          <w:tab w:leader="none" w:pos="99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Purchaser Status</w:t>
      </w:r>
      <w:r>
        <w:rPr>
          <w:rFonts w:ascii="Times New Roman" w:cs="Times New Roman" w:eastAsia="Times New Roman" w:hAnsi="Times New Roman"/>
          <w:sz w:val="18"/>
          <w:szCs w:val="18"/>
          <w:color w:val="auto"/>
        </w:rPr>
        <w:t>. At the time such Purchaser was offered the Securities it was, and as of the date hereof it is: (i) a “qualified purchaser” as defined in the Securities Act or (ii) a “qualified institutional buyer” as defined in Rule 144A(a)(1) under the Securities Act. Such Purchaser hereby represents that neither such Purchaser nor any of its Rule 506(d) Related Parties (as defined below) is a “bad actor” within the meaning of Rule 506(d) promulgated under</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9" w:name="page20"/>
    <w:bookmarkEnd w:id="19"/>
    <w:p>
      <w:pPr>
        <w:spacing w:after="0" w:line="282" w:lineRule="auto"/>
        <w:rPr>
          <w:sz w:val="20"/>
          <w:szCs w:val="20"/>
          <w:color w:val="auto"/>
        </w:rPr>
      </w:pPr>
      <w:r>
        <w:rPr>
          <w:rFonts w:ascii="Times New Roman" w:cs="Times New Roman" w:eastAsia="Times New Roman" w:hAnsi="Times New Roman"/>
          <w:sz w:val="18"/>
          <w:szCs w:val="18"/>
          <w:color w:val="auto"/>
        </w:rPr>
        <w:t>the Securities Act. For purposes of this Agreement, “</w:t>
      </w:r>
      <w:r>
        <w:rPr>
          <w:rFonts w:ascii="Times New Roman" w:cs="Times New Roman" w:eastAsia="Times New Roman" w:hAnsi="Times New Roman"/>
          <w:sz w:val="18"/>
          <w:szCs w:val="18"/>
          <w:u w:val="single" w:color="auto"/>
          <w:color w:val="auto"/>
        </w:rPr>
        <w:t>Rule 506(d) Related Party</w:t>
      </w:r>
      <w:r>
        <w:rPr>
          <w:rFonts w:ascii="Times New Roman" w:cs="Times New Roman" w:eastAsia="Times New Roman" w:hAnsi="Times New Roman"/>
          <w:sz w:val="18"/>
          <w:szCs w:val="18"/>
          <w:color w:val="auto"/>
        </w:rPr>
        <w:t>” shall mean a person or entity covered by the “Bad Actor disqualification” provision of Rule 506(d) of Regulation D under the Securities Act.</w:t>
      </w:r>
    </w:p>
    <w:p>
      <w:pPr>
        <w:spacing w:after="0" w:line="162" w:lineRule="exact"/>
        <w:rPr>
          <w:sz w:val="20"/>
          <w:szCs w:val="20"/>
          <w:color w:val="auto"/>
        </w:rPr>
      </w:pPr>
    </w:p>
    <w:p>
      <w:pPr>
        <w:jc w:val="both"/>
        <w:ind w:firstLine="757"/>
        <w:spacing w:after="0" w:line="258" w:lineRule="auto"/>
        <w:tabs>
          <w:tab w:leader="none" w:pos="101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Experience of Such Purchaser</w:t>
      </w:r>
      <w:r>
        <w:rPr>
          <w:rFonts w:ascii="Times New Roman" w:cs="Times New Roman" w:eastAsia="Times New Roman" w:hAnsi="Times New Roman"/>
          <w:sz w:val="18"/>
          <w:szCs w:val="18"/>
          <w:color w:val="auto"/>
        </w:rPr>
        <w:t>. Such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and is making its investment in the Securities with a full understanding of all of the terms, conditions and risks associated with such investment and willingly assumes those terms, conditions and risks. Such Purchaser is able to bear the economic risk of an investment in the Securities and, at the present time, is able to afford a complete loss of such investment.</w:t>
      </w:r>
    </w:p>
    <w:p>
      <w:pPr>
        <w:spacing w:after="0" w:line="183" w:lineRule="exact"/>
        <w:rPr>
          <w:rFonts w:ascii="Times New Roman" w:cs="Times New Roman" w:eastAsia="Times New Roman" w:hAnsi="Times New Roman"/>
          <w:sz w:val="18"/>
          <w:szCs w:val="18"/>
          <w:color w:val="auto"/>
        </w:rPr>
      </w:pPr>
    </w:p>
    <w:p>
      <w:pPr>
        <w:jc w:val="both"/>
        <w:ind w:firstLine="757"/>
        <w:spacing w:after="0" w:line="261" w:lineRule="auto"/>
        <w:tabs>
          <w:tab w:leader="none" w:pos="99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Solicitation</w:t>
      </w:r>
      <w:r>
        <w:rPr>
          <w:rFonts w:ascii="Times New Roman" w:cs="Times New Roman" w:eastAsia="Times New Roman" w:hAnsi="Times New Roman"/>
          <w:sz w:val="18"/>
          <w:szCs w:val="18"/>
          <w:color w:val="auto"/>
        </w:rPr>
        <w:t>. Such Purchaser is not, to such Purchaser’s knowledge, purchasing the Securities as a result of any “general solicitation” or “general advertising” (as such terms are defined in Regulation D under the Securities Act), including, without limitation, any advertisement, article, notice or other communication regarding the Securities published in any newspaper, magazine or similar media or the internet or broadcast over television or radio or the internet or any seminar or meeting whose attendees have been invited by general solicitation or general advertising.</w:t>
      </w:r>
    </w:p>
    <w:p>
      <w:pPr>
        <w:spacing w:after="0" w:line="179" w:lineRule="exact"/>
        <w:rPr>
          <w:rFonts w:ascii="Times New Roman" w:cs="Times New Roman" w:eastAsia="Times New Roman" w:hAnsi="Times New Roman"/>
          <w:sz w:val="18"/>
          <w:szCs w:val="18"/>
          <w:color w:val="auto"/>
        </w:rPr>
      </w:pPr>
    </w:p>
    <w:p>
      <w:pPr>
        <w:jc w:val="both"/>
        <w:ind w:firstLine="757"/>
        <w:spacing w:after="0" w:line="253" w:lineRule="auto"/>
        <w:tabs>
          <w:tab w:leader="none" w:pos="98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 Such Purchaser acknowledges that it has had the opportunity to review the Transaction Documents (including all exhibits and schedules thereto), the SEC Reports and such other information that it and its advisers deem necessary to make its decision to invest in the Securities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Such Purchaser acknowledges and agrees that neither the Placement Agent nor any Affiliate of the Placement Agent has provided such Purchaser with any information or advice with respect to the Securities nor is such information or advice necessary or desired. Neither the Placement Agent nor any Affiliate has made or makes any representation as to the Company or the quality of the Securities and the Placement Agent and any Affiliate may have acquired non-public information with respect to the Company which such Purchaser agrees need not be provided to it. In connection with the issuance of the Securities to such Purchaser, neither the Placement Agent nor any of its Affiliates has acted as a financial advisor or fiduciary to such Purchaser.</w:t>
      </w:r>
    </w:p>
    <w:p>
      <w:pPr>
        <w:spacing w:after="0" w:line="189" w:lineRule="exact"/>
        <w:rPr>
          <w:rFonts w:ascii="Times New Roman" w:cs="Times New Roman" w:eastAsia="Times New Roman" w:hAnsi="Times New Roman"/>
          <w:sz w:val="18"/>
          <w:szCs w:val="18"/>
          <w:color w:val="auto"/>
        </w:rPr>
      </w:pPr>
    </w:p>
    <w:p>
      <w:pPr>
        <w:jc w:val="both"/>
        <w:ind w:firstLine="757"/>
        <w:spacing w:after="0" w:line="261" w:lineRule="auto"/>
        <w:tabs>
          <w:tab w:leader="none" w:pos="10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Non-Public Information</w:t>
      </w:r>
      <w:r>
        <w:rPr>
          <w:rFonts w:ascii="Times New Roman" w:cs="Times New Roman" w:eastAsia="Times New Roman" w:hAnsi="Times New Roman"/>
          <w:sz w:val="18"/>
          <w:szCs w:val="18"/>
          <w:color w:val="auto"/>
        </w:rPr>
        <w:t>. Such Purchaser acknowledges that it has received certain non-public information, including financial information and that such non-public financial information is preliminary in nature and subject to change prior to such non-public financial information being disclosed publicly. Such Purchaser acknowledges and agrees that it is making its investment in the Securities with a full understanding of the merits and risks of such non-public financial information.</w:t>
      </w:r>
    </w:p>
    <w:p>
      <w:pPr>
        <w:spacing w:after="0" w:line="180" w:lineRule="exact"/>
        <w:rPr>
          <w:sz w:val="20"/>
          <w:szCs w:val="20"/>
          <w:color w:val="auto"/>
        </w:rPr>
      </w:pPr>
    </w:p>
    <w:p>
      <w:pPr>
        <w:jc w:val="both"/>
        <w:ind w:firstLine="757"/>
        <w:spacing w:after="0" w:line="253" w:lineRule="auto"/>
        <w:tabs>
          <w:tab w:leader="none" w:pos="100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a term sheet (written or oral) from the Company or any other Person representing the Company setting forth the material terms of the transactions contemplated hereunder and ending 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Securities covered by this Agreement.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preclude any actions, with respect to locating or borrowing shares in order to effect Short Sales or similar transactions in the future.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acknowledges and agrees that the representations contained in this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AGREEMENTS OF THE PARTIES</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757"/>
        <w:spacing w:after="0" w:line="255" w:lineRule="auto"/>
        <w:tabs>
          <w:tab w:leader="none" w:pos="101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may only be disposed of in compliance with state and federal securities laws. In connection with any transfer of Securities other than pursuant to an effective registration statement or Rule 144, to the Company or to an Affiliate of a Purchaser or in connection with a pledge as contemplated in Section 4.1(b),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 registration under the Securities Act. As a condition of transfer (other than pursuant to an effective Registration Statement or Rule 144), any such transferee shall agree in writing to be bound by the terms of this Agreement and shall have the rights and obligations of a Purchaser under this Agreement and the Registration Rights Agreement.</w:t>
      </w:r>
    </w:p>
    <w:p>
      <w:pPr>
        <w:spacing w:after="0" w:line="188" w:lineRule="exact"/>
        <w:rPr>
          <w:rFonts w:ascii="Times New Roman" w:cs="Times New Roman" w:eastAsia="Times New Roman" w:hAnsi="Times New Roman"/>
          <w:sz w:val="18"/>
          <w:szCs w:val="18"/>
          <w:color w:val="auto"/>
        </w:rPr>
      </w:pPr>
    </w:p>
    <w:p>
      <w:pPr>
        <w:ind w:firstLine="757"/>
        <w:spacing w:after="0" w:line="282" w:lineRule="auto"/>
        <w:tabs>
          <w:tab w:leader="none" w:pos="101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Purchasers agree to the imprinting, so long as is required by this Section 4.1, of a legend on any of the Securities substantially in the following form:</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SECURITY HAS NOT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MAY BE PLEDGED IN CONNECTION WITH A BONA FIDE MARGIN ACCOUNT WITH A REGISTERED BROKER-DEALER OR OTHER LOAN WITH A FINANCIAL INSTITUTION THAT IS AN “ACCREDITED INVESTOR” AS DEFINED IN RULE 501(a) UNDER THE SECURITIES ACT OR OTHER LOAN SECURED BY SUCH SECURITIES.</w:t>
      </w:r>
    </w:p>
    <w:p>
      <w:pPr>
        <w:spacing w:after="0" w:line="192"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The Company acknowledges and agrees that a Purchaser may from time to time pledge pursuant to a bona fide margin agreement with a registered broker-dealer or grant a security interest in some or all of the Securities to a financial institution that is an “accredited investor” as defined in Rule 501(a) of Regulation D under the Securities Act and, if required under the terms of such arrangement, such Purchaser may transfer pledged or secured Securities to the pledgees or secured parties. Such a pledge or transfer would not be subject to approval of the Company and no legal opinion of legal counsel of the pledgee, secured party or pledgor shall be required in connection therewith. Further, no notice shall be required of such pledge. At the appropriate Purchaser’s expense, the Company will execute and deliver such reasonable documentation as a pledgee or secured party of Securities may reasonably request in connection with a pledge or transfer of the Securities, including, if the Securities are subject to registration pursuant to the Registration Rights Agreement, the preparation and filing of any required prospectus supplement under Rule 424(b)(3) under the Securities Act or other applicable provision of the Securities Act to appropriately amend the list of selling stockholders thereunder.</w:t>
      </w:r>
    </w:p>
    <w:p>
      <w:pPr>
        <w:spacing w:after="0" w:line="188" w:lineRule="exact"/>
        <w:rPr>
          <w:sz w:val="20"/>
          <w:szCs w:val="20"/>
          <w:color w:val="auto"/>
        </w:rPr>
      </w:pPr>
    </w:p>
    <w:p>
      <w:pPr>
        <w:ind w:firstLine="757"/>
        <w:spacing w:after="0" w:line="282" w:lineRule="auto"/>
        <w:tabs>
          <w:tab w:leader="none" w:pos="101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Certificates or book-entry statements evidencing the Shares shall not contain any legend (including the legend set forth in Section 4.1(b) hereof), (i) while a registration statement (including the Registration Statement)</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1" w:name="page22"/>
    <w:bookmarkEnd w:id="21"/>
    <w:p>
      <w:pPr>
        <w:jc w:val="both"/>
        <w:spacing w:after="0" w:line="252" w:lineRule="auto"/>
        <w:rPr>
          <w:sz w:val="20"/>
          <w:szCs w:val="20"/>
          <w:color w:val="auto"/>
        </w:rPr>
      </w:pPr>
      <w:r>
        <w:rPr>
          <w:rFonts w:ascii="Times New Roman" w:cs="Times New Roman" w:eastAsia="Times New Roman" w:hAnsi="Times New Roman"/>
          <w:sz w:val="18"/>
          <w:szCs w:val="18"/>
          <w:color w:val="auto"/>
        </w:rPr>
        <w:t>covering the resale of such security is effective under the Securities Act, (ii) following any sale of such Shares pursuant to Rule 144 and the Company is then in compliance with the current public information required under Rule 144, (iii) if such Shares may be sold under Rule 144, without the requirement for the Company to be in compliance with the current public information required under Rule 144 as to such Shares and without volume or manner-of-sale restrictions, or (iv) if such legend is not required under applicable requirements of the Securities Act (including judicial interpretations and pronouncements issued by the staff of the Commission). The Company shall cause its counsel to issue a legal opinion to the Transfer Agent or the Purchaser promptly after the Effective Date if required by the Transfer Agent to effect the removal of the legend hereunder, or if requested by a Purchaser, respectively. If all or any portion of the Shares may be sold under Rule 144 and the Company is then in compliance with the current public information required under Rule 144, or if the Shares may be sold under Rule 144 without the requirement for the Company to be in compliance with the current public information required under Rule 144 as to such Shares or if such legend is not otherwise required under applicable requirements of the Securities Act (including judicial interpretations and pronouncements issued by the staff of the Commission), then such Shares shall be issued free of all legends. The Company shall cause its counsel to issue a legal opinion to the Transfer Agent promptly after the Effective Date if required by the Transfer Agent to effect the removal of the legend hereunder or if reasonably required by a Purchaser. The Company agrees that following the Effective Date or at such time as such legend is no longer required under this Section 4.1(c), it will, no later than the earlier of (i) two (2) Trading Days and (ii) the number of Trading Days comprising the Standard Settlement Period (as defined below) following the delivery by a Purchaser to the Company or the Transfer Agent of a certificate or book-entry statement representing Shares issued with a restrictive legend (such date, the “</w:t>
      </w:r>
      <w:r>
        <w:rPr>
          <w:rFonts w:ascii="Times New Roman" w:cs="Times New Roman" w:eastAsia="Times New Roman" w:hAnsi="Times New Roman"/>
          <w:sz w:val="18"/>
          <w:szCs w:val="18"/>
          <w:u w:val="single" w:color="auto"/>
          <w:color w:val="auto"/>
        </w:rPr>
        <w:t>Legend Removal Date</w:t>
      </w:r>
      <w:r>
        <w:rPr>
          <w:rFonts w:ascii="Times New Roman" w:cs="Times New Roman" w:eastAsia="Times New Roman" w:hAnsi="Times New Roman"/>
          <w:sz w:val="18"/>
          <w:szCs w:val="18"/>
          <w:color w:val="auto"/>
        </w:rPr>
        <w:t>”), deliver or cause to be delivered to such Purchaser a certificate or book-entry statement representing such shares that is free from all restrictive and other legends. The Company may not make any notation on its records or give instructions to the Transfer Agent that enlarge the restrictions on transfer set forth in this Section 4.1. Certificates or book-entry statements for Securities subject to legend removal hereunder shall be transmitted by the Transfer Agent to the Purchaser by crediting the account of the Purchaser’s prime broker with the Depository Trust Company as directed by such Purchaser. 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Ordinary Shares as in effect on the date of delivery of a certificate or book-entry statement representing Shares issued with a restrictive legend.</w:t>
      </w:r>
    </w:p>
    <w:p>
      <w:pPr>
        <w:spacing w:after="0" w:line="188" w:lineRule="exact"/>
        <w:rPr>
          <w:sz w:val="20"/>
          <w:szCs w:val="20"/>
          <w:color w:val="auto"/>
        </w:rPr>
      </w:pPr>
    </w:p>
    <w:p>
      <w:pPr>
        <w:jc w:val="both"/>
        <w:ind w:firstLine="757"/>
        <w:spacing w:after="0" w:line="258" w:lineRule="auto"/>
        <w:tabs>
          <w:tab w:leader="none" w:pos="102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Purchaser, severally and not jointly with the other Purchasers, agrees with the Company that such Purchaser will sell any Securities pursuant to either the registration requirements of the Securities Act, including any applicable prospectus delivery requirements, or an exemption therefrom, and that if Securities are sold pursuant to a Registration Statement, they will be sold in compliance with the plan of distribution set forth therein, and acknowledges that the removal of the restrictive legend from certificates representing Securities as set forth in this Section 4.1 is predicated upon the Company’s reliance upon this understanding.</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Furnishing of Information; Public Information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757"/>
        <w:spacing w:after="0" w:line="261" w:lineRule="auto"/>
        <w:tabs>
          <w:tab w:leader="none" w:pos="99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at least two years after the Closing Date, the Company covenants to maintain the registration of the Ordinary Shares under Section 12(b) or 12(g) of the Exchange Act and to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w:t>
      </w:r>
    </w:p>
    <w:p>
      <w:pPr>
        <w:spacing w:after="0" w:line="18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The Company shall not sell, offer for sale or solicit offers to buy or otherwise negotiate in respect of any security (as defined in Section 2 of the Securities Act) that would be integrated with the offer or sale of the Securities in a manner that would require the registration under the Securities Act of the sale of the Securities or that would be integrated with the offer or sale of the Securities for purposes of the rules and regulations of any Trading Market such that it would require shareholder approval prior to the closing of such other transaction unless shareholder approval is obtained before the closing of such subsequent transaction.</w:t>
      </w:r>
    </w:p>
    <w:p>
      <w:pPr>
        <w:spacing w:after="0" w:line="183"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Securities Laws Disclosure; Publicity</w:t>
      </w:r>
      <w:r>
        <w:rPr>
          <w:rFonts w:ascii="Times New Roman" w:cs="Times New Roman" w:eastAsia="Times New Roman" w:hAnsi="Times New Roman"/>
          <w:sz w:val="18"/>
          <w:szCs w:val="18"/>
          <w:color w:val="auto"/>
        </w:rPr>
        <w:t>. The Company shall (a) by the Disclosure Time, issue a press release disclosing the material terms of the transactions contemplated hereby, and (b) file a Report of Foreign Private Issuer on Form 6-K, including the Transaction Documents as exhibits thereto, with the Commission within the time required by the Exchange Act. From and after the issuance of such press release, the Company represents to the Purchasers that it shall have publicly disclosed all material, non-public information delivered to any of the Purchasers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2" w:name="page23"/>
    <w:bookmarkEnd w:id="22"/>
    <w:p>
      <w:pPr>
        <w:jc w:val="both"/>
        <w:spacing w:after="0" w:line="252" w:lineRule="auto"/>
        <w:rPr>
          <w:sz w:val="20"/>
          <w:szCs w:val="20"/>
          <w:color w:val="auto"/>
        </w:rPr>
      </w:pPr>
      <w:r>
        <w:rPr>
          <w:rFonts w:ascii="Times New Roman" w:cs="Times New Roman" w:eastAsia="Times New Roman" w:hAnsi="Times New Roman"/>
          <w:sz w:val="18"/>
          <w:szCs w:val="18"/>
          <w:color w:val="auto"/>
        </w:rPr>
        <w:t>by the Company or any of its Subsidiaries, or any of their respective officers, directors, employees, Affiliates or agents, including, without limitation, the Placement Agent, in connection with the transactions contemplated by the Transaction Documents. 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agents, employees, Affiliates or agents, including, without limitation, the Placement Agent, on the one hand, and any of the Purchasers or any of their Affiliates on the other hand, shall terminate. The Company understands and confirms that each Purchaser shall be relying on the foregoing covenant in effecting transactions in securities of the Company. The Company and each Purchaser shall consult with each other in issuing any other press releases with respect to the transactions contemplated hereby, and neither the Company nor any Purchaser shall issue any such press release nor otherwise make any such public statement without the prior consent of the Company, with respect to any press release of any Purchaser, or without the prior consent of each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any Purchaser, or include the name of any Purchaser in any press release or filing with the Commission or any regulatory agency or Trading Market, without the prior written consent of such Purchaser, except (a) as required by federal securities law in connection with (i) any registration statement contemplated by this Agreement and (ii) the filing of final Transaction Documents with the Commission and (b) to the extent such disclosure is required by law or Trading Market regulations, in which case the Company shall provide the Purchasers with prior notice of such disclosure permitted under this clause (b) and reasonably cooperate with such Purchaser regarding such disclosure.</w:t>
      </w:r>
    </w:p>
    <w:p>
      <w:pPr>
        <w:spacing w:after="0" w:line="19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Shareholder Rights Plan</w:t>
      </w:r>
      <w:r>
        <w:rPr>
          <w:rFonts w:ascii="Times New Roman" w:cs="Times New Roman" w:eastAsia="Times New Roman" w:hAnsi="Times New Roman"/>
          <w:sz w:val="18"/>
          <w:szCs w:val="18"/>
          <w:color w:val="auto"/>
        </w:rPr>
        <w:t>. No claim will be made or enforced by the Company or, with the consent of the Company, any other Person, that any Purchaser is an “</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Securities under the Transaction Documents or under any other agreement between the Company and the Purchasers.</w:t>
      </w:r>
    </w:p>
    <w:p>
      <w:pPr>
        <w:spacing w:after="0" w:line="183"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Non-Public Information</w:t>
      </w:r>
      <w:r>
        <w:rPr>
          <w:rFonts w:ascii="Times New Roman" w:cs="Times New Roman" w:eastAsia="Times New Roman" w:hAnsi="Times New Roman"/>
          <w:sz w:val="18"/>
          <w:szCs w:val="18"/>
          <w:color w:val="auto"/>
        </w:rPr>
        <w:t>. Except with respect to the material terms and conditions of the transactions contemplated by the Transaction Documents, which shall be disclosed pursuant to Section 4.4,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in writing to the receipt of such information and agreed in writing with the Company to keep such information confidential. The Company understands and confirms that each Purchaser shall be relying on the foregoing covenant in effecting transactions in securities of the Company. To the extent that the Company, any of its Subsidiaries, or any of their respective officers, directors, agents, employees or Affiliates delivers any material, non-public information to a Purchaser without such Purchaser’s consent, the Company hereby covenants and agrees that such Purchaser shall not have any duty of confidentiality to the Company, any of its Subsidiaries, or any of their respective officers, directors, agents, employees or Affiliates, or a duty to the Company, any of its Subsidiaries or any of their respective officers, directors, agents, employees or Affiliates not to trade on the basis of, such material, non-public information, provided that the Purchaser shall remain subject to applicable law. To the extent that any notice provided pursuant to any Transaction Document constitutes, or contains, material, non-public information regarding the Company or any Subsidiaries, the Company shall simultaneously file such notice with the Commission pursuant to a Report of Foreign Private Issuer on Form 6-K. The Company understands and confirms that each Purchaser shall be relying on the foregoing covenant in effecting transactions in securities of the Company.</w:t>
      </w:r>
    </w:p>
    <w:p>
      <w:pPr>
        <w:spacing w:after="0" w:line="197"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Company shall use the net proceeds from the sale of the Securities hereunder for accelerated investment into their sales organization, potential accretive M&amp;A opportunities and general corporate and working capital purposes and shall not use such proceeds: (a) for the redemption of any Ordinary Shares or Ordinary Share Equivalents, (b) for the settlement of any outstanding litigation or (c) in violation of FCPA or OFAC regulations.</w:t>
      </w:r>
    </w:p>
    <w:p>
      <w:pPr>
        <w:spacing w:after="0" w:line="180"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Indemnification of Purchasers</w:t>
      </w:r>
      <w:r>
        <w:rPr>
          <w:rFonts w:ascii="Times New Roman" w:cs="Times New Roman" w:eastAsia="Times New Roman" w:hAnsi="Times New Roman"/>
          <w:sz w:val="18"/>
          <w:szCs w:val="18"/>
          <w:color w:val="auto"/>
        </w:rPr>
        <w:t>. Subject to the provisions of this Section 4.8, the Company will indemnify and hold each Purchaser and its directors, officers, shareholders, members, partners, employees and agents (and any other Persons with a functionally equivalent role of a Person holding such titles notwithstanding a lack of such title or</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3" w:name="page24"/>
    <w:bookmarkEnd w:id="23"/>
    <w:p>
      <w:pPr>
        <w:jc w:val="both"/>
        <w:spacing w:after="0" w:line="251" w:lineRule="auto"/>
        <w:rPr>
          <w:sz w:val="20"/>
          <w:szCs w:val="20"/>
          <w:color w:val="auto"/>
        </w:rPr>
      </w:pPr>
      <w:r>
        <w:rPr>
          <w:rFonts w:ascii="Times New Roman" w:cs="Times New Roman" w:eastAsia="Times New Roman" w:hAnsi="Times New Roman"/>
          <w:sz w:val="18"/>
          <w:szCs w:val="18"/>
          <w:color w:val="auto"/>
        </w:rPr>
        <w:t>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w:t>
      </w:r>
      <w:r>
        <w:rPr>
          <w:rFonts w:ascii="Times New Roman" w:cs="Times New Roman" w:eastAsia="Times New Roman" w:hAnsi="Times New Roman"/>
          <w:sz w:val="18"/>
          <w:szCs w:val="18"/>
          <w:u w:val="single" w:color="auto"/>
          <w:color w:val="auto"/>
        </w:rPr>
        <w:t>Purchaser Party</w:t>
      </w:r>
      <w:r>
        <w:rPr>
          <w:rFonts w:ascii="Times New Roman" w:cs="Times New Roman" w:eastAsia="Times New Roman" w:hAnsi="Times New Roman"/>
          <w:sz w:val="18"/>
          <w:szCs w:val="18"/>
          <w:color w:val="auto"/>
        </w:rPr>
        <w:t>”)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or (b) any action instituted against the Purchaser Parties in any capacity, or any of them or their respective Affiliates, by any stockholder of the Company who is not an Affiliate of such Purchaser Party, with respect to any of the transactions contemplated by the Transaction Documents (unless such action is solely based upon a material breach of such Purchaser Party’s representations, warranties or covenants under the Transaction Documents or any agreements or understandings such Purchaser Party may have with any such stockholder or any violations by such Purchaser Party of state or federal securities laws or any conduct by such Purchaser Party which is finally judicially determined to constitute fraud, gross negligence or willful misconduct).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(i) the employment thereof has been specifically authorized by the Company in writing, (ii) the Company has failed after a reasonable period of time to assume such defense and to employ counsel or (iii) in such action there is, in the reasonable opinion of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(y) for any settlement by a Purchaser Party effected without the Company’s prior written consent, which shall not be unreasonably withheld or delayed; or (z) to the extent, but only to the extent that a loss, claim, damage or liability is attributable to any Purchaser Party’s breach of any of the representations, warranties, covenants or agreements made by such Purchaser Party in this Agreement or in the other Transaction Documents. The indemnification required by this Section 4.8 shall be made by periodic payments of the amount thereof during the course of the investigation or defense, as and when bills are received or are incurred. The indemnity agreements contained herein shall be in addition to any cause of action or similar right of any Purchaser Party against the Company or others and any liabilities the Company may be subject to pursuant to law.</w:t>
      </w:r>
    </w:p>
    <w:p>
      <w:pPr>
        <w:spacing w:after="0" w:line="204"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Reservation of Ordinary Shares</w:t>
      </w:r>
      <w:r>
        <w:rPr>
          <w:rFonts w:ascii="Times New Roman" w:cs="Times New Roman" w:eastAsia="Times New Roman" w:hAnsi="Times New Roman"/>
          <w:sz w:val="18"/>
          <w:szCs w:val="18"/>
          <w:color w:val="auto"/>
        </w:rPr>
        <w:t>. As of the date hereof, the Company has reserved and the Company shall continue to reserve and keep available at all times, free of preemptive rights, a sufficient number of Ordinary Shares for the purpose of enabling the Company to issue Shares pursuant to this Agreement.</w:t>
      </w:r>
    </w:p>
    <w:p>
      <w:pPr>
        <w:spacing w:after="0" w:line="176"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Listing of Ordinary Shares</w:t>
      </w:r>
      <w:r>
        <w:rPr>
          <w:rFonts w:ascii="Times New Roman" w:cs="Times New Roman" w:eastAsia="Times New Roman" w:hAnsi="Times New Roman"/>
          <w:sz w:val="18"/>
          <w:szCs w:val="18"/>
          <w:color w:val="auto"/>
        </w:rPr>
        <w:t>. The Company hereby agrees to use its best efforts to maintain the listing or quotation of the Ordinary Shares on the Trading Market on which it is currently listed, and the Company shall apply to list or quote all of the Shares on such Trading Market prior to the Closing and promptly secure the listing of all of the Shares on such Trading Market prior to Closing provided that such Shares are eligible for listing on such Trading Market at the relevant time. The Company further agrees, if the Company applies to have the Ordinary Shares traded on any other Trading Market, it will then include in such application all of the Shares and will take such other action as is necessary to cause all of the Shares to be listed or quoted on such other Trading Market as promptly as possible and provided that such Shares are eligible for listing on such other Trading Market at the relevant time. The Company will then take all action reasonably necessary to maintain the listing and trading of its Ordinary Shares on a Trading Market and will comply in all respects with the Company’s reporting, filing and other obligations under the bylaws or rules of the Trading Market. The Company agrees to maintain the eligibility of the Ordinary Shares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spacing w:after="0" w:line="1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4.11 [Reserved]</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Subsequent Equity Sales</w:t>
      </w:r>
      <w:r>
        <w:rPr>
          <w:rFonts w:ascii="Times New Roman" w:cs="Times New Roman" w:eastAsia="Times New Roman" w:hAnsi="Times New Roman"/>
          <w:sz w:val="18"/>
          <w:szCs w:val="18"/>
          <w:color w:val="auto"/>
        </w:rPr>
        <w:t>. From the date hereof until sixty (60) days after the Effective Date, neither the Company nor any Subsidiary shall</w:t>
      </w:r>
    </w:p>
    <w:p>
      <w:pPr>
        <w:spacing w:after="0" w:line="27" w:lineRule="exact"/>
        <w:rPr>
          <w:sz w:val="20"/>
          <w:szCs w:val="20"/>
          <w:color w:val="auto"/>
        </w:rPr>
      </w:pPr>
    </w:p>
    <w:p>
      <w:pPr>
        <w:ind w:left="220" w:hanging="212"/>
        <w:spacing w:after="0"/>
        <w:tabs>
          <w:tab w:leader="none" w:pos="2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enter into any agreement to issue or announce the issuance or proposed</w:t>
      </w:r>
    </w:p>
    <w:p>
      <w:pPr>
        <w:spacing w:after="0" w:line="175" w:lineRule="exact"/>
        <w:rPr>
          <w:rFonts w:ascii="Times New Roman" w:cs="Times New Roman" w:eastAsia="Times New Roman" w:hAnsi="Times New Roman"/>
          <w:sz w:val="18"/>
          <w:szCs w:val="18"/>
          <w:color w:val="auto"/>
        </w:rPr>
      </w:pPr>
    </w:p>
    <w:p>
      <w:pPr>
        <w:ind w:left="5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4" w:name="page25"/>
    <w:bookmarkEnd w:id="24"/>
    <w:p>
      <w:pPr>
        <w:jc w:val="both"/>
        <w:spacing w:after="0" w:line="253" w:lineRule="auto"/>
        <w:rPr>
          <w:sz w:val="20"/>
          <w:szCs w:val="20"/>
          <w:color w:val="auto"/>
        </w:rPr>
      </w:pPr>
      <w:r>
        <w:rPr>
          <w:rFonts w:ascii="Times New Roman" w:cs="Times New Roman" w:eastAsia="Times New Roman" w:hAnsi="Times New Roman"/>
          <w:sz w:val="18"/>
          <w:szCs w:val="18"/>
          <w:color w:val="auto"/>
        </w:rPr>
        <w:t>issuance of any Ordinary Shares or Ordinary Share Equivalents, other than (A) the issuance of Ordinary Shares pursuant to such an agreement already in existence at the date of this Agreement and described on Schedule 3.1(bb) or pursuant to a shareholder approved equity incentive plan, (B) the issuance of Ordinary Shares in connection with strategic acquisitions, joint ventures, or other similar strategic transactions, and (C) the entry into an at-the-market facility (the “</w:t>
      </w:r>
      <w:r>
        <w:rPr>
          <w:rFonts w:ascii="Times New Roman" w:cs="Times New Roman" w:eastAsia="Times New Roman" w:hAnsi="Times New Roman"/>
          <w:sz w:val="18"/>
          <w:szCs w:val="18"/>
          <w:u w:val="single" w:color="auto"/>
          <w:color w:val="auto"/>
        </w:rPr>
        <w:t>ATM</w:t>
      </w:r>
      <w:r>
        <w:rPr>
          <w:rFonts w:ascii="Times New Roman" w:cs="Times New Roman" w:eastAsia="Times New Roman" w:hAnsi="Times New Roman"/>
          <w:sz w:val="18"/>
          <w:szCs w:val="18"/>
          <w:color w:val="auto"/>
        </w:rPr>
        <w:t>”) with the Placement Agent and/or such other sales agents as the Company may designate providing for the sale of Ordinary Shares in one or more “at-the-market” offerings, block trades, or similar primary offering transactions, or (ii) file any registration statement or any amendment or supplement thereto, other than (A) a registration statement on Form S-8 with respect to a shareholder approved equity incentive plan, (B) the registration statement described in the Registration Rights Agreement, (C) any post-effective amendment to an existing registration statement on Form F-1 or any post-effective amendment to Form F-1 on Form F-3 for the purpose of converting any existing registration statement on Form F-1 to Form F-3, or (D) ten (10) days after the Effective Date, a universal shelf registration statement on Form F-3 (the “New Shelf Registration Statement), including, without limitation, with respect to an ATM or the resale of Ordinary Shares issued or issuable in connection with strategic acquisitions, joint ventures, or other similar strategic transactions. Notwithstanding anything contained in Section 4.12 to the contrary, at any time on or after the date the New Shelf Registration Statement is declared effective by the Commission, the Company shall be permitted to conduct sales of up to 48,034,860 of its Ordinary Shares pursuant to the ATM.</w:t>
      </w:r>
    </w:p>
    <w:p>
      <w:pPr>
        <w:spacing w:after="0" w:line="18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Equal Treatment of Purchasers</w:t>
      </w:r>
      <w:r>
        <w:rPr>
          <w:rFonts w:ascii="Times New Roman" w:cs="Times New Roman" w:eastAsia="Times New Roman" w:hAnsi="Times New Roman"/>
          <w:sz w:val="18"/>
          <w:szCs w:val="18"/>
          <w:color w:val="auto"/>
        </w:rPr>
        <w:t>. No consideration (including any modification of any Transaction Document) shall be offered or paid to any Person to amend or consent to a waiver or modification of any provision of the Transaction Documents unless the same consideration is also offered to all of the parties to the Transaction Documents.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Securities or otherwise.</w:t>
      </w:r>
    </w:p>
    <w:p>
      <w:pPr>
        <w:spacing w:after="0" w:line="183"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4.4. Each Purchaser, severally and not jointly with the other Purchasers, covenants that until such time as the transactions contemplated by this Agreement are publicly disclosed by the Company pursuant to the initial press release as described in Section 4.4, such Purchaser will maintain the confidentiality of the existence and terms of this transaction and the information included in the Disclosure Schedules (other than as disclosed to its legal and other representatives).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4.4,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4.4 and (iii) no Purchaser shall have any duty of confidentiality or duty not to trade in the securities of the Company to the Company or its Subsidiaries after the issuance of the initial press release as described in Section 4.4.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Securities covered by this Agreement.</w:t>
      </w:r>
    </w:p>
    <w:p>
      <w:pPr>
        <w:spacing w:after="0" w:line="192"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 xml:space="preserve">4.15 </w:t>
      </w:r>
      <w:r>
        <w:rPr>
          <w:rFonts w:ascii="Times New Roman" w:cs="Times New Roman" w:eastAsia="Times New Roman" w:hAnsi="Times New Roman"/>
          <w:sz w:val="18"/>
          <w:szCs w:val="18"/>
          <w:u w:val="single" w:color="auto"/>
          <w:color w:val="auto"/>
        </w:rPr>
        <w:t>Form D; Blue Sky Filings</w:t>
      </w:r>
      <w:r>
        <w:rPr>
          <w:rFonts w:ascii="Times New Roman" w:cs="Times New Roman" w:eastAsia="Times New Roman" w:hAnsi="Times New Roman"/>
          <w:sz w:val="18"/>
          <w:szCs w:val="18"/>
          <w:color w:val="auto"/>
        </w:rPr>
        <w:t>. The Company agrees to timely file a Form D with respect to the Securities as required under Regulation D and to provide a copy thereof, promptly upon request of any Purchaser. The Company shall take such action as the Company shall reasonably determine is necessary in order to obtain an exemption for, or to qualify the Securities for, sale to the Purchasers at the Closing under applicable securities or “Blue Sky” laws of the states of the United States and shall provide evidence of such actions promptly upon request of any Purchaser.</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5" w:name="page26"/>
    <w:bookmarkEnd w:id="25"/>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 xml:space="preserve">4.16 </w:t>
      </w:r>
      <w:r>
        <w:rPr>
          <w:rFonts w:ascii="Times New Roman" w:cs="Times New Roman" w:eastAsia="Times New Roman" w:hAnsi="Times New Roman"/>
          <w:sz w:val="18"/>
          <w:szCs w:val="18"/>
          <w:u w:val="single" w:color="auto"/>
          <w:color w:val="auto"/>
        </w:rPr>
        <w:t>Acknowledgment of Dilution</w:t>
      </w:r>
      <w:r>
        <w:rPr>
          <w:rFonts w:ascii="Times New Roman" w:cs="Times New Roman" w:eastAsia="Times New Roman" w:hAnsi="Times New Roman"/>
          <w:sz w:val="18"/>
          <w:szCs w:val="18"/>
          <w:color w:val="auto"/>
        </w:rPr>
        <w:t>. The Company acknowledges that the issuance of the Securities may result in dilution of the outstanding Ordinary Shares, which dilution may be substantial under certain market conditions. The Company further acknowledges that its obligations under the Transaction Documents, including, without limitation, its obligation to issue the Shares pursuant to the Transaction Documents, are unconditional and absolute and not subject to any right of set off, counterclaim, delay or reduction, regardless of the effect of any such dilution or any claim the Company may have against any Purchaser and regardless of the dilutive effect that such issuance may have on the ownership of the other stockholders of the Company.</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4.17 </w:t>
      </w:r>
      <w:r>
        <w:rPr>
          <w:rFonts w:ascii="Times New Roman" w:cs="Times New Roman" w:eastAsia="Times New Roman" w:hAnsi="Times New Roman"/>
          <w:sz w:val="18"/>
          <w:szCs w:val="18"/>
          <w:u w:val="single" w:color="auto"/>
          <w:color w:val="auto"/>
        </w:rPr>
        <w:t>[Reserved].</w:t>
      </w:r>
    </w:p>
    <w:p>
      <w:pPr>
        <w:spacing w:after="0" w:line="225"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 xml:space="preserve">4.18 </w:t>
      </w:r>
      <w:r>
        <w:rPr>
          <w:rFonts w:ascii="Times New Roman" w:cs="Times New Roman" w:eastAsia="Times New Roman" w:hAnsi="Times New Roman"/>
          <w:sz w:val="18"/>
          <w:szCs w:val="18"/>
          <w:u w:val="single" w:color="auto"/>
          <w:color w:val="auto"/>
        </w:rPr>
        <w:t>Lock-Up Agreements</w:t>
      </w:r>
      <w:r>
        <w:rPr>
          <w:rFonts w:ascii="Times New Roman" w:cs="Times New Roman" w:eastAsia="Times New Roman" w:hAnsi="Times New Roman"/>
          <w:sz w:val="18"/>
          <w:szCs w:val="18"/>
          <w:color w:val="auto"/>
        </w:rPr>
        <w:t>. The Company shall not amend, modify, waive or terminate any provision of any of the Lock-Up Agreements without the prior written consent of the Placement Agent, except to extend the term of the lock-up period, and shall enforce the provisions of each Lock-Up Agreement in accordance with its terms. If any party to a Lock-Up Agreement breaches any provision of a Lock-Up Agreement, the Company shall promptly use its best efforts to seek specific performance of the terms of such Lock-Up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by any Purchaser, as to such Purchaser’s obligations hereunder only and without any effect whatsoever on the obligations between the Company and the other Purchasers, by written notice to the other parties, if the Closing has not been</w:t>
      </w:r>
    </w:p>
    <w:p>
      <w:pPr>
        <w:jc w:val="both"/>
        <w:spacing w:after="0" w:line="205" w:lineRule="auto"/>
        <w:rPr>
          <w:sz w:val="20"/>
          <w:szCs w:val="20"/>
          <w:color w:val="auto"/>
        </w:rPr>
      </w:pPr>
      <w:r>
        <w:rPr>
          <w:rFonts w:ascii="Times New Roman" w:cs="Times New Roman" w:eastAsia="Times New Roman" w:hAnsi="Times New Roman"/>
          <w:sz w:val="18"/>
          <w:szCs w:val="18"/>
          <w:color w:val="auto"/>
        </w:rPr>
        <w:t>consummated on or before the fifth (5</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xml:space="preserve">) Trading Day following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termination will affect the right of any party to sue for any breach by any other party (or parties).</w:t>
      </w:r>
    </w:p>
    <w:p>
      <w:pPr>
        <w:spacing w:after="0" w:line="19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exercise notice delivered by a Purchaser), stamp taxes and other taxes and duties levied in connection with the delivery of any Securities to the Purchasers.</w:t>
      </w:r>
    </w:p>
    <w:p>
      <w:pPr>
        <w:spacing w:after="0" w:line="183"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Transaction Documents, together with the exhibits and schedules thereto,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spacing w:after="0" w:line="17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required or permitted to be provided hereunder shall be in writing and shall be deemed given and effective on the earliest of: (a) the time of transmission, if such notice or communication is delivered via facsimile at the facsimile number or email attachment at the email address as set forth on the signature pages attached hereto at or prior to 5:30 p.m. (New York City time) on a Trading Day, (b) the next Trading Day after the time of transmission, if such notice or communication is delivered via facsimile at the facsimile number or email attachment at the email address as set forth on the signature pages attached hereto on a day that is not a Trading Day or later than 5:30</w:t>
      </w:r>
    </w:p>
    <w:p>
      <w:pPr>
        <w:spacing w:after="0" w:line="3"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p.m. (New York City time) on any Trading Day, (c) the second (2</w:t>
      </w:r>
      <w:r>
        <w:rPr>
          <w:rFonts w:ascii="Times New Roman" w:cs="Times New Roman" w:eastAsia="Times New Roman" w:hAnsi="Times New Roman"/>
          <w:sz w:val="30"/>
          <w:szCs w:val="30"/>
          <w:color w:val="auto"/>
          <w:vertAlign w:val="superscript"/>
        </w:rPr>
        <w:t>nd</w:t>
      </w:r>
      <w:r>
        <w:rPr>
          <w:rFonts w:ascii="Times New Roman" w:cs="Times New Roman" w:eastAsia="Times New Roman" w:hAnsi="Times New Roman"/>
          <w:sz w:val="18"/>
          <w:szCs w:val="18"/>
          <w:color w:val="auto"/>
        </w:rPr>
        <w:t>)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 To the extent that any notice provided pursuant to any Transaction Document constitutes, or contains material, non-public information regarding the Company or any of the Subsidiaries, the Company shall simultaneously file such notice with the Commission pursuant to a Report of Foreign Private Issuer on Form 6-K.</w:t>
      </w:r>
    </w:p>
    <w:p>
      <w:pPr>
        <w:spacing w:after="0" w:line="19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Amendments; Waivers</w:t>
      </w:r>
      <w:r>
        <w:rPr>
          <w:rFonts w:ascii="Times New Roman" w:cs="Times New Roman" w:eastAsia="Times New Roman" w:hAnsi="Times New Roman"/>
          <w:sz w:val="18"/>
          <w:szCs w:val="18"/>
          <w:color w:val="auto"/>
        </w:rPr>
        <w:t>. No provision of this Agreement may be waived, modified, supplemented or amended except in a written instrument signed, in the case of an amendment, by the Company and Purchasers which purchased at least 50.1% in interest of the Shares based on the initial Subscription Amounts hereunder (or, prior to the Closing Date, the Company and each Purchaser) or, in the case of a waiver, by the party against whom enforcement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6" w:name="page27"/>
    <w:bookmarkEnd w:id="26"/>
    <w:p>
      <w:pPr>
        <w:jc w:val="both"/>
        <w:spacing w:after="0" w:line="254" w:lineRule="auto"/>
        <w:rPr>
          <w:sz w:val="20"/>
          <w:szCs w:val="20"/>
          <w:color w:val="auto"/>
        </w:rPr>
      </w:pPr>
      <w:r>
        <w:rPr>
          <w:rFonts w:ascii="Times New Roman" w:cs="Times New Roman" w:eastAsia="Times New Roman" w:hAnsi="Times New Roman"/>
          <w:sz w:val="18"/>
          <w:szCs w:val="18"/>
          <w:color w:val="auto"/>
        </w:rPr>
        <w:t>of any such waived provision is sought, provided that if any amendment, modification or waiver disproportionately and adversely impacts a Purchaser (or group of Purchasers), the consent of such disproportionately impacted Purchaser (or group of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proposed amendment or waiver that disproportionately, materially and adversely affects the rights and obligations of any Purchaser relative to the comparable rights and obligations of the other Purchasers shall require the prior written consent of such adversely affected Purchaser. Any amendment effected in accordance with this Section 5.5 shall be binding upon each Purchaser and holder of Securities and the Company.</w:t>
      </w:r>
    </w:p>
    <w:p>
      <w:pPr>
        <w:spacing w:after="0" w:line="192"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herein are for convenience only, do not constitute a part of this Agreement and shall not be deemed to limit or affect any of the provisions hereof.</w:t>
      </w:r>
    </w:p>
    <w:p>
      <w:pPr>
        <w:spacing w:after="0" w:line="16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and inure to the benefit of the parties and their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Securities, provided that such transferee agrees in writing to be bound, with respect to the transferred Securities, by the provisions of the Transaction Documents that apply to the “Purchasers” (other than in respect of a transfer pursuant to an effective registration statement).</w:t>
      </w:r>
    </w:p>
    <w:p>
      <w:pPr>
        <w:spacing w:after="0" w:line="183"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Third-Party Beneficiaries</w:t>
      </w:r>
      <w:r>
        <w:rPr>
          <w:rFonts w:ascii="Times New Roman" w:cs="Times New Roman" w:eastAsia="Times New Roman" w:hAnsi="Times New Roman"/>
          <w:sz w:val="18"/>
          <w:szCs w:val="18"/>
          <w:color w:val="auto"/>
        </w:rPr>
        <w:t>. The Placement Agent shall be the third party beneficiary of the representations and warranties of the Company in Section 3.1 and the representations and warranties of the Purchasers in Section 3.2. This Agreement is intended for the benefit of the parties hereto and their respective successors and permitted assigns and is not for the benefit of, nor may any provision hereof be enforced by, any other Person, except as otherwise set forth in Section 4.8 and this Section 5.8.</w:t>
      </w:r>
    </w:p>
    <w:p>
      <w:pPr>
        <w:spacing w:after="0" w:line="180"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Section 4.8, the prevailing party in such Action or Proceeding shall be reimbursed by the non-prevailing party for its reasonable attorneys’ fees and other costs and expenses incurred with the investigation, preparation and prosecution of such Action or Proceeding.</w:t>
      </w:r>
    </w:p>
    <w:p>
      <w:pPr>
        <w:spacing w:after="0" w:line="19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representations and warranties contained herein shall survive the Closing and the delivery of the Securities.</w:t>
      </w:r>
    </w:p>
    <w:p>
      <w:pPr>
        <w:spacing w:after="0" w:line="225"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Execution</w:t>
      </w:r>
      <w:r>
        <w:rPr>
          <w:rFonts w:ascii="Times New Roman" w:cs="Times New Roman" w:eastAsia="Times New Roman" w:hAnsi="Times New Roman"/>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7" w:name="page28"/>
    <w:bookmarkEnd w:id="27"/>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counterpart. In the event that any signature is delivered by facsimile transmission or by e-mail delivery of a “.pdf” format data file or DocuSign, such signature shall create a valid and binding obligation of the party executing (or on whose behalf such signature is executed) with the same force and effect as if such facsimile or “.pdf” or DocuSign signature page were an original thereof.</w:t>
      </w:r>
    </w:p>
    <w:p>
      <w:pPr>
        <w:spacing w:after="0" w:line="17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8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Rescission and Withdrawal Right</w:t>
      </w:r>
      <w:r>
        <w:rPr>
          <w:rFonts w:ascii="Times New Roman" w:cs="Times New Roman" w:eastAsia="Times New Roman" w:hAnsi="Times New Roman"/>
          <w:sz w:val="18"/>
          <w:szCs w:val="18"/>
          <w:color w:val="auto"/>
        </w:rPr>
        <w:t>.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w:t>
      </w:r>
    </w:p>
    <w:p>
      <w:pPr>
        <w:spacing w:after="0" w:line="183"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Replacement of Securities</w:t>
      </w:r>
      <w:r>
        <w:rPr>
          <w:rFonts w:ascii="Times New Roman" w:cs="Times New Roman" w:eastAsia="Times New Roman" w:hAnsi="Times New Roman"/>
          <w:sz w:val="18"/>
          <w:szCs w:val="18"/>
          <w:color w:val="auto"/>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and receipt of a duly executed indemnity for lost share certificate reasonably satisfactory to the Company. The applicant for a new certificate or instrument under such circumstances shall also pay any reasonable third-party costs (including customary indemnity) associated with the issuance of such replacement Securities.</w:t>
      </w:r>
    </w:p>
    <w:p>
      <w:pPr>
        <w:spacing w:after="0" w:line="187"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spacing w:after="0" w:line="180"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 xml:space="preserve">5.16 </w:t>
      </w:r>
      <w:r>
        <w:rPr>
          <w:rFonts w:ascii="Times New Roman" w:cs="Times New Roman" w:eastAsia="Times New Roman" w:hAnsi="Times New Roman"/>
          <w:sz w:val="18"/>
          <w:szCs w:val="18"/>
          <w:u w:val="single" w:color="auto"/>
          <w:color w:val="auto"/>
        </w:rPr>
        <w:t>Payment Set Aside</w:t>
      </w:r>
      <w:r>
        <w:rPr>
          <w:rFonts w:ascii="Times New Roman" w:cs="Times New Roman" w:eastAsia="Times New Roman" w:hAnsi="Times New Roman"/>
          <w:sz w:val="18"/>
          <w:szCs w:val="18"/>
          <w:color w:val="auto"/>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187"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 xml:space="preserve">5.17 </w:t>
      </w:r>
      <w:r>
        <w:rPr>
          <w:rFonts w:ascii="Times New Roman" w:cs="Times New Roman" w:eastAsia="Times New Roman" w:hAnsi="Times New Roman"/>
          <w:sz w:val="18"/>
          <w:szCs w:val="18"/>
          <w:u w:val="single" w:color="auto"/>
          <w:color w:val="auto"/>
        </w:rPr>
        <w:t>Independent Nature of Purchasers’ Obligations and Rights</w:t>
      </w:r>
      <w:r>
        <w:rPr>
          <w:rFonts w:ascii="Times New Roman" w:cs="Times New Roman" w:eastAsia="Times New Roman" w:hAnsi="Times New Roman"/>
          <w:sz w:val="18"/>
          <w:szCs w:val="18"/>
          <w:color w:val="auto"/>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For reasons of</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8" w:name="page29"/>
    <w:bookmarkEnd w:id="28"/>
    <w:p>
      <w:pPr>
        <w:jc w:val="both"/>
        <w:spacing w:after="0" w:line="256" w:lineRule="auto"/>
        <w:rPr>
          <w:sz w:val="20"/>
          <w:szCs w:val="20"/>
          <w:color w:val="auto"/>
        </w:rPr>
      </w:pPr>
      <w:r>
        <w:rPr>
          <w:rFonts w:ascii="Times New Roman" w:cs="Times New Roman" w:eastAsia="Times New Roman" w:hAnsi="Times New Roman"/>
          <w:sz w:val="18"/>
          <w:szCs w:val="18"/>
          <w:color w:val="auto"/>
        </w:rPr>
        <w:t>administrative convenience only, each Purchaser and its respective counsel have chosen to communicate with the Company through the legal counsel to the Placement Agent. The legal counsel of the Placement Agent does not represent any of the Purchasers and only represents the Placement Agent.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spacing w:after="0" w:line="187"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 xml:space="preserve">5.18 </w:t>
      </w:r>
      <w:r>
        <w:rPr>
          <w:rFonts w:ascii="Times New Roman" w:cs="Times New Roman" w:eastAsia="Times New Roman" w:hAnsi="Times New Roman"/>
          <w:sz w:val="18"/>
          <w:szCs w:val="18"/>
          <w:u w:val="single" w:color="auto"/>
          <w:color w:val="auto"/>
        </w:rPr>
        <w:t>Liquidated Damages</w:t>
      </w:r>
      <w:r>
        <w:rPr>
          <w:rFonts w:ascii="Times New Roman" w:cs="Times New Roman" w:eastAsia="Times New Roman" w:hAnsi="Times New Roman"/>
          <w:sz w:val="18"/>
          <w:szCs w:val="18"/>
          <w:color w:val="auto"/>
        </w:rPr>
        <w:t>. 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p>
    <w:p>
      <w:pPr>
        <w:spacing w:after="0" w:line="180"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 xml:space="preserve">5.19 </w:t>
      </w: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6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 xml:space="preserve">5.20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Ordinary Shares in any Transaction Document shall be subject to adjustment for reverse and forward stock splits, stock dividends, stock combinations and other similar transactions of the Ordinary Shares that occur after the date of this Agreement.</w:t>
      </w:r>
    </w:p>
    <w:p>
      <w:pPr>
        <w:spacing w:after="0" w:line="179"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color w:val="auto"/>
        </w:rPr>
        <w:t xml:space="preserve">5.21 </w:t>
      </w: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IN ANY ACTION, SUIT, OR PROCEEDING IN ANY JURISDICTION BROUGHT BY 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PARTY AGAINST ANY OTHER PARTY, THE PARTIES EACH KNOWINGLY AND INTENTIONALLY, TO THE GREATEST EXTENT PERMITTED BY APPLICABLE LAW, HEREBY ABSOLUTELY, UNCONDITIONALLY, IRREVOCABLY AND EXPRESSLY WAIVES FOREVER TRIAL BY JURY.</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9" w:name="page30"/>
    <w:bookmarkEnd w:id="29"/>
    <w:p>
      <w:pPr>
        <w:spacing w:after="0" w:line="194"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Securities Purchase Agreement to be duly executed by their respective authorized signatories as of the date first indicated above.</w:t>
      </w:r>
    </w:p>
    <w:p>
      <w:pPr>
        <w:spacing w:after="0" w:line="162"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u w:val="single" w:color="auto"/>
          <w:color w:val="auto"/>
        </w:rPr>
        <w:t>Address for Notice</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REZOLVE AI PLC</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364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Rezolve AI plc</w:t>
            </w:r>
          </w:p>
        </w:tc>
        <w:tc>
          <w:tcPr>
            <w:tcW w:w="0" w:type="dxa"/>
            <w:vAlign w:val="bottom"/>
          </w:tcPr>
          <w:p>
            <w:pPr>
              <w:spacing w:after="0"/>
              <w:rPr>
                <w:sz w:val="1"/>
                <w:szCs w:val="1"/>
                <w:color w:val="auto"/>
              </w:rPr>
            </w:pPr>
          </w:p>
        </w:tc>
      </w:tr>
      <w:tr>
        <w:trPr>
          <w:trHeight w:val="221"/>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940" w:type="dxa"/>
            <w:vAlign w:val="bottom"/>
            <w:tcBorders>
              <w:bottom w:val="single" w:sz="8" w:color="auto"/>
            </w:tcBorders>
          </w:tcPr>
          <w:p>
            <w:pPr>
              <w:spacing w:after="0"/>
              <w:rPr>
                <w:sz w:val="19"/>
                <w:szCs w:val="19"/>
                <w:color w:val="auto"/>
              </w:rPr>
            </w:pPr>
          </w:p>
        </w:tc>
        <w:tc>
          <w:tcPr>
            <w:tcW w:w="3640" w:type="dxa"/>
            <w:vAlign w:val="bottom"/>
            <w:vMerge w:val="restart"/>
          </w:tcPr>
          <w:p>
            <w:pPr>
              <w:ind w:left="2240"/>
              <w:spacing w:after="0"/>
              <w:rPr>
                <w:sz w:val="20"/>
                <w:szCs w:val="20"/>
                <w:color w:val="auto"/>
              </w:rPr>
            </w:pPr>
            <w:r>
              <w:rPr>
                <w:rFonts w:ascii="Times New Roman" w:cs="Times New Roman" w:eastAsia="Times New Roman" w:hAnsi="Times New Roman"/>
                <w:sz w:val="18"/>
                <w:szCs w:val="18"/>
                <w:color w:val="auto"/>
              </w:rPr>
              <w:t>21 Sackville Street</w:t>
            </w:r>
          </w:p>
        </w:tc>
        <w:tc>
          <w:tcPr>
            <w:tcW w:w="0" w:type="dxa"/>
            <w:vAlign w:val="bottom"/>
          </w:tcPr>
          <w:p>
            <w:pPr>
              <w:spacing w:after="0"/>
              <w:rPr>
                <w:sz w:val="1"/>
                <w:szCs w:val="1"/>
                <w:color w:val="auto"/>
              </w:rPr>
            </w:pPr>
          </w:p>
        </w:tc>
      </w:tr>
      <w:tr>
        <w:trPr>
          <w:trHeight w:val="191"/>
        </w:trPr>
        <w:tc>
          <w:tcPr>
            <w:tcW w:w="240" w:type="dxa"/>
            <w:vAlign w:val="bottom"/>
          </w:tcPr>
          <w:p>
            <w:pPr>
              <w:spacing w:after="0"/>
              <w:rPr>
                <w:sz w:val="16"/>
                <w:szCs w:val="16"/>
                <w:color w:val="auto"/>
              </w:rPr>
            </w:pPr>
          </w:p>
        </w:tc>
        <w:tc>
          <w:tcPr>
            <w:tcW w:w="3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Title:</w:t>
            </w:r>
          </w:p>
        </w:tc>
        <w:tc>
          <w:tcPr>
            <w:tcW w:w="3640" w:type="dxa"/>
            <w:vAlign w:val="bottom"/>
          </w:tcPr>
          <w:p>
            <w:pPr>
              <w:ind w:left="2240"/>
              <w:spacing w:after="0"/>
              <w:rPr>
                <w:sz w:val="20"/>
                <w:szCs w:val="20"/>
                <w:color w:val="auto"/>
              </w:rPr>
            </w:pPr>
            <w:r>
              <w:rPr>
                <w:rFonts w:ascii="Times New Roman" w:cs="Times New Roman" w:eastAsia="Times New Roman" w:hAnsi="Times New Roman"/>
                <w:sz w:val="18"/>
                <w:szCs w:val="18"/>
                <w:color w:val="auto"/>
                <w:w w:val="98"/>
              </w:rPr>
              <w:t>London, W1S 3DN</w:t>
            </w:r>
          </w:p>
        </w:tc>
        <w:tc>
          <w:tcPr>
            <w:tcW w:w="0" w:type="dxa"/>
            <w:vAlign w:val="bottom"/>
          </w:tcPr>
          <w:p>
            <w:pPr>
              <w:spacing w:after="0"/>
              <w:rPr>
                <w:sz w:val="1"/>
                <w:szCs w:val="1"/>
                <w:color w:val="auto"/>
              </w:rPr>
            </w:pPr>
          </w:p>
        </w:tc>
      </w:tr>
      <w:tr>
        <w:trPr>
          <w:trHeight w:val="234"/>
        </w:trPr>
        <w:tc>
          <w:tcPr>
            <w:tcW w:w="2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364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648"/>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FOR PURCHASER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0" w:name="page31"/>
    <w:bookmarkEnd w:id="30"/>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[PURCHASER SIGNATURE PAGES TO RVLZ SECURITIES PURCHASE AGREEMENT]</w:t>
      </w:r>
    </w:p>
    <w:p>
      <w:pPr>
        <w:spacing w:after="0" w:line="225"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have caused this Securities Purchase Agreement to be duly executed by their respective authorized signatories as of the date first indicated above.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8890</wp:posOffset>
            </wp:positionV>
            <wp:extent cx="427736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277360" cy="8890"/>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10160</wp:posOffset>
            </wp:positionV>
            <wp:extent cx="42773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8890</wp:posOffset>
            </wp:positionV>
            <wp:extent cx="42773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8890</wp:posOffset>
            </wp:positionV>
            <wp:extent cx="42773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8890</wp:posOffset>
            </wp:positionV>
            <wp:extent cx="42773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 to Purchaser: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Delivery of Securities (including depositary receipt certificates) to Purchaser (if not same as address for notice):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Amount: $_________________</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_________________</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EIN Number: _________________</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PAGES CONTINUE]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1744980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September 24,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Rezolve AI plc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 Sackville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London, W1S 3DN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Daniel Wagner, Chief Executive Officer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Mr. Wagner:</w:t>
      </w:r>
    </w:p>
    <w:p>
      <w:pPr>
        <w:spacing w:after="0" w:line="221"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This letter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constitutes the agreement between A.G.P./Alliance Global Partners (the “</w:t>
      </w:r>
      <w:r>
        <w:rPr>
          <w:rFonts w:ascii="Times New Roman" w:cs="Times New Roman" w:eastAsia="Times New Roman" w:hAnsi="Times New Roman"/>
          <w:sz w:val="18"/>
          <w:szCs w:val="18"/>
          <w:b w:val="1"/>
          <w:bCs w:val="1"/>
          <w:color w:val="auto"/>
        </w:rPr>
        <w:t>Placement Agent</w:t>
      </w:r>
      <w:r>
        <w:rPr>
          <w:rFonts w:ascii="Times New Roman" w:cs="Times New Roman" w:eastAsia="Times New Roman" w:hAnsi="Times New Roman"/>
          <w:sz w:val="18"/>
          <w:szCs w:val="18"/>
          <w:color w:val="auto"/>
        </w:rPr>
        <w:t>”) and Rezolve AI plc, a limited company incorporated under the laws of England and Wales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that the Placement Agent shall serve as the exclusive placement agent for the Company, on a “reasonable best efforts” basis, in connection with the proposed placement (the “</w:t>
      </w:r>
      <w:r>
        <w:rPr>
          <w:rFonts w:ascii="Times New Roman" w:cs="Times New Roman" w:eastAsia="Times New Roman" w:hAnsi="Times New Roman"/>
          <w:sz w:val="18"/>
          <w:szCs w:val="18"/>
          <w:b w:val="1"/>
          <w:bCs w:val="1"/>
          <w:color w:val="auto"/>
        </w:rPr>
        <w:t>Placement</w:t>
      </w:r>
      <w:r>
        <w:rPr>
          <w:rFonts w:ascii="Times New Roman" w:cs="Times New Roman" w:eastAsia="Times New Roman" w:hAnsi="Times New Roman"/>
          <w:sz w:val="18"/>
          <w:szCs w:val="18"/>
          <w:color w:val="auto"/>
        </w:rPr>
        <w:t>”) of shares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of the Company’s ordinary shares, £0.0001 nominal value per share (the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and, if applicable, pre-funded warrants to purchase Ordinary Shares (the “</w:t>
      </w:r>
      <w:r>
        <w:rPr>
          <w:rFonts w:ascii="Times New Roman" w:cs="Times New Roman" w:eastAsia="Times New Roman" w:hAnsi="Times New Roman"/>
          <w:sz w:val="18"/>
          <w:szCs w:val="18"/>
          <w:b w:val="1"/>
          <w:bCs w:val="1"/>
          <w:color w:val="auto"/>
        </w:rPr>
        <w:t>Pre-Funded Warrants</w:t>
      </w:r>
      <w:r>
        <w:rPr>
          <w:rFonts w:ascii="Times New Roman" w:cs="Times New Roman" w:eastAsia="Times New Roman" w:hAnsi="Times New Roman"/>
          <w:sz w:val="18"/>
          <w:szCs w:val="18"/>
          <w:color w:val="auto"/>
        </w:rPr>
        <w:t>” and, together with the Ordinary Shares,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The Securities actually placed by the Placement Agent are referred to herein as the “</w:t>
      </w:r>
      <w:r>
        <w:rPr>
          <w:rFonts w:ascii="Times New Roman" w:cs="Times New Roman" w:eastAsia="Times New Roman" w:hAnsi="Times New Roman"/>
          <w:sz w:val="18"/>
          <w:szCs w:val="18"/>
          <w:b w:val="1"/>
          <w:bCs w:val="1"/>
          <w:color w:val="auto"/>
        </w:rPr>
        <w:t>Placement Agent Securities</w:t>
      </w:r>
      <w:r>
        <w:rPr>
          <w:rFonts w:ascii="Times New Roman" w:cs="Times New Roman" w:eastAsia="Times New Roman" w:hAnsi="Times New Roman"/>
          <w:sz w:val="18"/>
          <w:szCs w:val="18"/>
          <w:color w:val="auto"/>
        </w:rPr>
        <w:t>.” The terms of the Placement shall be mutually agreed upon by the Company and the purchaser of the Securities (the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and nothing herein constitutes that the Placement Agent would have the power or authority to bind the Company or the Purchaser, or an obligation for the Company to issue any Securities or complete the Placement. The Company expressly acknowledges and agrees that the Placement Agent’s obligations hereunder are on a reasonable best efforts basis only and that the execution of this Agreement does not constitute a commitment by the Placement Agent to purchase the Securities and does not ensure the successful placement of the Securities or any portion thereof or the success of the Placement Agent with respect to securing any other financing on behalf of the Company. The Placement Agent may retain other brokers or dealers to act as sub-agents or selected-dealers on its behalf in connection with the Placement. Certain affiliates of the Placement Agent may participate in the Placement by purchasing some of the Placement Agent Securities. The sale of Placement Agent Securities to the Purchaser will be evidenced by a securities purchase agreement (the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between the Company and such Purchaser, in a form reasonably acceptable to the Company and the Purchaser. Capitalized terms that are not otherwise defined herein have the meanings given to such terms in the Purchase Agreement. Prior to the signing of any Purchase Agreement, officers of the Company will be available to answer inquiries from the prospective Purchaser.</w:t>
      </w:r>
    </w:p>
    <w:p>
      <w:pPr>
        <w:spacing w:after="0" w:line="19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REPRESENTATIONS AND WARRANTIES OF THE COMPANY; COVENANTS OF THE COMPANY</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both"/>
        <w:ind w:firstLine="1497"/>
        <w:spacing w:after="0" w:line="25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Representations of the Company</w:t>
      </w:r>
      <w:r>
        <w:rPr>
          <w:rFonts w:ascii="Times New Roman" w:cs="Times New Roman" w:eastAsia="Times New Roman" w:hAnsi="Times New Roman"/>
          <w:sz w:val="18"/>
          <w:szCs w:val="18"/>
          <w:color w:val="auto"/>
        </w:rPr>
        <w:t>. With respect to the Placement Agent Securities, each of the representations and warranties (together with any related disclosure schedules thereto) and covenants made by the Company to the Purchaser in the Purchase Agreement in connection with the Placement, are hereby incorporated herein by reference into this Agreement (as though fully restated herein) and is, as of the date of this Agreement and as of the Closing Date, hereby made to, and in favor of, the Placement Agent. In addition to the foregoing, the Company represents and warrants that there are no affiliations with any FINRA (as defined below) member firm among the Company’s officers, directors or, to the knowledge of the Company, any five percent (5.0%) or greater securityholder of the Company, except as set forth in the Purchase Agreement.</w:t>
      </w:r>
    </w:p>
    <w:p>
      <w:pPr>
        <w:spacing w:after="0" w:line="190"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Covenants of the Company</w:t>
      </w:r>
      <w:r>
        <w:rPr>
          <w:rFonts w:ascii="Times New Roman" w:cs="Times New Roman" w:eastAsia="Times New Roman" w:hAnsi="Times New Roman"/>
          <w:sz w:val="18"/>
          <w:szCs w:val="18"/>
          <w:color w:val="auto"/>
        </w:rPr>
        <w:t>. The Company covenants and agrees to continue to retain (i) a firm of independent PCAOB registered public accountants for a period of at least two (2) years after the Closing Date and (ii) a competent transfer agent with respect to the Ordinary Shares for a period of five (5) years after the Closing Date. From the date hereof until sixty (60) days after the Effective Date, neither the Company nor any Subsidiary shall (i) issue, enter into any agreement to issue or announce the issuance or proposed issuance of any Ordinary Shares or Ordinary Share Equivalents, other than</w:t>
      </w:r>
    </w:p>
    <w:p>
      <w:pPr>
        <w:spacing w:after="0" w:line="3" w:lineRule="exact"/>
        <w:rPr>
          <w:sz w:val="20"/>
          <w:szCs w:val="20"/>
          <w:color w:val="auto"/>
        </w:rPr>
      </w:pPr>
    </w:p>
    <w:p>
      <w:pPr>
        <w:jc w:val="both"/>
        <w:ind w:firstLine="8"/>
        <w:spacing w:after="0" w:line="253" w:lineRule="auto"/>
        <w:tabs>
          <w:tab w:leader="none" w:pos="29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Ordinary Shares pursuant to such an agreement already in existence at the date of this Agreement and described on Schedule 3.1(bb) or pursuant to a shareholder approved equity incentive plan, (B) the issuance of Ordinary Shares in connection with strategic acquisitions, joint ventures, or other similar strategic transactions, and (C) the entry into an at-the-market facility (the “</w:t>
      </w:r>
      <w:r>
        <w:rPr>
          <w:rFonts w:ascii="Times New Roman" w:cs="Times New Roman" w:eastAsia="Times New Roman" w:hAnsi="Times New Roman"/>
          <w:sz w:val="18"/>
          <w:szCs w:val="18"/>
          <w:u w:val="single" w:color="auto"/>
          <w:color w:val="auto"/>
        </w:rPr>
        <w:t>ATM</w:t>
      </w:r>
      <w:r>
        <w:rPr>
          <w:rFonts w:ascii="Times New Roman" w:cs="Times New Roman" w:eastAsia="Times New Roman" w:hAnsi="Times New Roman"/>
          <w:sz w:val="18"/>
          <w:szCs w:val="18"/>
          <w:color w:val="auto"/>
        </w:rPr>
        <w:t>”) with the Placement Agent and/or such other sales agents as the Company may designate providing for the sale of Ordinary Shares in one or more “at-the-market” offerings, block trades, or similar primary offering transactions, or (ii) file any registration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871855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2" w:name="page33"/>
    <w:bookmarkEnd w:id="32"/>
    <w:p>
      <w:pPr>
        <w:jc w:val="both"/>
        <w:spacing w:after="0" w:line="256" w:lineRule="auto"/>
        <w:rPr>
          <w:sz w:val="20"/>
          <w:szCs w:val="20"/>
          <w:color w:val="auto"/>
        </w:rPr>
      </w:pPr>
      <w:r>
        <w:rPr>
          <w:rFonts w:ascii="Times New Roman" w:cs="Times New Roman" w:eastAsia="Times New Roman" w:hAnsi="Times New Roman"/>
          <w:sz w:val="18"/>
          <w:szCs w:val="18"/>
          <w:color w:val="auto"/>
        </w:rPr>
        <w:t>statement or any amendment or supplement thereto, other than (A) a registration statement on Form S-8 with respect to a shareholder approved equity incentive plan, (B) the registration statement described in the Registration Rights Agreement, (C) any post-effective amendment to an existing registration statement on Form F-1, or (D) a universal shelf registration statement on Form F-3, including, without limitation, with respect to an ATM or the resale of Ordinary Shares issued or issuable in connection with strategic acquisitions, joint ventures, or other similar strategic transactions. Notwithstanding anything contained in herein to the contrary, ten (10) days after the Effective Date, the Company shall be permitted to conduct sales of up to 48,034,860 of its Ordinary Shares pursuant to the ATM.</w:t>
      </w:r>
    </w:p>
    <w:p>
      <w:pPr>
        <w:spacing w:after="0" w:line="187"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REPRESENTATIONS OF THE PLACEMENT AGENT</w:t>
      </w:r>
      <w:r>
        <w:rPr>
          <w:rFonts w:ascii="Times New Roman" w:cs="Times New Roman" w:eastAsia="Times New Roman" w:hAnsi="Times New Roman"/>
          <w:sz w:val="18"/>
          <w:szCs w:val="18"/>
          <w:color w:val="auto"/>
        </w:rPr>
        <w:t>. The Placement Agent represents and warrants that it (i) is a member in good standing of FINRA, (ii) is registered as a broker/dealer under the Exchange Act, (iii) is licensed as a broker/dealer under the laws of the United States of America, applicable to the offers and sales of the Placement Agent Securities by the Placement Agent, (iv) is and will be a corporate body validly existing under the laws of its place of incorporation, and (v) has full power and authority to enter into and perform its obligations under this Agreement. The Placement Agent will immediately notify the Company in writing of any change in its status with respect to subsections (i) through (v) above. The Placement Agent covenants that it will use its reasonable best efforts to conduct the Placement hereunder in compliance with the provisions of this Agreement and the requirements of applicable law. The Placement Agent represents and warrants that, to its knowledge after reasonable investigation, each of the Purchasers is a “qualified purchaser” within the meaning of the Securities Act, and that the Placement Agent has not engaged in any marketing or sales activity that constitutes a “general solicitation” or “general advertising” within the meaning of Rule 502(c) under the Securities Act</w:t>
      </w:r>
    </w:p>
    <w:p>
      <w:pPr>
        <w:spacing w:after="0" w:line="188"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In consideration of the services to be provided for hereunder, the Company shall pay to the Placement Agent and/or its respective designees a cash fee of 6.0% of the aggregate gross proceeds raised from the sale of the Placement Agent Securities (the “</w:t>
      </w:r>
      <w:r>
        <w:rPr>
          <w:rFonts w:ascii="Times New Roman" w:cs="Times New Roman" w:eastAsia="Times New Roman" w:hAnsi="Times New Roman"/>
          <w:sz w:val="18"/>
          <w:szCs w:val="18"/>
          <w:b w:val="1"/>
          <w:bCs w:val="1"/>
          <w:color w:val="auto"/>
        </w:rPr>
        <w:t>Cash Fee</w:t>
      </w:r>
      <w:r>
        <w:rPr>
          <w:rFonts w:ascii="Times New Roman" w:cs="Times New Roman" w:eastAsia="Times New Roman" w:hAnsi="Times New Roman"/>
          <w:sz w:val="18"/>
          <w:szCs w:val="18"/>
          <w:color w:val="auto"/>
        </w:rPr>
        <w:t>”). A credit will be applied to the Company on the Closing Date equal to $3,000,000.00. The Cash Fee shall be paid on the Closing Date. Concurrently out of the proceeds of the closing the Company also agrees to reimburse A.G.P for accountable legal fees and other out-of-pocket expenses incurred by A.G.P in connection with the transaction in an amount not to exceed $120,000, as well as non-accountable expenses (the “</w:t>
      </w:r>
      <w:r>
        <w:rPr>
          <w:rFonts w:ascii="Times New Roman" w:cs="Times New Roman" w:eastAsia="Times New Roman" w:hAnsi="Times New Roman"/>
          <w:sz w:val="18"/>
          <w:szCs w:val="18"/>
          <w:b w:val="1"/>
          <w:bCs w:val="1"/>
          <w:color w:val="auto"/>
        </w:rPr>
        <w:t>NAE</w:t>
      </w:r>
      <w:r>
        <w:rPr>
          <w:rFonts w:ascii="Times New Roman" w:cs="Times New Roman" w:eastAsia="Times New Roman" w:hAnsi="Times New Roman"/>
          <w:sz w:val="18"/>
          <w:szCs w:val="18"/>
          <w:color w:val="auto"/>
        </w:rPr>
        <w:t>”) including, but not limited to, IPREO software related expenses, background check(s), marketing related expenses; i.e. roadshow, travel, et al. and any other expenses incurred by A.G.P. in connection with the transaction, (provided, however, that such reimbursement amount in no way limits or impairs the indemnification and contribution provisions of this Agreement). The total NAE allowances shall not exceed $10,000. A.G.P will provide an accounting of legal and out-of-pocket expenses and NAE prior to payment. The Placement Agent reserves the right to reduce any item of compensation, including the reimbursement of expenses, or adjust the terms thereof as specified herein in the event that a determination shall be made by FINRA to the effect that the Placement Agent’s aggregate compensation is in excess of FINRA Rules or that the terms thereof require adjustment.</w:t>
      </w:r>
    </w:p>
    <w:p>
      <w:pPr>
        <w:spacing w:after="0" w:line="1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A. To the extent permitted by law, with respect to the Placement Agent Securities, the Company will indemnify the Placement Agent and its affiliates, stockholders, directors, officers, employees, members and controlling persons (within the meaning of Section 15 of the Securities Act or Section 20 of the Exchange Act) against all losses, claims, damages, expenses and liabilities, as the same are incurred (including the reasonable fees and expenses of counsel), relating to or arising out of its activities hereunder or pursuant to this Agreement, except to the extent that any losses, claims, damages, expenses or liabilities (or actions in respect thereof) are found in a final judgment (not subject to appeal) by a court of law to have resulted primarily and directly from the Placement Agent’s fraud, willful misconduct or gross negligence in performing the services described herein.</w:t>
      </w:r>
    </w:p>
    <w:p>
      <w:pPr>
        <w:spacing w:after="0" w:line="187"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B. Promptly after receipt by the Placement Agent of notice of any claim or the commencement of any action or proceeding with respect to which the Placement Agent is entitled to indemnity hereunder, the Placement Agent will notify the Company in writing of such claim or of the commencement of such action or proceeding, but failure to so notify the Company shall not relieve the Company from any obligation it may have hereunder, except and only to the extent such failure results in the forfeiture by the Company of substantial rights and defenses. If the Company so elects or is requested by the Placement Agent, the Company will assume the defense of such action or proceeding and will employ counsel reasonably satisfactory to the Placement Agent and will pay the fees and expenses of such counsel. Notwithstanding the preceding sentence, the Placement Agent will be entitled to employ counsel separate from counsel for the Company and from any other party in such action if counsel for the Placement Agent reasonably determines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3" w:name="page34"/>
    <w:bookmarkEnd w:id="33"/>
    <w:p>
      <w:pPr>
        <w:jc w:val="both"/>
        <w:spacing w:after="0" w:line="258" w:lineRule="auto"/>
        <w:rPr>
          <w:sz w:val="20"/>
          <w:szCs w:val="20"/>
          <w:color w:val="auto"/>
        </w:rPr>
      </w:pPr>
      <w:r>
        <w:rPr>
          <w:rFonts w:ascii="Times New Roman" w:cs="Times New Roman" w:eastAsia="Times New Roman" w:hAnsi="Times New Roman"/>
          <w:sz w:val="18"/>
          <w:szCs w:val="18"/>
          <w:color w:val="auto"/>
        </w:rPr>
        <w:t>that it would be inappropriate under the applicable rules of professional responsibility for the same counsel to represent both the Company and the Placement Agent. In such event, the reasonable fees and disbursements of no more than one (1) such separate counsel will be paid by the Company, in addition to fees of local counsel. The Company will have the right to settle the claim or proceeding provided that the Company will not settle any such claim, action or proceeding without the prior written consent of the Placement Agent, which will not be unreasonably withheld. The Company shall not be liable for any settlement of any action effected without its written consent, which will not be unreasonably withheld.</w:t>
      </w:r>
    </w:p>
    <w:p>
      <w:pPr>
        <w:spacing w:after="0" w:line="183"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C. The Company agrees to notify the Placement Agent promptly of the assertion against it or any other person of any claim or the commencement of any action or proceeding relating to a transaction contemplated by this Agreement.</w:t>
      </w:r>
    </w:p>
    <w:p>
      <w:pPr>
        <w:spacing w:after="0" w:line="162"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D. If for any reason the foregoing indemnity is unavailable to the Placement Agent or insufficient to hold the Placement Agent harmless, then the Company shall contribute to the amount paid or payable by the Placement Agent as a result of such losses, claims, damages or liabilities in such proportion as is appropriate to reflect not only the relative benefits received by the Company on the one hand and the Placement Agent on the other, but also the relative fault of the Company on the one hand and the Placement Agent on the other that resulted in such losses, claims, damages or liabilities, as well as any relevant equitable considerations. The amounts paid or payable by a party in respect of losses, claims, damages and liabilities referred to above shall be deemed to include any legal or other fees and expenses incurred in defending any litigation, proceeding or other action or claim. Notwithstanding the provisions hereof, the Placement Agent’s share of the liability hereunder shall not be in excess of the amount of fees actually received, or to be received, by the Placement Agent under this Agreement.</w:t>
      </w:r>
    </w:p>
    <w:p>
      <w:pPr>
        <w:spacing w:after="0" w:line="19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E. These indemnification provisions shall remain in full force and effect whether or not the transaction contemplated by this Agreement is completed and shall survive the termination of this Agreement, and shall be in addition to any liability that the Company might otherwise have to any indemnified party under this Agreement or otherwise.</w:t>
      </w:r>
    </w:p>
    <w:p>
      <w:pPr>
        <w:spacing w:after="0" w:line="176"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ENGAGEMENT TERM</w:t>
      </w:r>
      <w:r>
        <w:rPr>
          <w:rFonts w:ascii="Times New Roman" w:cs="Times New Roman" w:eastAsia="Times New Roman" w:hAnsi="Times New Roman"/>
          <w:sz w:val="18"/>
          <w:szCs w:val="18"/>
          <w:color w:val="auto"/>
        </w:rPr>
        <w:t>. The Placement Agent’s engagement hereunder will commence on the date hereof and continue through the Closing Date. The date of termination of this Agreement is referred to herein as the “</w:t>
      </w:r>
      <w:r>
        <w:rPr>
          <w:rFonts w:ascii="Times New Roman" w:cs="Times New Roman" w:eastAsia="Times New Roman" w:hAnsi="Times New Roman"/>
          <w:sz w:val="18"/>
          <w:szCs w:val="18"/>
          <w:b w:val="1"/>
          <w:bCs w:val="1"/>
          <w:color w:val="auto"/>
        </w:rPr>
        <w:t>Termination Date</w:t>
      </w:r>
      <w:r>
        <w:rPr>
          <w:rFonts w:ascii="Times New Roman" w:cs="Times New Roman" w:eastAsia="Times New Roman" w:hAnsi="Times New Roman"/>
          <w:sz w:val="18"/>
          <w:szCs w:val="18"/>
          <w:color w:val="auto"/>
        </w:rPr>
        <w:t>.” In the event, however, in the course of the Placement Agent’s performance of due diligence it deems it necessary to terminate the engagement, the Placement Agent may do so prior to the Termination Date. The Company may elect to terminate the engagement hereunder for any reason prior to the Termination Date but will remain responsible for fees and expenses pursuant to Section 3 hereof and fees and expenses with respect to the Placement Agent Securities, if sold in the Placement. Notwithstanding anything to the contrary contained herein, the provisions concerning the Company’s obligation to pay any fees or expenses actually earned pursuant to Section 3 hereof and the provisions concerning confidentiality, indemnification and contribution contained herein will survive any expiration or termination of this Agreement. If this Agreement is terminated prior to the completion of the Placement, all fees or expenses due to the Placement Agent shall be paid by the Company to the Placement Agent on or before the Termination Date (in the event such fees or expenses are earned or owed as of the Termination Date). The Placement Agent agrees not to use any confidential information concerning the Company provided to the Placement Agent by the Company for any purposes other than those contemplated under this Agreement.</w:t>
      </w:r>
    </w:p>
    <w:p>
      <w:pPr>
        <w:spacing w:after="0" w:line="19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PLACEMENT AGENT INFORMATION</w:t>
      </w:r>
      <w:r>
        <w:rPr>
          <w:rFonts w:ascii="Times New Roman" w:cs="Times New Roman" w:eastAsia="Times New Roman" w:hAnsi="Times New Roman"/>
          <w:sz w:val="18"/>
          <w:szCs w:val="18"/>
          <w:color w:val="auto"/>
        </w:rPr>
        <w:t>. The Company agrees that any information or advice rendered by the Placement Agent in connection with this engagement is for the confidential use of the Company only in its evaluation of the Placement and, except as otherwise required by law, the Company will not disclose or otherwise refer to the advice or information in any manner without the Placement Agent’s prior written consent.</w:t>
      </w:r>
    </w:p>
    <w:p>
      <w:pPr>
        <w:spacing w:after="0" w:line="17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 FIDUCIARY RELATIONSHIP</w:t>
      </w:r>
      <w:r>
        <w:rPr>
          <w:rFonts w:ascii="Times New Roman" w:cs="Times New Roman" w:eastAsia="Times New Roman" w:hAnsi="Times New Roman"/>
          <w:sz w:val="18"/>
          <w:szCs w:val="18"/>
          <w:color w:val="auto"/>
        </w:rPr>
        <w:t>. This Agreement does not create, and shall not be construed as creating rights enforceable by any person or entity not a party hereto, except those entitled hereto by virtue of the indemnification provisions hereof. The Company acknowledges and agrees that the Placement Agent is not and shall not be construed as a fiduciary of the Company and shall have no duties or liabilities to the equity holders or the creditors of the Company or any other person by virtue of this Agreement or the retention of the Placement Agent hereunder, all of which are hereby expressly waived.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4" w:name="page35"/>
    <w:bookmarkEnd w:id="34"/>
    <w:p>
      <w:pPr>
        <w:jc w:val="both"/>
        <w:ind w:firstLine="749"/>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The obligations of the Placement Agent, and the closing of the sale of the Placement Agent Securities hereunder are subject to the accuracy, when made and on the Closing Date, of the representations and warranties on the part of the Company contained herein and in the Purchase Agreement, to the performance by the Company of its obligations hereunder and in the Purchase Agreement, and to each of the following additional terms and conditions, except as otherwise disclosed to and acknowledged and waived by the Placement Agent:</w:t>
      </w:r>
    </w:p>
    <w:p>
      <w:pPr>
        <w:spacing w:after="0" w:line="180" w:lineRule="exact"/>
        <w:rPr>
          <w:sz w:val="20"/>
          <w:szCs w:val="20"/>
          <w:color w:val="auto"/>
        </w:rPr>
      </w:pPr>
    </w:p>
    <w:p>
      <w:pPr>
        <w:jc w:val="both"/>
        <w:ind w:firstLine="1497"/>
        <w:spacing w:after="0" w:line="266" w:lineRule="auto"/>
        <w:rPr>
          <w:sz w:val="20"/>
          <w:szCs w:val="20"/>
          <w:color w:val="auto"/>
        </w:rPr>
      </w:pPr>
      <w:r>
        <w:rPr>
          <w:rFonts w:ascii="Times New Roman" w:cs="Times New Roman" w:eastAsia="Times New Roman" w:hAnsi="Times New Roman"/>
          <w:sz w:val="18"/>
          <w:szCs w:val="18"/>
          <w:color w:val="auto"/>
        </w:rPr>
        <w:t>A. All corporate proceedings and other legal matters incident to the authorization, form, execution, delivery and validity of each of this Agreement, the Placement Agent Securities, and all other legal matters relating to this Agreement and the transactions contemplated hereby with respect to the Placement Agent Securities shall be reasonably satisfactory in all material respects to the Placement Agent.</w:t>
      </w:r>
    </w:p>
    <w:p>
      <w:pPr>
        <w:spacing w:after="0" w:line="176" w:lineRule="exact"/>
        <w:rPr>
          <w:sz w:val="20"/>
          <w:szCs w:val="20"/>
          <w:color w:val="auto"/>
        </w:rPr>
      </w:pPr>
    </w:p>
    <w:p>
      <w:pPr>
        <w:jc w:val="both"/>
        <w:ind w:firstLine="1497"/>
        <w:spacing w:after="0" w:line="266" w:lineRule="auto"/>
        <w:rPr>
          <w:sz w:val="20"/>
          <w:szCs w:val="20"/>
          <w:color w:val="auto"/>
        </w:rPr>
      </w:pPr>
      <w:r>
        <w:rPr>
          <w:rFonts w:ascii="Times New Roman" w:cs="Times New Roman" w:eastAsia="Times New Roman" w:hAnsi="Times New Roman"/>
          <w:sz w:val="18"/>
          <w:szCs w:val="18"/>
          <w:color w:val="auto"/>
        </w:rPr>
        <w:t>B. The Placement Agent shall have received legal opinions of Company US Counsel and Company UK Counsel, directed to the Placement Agent with respect to the Placement Agent Securities, addressed to the Placement Agent and dated as of the Closing Date, in form and substance reasonably satisfactory to the Placement Agent.</w:t>
      </w:r>
    </w:p>
    <w:p>
      <w:pPr>
        <w:spacing w:after="0" w:line="176" w:lineRule="exact"/>
        <w:rPr>
          <w:sz w:val="20"/>
          <w:szCs w:val="20"/>
          <w:color w:val="auto"/>
        </w:rPr>
      </w:pPr>
    </w:p>
    <w:p>
      <w:pPr>
        <w:jc w:val="both"/>
        <w:ind w:firstLine="1497"/>
        <w:spacing w:after="0" w:line="261" w:lineRule="auto"/>
        <w:rPr>
          <w:sz w:val="20"/>
          <w:szCs w:val="20"/>
          <w:color w:val="auto"/>
        </w:rPr>
      </w:pPr>
      <w:r>
        <w:rPr>
          <w:rFonts w:ascii="Times New Roman" w:cs="Times New Roman" w:eastAsia="Times New Roman" w:hAnsi="Times New Roman"/>
          <w:sz w:val="18"/>
          <w:szCs w:val="18"/>
          <w:color w:val="auto"/>
        </w:rPr>
        <w:t>C. The Placement Agent shall have received customary certificates of the Company’s executive officers, as to the accuracy of the representations and warranties contained in the Purchase Agreement, and a certificate of the Company’s secretary certifying that each of the Company’s charter documents are true and complete, have not been modified and are in full force and effect; (ii) that the resolutions of the Company’s Board of Directors relating to the Placement are in full force and effect and have not been modified; and (iii) as to the incumbency of the officers of the Company.</w:t>
      </w:r>
    </w:p>
    <w:p>
      <w:pPr>
        <w:spacing w:after="0" w:line="180" w:lineRule="exact"/>
        <w:rPr>
          <w:sz w:val="20"/>
          <w:szCs w:val="20"/>
          <w:color w:val="auto"/>
        </w:rPr>
      </w:pPr>
    </w:p>
    <w:p>
      <w:pPr>
        <w:jc w:val="both"/>
        <w:ind w:firstLine="1497"/>
        <w:spacing w:after="0" w:line="255" w:lineRule="auto"/>
        <w:rPr>
          <w:sz w:val="20"/>
          <w:szCs w:val="20"/>
          <w:color w:val="auto"/>
        </w:rPr>
      </w:pPr>
      <w:r>
        <w:rPr>
          <w:rFonts w:ascii="Times New Roman" w:cs="Times New Roman" w:eastAsia="Times New Roman" w:hAnsi="Times New Roman"/>
          <w:sz w:val="18"/>
          <w:szCs w:val="18"/>
          <w:color w:val="auto"/>
        </w:rPr>
        <w:t>D. The Ordinary Shares shall be registered under the Exchange Act in accordance with the terms of the Purchase Agreement and, as of the Closing Date, the Shares and Ordinary Shares issuable upon exercise of the Pre-Funded Warrants, if any, shall be of a class of securities listed and admitted and authorized for trading on the Trading Market or other applicable U.S. national exchange and a copy of the irrevocable instructions to the Transfer Agent in accordance with the terms of the Purchase Agreement shall have been provided to the Placement Agent. The Company shall have taken no action designed to, or likely to have the effect of terminating the registration of the Ordinary Shares under the Exchange Act or delisting or suspending from trading the Ordinary Shares from the Trading Market or other applicable U.S. national exchange, nor has the Company received any information suggesting that the Commission or the Trading Market or other U.S. applicable national exchange is contemplating terminating such registration or listing.</w:t>
      </w:r>
    </w:p>
    <w:p>
      <w:pPr>
        <w:spacing w:after="0" w:line="189"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18"/>
          <w:szCs w:val="18"/>
          <w:color w:val="auto"/>
        </w:rPr>
        <w:t>E. No action shall have been taken and no statute, rule, regulation or order shall have been enacted, adopted or issued by any governmental agency or body which would, as of the Closing Date, prevent the issuance or sale of the Placement Agent Securities or materially and adversely affect or potentially and adversely affect the business or operations of the Company; and no injunction, restraining order or order of any other nature by any federal or state court of competent jurisdiction shall have been issued as of the Closing Date which would prevent the issuance or sale of the Placement Agent Securities or materially and adversely affect or potentially and adversely affect the business or operations of the Company.</w:t>
      </w:r>
    </w:p>
    <w:p>
      <w:pPr>
        <w:spacing w:after="0" w:line="183" w:lineRule="exact"/>
        <w:rPr>
          <w:sz w:val="20"/>
          <w:szCs w:val="20"/>
          <w:color w:val="auto"/>
        </w:rPr>
      </w:pPr>
    </w:p>
    <w:p>
      <w:pPr>
        <w:jc w:val="both"/>
        <w:ind w:firstLine="1497"/>
        <w:spacing w:after="0" w:line="266" w:lineRule="auto"/>
        <w:rPr>
          <w:sz w:val="20"/>
          <w:szCs w:val="20"/>
          <w:color w:val="auto"/>
        </w:rPr>
      </w:pPr>
      <w:r>
        <w:rPr>
          <w:rFonts w:ascii="Times New Roman" w:cs="Times New Roman" w:eastAsia="Times New Roman" w:hAnsi="Times New Roman"/>
          <w:sz w:val="18"/>
          <w:szCs w:val="18"/>
          <w:color w:val="auto"/>
        </w:rPr>
        <w:t>F. The Company shall have entered into a Purchase Agreement with the Purchasers of the Placement Agent Securities and such agreement shall be in full force and effect and shall contain representations, warranties and covenants of the Company as agreed upon between the Company and the Purchasers.</w:t>
      </w:r>
    </w:p>
    <w:p>
      <w:pPr>
        <w:spacing w:after="0" w:line="176" w:lineRule="exact"/>
        <w:rPr>
          <w:sz w:val="20"/>
          <w:szCs w:val="20"/>
          <w:color w:val="auto"/>
        </w:rPr>
      </w:pPr>
    </w:p>
    <w:p>
      <w:pPr>
        <w:jc w:val="both"/>
        <w:ind w:firstLine="1497"/>
        <w:spacing w:after="0" w:line="266" w:lineRule="auto"/>
        <w:rPr>
          <w:sz w:val="20"/>
          <w:szCs w:val="20"/>
          <w:color w:val="auto"/>
        </w:rPr>
      </w:pPr>
      <w:r>
        <w:rPr>
          <w:rFonts w:ascii="Times New Roman" w:cs="Times New Roman" w:eastAsia="Times New Roman" w:hAnsi="Times New Roman"/>
          <w:sz w:val="18"/>
          <w:szCs w:val="18"/>
          <w:color w:val="auto"/>
        </w:rPr>
        <w:t>G. FINRA shall have raised no objection to the fairness and reasonableness of the terms and arrangements of this Agreement. In addition, the Company shall, if requested by the Placement Agent, make or authorize Placement Agent’s counsel to make on the Company’s behalf, any necessary filing with the FINRA Corporate Financing Department with respect to the Placement and pay all filing fees required in connection therewith.</w:t>
      </w:r>
    </w:p>
    <w:p>
      <w:pPr>
        <w:spacing w:after="0" w:line="176"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If any of the conditions specified in this Section 8 shall not have been fulfilled when and as required by this Agreement, all obligations of the Placement Agent hereunder may be cancelled by the Placement Agent at, or at any time prior to, the Closing Date. Notice of such cancellation shall be given to the Company in writing or orally. Any such oral notice shall be confirmed promptly thereafter in writing.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5" w:name="page36"/>
    <w:bookmarkEnd w:id="35"/>
    <w:p>
      <w:pPr>
        <w:jc w:val="both"/>
        <w:ind w:firstLine="749"/>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will be governed by, and construed in accordance with, the laws of the State of New York applicable to agreements made and to be performed entirely in such State, without regard to its conflict of laws principles. This Agreement may not be assigned by either party without the prior written consent of the other party. This Agreement shall be binding upon and inure to the benefit of the parties hereto, and their respective successors and permitted assigns. Any right to trial by jury with respect to any dispute arising under this Agreement or any transaction or conduct in connection herewith is waived. Any dispute arising under this Agreement may be brought into the courts of the State of New York or into the Federal Court located in New York, New York and, by execution and delivery of this Agreement, the Company hereby accepts for itself and in respect of its property, generally and unconditionally, the jurisdiction of aforesaid courts. Each party hereto hereby irrevocably waives personal service of process and consents to process being served in any such suit, action or proceeding by delivering a copy thereof via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 If either party shall commence an action or proceeding to enforce any provisions of this Agreement, then the prevailing party in such action or proceeding shall be reimbursed by the other party for its attorney’s fees and other costs and expenses incurred with the investigation, preparation and prosecution of such action or proceeding.</w:t>
      </w:r>
    </w:p>
    <w:p>
      <w:pPr>
        <w:spacing w:after="0" w:line="187"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ENTIRE AGREEMENT/MISCELLANEOUS</w:t>
      </w:r>
      <w:r>
        <w:rPr>
          <w:rFonts w:ascii="Times New Roman" w:cs="Times New Roman" w:eastAsia="Times New Roman" w:hAnsi="Times New Roman"/>
          <w:sz w:val="18"/>
          <w:szCs w:val="18"/>
          <w:color w:val="auto"/>
        </w:rPr>
        <w:t>. This Agreement embodies the entire agreement and understanding between the parties hereto, and supersedes all prior agreements and understandings, relating to the subject matter hereof. If any provision of this Agreement is determined to be invalid or unenforceable in any respect, such determination will not affect such provision in any other respect or any other provision of this Agreement, which will remain in full force and effect. This Agreement may not be amended or otherwise modified or waived except by an instrument in writing signed by both the Placement Agent and the Company. The representations, warranties, agreements and covenants contained herein shall survive the Closing Dates of the Placement and delivery of the Placement Agent Securities.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or a .pdf format file, such signature shall create a valid and binding obligation of the party executing (or on whose behalf such signature is executed) with the same force and effect as if such facsimile or .pdf signature page were an original thereof.</w:t>
      </w:r>
    </w:p>
    <w:p>
      <w:pPr>
        <w:spacing w:after="0" w:line="194"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required or permitted to be provided hereunder shall be in writing and shall be deemed given and effective on the earliest of (a) the date of transmission, if such notice or communication is sent to the email address specified on the signature pages attached hereto prior to 6:30 p.m. (New York City time) on a business day, (b) the next business day after the date of transmission, if such notice or communication is sent to the email address on the signature pages attached hereto on a day that is not a business day or later than 6:30 p.m. (New York City time) on any business day, (c) the third business day following the date of mailing, if sent by U.S. internationally recognized air courier service, or (d) upon actual receipt by the party to whom such notice is required to be given. The address for such notices and communications shall be as set forth on the signature pages hereto.</w:t>
      </w:r>
    </w:p>
    <w:p>
      <w:pPr>
        <w:spacing w:after="0" w:line="18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PRESS ANNOUNCEMENTS</w:t>
      </w:r>
      <w:r>
        <w:rPr>
          <w:rFonts w:ascii="Times New Roman" w:cs="Times New Roman" w:eastAsia="Times New Roman" w:hAnsi="Times New Roman"/>
          <w:sz w:val="18"/>
          <w:szCs w:val="18"/>
          <w:color w:val="auto"/>
        </w:rPr>
        <w:t>. The Company agrees that the Placement Agent shall, on and after the Closing Date, have the right to reference the Placement and the Placement Agent’s role in connection therewith in the Placement Agent’s marketing materials and on its website and to place advertisements in financial and other newspapers and journals, in each case at its own expense.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remainder of this page has been intentionally left blank.</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6" w:name="page37"/>
    <w:bookmarkEnd w:id="36"/>
    <w:p>
      <w:pPr>
        <w:spacing w:after="0" w:line="194"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Please confirm that the foregoing correctly sets forth our agreement by signing and returning to the Placement Agent the enclosed copy of this Agreement.</w:t>
      </w: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A.G.P./ALLIANCE GLOBAL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J. Higgins</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Thomas J. Higgins</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u w:val="single" w:color="auto"/>
          <w:color w:val="auto"/>
        </w:rPr>
        <w:t>Address for notice:</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590 Madison Avenue, 28th Floor</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Attn: Thomas J. Higgins</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thiggins@allianceg.com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and Agreed to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date first written above: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REZOLVE AI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Daniel Wagner</w:t>
            </w:r>
          </w:p>
        </w:tc>
      </w:tr>
      <w:tr>
        <w:trPr>
          <w:trHeight w:val="191"/>
        </w:trPr>
        <w:tc>
          <w:tcPr>
            <w:tcW w:w="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Daniel Wagner</w:t>
            </w: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Address for notice</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Rezolve AI plc</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21 Sackville Street</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London, W1S 3DN</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United Kingdom</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Attn: Daniel Wagner, Chief Executive Officer and Chairman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Placement Agency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897255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00" w:lineRule="exact"/>
        <w:rPr>
          <w:sz w:val="20"/>
          <w:szCs w:val="20"/>
          <w:color w:val="auto"/>
        </w:rPr>
      </w:pPr>
    </w:p>
    <w:p>
      <w:pPr>
        <w:spacing w:after="0" w:line="245"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This Registration Rights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September 24, 2025, between Rezolve AI plc, a limited company incorporated under the laws of England and Wales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each of the several purchasers signatory hereto (each such purchaser, a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This Agreement is made pursuant to the Securities Purchase Agreement, dated as of September 24, 2025, between the Company and the Purchasers named therein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 and each Purchaser hereby agrees as follows:</w:t>
      </w:r>
    </w:p>
    <w:p>
      <w:pPr>
        <w:spacing w:after="0" w:line="225" w:lineRule="exact"/>
        <w:rPr>
          <w:sz w:val="20"/>
          <w:szCs w:val="20"/>
          <w:color w:val="auto"/>
        </w:rPr>
      </w:pPr>
    </w:p>
    <w:p>
      <w:pPr>
        <w:ind w:right="380" w:firstLine="1505"/>
        <w:spacing w:after="0" w:line="282" w:lineRule="auto"/>
        <w:tabs>
          <w:tab w:leader="none" w:pos="167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and not otherwise defined herein that are defined in the Purchase Agreement shall have the meanings given such terms in the Purchase Agreement. As used in this Agreement, the following terms shall have the following meanings:</w:t>
      </w:r>
    </w:p>
    <w:p>
      <w:pPr>
        <w:spacing w:after="0" w:line="16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Advice</w:t>
      </w:r>
      <w:r>
        <w:rPr>
          <w:rFonts w:ascii="Times New Roman" w:cs="Times New Roman" w:eastAsia="Times New Roman" w:hAnsi="Times New Roman"/>
          <w:sz w:val="18"/>
          <w:szCs w:val="18"/>
          <w:color w:val="auto"/>
        </w:rPr>
        <w:t>” shall have the meaning set forth in Section 6(c).</w:t>
      </w:r>
    </w:p>
    <w:p>
      <w:pPr>
        <w:spacing w:after="0" w:line="225" w:lineRule="exact"/>
        <w:rPr>
          <w:sz w:val="20"/>
          <w:szCs w:val="20"/>
          <w:color w:val="auto"/>
        </w:rPr>
      </w:pPr>
    </w:p>
    <w:p>
      <w:pPr>
        <w:jc w:val="both"/>
        <w:ind w:left="76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Company’s Ordinary Shares, £0.0001 nominal value per share, and any other class of securities into which such securities may hereafter be reclassified or changed.</w:t>
      </w:r>
    </w:p>
    <w:p>
      <w:pPr>
        <w:spacing w:after="0" w:line="165" w:lineRule="exact"/>
        <w:rPr>
          <w:sz w:val="20"/>
          <w:szCs w:val="20"/>
          <w:color w:val="auto"/>
        </w:rPr>
      </w:pPr>
    </w:p>
    <w:p>
      <w:pPr>
        <w:jc w:val="both"/>
        <w:ind w:left="760" w:firstLine="749"/>
        <w:spacing w:after="0" w:line="22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Effectiveness Date</w:t>
      </w:r>
      <w:r>
        <w:rPr>
          <w:rFonts w:ascii="Times New Roman" w:cs="Times New Roman" w:eastAsia="Times New Roman" w:hAnsi="Times New Roman"/>
          <w:sz w:val="18"/>
          <w:szCs w:val="18"/>
          <w:color w:val="auto"/>
        </w:rPr>
        <w:t>” means, with respect to the Initial Registration Statement required to be filed hereunder, the 30</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xml:space="preserve"> calendar day following the Closing Date (or, in the event of a “full review” by the Commission, the 60th calendar day following the Closing Date) and with</w:t>
      </w:r>
    </w:p>
    <w:p>
      <w:pPr>
        <w:spacing w:after="0" w:line="2" w:lineRule="exact"/>
        <w:rPr>
          <w:sz w:val="20"/>
          <w:szCs w:val="20"/>
          <w:color w:val="auto"/>
        </w:rPr>
      </w:pPr>
    </w:p>
    <w:p>
      <w:pPr>
        <w:jc w:val="both"/>
        <w:ind w:left="760"/>
        <w:spacing w:after="0" w:line="219" w:lineRule="auto"/>
        <w:rPr>
          <w:sz w:val="20"/>
          <w:szCs w:val="20"/>
          <w:color w:val="auto"/>
        </w:rPr>
      </w:pPr>
      <w:r>
        <w:rPr>
          <w:rFonts w:ascii="Times New Roman" w:cs="Times New Roman" w:eastAsia="Times New Roman" w:hAnsi="Times New Roman"/>
          <w:sz w:val="17"/>
          <w:szCs w:val="17"/>
          <w:color w:val="auto"/>
        </w:rPr>
        <w:t>respect to any additional Registration Statements which may be required pursuant to Section 2(c) or Section 3(c), the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calendar day following the date on which an additional Registration Statement is required to be filed hereunder (or, in the event of a “full review” by the Commission,</w:t>
      </w:r>
    </w:p>
    <w:p>
      <w:pPr>
        <w:jc w:val="both"/>
        <w:ind w:left="760"/>
        <w:spacing w:after="0" w:line="229" w:lineRule="auto"/>
        <w:rPr>
          <w:sz w:val="20"/>
          <w:szCs w:val="20"/>
          <w:color w:val="auto"/>
        </w:rPr>
      </w:pPr>
      <w:r>
        <w:rPr>
          <w:rFonts w:ascii="Times New Roman" w:cs="Times New Roman" w:eastAsia="Times New Roman" w:hAnsi="Times New Roman"/>
          <w:sz w:val="18"/>
          <w:szCs w:val="18"/>
          <w:color w:val="auto"/>
        </w:rPr>
        <w:t>the 90</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xml:space="preserve"> calendar day following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the Company is notified by the Commission that one or more of the above Registration Statements will not be reviewed or is no longer subject to further review and comments, the Effectiveness Date as to such Registration Statement shall be the fifth Trading Day following the date on which the Company is so notified if such date precedes the dates otherwise required above, provided, further, if such Effectiveness Date falls on a day that is not a Trading Day, then the Effectiveness Date shall be the next succeeding Trading Day.</w:t>
      </w:r>
    </w:p>
    <w:p>
      <w:pPr>
        <w:spacing w:after="0" w:line="19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Effectiveness Period</w:t>
      </w:r>
      <w:r>
        <w:rPr>
          <w:rFonts w:ascii="Times New Roman" w:cs="Times New Roman" w:eastAsia="Times New Roman" w:hAnsi="Times New Roman"/>
          <w:sz w:val="18"/>
          <w:szCs w:val="18"/>
          <w:color w:val="auto"/>
        </w:rPr>
        <w:t>” shall have the meaning set forth in Section 2(a).</w:t>
      </w:r>
    </w:p>
    <w:p>
      <w:pPr>
        <w:spacing w:after="0" w:line="2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w:t>
      </w:r>
      <w:r>
        <w:rPr>
          <w:rFonts w:ascii="Times New Roman" w:cs="Times New Roman" w:eastAsia="Times New Roman" w:hAnsi="Times New Roman"/>
          <w:sz w:val="18"/>
          <w:szCs w:val="18"/>
          <w:color w:val="auto"/>
        </w:rPr>
        <w:t>” shall have the meaning set forth in Section 2(d).</w:t>
      </w:r>
    </w:p>
    <w:p>
      <w:pPr>
        <w:spacing w:after="0" w:line="2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Date</w:t>
      </w:r>
      <w:r>
        <w:rPr>
          <w:rFonts w:ascii="Times New Roman" w:cs="Times New Roman" w:eastAsia="Times New Roman" w:hAnsi="Times New Roman"/>
          <w:sz w:val="18"/>
          <w:szCs w:val="18"/>
          <w:color w:val="auto"/>
        </w:rPr>
        <w:t>” shall have the meaning set forth in Section 2(d).</w:t>
      </w:r>
    </w:p>
    <w:p>
      <w:pPr>
        <w:spacing w:after="0" w:line="232" w:lineRule="exact"/>
        <w:rPr>
          <w:sz w:val="20"/>
          <w:szCs w:val="20"/>
          <w:color w:val="auto"/>
        </w:rPr>
      </w:pPr>
    </w:p>
    <w:p>
      <w:pPr>
        <w:jc w:val="both"/>
        <w:ind w:left="760" w:firstLine="749"/>
        <w:spacing w:after="0" w:line="23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Filing Date</w:t>
      </w:r>
      <w:r>
        <w:rPr>
          <w:rFonts w:ascii="Times New Roman" w:cs="Times New Roman" w:eastAsia="Times New Roman" w:hAnsi="Times New Roman"/>
          <w:sz w:val="18"/>
          <w:szCs w:val="18"/>
          <w:color w:val="auto"/>
        </w:rPr>
        <w:t>” means, with respect to the Initial Registration Statement required hereunder, the 3</w:t>
      </w:r>
      <w:r>
        <w:rPr>
          <w:rFonts w:ascii="Times New Roman" w:cs="Times New Roman" w:eastAsia="Times New Roman" w:hAnsi="Times New Roman"/>
          <w:sz w:val="24"/>
          <w:szCs w:val="24"/>
          <w:color w:val="auto"/>
          <w:vertAlign w:val="superscript"/>
        </w:rPr>
        <w:t>rd</w:t>
      </w:r>
      <w:r>
        <w:rPr>
          <w:rFonts w:ascii="Times New Roman" w:cs="Times New Roman" w:eastAsia="Times New Roman" w:hAnsi="Times New Roman"/>
          <w:sz w:val="18"/>
          <w:szCs w:val="18"/>
          <w:color w:val="auto"/>
        </w:rPr>
        <w:t xml:space="preserve"> Business Day following the Closing Date. With respect to any additional Registration Statements which may be required pursuant to Section 2(c) or Section 3(c), “Filing Date” means the earliest practical date on which the Company is permitted by SEC Guidance to file such additional Registration Statement related to the Registrable Securities.</w:t>
      </w:r>
    </w:p>
    <w:p>
      <w:pPr>
        <w:spacing w:after="0" w:line="20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Holders</w:t>
      </w:r>
      <w:r>
        <w:rPr>
          <w:rFonts w:ascii="Times New Roman" w:cs="Times New Roman" w:eastAsia="Times New Roman" w:hAnsi="Times New Roman"/>
          <w:sz w:val="18"/>
          <w:szCs w:val="18"/>
          <w:color w:val="auto"/>
        </w:rPr>
        <w:t>” means the holder or holders, as the case may be, from time to time of Registrable Securities.</w:t>
      </w:r>
    </w:p>
    <w:p>
      <w:pPr>
        <w:spacing w:after="0" w:line="2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shall have the meaning set forth in Section 5(c).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1033145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8" w:name="page39"/>
    <w:bookmarkEnd w:id="38"/>
    <w:p>
      <w:pPr>
        <w:ind w:left="7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shall have the meaning set forth in Section 5(c).</w:t>
      </w:r>
    </w:p>
    <w:p>
      <w:pPr>
        <w:spacing w:after="0" w:line="22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Registration Statement</w:t>
      </w:r>
      <w:r>
        <w:rPr>
          <w:rFonts w:ascii="Times New Roman" w:cs="Times New Roman" w:eastAsia="Times New Roman" w:hAnsi="Times New Roman"/>
          <w:sz w:val="18"/>
          <w:szCs w:val="18"/>
          <w:color w:val="auto"/>
        </w:rPr>
        <w:t>” means the initial Registration Statement filed pursuant to this Agreement.</w:t>
      </w:r>
    </w:p>
    <w:p>
      <w:pPr>
        <w:spacing w:after="0" w:line="22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shall have the meaning set forth in Section 5(a).</w:t>
      </w:r>
    </w:p>
    <w:p>
      <w:pPr>
        <w:spacing w:after="0" w:line="22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 of Distribution</w:t>
      </w:r>
      <w:r>
        <w:rPr>
          <w:rFonts w:ascii="Times New Roman" w:cs="Times New Roman" w:eastAsia="Times New Roman" w:hAnsi="Times New Roman"/>
          <w:sz w:val="18"/>
          <w:szCs w:val="18"/>
          <w:color w:val="auto"/>
        </w:rPr>
        <w:t>” shall have the meaning set forth in Section 2(a).</w:t>
      </w:r>
    </w:p>
    <w:p>
      <w:pPr>
        <w:spacing w:after="0" w:line="225"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means the prospectus included in a Registration Statement (including, without limitation, a prospectus that includes any information previously omitted from a prospectus filed as part of an effective registration statement in reliance upon Rule 430A promulgated by the Commission pursuant to the Securities Act), as amended or supplemented by any prospectus supplement, with respect to the terms of the offering of any portion of the Registrable Securities covered by a Registration Statement, and all other amendments and supplements to the Prospectus, including post-effective amendments, and all material incorporated by reference or deemed to be incorporated by reference in such Prospectus.</w:t>
      </w:r>
    </w:p>
    <w:p>
      <w:pPr>
        <w:spacing w:after="0" w:line="187"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xml:space="preserve">” means, as of any date of determination, (a) the Shares and (b) any securities issued or then issuable upon any share split, dividend or other distribution, recapitalization or similar event with respect to the foregoing;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any such Registrable Securities shall cease to be Registrable Securities (and the Company shall not be required to maintain the effectiveness of any, or file another, Registration Statement hereunder with respect thereto) for so long as (a) a Registration Statement with respect to the sale of such Registrable Securities is declared effective by the Commission under the Securities Act and such Registrable Securities have been disposed of by the Holder in accordance with such effective Registration Statement, (b) such Registrable Securities have been previously sold in accordance with Rule 144, or (c) such securities become eligible for resale without volume or manner-of-sale restrictions and without current public information pursuant to Rule 144 as set forth in a written opinion letter to such effect, addressed, delivered and acceptable to the Transfer Agent and the affected Holders (assuming that such securities and any securities issuable upon exercise, conversion or exchange of which, or as a dividend upon which, such securities were issued or are issuable, were at no time held by any Affiliate of the Company, as reasonably determined by the Company, upon the advice of counsel to the Company).</w:t>
      </w:r>
    </w:p>
    <w:p>
      <w:pPr>
        <w:spacing w:after="0" w:line="192"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any registration statement required to be filed hereunder pursuant to Section 2(a) and any additional registration statements contemplated by Section 2(c) or Section 3(c), including (in each case) the Prospectus, amendments and supplements to any such registration statement or Prospectus, including pre- and post-effective amendments, all exhibits thereto, and all material incorporated by reference or deemed to be incorporated by reference in any such registration statement.</w:t>
      </w:r>
    </w:p>
    <w:p>
      <w:pPr>
        <w:spacing w:after="0" w:line="180"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415</w:t>
      </w:r>
      <w:r>
        <w:rPr>
          <w:rFonts w:ascii="Times New Roman" w:cs="Times New Roman" w:eastAsia="Times New Roman" w:hAnsi="Times New Roman"/>
          <w:sz w:val="18"/>
          <w:szCs w:val="18"/>
          <w:color w:val="auto"/>
        </w:rPr>
        <w:t>” means Rule 415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76"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424</w:t>
      </w:r>
      <w:r>
        <w:rPr>
          <w:rFonts w:ascii="Times New Roman" w:cs="Times New Roman" w:eastAsia="Times New Roman" w:hAnsi="Times New Roman"/>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7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Selling Shareholder Questionnaire</w:t>
      </w:r>
      <w:r>
        <w:rPr>
          <w:rFonts w:ascii="Times New Roman" w:cs="Times New Roman" w:eastAsia="Times New Roman" w:hAnsi="Times New Roman"/>
          <w:sz w:val="18"/>
          <w:szCs w:val="18"/>
          <w:color w:val="auto"/>
        </w:rPr>
        <w:t>” shall have the meaning set forth in Section 3(a).</w:t>
      </w:r>
    </w:p>
    <w:p>
      <w:pPr>
        <w:spacing w:after="0" w:line="225"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Guidance</w:t>
      </w:r>
      <w:r>
        <w:rPr>
          <w:rFonts w:ascii="Times New Roman" w:cs="Times New Roman" w:eastAsia="Times New Roman" w:hAnsi="Times New Roman"/>
          <w:sz w:val="18"/>
          <w:szCs w:val="18"/>
          <w:color w:val="auto"/>
        </w:rPr>
        <w:t>” means (i) any publicly-available written or oral guidance of the Commission staff, or any comments, requirements or requests of the Commission staff and (ii) the Securities Act.</w:t>
      </w:r>
    </w:p>
    <w:p>
      <w:pPr>
        <w:spacing w:after="0" w:line="162" w:lineRule="exact"/>
        <w:rPr>
          <w:sz w:val="20"/>
          <w:szCs w:val="20"/>
          <w:color w:val="auto"/>
        </w:rPr>
      </w:pPr>
    </w:p>
    <w:p>
      <w:pPr>
        <w:ind w:left="920" w:hanging="175"/>
        <w:spacing w:after="0"/>
        <w:tabs>
          <w:tab w:leader="none" w:pos="9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jc w:val="both"/>
        <w:ind w:firstLine="1494"/>
        <w:spacing w:after="0" w:line="255" w:lineRule="auto"/>
        <w:tabs>
          <w:tab w:leader="none" w:pos="176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each Filing Date, the Company shall prepare and file with the Commission a Registration Statement covering the resale of all of the Registrable Securities that are not then registered on an effective Registration Statement for an offering to be made on a continuous basis pursuant to Rule 415. Each Registration Statement filed hereunder shall be on Form F-3 or such other appropriate</w:t>
      </w:r>
    </w:p>
    <w:p>
      <w:pPr>
        <w:spacing w:after="0" w:line="15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627380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7" w:right="339" w:bottom="1440" w:gutter="0" w:footer="0" w:header="0"/>
        </w:sectPr>
      </w:pPr>
    </w:p>
    <w:bookmarkStart w:id="39" w:name="page40"/>
    <w:bookmarkEnd w:id="39"/>
    <w:p>
      <w:pPr>
        <w:jc w:val="both"/>
        <w:spacing w:after="0" w:line="252" w:lineRule="auto"/>
        <w:rPr>
          <w:sz w:val="20"/>
          <w:szCs w:val="20"/>
          <w:color w:val="auto"/>
        </w:rPr>
      </w:pPr>
      <w:r>
        <w:rPr>
          <w:rFonts w:ascii="Times New Roman" w:cs="Times New Roman" w:eastAsia="Times New Roman" w:hAnsi="Times New Roman"/>
          <w:sz w:val="18"/>
          <w:szCs w:val="18"/>
          <w:color w:val="auto"/>
        </w:rPr>
        <w:t>form and shall contain substantially the “</w:t>
      </w:r>
      <w:r>
        <w:rPr>
          <w:rFonts w:ascii="Times New Roman" w:cs="Times New Roman" w:eastAsia="Times New Roman" w:hAnsi="Times New Roman"/>
          <w:sz w:val="18"/>
          <w:szCs w:val="18"/>
          <w:u w:val="single" w:color="auto"/>
          <w:color w:val="auto"/>
        </w:rPr>
        <w:t>Plan of Distribution</w:t>
      </w:r>
      <w:r>
        <w:rPr>
          <w:rFonts w:ascii="Times New Roman" w:cs="Times New Roman" w:eastAsia="Times New Roman" w:hAnsi="Times New Roman"/>
          <w:sz w:val="18"/>
          <w:szCs w:val="18"/>
          <w:color w:val="auto"/>
        </w:rPr>
        <w:t xml:space="preserve">” attached hereto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and substantially the “</w:t>
      </w:r>
      <w:r>
        <w:rPr>
          <w:rFonts w:ascii="Times New Roman" w:cs="Times New Roman" w:eastAsia="Times New Roman" w:hAnsi="Times New Roman"/>
          <w:sz w:val="18"/>
          <w:szCs w:val="18"/>
          <w:u w:val="single" w:color="auto"/>
          <w:color w:val="auto"/>
        </w:rPr>
        <w:t>Selling Shareholder</w:t>
      </w:r>
      <w:r>
        <w:rPr>
          <w:rFonts w:ascii="Times New Roman" w:cs="Times New Roman" w:eastAsia="Times New Roman" w:hAnsi="Times New Roman"/>
          <w:sz w:val="18"/>
          <w:szCs w:val="18"/>
          <w:color w:val="auto"/>
        </w:rPr>
        <w:t xml:space="preserve">” section attached hereto as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Holder shall be required to be named as an “underwriter” without such Holder’s express prior written consent. Subject to the terms of this Agreement, the Company shall use its reasonable best efforts to cause a Registration Statement filed under this Agreement (including, without limitation, under Section 3(c)) to be declared effective under the Securities Act as promptly as possible after the filing thereof, but in any event no later than the applicable Effectiveness Date, and shall use its reasonable best efforts to keep such Registration Statement continuously effective under the Securities Act until the date that all Registrable Securities covered by such Registration Statement (i) have been sold, thereunder or pursuant to Rule 144, or (ii) may be sold without volume or manner-of-sale restrictions pursuant to Rule 144 and without the requirement for the Company to be in compliance with the current public information requirement under Rule 144, as determined by the counsel to the Company pursuant to a written opinion letter to such effect, addressed and acceptable to the Transfer Agent and the affected Holders (the “</w:t>
      </w:r>
      <w:r>
        <w:rPr>
          <w:rFonts w:ascii="Times New Roman" w:cs="Times New Roman" w:eastAsia="Times New Roman" w:hAnsi="Times New Roman"/>
          <w:sz w:val="18"/>
          <w:szCs w:val="18"/>
          <w:u w:val="single" w:color="auto"/>
          <w:color w:val="auto"/>
        </w:rPr>
        <w:t>Effectiveness Period</w:t>
      </w:r>
      <w:r>
        <w:rPr>
          <w:rFonts w:ascii="Times New Roman" w:cs="Times New Roman" w:eastAsia="Times New Roman" w:hAnsi="Times New Roman"/>
          <w:sz w:val="18"/>
          <w:szCs w:val="18"/>
          <w:color w:val="auto"/>
        </w:rPr>
        <w:t>”). The Company shall telephonically request effectiveness of a Registration Statement as of 5:00 p.m. (New York City time) on a Trading Day. The Company shall immediately notify the Holders via facsimile or by e-mail of the effectiveness of a Registration Statement on the same Trading Day that the Company telephonically confirms effectiveness with the Commission, which shall be the date requested for effectiveness of such Registration Statement. The Company shall, by 9:30 a.m. (New York City time) on the Trading Day after the effective date of such Registration Statement, file a final Prospectus with the Commission as required by Rule 424. Failure to so notify the Holder within one (1) Trading Day of such notification of effectiveness or failure to file a final Prospectus as foresaid shall be deemed an Event under Section 2(d).</w:t>
      </w:r>
    </w:p>
    <w:p>
      <w:pPr>
        <w:spacing w:after="0" w:line="195" w:lineRule="exact"/>
        <w:rPr>
          <w:sz w:val="20"/>
          <w:szCs w:val="20"/>
          <w:color w:val="auto"/>
        </w:rPr>
      </w:pPr>
    </w:p>
    <w:p>
      <w:pPr>
        <w:jc w:val="both"/>
        <w:ind w:firstLine="1494"/>
        <w:spacing w:after="0" w:line="254" w:lineRule="auto"/>
        <w:tabs>
          <w:tab w:leader="none" w:pos="17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registration obligations set forth in Section 2(a), if the Commission informs the Company that all of the Registrable Securities cannot, as a result of the application of Rule 415, be registered for resale as a secondary offering on a single registration statement, the Company agrees to promptly inform each of the Holders thereof and use its commercially reasonable efforts to file amendments to the Initial Registration Statement as required by the Commission, covering the maximum number of Registrable Securities permitted to be registered by the Commission, on Form F-3 or such other form available to register for resale the Registrable Securities as a secondary offering, and subject to the provisions of Section 2(d) with respect to the payment of liquidated damages;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prior to filing such amendment, the Company shall be obligated to use diligent efforts to advocate with the Commission for the registration of all of the Registrable Securities in accordance with the SEC Guidance, including without limitation, Securities Act Rules Compliance and Disclosure Interpretation Question 612.09.</w:t>
      </w:r>
    </w:p>
    <w:p>
      <w:pPr>
        <w:spacing w:after="0" w:line="188" w:lineRule="exact"/>
        <w:rPr>
          <w:rFonts w:ascii="Times New Roman" w:cs="Times New Roman" w:eastAsia="Times New Roman" w:hAnsi="Times New Roman"/>
          <w:sz w:val="18"/>
          <w:szCs w:val="18"/>
          <w:color w:val="auto"/>
        </w:rPr>
      </w:pPr>
    </w:p>
    <w:p>
      <w:pPr>
        <w:jc w:val="both"/>
        <w:ind w:firstLine="1494"/>
        <w:spacing w:after="0" w:line="258" w:lineRule="auto"/>
        <w:tabs>
          <w:tab w:leader="none" w:pos="175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and subject to the payment of liquidated damages pursuant to Section 2(d), if the Commission or any SEC Guidance sets forth a limitation on the number of Registrable Securities permitted to be registered on a particular Registration Statement as a secondary offering (and notwithstanding that the Company used diligent efforts to advocate with the Commission for the registration of all or a greater portion of Registrable Securities), unless otherwise directed in writing by a Holder as to its Registrable Securities, the number of Registrable Securities to be registered on such Registration Statement will be reduced as follows:</w:t>
      </w:r>
    </w:p>
    <w:p>
      <w:pPr>
        <w:spacing w:after="0" w:line="183" w:lineRule="exact"/>
        <w:rPr>
          <w:rFonts w:ascii="Times New Roman" w:cs="Times New Roman" w:eastAsia="Times New Roman" w:hAnsi="Times New Roman"/>
          <w:sz w:val="18"/>
          <w:szCs w:val="18"/>
          <w:color w:val="auto"/>
        </w:rPr>
      </w:pPr>
    </w:p>
    <w:p>
      <w:pPr>
        <w:ind w:left="2480" w:hanging="237"/>
        <w:spacing w:after="0"/>
        <w:tabs>
          <w:tab w:leader="none" w:pos="24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the Company shall reduce or eliminate any securities to be included other than Registrable Securities;</w:t>
      </w:r>
    </w:p>
    <w:p>
      <w:pPr>
        <w:spacing w:after="0" w:line="27" w:lineRule="exact"/>
        <w:rPr>
          <w:rFonts w:ascii="Times New Roman" w:cs="Times New Roman" w:eastAsia="Times New Roman" w:hAnsi="Times New Roman"/>
          <w:sz w:val="18"/>
          <w:szCs w:val="18"/>
          <w:color w:val="auto"/>
        </w:rPr>
      </w:pPr>
    </w:p>
    <w:p>
      <w:pPr>
        <w:ind w:left="7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206" w:lineRule="exact"/>
        <w:rPr>
          <w:rFonts w:ascii="Times New Roman" w:cs="Times New Roman" w:eastAsia="Times New Roman" w:hAnsi="Times New Roman"/>
          <w:sz w:val="18"/>
          <w:szCs w:val="18"/>
          <w:color w:val="auto"/>
        </w:rPr>
      </w:pPr>
    </w:p>
    <w:p>
      <w:pPr>
        <w:ind w:left="740" w:right="20" w:firstLine="1503"/>
        <w:spacing w:after="0" w:line="312" w:lineRule="auto"/>
        <w:tabs>
          <w:tab w:leader="none" w:pos="2503"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Second, the Company shall reduce Registrable Securities represented by Shares (applied, in the case that some Shares may be registered, to the Holders on a pro rata basis based on the total number of unregistered Shares held by such Holders).</w:t>
      </w:r>
    </w:p>
    <w:p>
      <w:pPr>
        <w:spacing w:after="0" w:line="140"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In the event of a cutback hereunder, the Company shall give the Holder at least five (5) Trading Days prior written notice along with the calculations as to such Holder’s allotment. In the event the Company amends the Initial Registration Statement in accordance with the foregoing, the Company will use its reasonable best efforts to file with the Commission, as promptly as allowed by Commission or SEC Guidance provided to the Company or to registrants of securities in general, one or more registration statements on Form F-3 or such other form available to register for resale those Registrable Securities that were not registered for resale on the Initial Registration Statement, as amended, and to use its reasonable best efforts</w:t>
      </w:r>
    </w:p>
    <w:p>
      <w:pPr>
        <w:spacing w:after="0" w:line="15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627380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7" w:right="339" w:bottom="1440" w:gutter="0" w:footer="0" w:header="0"/>
        </w:sectPr>
      </w:pPr>
    </w:p>
    <w:bookmarkStart w:id="40" w:name="page41"/>
    <w:bookmarkEnd w:id="40"/>
    <w:p>
      <w:pPr>
        <w:ind w:left="3" w:right="20"/>
        <w:spacing w:after="0" w:line="282" w:lineRule="auto"/>
        <w:rPr>
          <w:sz w:val="20"/>
          <w:szCs w:val="20"/>
          <w:color w:val="auto"/>
        </w:rPr>
      </w:pPr>
      <w:r>
        <w:rPr>
          <w:rFonts w:ascii="Times New Roman" w:cs="Times New Roman" w:eastAsia="Times New Roman" w:hAnsi="Times New Roman"/>
          <w:sz w:val="18"/>
          <w:szCs w:val="18"/>
          <w:color w:val="auto"/>
        </w:rPr>
        <w:t>to cause the Commission to declare such registration statement covering the Shares that were not registered for resale on the Initial Registration Statement, as amended, effective as soon as practicable after the date.</w:t>
      </w:r>
    </w:p>
    <w:p>
      <w:pPr>
        <w:spacing w:after="0" w:line="162" w:lineRule="exact"/>
        <w:rPr>
          <w:sz w:val="20"/>
          <w:szCs w:val="20"/>
          <w:color w:val="auto"/>
        </w:rPr>
      </w:pPr>
    </w:p>
    <w:p>
      <w:pPr>
        <w:jc w:val="both"/>
        <w:ind w:left="3" w:firstLine="1494"/>
        <w:spacing w:after="0" w:line="251" w:lineRule="auto"/>
        <w:tabs>
          <w:tab w:leader="none" w:pos="178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the Initial Registration Statement is not filed on or prior to its Filing Date (if the Company files the Initial Registration Statement without affording the Holders the opportunity to review and comment on the same as required by Section 3(a) herein, the Company shall be deemed to have not satisfied this clause (i)), provided that the failure to file the Initial Registration Statement on or prior to the Filing Date is not due to any delay caused by any Holder, or (ii) the Company fails to file with the Commission a request for acceleration of a Registration Statement in accordance with Rule 461 promulgated by the Commission pursuant to the Securities Act, within five (5) Trading Days of the date that the Company is notified (orally or in writing, whichever is earlier) by the Commission that such Registration Statement will not be “reviewed” or will not be subject to further review, or (iii) prior to the effective date of a Registration Statement, the Company fails to file a pre-effective amendment and otherwise respond in writing to comments made by the Commission in respect of such Registration Statement within ten (10) calendar days after the receipt of comments by or notice from the Commission that such amendment is required in order for such Registration Statement to be declared effective, or (iv) a Registration Statement registering for resale all of the Registrable Securities, subject to the cutback limitations set forth in Section 2(c) of this Agreement, is not declared effective by the Commission by the Effectiveness Date of the Initial Registration Statement, or (v) after the effective date of a Registration Statement, such Registration Statement ceases for any reason to remain continuously effective as to all Registrable Securities included in such Registration Statement, or the Holders are otherwise not permitted to utilize the Prospectus therein to resell such Registrable Securities, for more than ten (10) consecutive calendar days or more than an aggregate of fifteen (15) calendar days (which need not be consecutive calendar days) during any 12-month period (any such failure or breach being referred to as an “</w:t>
      </w:r>
      <w:r>
        <w:rPr>
          <w:rFonts w:ascii="Times New Roman" w:cs="Times New Roman" w:eastAsia="Times New Roman" w:hAnsi="Times New Roman"/>
          <w:sz w:val="18"/>
          <w:szCs w:val="18"/>
          <w:u w:val="single" w:color="auto"/>
          <w:color w:val="auto"/>
        </w:rPr>
        <w:t>Event</w:t>
      </w:r>
      <w:r>
        <w:rPr>
          <w:rFonts w:ascii="Times New Roman" w:cs="Times New Roman" w:eastAsia="Times New Roman" w:hAnsi="Times New Roman"/>
          <w:sz w:val="18"/>
          <w:szCs w:val="18"/>
          <w:color w:val="auto"/>
        </w:rPr>
        <w:t>”, and for purposes of clauses (i) and (iv), the date on which such Event occurs, and for purpose of clause (ii) the date on which such five (5) Trading Day period is exceeded, and for purpose of clause (iii) the date which such ten (10) calendar day period is exceeded, and for purpose of clause (v) the date on which such ten (10) or fifteen (15) calendar day period, as applicable, is exceeded being referred to as “</w:t>
      </w:r>
      <w:r>
        <w:rPr>
          <w:rFonts w:ascii="Times New Roman" w:cs="Times New Roman" w:eastAsia="Times New Roman" w:hAnsi="Times New Roman"/>
          <w:sz w:val="18"/>
          <w:szCs w:val="18"/>
          <w:u w:val="single" w:color="auto"/>
          <w:color w:val="auto"/>
        </w:rPr>
        <w:t>Event Date</w:t>
      </w:r>
      <w:r>
        <w:rPr>
          <w:rFonts w:ascii="Times New Roman" w:cs="Times New Roman" w:eastAsia="Times New Roman" w:hAnsi="Times New Roman"/>
          <w:sz w:val="18"/>
          <w:szCs w:val="18"/>
          <w:color w:val="auto"/>
        </w:rPr>
        <w:t>”), then, in addition to any other rights the Holders may have hereunder or under applicable law, on each such Event Date and on each monthly anniversary of each such Event Date (if the applicable Event shall not have been cured by such date) until the applicable Event is cured, the Company shall pay to each Holder an amount in cash, as partial liquidated damages and not as a penalty, equal to the product of (A) 1.0%; (B) the Per Share Purchase Price; and (C) the number of Shares held by the Purchaser on the Event Date. If the Company fails to pay any partial liquidated damages pursuant to this Section in full within seven days after the date payable, the Company will pay interest thereon at a rate of 18% per annum (or such lesser maximum amount that is permitted to be paid by applicable law) to the Holder, accruing daily from the date such partial liquidated damages are due until such amounts, plus all such interest thereon, are paid in full. The partial liquidated damages pursuant to the terms hereof shall apply on a daily pro rata basis for any portion of a month prior to the cure of an Event.</w:t>
      </w:r>
    </w:p>
    <w:p>
      <w:pPr>
        <w:spacing w:after="0" w:line="203" w:lineRule="exact"/>
        <w:rPr>
          <w:rFonts w:ascii="Times New Roman" w:cs="Times New Roman" w:eastAsia="Times New Roman" w:hAnsi="Times New Roman"/>
          <w:sz w:val="18"/>
          <w:szCs w:val="18"/>
          <w:color w:val="auto"/>
        </w:rPr>
      </w:pPr>
    </w:p>
    <w:p>
      <w:pPr>
        <w:ind w:left="1743" w:hanging="246"/>
        <w:spacing w:after="0"/>
        <w:tabs>
          <w:tab w:leader="none" w:pos="174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3" w:firstLine="1494"/>
        <w:spacing w:after="0" w:line="282" w:lineRule="auto"/>
        <w:tabs>
          <w:tab w:leader="none" w:pos="174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in no event shall the Company be permitted to name any Holder or affiliate of a Holder as any Underwriter without the prior written consent of such Holder.</w:t>
      </w:r>
    </w:p>
    <w:p>
      <w:pPr>
        <w:spacing w:after="0" w:line="162" w:lineRule="exact"/>
        <w:rPr>
          <w:sz w:val="20"/>
          <w:szCs w:val="20"/>
          <w:color w:val="auto"/>
        </w:rPr>
      </w:pPr>
    </w:p>
    <w:p>
      <w:pPr>
        <w:ind w:left="923" w:hanging="175"/>
        <w:spacing w:after="0"/>
        <w:tabs>
          <w:tab w:leader="none" w:pos="92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Procedures</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In connection with the Company’s registration obligations hereunder, the Company shall:</w:t>
      </w:r>
    </w:p>
    <w:p>
      <w:pPr>
        <w:spacing w:after="0" w:line="207" w:lineRule="exact"/>
        <w:rPr>
          <w:sz w:val="20"/>
          <w:szCs w:val="20"/>
          <w:color w:val="auto"/>
        </w:rPr>
      </w:pPr>
    </w:p>
    <w:p>
      <w:pPr>
        <w:jc w:val="both"/>
        <w:ind w:left="3" w:firstLine="1494"/>
        <w:spacing w:after="0" w:line="255" w:lineRule="auto"/>
        <w:tabs>
          <w:tab w:leader="none" w:pos="1756"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less than five (5) Trading Days prior to the filing of each Registration Statement and not less than one (1) Trading Day prior to the filing of any related Prospectus or any amendment or supplement thereto (including any document that would be incorporated or deemed to be incorporated therein by reference), the Company shall (i) furnish to each Holder copies of all such documents proposed to be filed, which documents (other than those incorporated or deemed to be incorporated by reference) will be subject to the review of such Holders, and</w:t>
      </w:r>
    </w:p>
    <w:p>
      <w:pPr>
        <w:spacing w:after="0" w:line="2" w:lineRule="exact"/>
        <w:rPr>
          <w:rFonts w:ascii="Times New Roman" w:cs="Times New Roman" w:eastAsia="Times New Roman" w:hAnsi="Times New Roman"/>
          <w:sz w:val="18"/>
          <w:szCs w:val="18"/>
          <w:color w:val="auto"/>
        </w:rPr>
      </w:pPr>
    </w:p>
    <w:p>
      <w:pPr>
        <w:ind w:left="3" w:right="20" w:hanging="3"/>
        <w:spacing w:after="0" w:line="260" w:lineRule="auto"/>
        <w:tabs>
          <w:tab w:leader="none" w:pos="27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its officers and directors, counsel and independent registered public accountants to respond to such inquiries as shall be necessary, in the reasonable opinion of respective counsel to each Holder, to conduct a reasonable investigation within the meaning of the Securities Act. The</w:t>
      </w:r>
    </w:p>
    <w:p>
      <w:pPr>
        <w:spacing w:after="0" w:line="150" w:lineRule="exact"/>
        <w:rPr>
          <w:sz w:val="20"/>
          <w:szCs w:val="20"/>
          <w:color w:val="auto"/>
        </w:rPr>
      </w:pPr>
    </w:p>
    <w:p>
      <w:pPr>
        <w:ind w:left="4823"/>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627380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17" w:right="339" w:bottom="1440" w:gutter="0" w:footer="0" w:header="0"/>
        </w:sectPr>
      </w:pPr>
    </w:p>
    <w:bookmarkStart w:id="41" w:name="page42"/>
    <w:bookmarkEnd w:id="41"/>
    <w:p>
      <w:pPr>
        <w:jc w:val="both"/>
        <w:ind w:left="3"/>
        <w:spacing w:after="0" w:line="254" w:lineRule="auto"/>
        <w:rPr>
          <w:sz w:val="20"/>
          <w:szCs w:val="20"/>
          <w:color w:val="auto"/>
        </w:rPr>
      </w:pPr>
      <w:r>
        <w:rPr>
          <w:rFonts w:ascii="Times New Roman" w:cs="Times New Roman" w:eastAsia="Times New Roman" w:hAnsi="Times New Roman"/>
          <w:sz w:val="18"/>
          <w:szCs w:val="18"/>
          <w:color w:val="auto"/>
        </w:rPr>
        <w:t xml:space="preserve">Company shall not file a Registration Statement or any such Prospectus or any amendments or supplements thereto to which the Holders of a majority of the Registrable Securities shall reasonably object in good faith, provided that, the Company is notified of such objection in writing no later than five (5) Trading Days after the Holders have been so furnished copies of a Registration Statement or one (1) Trading Day after the Holders have been so furnished copies of any related Prospectus or amendments or supplements thereto. Each Holder agrees to furnish to the Company a completed questionnaire in the form attached to this Agreement as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Selling Shareholder Questionnaire</w:t>
      </w:r>
      <w:r>
        <w:rPr>
          <w:rFonts w:ascii="Times New Roman" w:cs="Times New Roman" w:eastAsia="Times New Roman" w:hAnsi="Times New Roman"/>
          <w:sz w:val="18"/>
          <w:szCs w:val="18"/>
          <w:color w:val="auto"/>
        </w:rPr>
        <w:t>”) on a date that is</w:t>
      </w:r>
    </w:p>
    <w:p>
      <w:pPr>
        <w:spacing w:after="0" w:line="3" w:lineRule="exact"/>
        <w:rPr>
          <w:sz w:val="20"/>
          <w:szCs w:val="20"/>
          <w:color w:val="auto"/>
        </w:rPr>
      </w:pPr>
    </w:p>
    <w:p>
      <w:pPr>
        <w:jc w:val="both"/>
        <w:ind w:left="3"/>
        <w:spacing w:after="0" w:line="205" w:lineRule="auto"/>
        <w:rPr>
          <w:sz w:val="20"/>
          <w:szCs w:val="20"/>
          <w:color w:val="auto"/>
        </w:rPr>
      </w:pPr>
      <w:r>
        <w:rPr>
          <w:rFonts w:ascii="Times New Roman" w:cs="Times New Roman" w:eastAsia="Times New Roman" w:hAnsi="Times New Roman"/>
          <w:sz w:val="18"/>
          <w:szCs w:val="18"/>
          <w:color w:val="auto"/>
        </w:rPr>
        <w:t>not less than two (2) Trading Days prior to the Filing Date or by the end of the fourth (4</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Trading Day following the date on which such Holder receives draft materials in accordance with this Section.</w:t>
      </w:r>
    </w:p>
    <w:p>
      <w:pPr>
        <w:spacing w:after="0" w:line="199" w:lineRule="exact"/>
        <w:rPr>
          <w:sz w:val="20"/>
          <w:szCs w:val="20"/>
          <w:color w:val="auto"/>
        </w:rPr>
      </w:pPr>
    </w:p>
    <w:p>
      <w:pPr>
        <w:jc w:val="both"/>
        <w:ind w:left="3" w:firstLine="1494"/>
        <w:spacing w:after="0" w:line="253" w:lineRule="auto"/>
        <w:tabs>
          <w:tab w:leader="none" w:pos="1783"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Prepare and file with the Commission such amendments, including post-effective amendments, to a Registration Statement and the Prospectus used in connection therewith as may be necessary to keep a Registration Statement continuously effective as to the applicable Registrable Securities for the Effectiveness Period and prepare and file with the Commission such additional Registration Statements in order to register for resale under the Securities Act all of the Registrable Securities, (ii) cause the related Prospectus to be amended or supplemented by any required Prospectus supplement (subject to the terms of this Agreement), and, as so supplemented or amended, to be filed pursuant to Rule 424, (iii) respond as promptly as reasonably possible to any comments received from the Commission with respect to a Registration Statement or any amendment thereto and provide as promptly as reasonably possible to the Holders true and complete copies of all correspondence from and to the Commission relating to a Registration Statement (provided that, the Company shall excise any information contained therein which would constitute material non-public information regarding the Company or any of its Subsidiaries), and (iv) comply in all material respects with the applicable provisions of the Securities Act and the Exchange Act with respect to the disposition of all Registrable Securities covered by a Registration Statement during the applicable period in accordance (subject to the terms of this Agreement) with the intended methods of disposition by the Holders thereof set forth in such Registration Statement as so amended or in such Prospectus as so supplemented.</w:t>
      </w:r>
    </w:p>
    <w:p>
      <w:pPr>
        <w:spacing w:after="0" w:line="187" w:lineRule="exact"/>
        <w:rPr>
          <w:rFonts w:ascii="Times New Roman" w:cs="Times New Roman" w:eastAsia="Times New Roman" w:hAnsi="Times New Roman"/>
          <w:sz w:val="18"/>
          <w:szCs w:val="18"/>
          <w:color w:val="auto"/>
        </w:rPr>
      </w:pPr>
    </w:p>
    <w:p>
      <w:pPr>
        <w:jc w:val="both"/>
        <w:ind w:left="3" w:firstLine="1494"/>
        <w:spacing w:after="0" w:line="261" w:lineRule="auto"/>
        <w:tabs>
          <w:tab w:leader="none" w:pos="1767"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during the Effectiveness Period, the number of Registrable Securities at any time exceeds 100% of the number of shares of Common Stock then registered in a Registration Statement, then the Company shall file as soon as reasonably practicable, but in any case prior to the applicable Filing Date, an additional Registration Statement covering the resale by the Holders of not less than the number of such Registrable Securities.</w:t>
      </w:r>
    </w:p>
    <w:p>
      <w:pPr>
        <w:spacing w:after="0" w:line="179" w:lineRule="exact"/>
        <w:rPr>
          <w:rFonts w:ascii="Times New Roman" w:cs="Times New Roman" w:eastAsia="Times New Roman" w:hAnsi="Times New Roman"/>
          <w:sz w:val="18"/>
          <w:szCs w:val="18"/>
          <w:color w:val="auto"/>
        </w:rPr>
      </w:pPr>
    </w:p>
    <w:p>
      <w:pPr>
        <w:jc w:val="both"/>
        <w:ind w:left="3" w:firstLine="1494"/>
        <w:spacing w:after="0" w:line="252" w:lineRule="auto"/>
        <w:tabs>
          <w:tab w:leader="none" w:pos="1765"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 the Holders of Registrable Securities to be sold (which notice shall, pursuant to clauses (iii) through (vi) hereof, be accompanied by an instruction to suspend the use of the Prospectus until the requisite changes have been made) as promptly as reasonably possible (and, in the case of (i)(A) below, not less than one (1) Trading Day prior to such filing) and (if requested by any such Person) confirm such notice in writing no later than one (1) Trading Day following the day (i)(A) when a Prospectus or any Prospectus supplement or post-effective amendment to a Registration Statement is proposed to be filed, (B) when the Commission notifies the Company whether there will be a “review” of such Registration Statement and whenever the Commission comments in writing on such Registration Statement, and (C) with respect to a Registration Statement or any post-effective amendment, when the same has become effective, (ii) of any request by the Commission or any other federal or state governmental authority for amendments or supplements to a Registration Statement or Prospectus or for additional information, (iii) of the issuance by the Commission or any other federal or state governmental authority of any stop order suspending the effectiveness of a Registration Statement covering any or all of the Registrable Securities or the initiation of any Proceedings for that purpose,</w:t>
      </w:r>
    </w:p>
    <w:p>
      <w:pPr>
        <w:spacing w:after="0" w:line="5" w:lineRule="exact"/>
        <w:rPr>
          <w:rFonts w:ascii="Times New Roman" w:cs="Times New Roman" w:eastAsia="Times New Roman" w:hAnsi="Times New Roman"/>
          <w:sz w:val="18"/>
          <w:szCs w:val="18"/>
          <w:color w:val="auto"/>
        </w:rPr>
      </w:pPr>
    </w:p>
    <w:p>
      <w:pPr>
        <w:jc w:val="both"/>
        <w:ind w:left="3" w:hanging="3"/>
        <w:spacing w:after="0" w:line="252" w:lineRule="auto"/>
        <w:tabs>
          <w:tab w:leader="none" w:pos="31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receipt by the Company of any notification with respect to the suspension of the qualification or exemption from qualification of any of the Registrable Securities for sale in any jurisdiction, or the initiation or threatening of any Proceeding for such purpose, (v) of the occurrence of any event or passage of time that makes the financial statements included in a Registration Statement ineligible for inclusion therein or any statement made in a Registration Statement or Prospectus or any document incorporated or deemed to be incorporated therein by reference untrue in any material respect or that requires any revisions to a Registration Statement, Prospectus or other documents so that, in the case of a Registration Statement or the Prospectus, as the case may be, it will not contain any untrue statement of a material fact or omit to state any material fact required to be stated therein or necessary to make the statements</w:t>
      </w:r>
    </w:p>
    <w:p>
      <w:pPr>
        <w:spacing w:after="0" w:line="157" w:lineRule="exact"/>
        <w:rPr>
          <w:sz w:val="20"/>
          <w:szCs w:val="20"/>
          <w:color w:val="auto"/>
        </w:rPr>
      </w:pPr>
    </w:p>
    <w:p>
      <w:pPr>
        <w:ind w:left="4823"/>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627380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17" w:right="339" w:bottom="1440" w:gutter="0" w:footer="0" w:header="0"/>
        </w:sectPr>
      </w:pPr>
    </w:p>
    <w:bookmarkStart w:id="42" w:name="page43"/>
    <w:bookmarkEnd w:id="42"/>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therein, in light of the circumstances under which they were made, not misleading, and (vi) of the occurrence or existence of any pending corporate development with respect to the Company that the Company believes may be material and that, in the determination of the Company, makes it not in the best interest of the Company to allow continued availability of a Registration Statement or Prospectus;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shall any such notice contain any information which would constitute material, non-public information regarding the Company or any of its Subsidiaries and the Company agrees that the Holders shall not have any duty of confidentiality to the Company or any of its Subsidiaries and shall not have any duty to the Company or any of its Subsidiaries not to trade on the basis of such information.</w:t>
      </w:r>
    </w:p>
    <w:p>
      <w:pPr>
        <w:spacing w:after="0" w:line="187" w:lineRule="exact"/>
        <w:rPr>
          <w:sz w:val="20"/>
          <w:szCs w:val="20"/>
          <w:color w:val="auto"/>
        </w:rPr>
      </w:pPr>
    </w:p>
    <w:p>
      <w:pPr>
        <w:jc w:val="both"/>
        <w:ind w:firstLine="1494"/>
        <w:spacing w:after="0" w:line="266" w:lineRule="auto"/>
        <w:tabs>
          <w:tab w:leader="none" w:pos="175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reasonable best efforts to avoid the issuance of, or, if issued, obtain the withdrawal of (i) any order stopping or suspending the effectiveness of a Registration Statement, or (ii) any suspension of the qualification (or exemption from qualification) of any of the Registrable Securities for sale in any jurisdiction, at the earliest practicable moment.</w:t>
      </w:r>
    </w:p>
    <w:p>
      <w:pPr>
        <w:spacing w:after="0" w:line="175" w:lineRule="exact"/>
        <w:rPr>
          <w:rFonts w:ascii="Times New Roman" w:cs="Times New Roman" w:eastAsia="Times New Roman" w:hAnsi="Times New Roman"/>
          <w:sz w:val="18"/>
          <w:szCs w:val="18"/>
          <w:color w:val="auto"/>
        </w:rPr>
      </w:pPr>
    </w:p>
    <w:p>
      <w:pPr>
        <w:jc w:val="both"/>
        <w:ind w:firstLine="1494"/>
        <w:spacing w:after="0" w:line="258" w:lineRule="auto"/>
        <w:tabs>
          <w:tab w:leader="none" w:pos="175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to each Holder, without charge, at least one conformed copy of each such Registration Statement and each amendment thereto, including financial statements and schedules, all documents incorporated or deemed to be incorporated therein by reference to the extent requested by such Person, and all exhibits to the extent requested by such Person (including those previously furnished or incorporated by reference) promptly after the filing of such documents with the Commission, provided that any such item which is available on the EDGAR system (or successor thereto) need not be furnished in physical form.</w:t>
      </w:r>
    </w:p>
    <w:p>
      <w:pPr>
        <w:spacing w:after="0" w:line="183" w:lineRule="exact"/>
        <w:rPr>
          <w:rFonts w:ascii="Times New Roman" w:cs="Times New Roman" w:eastAsia="Times New Roman" w:hAnsi="Times New Roman"/>
          <w:sz w:val="18"/>
          <w:szCs w:val="18"/>
          <w:color w:val="auto"/>
        </w:rPr>
      </w:pPr>
    </w:p>
    <w:p>
      <w:pPr>
        <w:jc w:val="both"/>
        <w:ind w:firstLine="1494"/>
        <w:spacing w:after="0" w:line="266" w:lineRule="auto"/>
        <w:tabs>
          <w:tab w:leader="none" w:pos="175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this Agreement, the Company hereby consents to the use of such Prospectus and each amendment or supplement thereto by each of the selling Holders in connection with the offering and sale of the Registrable Securities covered by such Prospectus and any amendment or supplement thereto, except after the giving of any notice pursuant to Section 3(d).</w:t>
      </w:r>
    </w:p>
    <w:p>
      <w:pPr>
        <w:spacing w:after="0" w:line="175" w:lineRule="exact"/>
        <w:rPr>
          <w:rFonts w:ascii="Times New Roman" w:cs="Times New Roman" w:eastAsia="Times New Roman" w:hAnsi="Times New Roman"/>
          <w:sz w:val="18"/>
          <w:szCs w:val="18"/>
          <w:color w:val="auto"/>
        </w:rPr>
      </w:pPr>
    </w:p>
    <w:p>
      <w:pPr>
        <w:jc w:val="both"/>
        <w:ind w:firstLine="1494"/>
        <w:spacing w:after="0" w:line="266" w:lineRule="auto"/>
        <w:tabs>
          <w:tab w:leader="none" w:pos="179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cooperate with any broker-dealer through which a Holder proposes to resell its Registrable Securities in effecting a filing with the FINRA Corporate Financing Department pursuant to FINRA Rule 5110, as requested by any such Holder, and the Company shall pay the filing fee required by such filing within two (2) Business Days of receipt of a request therefor.</w:t>
      </w:r>
    </w:p>
    <w:p>
      <w:pPr>
        <w:spacing w:after="0" w:line="175" w:lineRule="exact"/>
        <w:rPr>
          <w:rFonts w:ascii="Times New Roman" w:cs="Times New Roman" w:eastAsia="Times New Roman" w:hAnsi="Times New Roman"/>
          <w:sz w:val="18"/>
          <w:szCs w:val="18"/>
          <w:color w:val="auto"/>
        </w:rPr>
      </w:pPr>
    </w:p>
    <w:p>
      <w:pPr>
        <w:jc w:val="both"/>
        <w:ind w:firstLine="1494"/>
        <w:spacing w:after="0" w:line="254" w:lineRule="auto"/>
        <w:tabs>
          <w:tab w:leader="none" w:pos="171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any resale of Registrable Securities by a Holder, use its commercially reasonable efforts to register or qualify or cooperate with the selling Holders in connection with the registration or qualification (or exemption from the Registration or qualification) of such Registrable Securities for the resale by the Holder under the securities or Blue Sky laws of such jurisdictions within the United States as any Holder reasonably requests in writing, to keep each registration or qualification (or exemption therefrom) effective during the Effectiveness Period and to do any and all other acts or things reasonably necessary to enable the disposition in such jurisdictions of the Registrable Securities covered by each Registration Statement, provided that the Company shall not be required to qualify generally to do business in any jurisdiction where it is not then so qualified, subject the Company to any material tax in any such jurisdiction where it is not then so subject or file a general consent to service of process in any such jurisdiction.</w:t>
      </w:r>
    </w:p>
    <w:p>
      <w:pPr>
        <w:spacing w:after="0" w:line="191" w:lineRule="exact"/>
        <w:rPr>
          <w:rFonts w:ascii="Times New Roman" w:cs="Times New Roman" w:eastAsia="Times New Roman" w:hAnsi="Times New Roman"/>
          <w:sz w:val="18"/>
          <w:szCs w:val="18"/>
          <w:color w:val="auto"/>
        </w:rPr>
      </w:pPr>
    </w:p>
    <w:p>
      <w:pPr>
        <w:jc w:val="both"/>
        <w:ind w:firstLine="1494"/>
        <w:spacing w:after="0" w:line="261" w:lineRule="auto"/>
        <w:tabs>
          <w:tab w:leader="none" w:pos="173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a Holder, cooperate with such Holder to facilitate the timely preparation and delivery of certificates representing Registrable Securities to be delivered to a transferee pursuant to a Registration Statement, which certificates shall be free, to the extent permitted by the Purchase Agreement, of all restrictive legends, and to enable such Registrable Securities to be in such denominations and registered in such names as any such Holder may request.</w:t>
      </w:r>
    </w:p>
    <w:p>
      <w:pPr>
        <w:spacing w:after="0" w:line="179" w:lineRule="exact"/>
        <w:rPr>
          <w:rFonts w:ascii="Times New Roman" w:cs="Times New Roman" w:eastAsia="Times New Roman" w:hAnsi="Times New Roman"/>
          <w:sz w:val="18"/>
          <w:szCs w:val="18"/>
          <w:color w:val="auto"/>
        </w:rPr>
      </w:pPr>
    </w:p>
    <w:p>
      <w:pPr>
        <w:jc w:val="both"/>
        <w:ind w:firstLine="1494"/>
        <w:spacing w:after="0" w:line="256"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any event contemplated by Section 3(d), as promptly as reasonably possible under the circumstances taking into account the Company’s good faith assessment of any adverse consequences to the Company and its shareholders of the premature disclosure of such event, prepare a supplement or amendment, including a post-effective amendment, to a Registration Statement or a supplement to the related Prospectus or any document incorporated or deemed to be incorporated therein by reference, and file any other required document so that, as thereafter delivered, neither a Registration Statement nor such Prospectus will contain an untrue statement of a material fact or omit to state a material</w:t>
      </w:r>
    </w:p>
    <w:p>
      <w:pPr>
        <w:spacing w:after="0" w:line="15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627380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7" w:right="339" w:bottom="1440" w:gutter="0" w:footer="0" w:header="0"/>
        </w:sectPr>
      </w:pPr>
    </w:p>
    <w:bookmarkStart w:id="43" w:name="page44"/>
    <w:bookmarkEnd w:id="43"/>
    <w:p>
      <w:pPr>
        <w:jc w:val="both"/>
        <w:ind w:left="760"/>
        <w:spacing w:after="0" w:line="255" w:lineRule="auto"/>
        <w:rPr>
          <w:sz w:val="20"/>
          <w:szCs w:val="20"/>
          <w:color w:val="auto"/>
        </w:rPr>
      </w:pPr>
      <w:r>
        <w:rPr>
          <w:rFonts w:ascii="Times New Roman" w:cs="Times New Roman" w:eastAsia="Times New Roman" w:hAnsi="Times New Roman"/>
          <w:sz w:val="18"/>
          <w:szCs w:val="18"/>
          <w:color w:val="auto"/>
        </w:rPr>
        <w:t>fact required to be stated therein or necessary to make the statements therein, in light of the circumstances under which they were made, not misleading. If the Company notifies the Holders in accordance with clauses (iii) through (vi) of Section 3(d) above to suspend the use of any Prospectus until the requisite changes to such Prospectus have been made, then the Holders shall suspend use of such Prospectus. The Company will use its reasonable best efforts to ensure that the use of the Prospectus may be resumed as promptly as is practicable. The Company shall be entitled to exercise its right under this Section 3(k) to suspend the availability of a Registration Statement and Prospectus, subject to the payment of partial liquidated damages otherwise required pursuant to Section 2(d), for the time periods set forth in, and subject to the payment of liquidated damages if so required pursuant to, Section 2(d) hereof.</w:t>
      </w:r>
    </w:p>
    <w:p>
      <w:pPr>
        <w:spacing w:after="0" w:line="189" w:lineRule="exact"/>
        <w:rPr>
          <w:sz w:val="20"/>
          <w:szCs w:val="20"/>
          <w:color w:val="auto"/>
        </w:rPr>
      </w:pPr>
    </w:p>
    <w:p>
      <w:pPr>
        <w:jc w:val="both"/>
        <w:ind w:left="760" w:firstLine="1494"/>
        <w:spacing w:after="0" w:line="256" w:lineRule="auto"/>
        <w:tabs>
          <w:tab w:leader="none" w:pos="2489"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use commercially reasonable efforts to comply with all applicable rules and regulations of the Commission under the Securities Act and the Exchange Act, including, without limitation, Rule 172 under the Securities Act, file any final Prospectus, including any supplement or amendment thereof, with the Commission pursuant to Rule 424 under the Securities Act, promptly inform the Holders in writing if, at any time during the Effectiveness Period, the Company does not satisfy the conditions specified in Rule 172 and, as a result thereof, the Holders are required to deliver a Prospectus in connection with any disposition of Registrable Securities and take such other actions as may be reasonably necessary to facilitate the registration of the Registrable Securities hereunder.</w:t>
      </w:r>
    </w:p>
    <w:p>
      <w:pPr>
        <w:spacing w:after="0" w:line="187" w:lineRule="exact"/>
        <w:rPr>
          <w:rFonts w:ascii="Times New Roman" w:cs="Times New Roman" w:eastAsia="Times New Roman" w:hAnsi="Times New Roman"/>
          <w:sz w:val="18"/>
          <w:szCs w:val="18"/>
          <w:color w:val="auto"/>
        </w:rPr>
      </w:pPr>
    </w:p>
    <w:p>
      <w:pPr>
        <w:ind w:left="760" w:firstLine="1494"/>
        <w:spacing w:after="0" w:line="282" w:lineRule="auto"/>
        <w:tabs>
          <w:tab w:leader="none" w:pos="2596"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its reasonable best efforts to obtain and maintain eligibility for use of Form F-3 (or any successor form thereto) for the registration of the resale of the Registrable Securities.</w:t>
      </w:r>
    </w:p>
    <w:p>
      <w:pPr>
        <w:spacing w:after="0" w:line="161" w:lineRule="exact"/>
        <w:rPr>
          <w:rFonts w:ascii="Times New Roman" w:cs="Times New Roman" w:eastAsia="Times New Roman" w:hAnsi="Times New Roman"/>
          <w:sz w:val="18"/>
          <w:szCs w:val="18"/>
          <w:color w:val="auto"/>
        </w:rPr>
      </w:pPr>
    </w:p>
    <w:p>
      <w:pPr>
        <w:jc w:val="both"/>
        <w:ind w:left="760" w:firstLine="1494"/>
        <w:spacing w:after="0" w:line="256" w:lineRule="auto"/>
        <w:tabs>
          <w:tab w:leader="none" w:pos="2536"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require each selling Holder to furnish to the Company a certified statement as to the number of shares of Common Stock beneficially owned by such Holder and, if required by the Commission, the natural persons thereof that have voting and dispositive control over the shares. During any periods that the Company is unable to meet its obligations hereunder with respect to the registration of the Registrable Securities solely because any Holder fails to furnish such information within three Trading Days of the Company’s request, any liquidated damages that are accruing at such time as to such Holder only shall be tolled and any Event that may otherwise occur solely because of such delay shall be suspended as to such Holder only, until such information is delivered to the Company.</w:t>
      </w:r>
    </w:p>
    <w:p>
      <w:pPr>
        <w:spacing w:after="0" w:line="187" w:lineRule="exact"/>
        <w:rPr>
          <w:rFonts w:ascii="Times New Roman" w:cs="Times New Roman" w:eastAsia="Times New Roman" w:hAnsi="Times New Roman"/>
          <w:sz w:val="18"/>
          <w:szCs w:val="18"/>
          <w:color w:val="auto"/>
        </w:rPr>
      </w:pPr>
    </w:p>
    <w:p>
      <w:pPr>
        <w:jc w:val="both"/>
        <w:ind w:firstLine="1505"/>
        <w:spacing w:after="0" w:line="252" w:lineRule="auto"/>
        <w:tabs>
          <w:tab w:leader="none" w:pos="167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Expenses</w:t>
      </w:r>
      <w:r>
        <w:rPr>
          <w:rFonts w:ascii="Times New Roman" w:cs="Times New Roman" w:eastAsia="Times New Roman" w:hAnsi="Times New Roman"/>
          <w:sz w:val="18"/>
          <w:szCs w:val="18"/>
          <w:color w:val="auto"/>
        </w:rPr>
        <w:t>. All fees and expenses incident to the performance of or compliance with this Agreement by the Company shall be borne by the Company whether or not any Registrable Securities are sold pursuant to a Registration Statement. The fees and expenses referred to in the foregoing sentence shall include, without limitation, (i) all registration and filing fees (including, without limitation, fees and expenses of the Company’s counsel and independent registered public accountants) (A) with respect to filings made with the Commission, (B) with respect to filings required to be made with any Trading Market on which the shares of Common Stock are then listed for trading, (C) in compliance with applicable state securities or Blue Sky laws reasonably agreed to by the Company in writing (including, without limitation, fees and disbursements of counsel for the Company in connection with Blue Sky qualifications or exemptions of the Registrable Securities), and (D) if not previously paid by the Company with respect to any filing that may be required to be made by any broker through which a Holder intends to make sales of Registrable Securities with FINRA pursuant to FINRA Rule 5110, so long as the broker is receiving no more than a customary brokerage commission in connection with such sale, (ii) printing expenses (including, without limitation, expenses of printing certificates for Registrable Securities), (iii) messenger, telephone and delivery expenses, (iv) fees and disbursements of counsel for the Company, (v) Securities Act liability insurance, if the Company so desires such insurance, and (vi) fees and expenses of all other Persons retained by the Company in connection with the consummation of the transactions contemplated by this Agreement. In addition, the Company shall be responsible for all of its internal expenses incurred in connection with the consummation of the transactions contemplated by this Agreement (including, without limitation, all salaries and expenses of its officers and employees performing legal or accounting duties), the expense of any annual audit and the fees and expenses incurred in connection with the listing of the Registrable Securities on any securities exchange as required hereunder. In no event shall the Company be responsible for any broker or similar commissions of any Holder or, except to the extent provided for in the Transaction Documents, any legal fees or other costs of the Holders.</w:t>
      </w:r>
    </w:p>
    <w:p>
      <w:pPr>
        <w:spacing w:after="0" w:line="193" w:lineRule="exact"/>
        <w:rPr>
          <w:rFonts w:ascii="Times New Roman" w:cs="Times New Roman" w:eastAsia="Times New Roman" w:hAnsi="Times New Roman"/>
          <w:sz w:val="18"/>
          <w:szCs w:val="18"/>
          <w:color w:val="auto"/>
        </w:rPr>
      </w:pPr>
    </w:p>
    <w:p>
      <w:pPr>
        <w:ind w:left="1680" w:hanging="175"/>
        <w:spacing w:after="0"/>
        <w:tabs>
          <w:tab w:leader="none" w:pos="1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4" w:name="page45"/>
    <w:bookmarkEnd w:id="44"/>
    <w:p>
      <w:pPr>
        <w:jc w:val="both"/>
        <w:ind w:left="-360" w:firstLine="1494"/>
        <w:spacing w:after="0" w:line="251" w:lineRule="auto"/>
        <w:tabs>
          <w:tab w:leader="none" w:pos="139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Company</w:t>
      </w:r>
      <w:r>
        <w:rPr>
          <w:rFonts w:ascii="Times New Roman" w:cs="Times New Roman" w:eastAsia="Times New Roman" w:hAnsi="Times New Roman"/>
          <w:sz w:val="18"/>
          <w:szCs w:val="18"/>
          <w:color w:val="auto"/>
        </w:rPr>
        <w:t>. The Company shall, notwithstanding any termination of this Agreement, indemnify and hold harmless each Holder, the officers, directors, members, partners, agents, brokers (including brokers who offer and sell Registrable Securities as principal as a result of a pledge or any failure to perform under a margin call), investment advisors and employees (and any other Persons with a functionally equivalent role of a Person holding such titles, notwithstanding a lack of such title or any other title) of each of them, each Person who controls any such Holder (within the meaning of Section 15 of the Securities Act or Section 20 of the Exchange Act) and the officers, directors, members, shareholders, partners, agents and employees (and any other Persons with a functionally equivalent role of a Person holding such titles, notwithstanding a lack of such title or any other title) of each such controlling Person, to the fullest extent permitted by applicable law, from and against any and all losses, claims, damages, liabilities, costs (including, without limitation, reasonable attorneys’ fees) and expenses (collectively,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as incurred in investigating, preparing or defending against any litigation, commence or threatened, or any claim, arising out of or relating to (1) any untrue or alleged untrue statement of a material fact contained in a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light of the circumstances under which they were made) not misleading or (2) any violation or alleged violation by the Company of the Securities Act, the Exchange Act or any state securities law, or any rule or regulation thereunder, in connection with the performance of its obligations under this Agreement, except to the extent, but only to the extent, that (i) such untrue statements or omissions are based solely upon information regarding such Holder furnished in writing to the Company by such Holder expressly for use therein, or to the extent that such information relates to such Holder or such Holder’s proposed method of distribution of Registrable Securities and was reviewed and expressly approved in writing by such Holder expressly for use in a Registration Statement, such Prospectus or in any amendment or supplement thereto (it being understood that the Holder has approved Annex A hereto for this purpose) or (ii) in the case of an occurrence of an event of the type specified in Section 3(d)(iii)-(vi), the use by such Holder of an outdated, defective or otherwise unavailable Prospectus after the Company has notified such Holder in writing that the Prospectus is outdated, defective or otherwise unavailable for use by such Holder and prior to the receipt by such Holder of the Advice contemplated in Section 6(c). The Company shall notify the Holders promptly of the institution, threat or assertion of any Proceeding arising from or in connection with the transactions contemplated by this Agreement of which the Company is aware. Such indemnity shall remain in full force and effect regardless of any investigation made by or on behalf of such indemnified person and shall survive the transfer of any Registrable Securities by any of the Holders in accordance with Section 6(f).</w:t>
      </w:r>
    </w:p>
    <w:p>
      <w:pPr>
        <w:spacing w:after="0" w:line="204" w:lineRule="exact"/>
        <w:rPr>
          <w:rFonts w:ascii="Times New Roman" w:cs="Times New Roman" w:eastAsia="Times New Roman" w:hAnsi="Times New Roman"/>
          <w:sz w:val="18"/>
          <w:szCs w:val="18"/>
          <w:color w:val="auto"/>
        </w:rPr>
      </w:pPr>
    </w:p>
    <w:p>
      <w:pPr>
        <w:jc w:val="both"/>
        <w:ind w:left="-360" w:firstLine="1494"/>
        <w:spacing w:after="0" w:line="252" w:lineRule="auto"/>
        <w:tabs>
          <w:tab w:leader="none" w:pos="139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Holders</w:t>
      </w:r>
      <w:r>
        <w:rPr>
          <w:rFonts w:ascii="Times New Roman" w:cs="Times New Roman" w:eastAsia="Times New Roman" w:hAnsi="Times New Roman"/>
          <w:sz w:val="18"/>
          <w:szCs w:val="18"/>
          <w:color w:val="auto"/>
        </w:rPr>
        <w:t>. Each Holder shall, severally and not jointly, indemnify and hold harmless the Company, its directors, officers, agents and employees, each Person who controls the Company (within the meaning of Section 15 of the Securities Act and Section 20 of the Exchange Act), and the directors, officers, agents or employees of such controlling Persons, to the fullest extent permitted by applicable law, from and against all Losses, as incurred, to the extent arising out of or based solely upon: any untrue or alleged untrue statement of a material fact contained in any Registration Statement, any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light of the circumstances under which they were made) not misleading (i) to the extent, but only to the extent, that such untrue statement or omission is contained in any information so furnished in writing by such Holder to the Company expressly for inclusion in such Registration Statement or such Prospectus or (ii) to the extent, but only to the extent, that such information relates to such Holder’s information provided in the Selling Shareholder Questionnaire or the proposed method of distribution of Registrable Securities and was reviewed and expressly approved in writing by such Holder expressly for use in a Registration Statement (it being understood that the Holder has approved Annex A hereto for this purpose), such Prospectus or in any amendment or supplement thereto. In no event shall the liability of a selling Holder be greater in amount than the dollar amount of the proceeds (net of all expenses paid by such Holder in connection with any claim relating to this Section 5 and the amount of any damages such Holder has otherwise been required to pay by reason of such untrue statement or omission) received by such Holder upon the sale of the Registrable Securities included in the Registration Statement giving rise to such indemnification obligation.</w:t>
      </w:r>
    </w:p>
    <w:p>
      <w:pPr>
        <w:spacing w:after="0" w:line="37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627380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7" w:right="339" w:bottom="1440" w:gutter="0" w:footer="0" w:header="0"/>
        </w:sectPr>
      </w:pPr>
    </w:p>
    <w:bookmarkStart w:id="45" w:name="page46"/>
    <w:bookmarkEnd w:id="45"/>
    <w:p>
      <w:pPr>
        <w:jc w:val="both"/>
        <w:ind w:firstLine="1494"/>
        <w:spacing w:after="0" w:line="255" w:lineRule="auto"/>
        <w:tabs>
          <w:tab w:leader="none" w:pos="17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Conduct of Indemnification Proceedings</w:t>
      </w:r>
      <w:r>
        <w:rPr>
          <w:rFonts w:ascii="Times New Roman" w:cs="Times New Roman" w:eastAsia="Times New Roman" w:hAnsi="Times New Roman"/>
          <w:sz w:val="18"/>
          <w:szCs w:val="18"/>
          <w:color w:val="auto"/>
        </w:rPr>
        <w:t>. If any Proceeding shall be brought or asserted against any Person entitled to indemnity hereunder (an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such Indemnified Party shall promptly notify the Person from whom indemnity is sought (the “</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in writing, and the Indemnifying Party shall have the right to assume the defense thereof, including the employment of counsel reasonably satisfactory to the Indemnified Party and the payment of all fees and expenses incurred in connection with defense thereof, provided that the failure of any Indemnified Party to give such notice shall not relieve the Indemnifying Party of its obligations or liabilities pursuant to this Agreement, except (and only) to the extent that it shall be finally determined by a court of competent jurisdiction (which determination is not subject to appeal or further review) that such failure shall have materially and adversely prejudiced the Indemnifying Party.</w:t>
      </w:r>
    </w:p>
    <w:p>
      <w:pPr>
        <w:spacing w:after="0" w:line="189"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An Indemnified Party shall have the right to employ separate counsel in any such Proceeding and to participate in the defense thereof, but the fees and expenses of such counsel shall be at the expense of such Indemnified Party or Parties unless: (1) the Indemnifying Party has agreed in writing to pay such fees and expenses, (2) the Indemnifying Party shall have failed promptly to assume the defense of such Proceeding and to employ counsel reasonably satisfactory to such Indemnified Party in any such Proceeding, or (3) the named parties to any such Proceeding (including any impleaded parties) include both such Indemnified Party and the Indemnifying Party, and counsel to the Indemnified Party shall reasonably believe that a material conflict of interest is likely to exist if the same counsel were to represent such Indemnified Party and the Indemnifying Party (in which case, if such Indemnified Party notifies the Indemnifying Party in writing that it elects to employ separate counsel at the expense of the Indemnifying Party, the Indemnifying Party shall not have the right to assume the defense thereof and the reasonable fees and expenses of no more than one separate counsel shall be at the expense of the Indemnifying Party). The Indemnifying Party shall not be liable for any settlement of any such Proceeding effected without its written consent, which consent shall not be unreasonably withheld or delayed. No Indemnifying Party shall, without the prior written consent of the Indemnified Party, effect any settlement of any pending Proceeding in respect of which any Indemnified Party is a party, unless such settlement includes an unconditional release of such Indemnified Party from all liability on claims that are the subject matter of such Proceeding.</w:t>
      </w:r>
    </w:p>
    <w:p>
      <w:pPr>
        <w:spacing w:after="0" w:line="187"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Subject to the terms of this Agreement, all reasonable fees and expenses of the Indemnified Party (including reasonable fees and expenses to the extent incurred in connection with investigating or preparing to defend such Proceeding in a manner not inconsistent with this Section) shall be paid to the Indemnified Party, as incurred, within ten Trading Days of written notice thereof to the Indemnifying Party, provided that the Indemnified Party shall promptly reimburse the Indemnifying Party for that portion of such fees and expenses applicable to such actions for which such Indemnified Party is finally determined by a court of competent jurisdiction (which determination is not subject to appeal or further review) not to be entitled to indemnification hereunder.</w:t>
      </w:r>
    </w:p>
    <w:p>
      <w:pPr>
        <w:spacing w:after="0" w:line="187" w:lineRule="exact"/>
        <w:rPr>
          <w:sz w:val="20"/>
          <w:szCs w:val="20"/>
          <w:color w:val="auto"/>
        </w:rPr>
      </w:pPr>
    </w:p>
    <w:p>
      <w:pPr>
        <w:jc w:val="both"/>
        <w:ind w:firstLine="1494"/>
        <w:spacing w:after="0" w:line="253" w:lineRule="auto"/>
        <w:tabs>
          <w:tab w:leader="none" w:pos="175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If the indemnification under Section 5(a) or 5(b) is unavailable to an Indemnified Party or insufficient to hold an Indemnified Party harmless for any Losses, then each Indemnifying Party shall contribute to the amount paid or payable by such Indemnified Party, in such proportion as is appropriate to reflect the relative fault of the Indemnifying Party and Indemnified Party in connection with the actions, statements or omissions that resulted in such Losses as well as any other relevant equitable considerations. The relative fault of such Indemnifying Party and Indemnified Party shall be determined by reference to, among other things, whether any action in question, including any untrue or alleged untrue statement of a material fact or omission or alleged omission of a material fact, has been taken or made by, or relates to information supplied by, such Indemnifying Party or Indemnified Party, and the parties’ relative intent, knowledge, access to information and opportunity to correct or prevent such action, statement or omission. The amount paid or payable by a party as a result of any Losses shall be deemed to include, subject to the limitations set forth in this Agreement, any reasonable attorneys’ or other fees or expenses incurred by such party in connection with any Proceeding to the extent such party would have been indemnified for such fees or expenses if the indemnification provided for in this Section was available to such party in accordance with its terms.</w:t>
      </w:r>
    </w:p>
    <w:p>
      <w:pPr>
        <w:spacing w:after="0" w:line="192"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The parties hereto agree that it would not be just and equitable if contribution pursuant to this Section 5(d) were determined by pro rata allocation or by any other method of allocation that does not take into</w:t>
      </w:r>
    </w:p>
    <w:p>
      <w:pPr>
        <w:spacing w:after="0" w:line="13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627380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7" w:right="339" w:bottom="1440" w:gutter="0" w:footer="0" w:header="0"/>
        </w:sectPr>
      </w:pPr>
    </w:p>
    <w:bookmarkStart w:id="46" w:name="page47"/>
    <w:bookmarkEnd w:id="46"/>
    <w:p>
      <w:pPr>
        <w:jc w:val="both"/>
        <w:spacing w:after="0" w:line="258" w:lineRule="auto"/>
        <w:rPr>
          <w:sz w:val="20"/>
          <w:szCs w:val="20"/>
          <w:color w:val="auto"/>
        </w:rPr>
      </w:pPr>
      <w:r>
        <w:rPr>
          <w:rFonts w:ascii="Times New Roman" w:cs="Times New Roman" w:eastAsia="Times New Roman" w:hAnsi="Times New Roman"/>
          <w:sz w:val="18"/>
          <w:szCs w:val="18"/>
          <w:color w:val="auto"/>
        </w:rPr>
        <w:t>account the equitable considerations referred to in the immediately preceding paragraph. In no event shall the contribution obligation of a Holder of Registrable Securities be greater in amount than the dollar amount of the proceeds (net of all expenses paid by such Holder in connection with any claim relating to this Section 5 and the amount of any damages such Holder has otherwise been required to pay by reason of such untrue or alleged untrue statement or omission or alleged omission) received by it upon the sale of the Registrable Securities giving rise to such contribution obligation.</w:t>
      </w:r>
    </w:p>
    <w:p>
      <w:pPr>
        <w:spacing w:after="0" w:line="183"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indemnity and contribution agreements contained in this Section are in addition to any liability that the Indemnifying Parties may have to the Indemnified Parties.</w:t>
      </w:r>
    </w:p>
    <w:p>
      <w:pPr>
        <w:spacing w:after="0" w:line="162" w:lineRule="exact"/>
        <w:rPr>
          <w:sz w:val="20"/>
          <w:szCs w:val="20"/>
          <w:color w:val="auto"/>
        </w:rPr>
      </w:pPr>
    </w:p>
    <w:p>
      <w:pPr>
        <w:ind w:left="920" w:hanging="175"/>
        <w:spacing w:after="0"/>
        <w:tabs>
          <w:tab w:leader="none" w:pos="9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494"/>
        <w:spacing w:after="0" w:line="256" w:lineRule="auto"/>
        <w:tabs>
          <w:tab w:leader="none" w:pos="1755"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In the event of a breach by the Company or by a Holder of any of their respective obligations under this Agreement, each Holder or the Company, as the case may be, in addition to being entitled to exercise all rights granted by law and under this Agreement, including recovery of damages, shall be entitled to specific performance of its rights under this Agreement. Each of the Company and each Holder agrees that monetary damages would not provide adequate compensation for any losses incurred by reason of a breach by it of any of the provisions of this Agreement and hereby further agrees that, in the event of any action for specific performance in respect of such breach, it shall not assert or shall waive the defense that a remedy at law would be adequate.</w:t>
      </w:r>
    </w:p>
    <w:p>
      <w:pPr>
        <w:spacing w:after="0" w:line="187" w:lineRule="exact"/>
        <w:rPr>
          <w:rFonts w:ascii="Times New Roman" w:cs="Times New Roman" w:eastAsia="Times New Roman" w:hAnsi="Times New Roman"/>
          <w:sz w:val="18"/>
          <w:szCs w:val="18"/>
          <w:color w:val="auto"/>
        </w:rPr>
      </w:pPr>
    </w:p>
    <w:p>
      <w:pPr>
        <w:jc w:val="both"/>
        <w:ind w:firstLine="1494"/>
        <w:spacing w:after="0" w:line="256" w:lineRule="auto"/>
        <w:tabs>
          <w:tab w:leader="none" w:pos="1752"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Piggyback on Registrations; Prohibition on Filing Other Registration Statements</w:t>
      </w:r>
      <w:r>
        <w:rPr>
          <w:rFonts w:ascii="Times New Roman" w:cs="Times New Roman" w:eastAsia="Times New Roman" w:hAnsi="Times New Roman"/>
          <w:sz w:val="18"/>
          <w:szCs w:val="18"/>
          <w:color w:val="auto"/>
        </w:rPr>
        <w:t>. Neither the Company nor any of its security holders (other than the Holders in such capacity pursuant hereto) may include securities of the Company in any Registration Statements other than the Registrable Securities. The Company shall not file any other registration statements until all Registrable Securities are registered pursuant to a Registration Statement that is declared effective by the Commission, provided that this Section 6(b) shall not prohibit the Company from filing amendments to registration statements filed prior to the date of this Agreement so long as no new securities are registered on any such existing registration statements.</w:t>
      </w:r>
    </w:p>
    <w:p>
      <w:pPr>
        <w:spacing w:after="0" w:line="187" w:lineRule="exact"/>
        <w:rPr>
          <w:rFonts w:ascii="Times New Roman" w:cs="Times New Roman" w:eastAsia="Times New Roman" w:hAnsi="Times New Roman"/>
          <w:sz w:val="18"/>
          <w:szCs w:val="18"/>
          <w:color w:val="auto"/>
        </w:rPr>
      </w:pPr>
    </w:p>
    <w:p>
      <w:pPr>
        <w:jc w:val="both"/>
        <w:ind w:firstLine="1494"/>
        <w:spacing w:after="0" w:line="254" w:lineRule="auto"/>
        <w:tabs>
          <w:tab w:leader="none" w:pos="1742"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Discontinued Disposition</w:t>
      </w:r>
      <w:r>
        <w:rPr>
          <w:rFonts w:ascii="Times New Roman" w:cs="Times New Roman" w:eastAsia="Times New Roman" w:hAnsi="Times New Roman"/>
          <w:sz w:val="18"/>
          <w:szCs w:val="18"/>
          <w:color w:val="auto"/>
        </w:rPr>
        <w:t>. By its acquisition of Registrable Securities, each Holder agrees that, upon receipt of a notice from the Company of the occurrence of any event of the kind described in Section 3(d)(iii) through (vi), such Holder will forthwith discontinue disposition of such Registrable Securities under a Registration Statement until it is advised in writing (the “</w:t>
      </w:r>
      <w:r>
        <w:rPr>
          <w:rFonts w:ascii="Times New Roman" w:cs="Times New Roman" w:eastAsia="Times New Roman" w:hAnsi="Times New Roman"/>
          <w:sz w:val="18"/>
          <w:szCs w:val="18"/>
          <w:u w:val="single" w:color="auto"/>
          <w:color w:val="auto"/>
        </w:rPr>
        <w:t>Advice</w:t>
      </w:r>
      <w:r>
        <w:rPr>
          <w:rFonts w:ascii="Times New Roman" w:cs="Times New Roman" w:eastAsia="Times New Roman" w:hAnsi="Times New Roman"/>
          <w:sz w:val="18"/>
          <w:szCs w:val="18"/>
          <w:color w:val="auto"/>
        </w:rPr>
        <w:t>”) by the Company that the use of the applicable Prospectus (as it may have been supplemented or amended) may be resumed. The Company will use its reasonable best efforts to ensure that the use of the Prospectus may be resumed as promptly as is practicable.</w:t>
      </w:r>
    </w:p>
    <w:p>
      <w:pPr>
        <w:spacing w:after="0" w:line="3" w:lineRule="exact"/>
        <w:rPr>
          <w:rFonts w:ascii="Times New Roman" w:cs="Times New Roman" w:eastAsia="Times New Roman" w:hAnsi="Times New Roman"/>
          <w:sz w:val="18"/>
          <w:szCs w:val="18"/>
          <w:color w:val="auto"/>
        </w:rPr>
      </w:pPr>
    </w:p>
    <w:p>
      <w:pPr>
        <w:jc w:val="both"/>
        <w:ind w:firstLine="1494"/>
        <w:spacing w:after="0" w:line="251" w:lineRule="auto"/>
        <w:tabs>
          <w:tab w:leader="none" w:pos="1752"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Piggy Back Registrations</w:t>
      </w:r>
      <w:r>
        <w:rPr>
          <w:rFonts w:ascii="Times New Roman" w:cs="Times New Roman" w:eastAsia="Times New Roman" w:hAnsi="Times New Roman"/>
          <w:sz w:val="18"/>
          <w:szCs w:val="18"/>
          <w:color w:val="auto"/>
        </w:rPr>
        <w:t>. If, at any time during the Effectiveness Period, there is not an effective Registration Statement covering all of the Registrable Securities and the Company shall determine to prepare and file with the Commission a registration statement relating to an offering for its own account or the account of others under the Securities Act of any of its equity securities, other than on Form S-4 or Form S-8 (each as promulgated under the Securities Act) or their then equivalents relating to equity securities to be issued solely in connection with any acquisition of any entity or business or equity securities issuable in connection with the Company’s stock option or other employee benefit plans, then the Company shall deliver to the Holder a written notice of such determination and, if within fifteen (15) days after the date of the delivery of such notice, any such Holder shall so request in writing, the Company shall include in such registration statement all or any part of such Registrable Securities such Holder requests to be registered; provided, however, that the Company shall not be required to register any Registrable Securities pursuant to this Section 6(d) that are eligible for resale pursuant to Rule 144 (without volume restrictions or current public information requirements) promulgated by the Commission pursuant to the Securities Act or that are the subject of a then effective Registration Statement.</w:t>
      </w:r>
    </w:p>
    <w:p>
      <w:pPr>
        <w:spacing w:after="0" w:line="192" w:lineRule="exact"/>
        <w:rPr>
          <w:rFonts w:ascii="Times New Roman" w:cs="Times New Roman" w:eastAsia="Times New Roman" w:hAnsi="Times New Roman"/>
          <w:sz w:val="18"/>
          <w:szCs w:val="18"/>
          <w:color w:val="auto"/>
        </w:rPr>
      </w:pPr>
    </w:p>
    <w:p>
      <w:pPr>
        <w:jc w:val="both"/>
        <w:ind w:firstLine="1494"/>
        <w:spacing w:after="0" w:line="261" w:lineRule="auto"/>
        <w:tabs>
          <w:tab w:leader="none" w:pos="1755"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The provisions of this Agreement, including the provisions of this sentence, may not be amended, modified or supplemented, and waivers or consents to departures from the provisions hereof may not be given, unless the same shall be in writing and signed by the Company and the Holders of 50.1% or more of the then outstanding Registrable Securities (for purposes of clarification, this includes any Registrable Securities issuable upon exercise or conversion of any Security), provided that,</w:t>
      </w:r>
    </w:p>
    <w:p>
      <w:pPr>
        <w:spacing w:after="0" w:line="148"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627380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7" w:right="339" w:bottom="1440" w:gutter="0" w:footer="0" w:header="0"/>
        </w:sectPr>
      </w:pPr>
    </w:p>
    <w:bookmarkStart w:id="47" w:name="page48"/>
    <w:bookmarkEnd w:id="47"/>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if any amendment, modification or waiver disproportionately and adversely impacts a Holder (or group of Holders), the consent of such disproportionately impacted Holder (or group of Holders) shall be required. If a Registration Statement does not register all of the Registrable Securities pursuant to a waiver or amendment done in compliance with the previous sentence, then the number of Registrable Securities to be registered for each Holder shall be reduced pro rata among all Holders and each Holder shall have the right to designate which of its Registrable Securities shall be omitted from such Registration Statement. Notwithstanding the foregoing, a waiver or consent to depart from the provisions hereof with respect to a matter that relates exclusively to the rights of a Holder or some Holders and that does not directly or indirectly affect the rights of other Holders may be given only by such Holder or Holders of all of the Registrable Securities to which such waiver or consent relates;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provisions of this sentence may not be amended, modified, or supplemented except in accordance with the provisions of the first sentence of this Section 6(d). No consideration shall be offered or paid to any Person to amend or consent to a waiver or modification of any provision of this Agreement unless the same consideration also is offered to all of the parties to this Agreement.</w:t>
      </w:r>
    </w:p>
    <w:p>
      <w:pPr>
        <w:spacing w:after="0" w:line="194" w:lineRule="exact"/>
        <w:rPr>
          <w:sz w:val="20"/>
          <w:szCs w:val="20"/>
          <w:color w:val="auto"/>
        </w:rPr>
      </w:pPr>
    </w:p>
    <w:p>
      <w:pPr>
        <w:ind w:firstLine="1494"/>
        <w:spacing w:after="0" w:line="282" w:lineRule="auto"/>
        <w:tabs>
          <w:tab w:leader="none" w:pos="172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required or permitted to be provided hereunder shall be delivered as set forth in the Purchase Agreement.</w:t>
      </w:r>
    </w:p>
    <w:p>
      <w:pPr>
        <w:spacing w:after="0" w:line="161" w:lineRule="exact"/>
        <w:rPr>
          <w:rFonts w:ascii="Times New Roman" w:cs="Times New Roman" w:eastAsia="Times New Roman" w:hAnsi="Times New Roman"/>
          <w:sz w:val="18"/>
          <w:szCs w:val="18"/>
          <w:color w:val="auto"/>
        </w:rPr>
      </w:pPr>
    </w:p>
    <w:p>
      <w:pPr>
        <w:jc w:val="both"/>
        <w:ind w:firstLine="1494"/>
        <w:spacing w:after="0" w:line="258" w:lineRule="auto"/>
        <w:tabs>
          <w:tab w:leader="none" w:pos="175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inure to the benefit of and be binding upon the successors and permitted assigns of each of the parties and shall inure to the benefit of each Holder. The Company may not assign (except by merger, subject to any successor entity assuming in writing all of the obligations of the Company under this Agreement) its rights or obligations hereunder without the prior written consent of all of the Holders of the then outstanding Registrable Securities. Each Holder may assign their respective rights hereunder in the manner and to the Persons as permitted under Section 5.7 of the Purchase Agreement.</w:t>
      </w:r>
    </w:p>
    <w:p>
      <w:pPr>
        <w:spacing w:after="0" w:line="183" w:lineRule="exact"/>
        <w:rPr>
          <w:rFonts w:ascii="Times New Roman" w:cs="Times New Roman" w:eastAsia="Times New Roman" w:hAnsi="Times New Roman"/>
          <w:sz w:val="18"/>
          <w:szCs w:val="18"/>
          <w:color w:val="auto"/>
        </w:rPr>
      </w:pPr>
    </w:p>
    <w:p>
      <w:pPr>
        <w:jc w:val="both"/>
        <w:ind w:firstLine="1494"/>
        <w:spacing w:after="0" w:line="258" w:lineRule="auto"/>
        <w:tabs>
          <w:tab w:leader="none" w:pos="176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Inconsistent Agreements</w:t>
      </w:r>
      <w:r>
        <w:rPr>
          <w:rFonts w:ascii="Times New Roman" w:cs="Times New Roman" w:eastAsia="Times New Roman" w:hAnsi="Times New Roman"/>
          <w:sz w:val="18"/>
          <w:szCs w:val="18"/>
          <w:color w:val="auto"/>
        </w:rPr>
        <w:t>. Neither the Company nor any of its Subsidiaries has entered, as of the date hereof, nor shall the Company or any of its Subsidiaries, on or after the date of this Agreement, enter into any agreement with respect to its securities, that would have the effect of impairing the rights granted to the Holders in this Agreement or otherwise conflicts with the provisions hereof. Neither the Company nor any of its Subsidiaries has previously entered into any agreement granting any registration rights with respect to any of its securities to any Person that have not been satisfied in full.</w:t>
      </w:r>
    </w:p>
    <w:p>
      <w:pPr>
        <w:spacing w:after="0" w:line="183" w:lineRule="exact"/>
        <w:rPr>
          <w:rFonts w:ascii="Times New Roman" w:cs="Times New Roman" w:eastAsia="Times New Roman" w:hAnsi="Times New Roman"/>
          <w:sz w:val="18"/>
          <w:szCs w:val="18"/>
          <w:color w:val="auto"/>
        </w:rPr>
      </w:pPr>
    </w:p>
    <w:p>
      <w:pPr>
        <w:jc w:val="both"/>
        <w:ind w:firstLine="1494"/>
        <w:spacing w:after="0" w:line="256" w:lineRule="auto"/>
        <w:tabs>
          <w:tab w:leader="none" w:pos="172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Execution and Counterparts</w:t>
      </w:r>
      <w:r>
        <w:rPr>
          <w:rFonts w:ascii="Times New Roman" w:cs="Times New Roman" w:eastAsia="Times New Roman" w:hAnsi="Times New Roman"/>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or by e-mail delivery of a “.pdf” format data file or Docusign, such signature shall create a valid and binding obligation of the party executing (or on whose behalf such signature is executed) with the same force and effect as if such facsimile or “.pdf” or Docusign signature page were an original thereof.</w:t>
      </w:r>
    </w:p>
    <w:p>
      <w:pPr>
        <w:spacing w:after="0" w:line="187" w:lineRule="exact"/>
        <w:rPr>
          <w:rFonts w:ascii="Times New Roman" w:cs="Times New Roman" w:eastAsia="Times New Roman" w:hAnsi="Times New Roman"/>
          <w:sz w:val="18"/>
          <w:szCs w:val="18"/>
          <w:color w:val="auto"/>
        </w:rPr>
      </w:pPr>
    </w:p>
    <w:p>
      <w:pPr>
        <w:ind w:firstLine="1494"/>
        <w:spacing w:after="0" w:line="261" w:lineRule="auto"/>
        <w:tabs>
          <w:tab w:leader="none" w:pos="172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this Agreement shall be determined in accordance with the provisions of the Purchase Agreement.</w:t>
      </w:r>
    </w:p>
    <w:p>
      <w:pPr>
        <w:ind w:left="1740" w:hanging="246"/>
        <w:spacing w:after="0"/>
        <w:tabs>
          <w:tab w:leader="none" w:pos="17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Cumulative Remedies</w:t>
      </w:r>
      <w:r>
        <w:rPr>
          <w:rFonts w:ascii="Times New Roman" w:cs="Times New Roman" w:eastAsia="Times New Roman" w:hAnsi="Times New Roman"/>
          <w:sz w:val="18"/>
          <w:szCs w:val="18"/>
          <w:color w:val="auto"/>
        </w:rPr>
        <w:t>. The remedies provided herein are cumulative and not exclusive of any other remedies provided</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law.</w:t>
      </w:r>
    </w:p>
    <w:p>
      <w:pPr>
        <w:spacing w:after="0" w:line="206" w:lineRule="exact"/>
        <w:rPr>
          <w:rFonts w:ascii="Times New Roman" w:cs="Times New Roman" w:eastAsia="Times New Roman" w:hAnsi="Times New Roman"/>
          <w:sz w:val="18"/>
          <w:szCs w:val="18"/>
          <w:color w:val="auto"/>
        </w:rPr>
      </w:pPr>
    </w:p>
    <w:p>
      <w:pPr>
        <w:jc w:val="both"/>
        <w:ind w:firstLine="1494"/>
        <w:spacing w:after="0" w:line="256" w:lineRule="auto"/>
        <w:tabs>
          <w:tab w:leader="none" w:pos="171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5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627380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7" w:right="339" w:bottom="1440" w:gutter="0" w:footer="0" w:header="0"/>
        </w:sectPr>
      </w:pPr>
    </w:p>
    <w:bookmarkStart w:id="48" w:name="page49"/>
    <w:bookmarkEnd w:id="48"/>
    <w:p>
      <w:pPr>
        <w:spacing w:after="0" w:line="194" w:lineRule="exact"/>
        <w:rPr>
          <w:sz w:val="20"/>
          <w:szCs w:val="20"/>
          <w:color w:val="auto"/>
        </w:rPr>
      </w:pPr>
    </w:p>
    <w:p>
      <w:pPr>
        <w:ind w:left="-360" w:right="20" w:firstLine="1494"/>
        <w:spacing w:after="0" w:line="282" w:lineRule="auto"/>
        <w:tabs>
          <w:tab w:leader="none" w:pos="144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in this Agreement are for convenience only, do not constitute a part of the Agreement and shall not be deemed to limit or affect any of the provisions hereof.</w:t>
      </w:r>
    </w:p>
    <w:p>
      <w:pPr>
        <w:spacing w:after="0" w:line="161" w:lineRule="exact"/>
        <w:rPr>
          <w:rFonts w:ascii="Times New Roman" w:cs="Times New Roman" w:eastAsia="Times New Roman" w:hAnsi="Times New Roman"/>
          <w:sz w:val="18"/>
          <w:szCs w:val="18"/>
          <w:color w:val="auto"/>
        </w:rPr>
      </w:pPr>
    </w:p>
    <w:p>
      <w:pPr>
        <w:jc w:val="both"/>
        <w:ind w:left="-360" w:firstLine="1494"/>
        <w:spacing w:after="0" w:line="253" w:lineRule="auto"/>
        <w:tabs>
          <w:tab w:leader="none" w:pos="140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Nature of Holders’ Obligations and Rights</w:t>
      </w:r>
      <w:r>
        <w:rPr>
          <w:rFonts w:ascii="Times New Roman" w:cs="Times New Roman" w:eastAsia="Times New Roman" w:hAnsi="Times New Roman"/>
          <w:sz w:val="18"/>
          <w:szCs w:val="18"/>
          <w:color w:val="auto"/>
        </w:rPr>
        <w:t>. The obligations of each Holder hereunder are several and not joint with the obligations of any other Holder hereunder, and no Holder shall be responsible in any way for the performance of the obligations of any other Holder hereunder. Nothing contained herein or in any other agreement or document delivered at any closing, and no action taken by any Holder pursuant hereto or thereto, shall be deemed to constitute the Holders as a partnership, an association, a joint venture or any other kind of group or entity, or create a presumption that the Holders are in any way acting in concert or as a group or entity with respect to such obligations or the transactions contemplated by this Agreement or any other matters, and the Company acknowledges that the Holders are not acting in concert or as a group, and the Company shall not assert any such claim, with respect to such obligations or transactions. Each Holder shall be entitled to protect and enforce its rights, including without limitation the rights arising out of this Agreement, and it shall not be necessary for any other Holder to be joined as an additional party in any proceeding for such purpose. The use of a single agreement with respect to the obligations of the Company contained was solely in the control of the Company, not the action or decision of any Holder, and was done solely for the convenience of the Company and not because it was required or requested to do so by any Holder. It is expressly understood and agreed that each provision contained in this Agreement is between the Company and a Holder, solely, and not between the Company and the Holders collectively and not between and among Holders.</w:t>
      </w:r>
    </w:p>
    <w:p>
      <w:pPr>
        <w:spacing w:after="0" w:line="200" w:lineRule="exact"/>
        <w:rPr>
          <w:sz w:val="20"/>
          <w:szCs w:val="20"/>
          <w:color w:val="auto"/>
        </w:rPr>
      </w:pPr>
    </w:p>
    <w:p>
      <w:pPr>
        <w:spacing w:after="0" w:line="203"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17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627380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49" w:name="page50"/>
    <w:bookmarkEnd w:id="49"/>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WITNESS WHEREOF, the parties have executed this Registration Rights Agreement as of the date first written above.</w:t>
      </w:r>
    </w:p>
    <w:p>
      <w:pPr>
        <w:spacing w:after="0" w:line="3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REZOLVE AI PLC</w:t>
      </w:r>
    </w:p>
    <w:p>
      <w:pPr>
        <w:spacing w:after="0" w:line="200" w:lineRule="exact"/>
        <w:rPr>
          <w:sz w:val="20"/>
          <w:szCs w:val="20"/>
          <w:color w:val="auto"/>
        </w:rPr>
      </w:pPr>
    </w:p>
    <w:p>
      <w:pPr>
        <w:spacing w:after="0" w:line="22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3448685</wp:posOffset>
            </wp:positionH>
            <wp:positionV relativeFrom="paragraph">
              <wp:posOffset>-1905</wp:posOffset>
            </wp:positionV>
            <wp:extent cx="320611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ind w:left="5200"/>
        <w:spacing w:after="0"/>
        <w:rPr>
          <w:sz w:val="20"/>
          <w:szCs w:val="20"/>
          <w:color w:val="auto"/>
        </w:rPr>
      </w:pPr>
      <w:r>
        <w:rPr>
          <w:rFonts w:ascii="Times New Roman" w:cs="Times New Roman" w:eastAsia="Times New Roman" w:hAnsi="Times New Roman"/>
          <w:sz w:val="18"/>
          <w:szCs w:val="18"/>
          <w:color w:val="auto"/>
        </w:rPr>
        <w:t>Na</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me</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Tit</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le:</w:t>
      </w:r>
    </w:p>
    <w:p>
      <w:pPr>
        <w:spacing w:after="0" w:line="200" w:lineRule="exact"/>
        <w:rPr>
          <w:sz w:val="20"/>
          <w:szCs w:val="20"/>
          <w:color w:val="auto"/>
        </w:rPr>
      </w:pPr>
    </w:p>
    <w:p>
      <w:pPr>
        <w:spacing w:after="0" w:line="223"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color w:val="auto"/>
        </w:rPr>
        <w:t>[SIGNATURE PAGE OF HOLDERS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1033145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1440" w:right="1440" w:bottom="1440" w:gutter="0" w:footer="0" w:header="0"/>
        </w:sectPr>
      </w:pPr>
    </w:p>
    <w:bookmarkStart w:id="50" w:name="page51"/>
    <w:bookmarkEnd w:id="50"/>
    <w:p>
      <w:pPr>
        <w:jc w:val="right"/>
        <w:ind w:right="2499"/>
        <w:spacing w:after="0"/>
        <w:rPr>
          <w:sz w:val="20"/>
          <w:szCs w:val="20"/>
          <w:color w:val="auto"/>
        </w:rPr>
      </w:pPr>
      <w:r>
        <w:rPr>
          <w:rFonts w:ascii="Times New Roman" w:cs="Times New Roman" w:eastAsia="Times New Roman" w:hAnsi="Times New Roman"/>
          <w:sz w:val="18"/>
          <w:szCs w:val="18"/>
          <w:color w:val="auto"/>
        </w:rPr>
        <w:t>[SIGNATURE PAGE OF HOLDERS TO RZLV RRA]</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Holder: __________________________</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Holder</w:t>
      </w:r>
      <w:r>
        <w:rPr>
          <w:rFonts w:ascii="Times New Roman" w:cs="Times New Roman" w:eastAsia="Times New Roman" w:hAnsi="Times New Roman"/>
          <w:sz w:val="18"/>
          <w:szCs w:val="18"/>
          <w:color w:val="auto"/>
        </w:rPr>
        <w:t>: __________________________</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[SIGNATURE PAGES CONTINUE]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1033145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7" w:right="1440"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Annex 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Plan of Distribution</w:t>
      </w:r>
    </w:p>
    <w:p>
      <w:pPr>
        <w:spacing w:after="0" w:line="207"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Each Selling Shareholder (the “</w:t>
      </w:r>
      <w:r>
        <w:rPr>
          <w:rFonts w:ascii="Times New Roman" w:cs="Times New Roman" w:eastAsia="Times New Roman" w:hAnsi="Times New Roman"/>
          <w:sz w:val="18"/>
          <w:szCs w:val="18"/>
          <w:u w:val="single" w:color="auto"/>
          <w:color w:val="auto"/>
        </w:rPr>
        <w:t>Selling Shareholder</w:t>
      </w:r>
      <w:r>
        <w:rPr>
          <w:rFonts w:ascii="Times New Roman" w:cs="Times New Roman" w:eastAsia="Times New Roman" w:hAnsi="Times New Roman"/>
          <w:sz w:val="18"/>
          <w:szCs w:val="18"/>
          <w:color w:val="auto"/>
        </w:rPr>
        <w:t>”) of the securities and any of their pledgees, assignees and successors-in-interest may, from time to time, sell any or all of their securities covered hereby on the principal Trading Market or any other stock exchange, market or trading facility on which the securities are traded or in private transactions. These sales may be at fixed or negotiated prices. A Selling Shareholder may use any one or more of the following methods when selling securities:</w:t>
      </w:r>
    </w:p>
    <w:p>
      <w:pPr>
        <w:spacing w:after="0" w:line="180" w:lineRule="exact"/>
        <w:rPr>
          <w:sz w:val="20"/>
          <w:szCs w:val="20"/>
          <w:color w:val="auto"/>
        </w:rPr>
      </w:pPr>
    </w:p>
    <w:p>
      <w:pPr>
        <w:ind w:left="920" w:hanging="237"/>
        <w:spacing w:after="0"/>
        <w:tabs>
          <w:tab w:leader="none" w:pos="9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225" w:lineRule="exact"/>
        <w:rPr>
          <w:rFonts w:ascii="Times New Roman" w:cs="Times New Roman" w:eastAsia="Times New Roman" w:hAnsi="Times New Roman"/>
          <w:sz w:val="18"/>
          <w:szCs w:val="18"/>
          <w:color w:val="auto"/>
        </w:rPr>
      </w:pPr>
    </w:p>
    <w:p>
      <w:pPr>
        <w:ind w:left="920" w:hanging="237"/>
        <w:spacing w:after="0" w:line="282" w:lineRule="auto"/>
        <w:tabs>
          <w:tab w:leader="none" w:pos="9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securities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920" w:hanging="237"/>
        <w:spacing w:after="0"/>
        <w:tabs>
          <w:tab w:leader="none" w:pos="9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225" w:lineRule="exact"/>
        <w:rPr>
          <w:rFonts w:ascii="Times New Roman" w:cs="Times New Roman" w:eastAsia="Times New Roman" w:hAnsi="Times New Roman"/>
          <w:sz w:val="18"/>
          <w:szCs w:val="18"/>
          <w:color w:val="auto"/>
        </w:rPr>
      </w:pPr>
    </w:p>
    <w:p>
      <w:pPr>
        <w:ind w:left="920" w:hanging="237"/>
        <w:spacing w:after="0"/>
        <w:tabs>
          <w:tab w:leader="none" w:pos="9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225" w:lineRule="exact"/>
        <w:rPr>
          <w:rFonts w:ascii="Times New Roman" w:cs="Times New Roman" w:eastAsia="Times New Roman" w:hAnsi="Times New Roman"/>
          <w:sz w:val="18"/>
          <w:szCs w:val="18"/>
          <w:color w:val="auto"/>
        </w:rPr>
      </w:pPr>
    </w:p>
    <w:p>
      <w:pPr>
        <w:ind w:left="920" w:hanging="237"/>
        <w:spacing w:after="0"/>
        <w:tabs>
          <w:tab w:leader="none" w:pos="9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225" w:lineRule="exact"/>
        <w:rPr>
          <w:rFonts w:ascii="Times New Roman" w:cs="Times New Roman" w:eastAsia="Times New Roman" w:hAnsi="Times New Roman"/>
          <w:sz w:val="18"/>
          <w:szCs w:val="18"/>
          <w:color w:val="auto"/>
        </w:rPr>
      </w:pPr>
    </w:p>
    <w:p>
      <w:pPr>
        <w:ind w:left="920" w:hanging="237"/>
        <w:spacing w:after="0"/>
        <w:tabs>
          <w:tab w:leader="none" w:pos="9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w:t>
      </w:r>
    </w:p>
    <w:p>
      <w:pPr>
        <w:spacing w:after="0" w:line="225" w:lineRule="exact"/>
        <w:rPr>
          <w:rFonts w:ascii="Times New Roman" w:cs="Times New Roman" w:eastAsia="Times New Roman" w:hAnsi="Times New Roman"/>
          <w:sz w:val="18"/>
          <w:szCs w:val="18"/>
          <w:color w:val="auto"/>
        </w:rPr>
      </w:pPr>
    </w:p>
    <w:p>
      <w:pPr>
        <w:ind w:left="920" w:right="20" w:hanging="237"/>
        <w:spacing w:after="0" w:line="282" w:lineRule="auto"/>
        <w:tabs>
          <w:tab w:leader="none" w:pos="9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through broker-dealers that agree with the Selling Shareholders to sell a specified number of such securities at a stipulated price per security;</w:t>
      </w:r>
    </w:p>
    <w:p>
      <w:pPr>
        <w:spacing w:after="0" w:line="161" w:lineRule="exact"/>
        <w:rPr>
          <w:rFonts w:ascii="Times New Roman" w:cs="Times New Roman" w:eastAsia="Times New Roman" w:hAnsi="Times New Roman"/>
          <w:sz w:val="18"/>
          <w:szCs w:val="18"/>
          <w:color w:val="auto"/>
        </w:rPr>
      </w:pPr>
    </w:p>
    <w:p>
      <w:pPr>
        <w:ind w:left="920" w:hanging="237"/>
        <w:spacing w:after="0"/>
        <w:tabs>
          <w:tab w:leader="none" w:pos="9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225" w:lineRule="exact"/>
        <w:rPr>
          <w:rFonts w:ascii="Times New Roman" w:cs="Times New Roman" w:eastAsia="Times New Roman" w:hAnsi="Times New Roman"/>
          <w:sz w:val="18"/>
          <w:szCs w:val="18"/>
          <w:color w:val="auto"/>
        </w:rPr>
      </w:pPr>
    </w:p>
    <w:p>
      <w:pPr>
        <w:ind w:left="920" w:hanging="237"/>
        <w:spacing w:after="0"/>
        <w:tabs>
          <w:tab w:leader="none" w:pos="9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or</w:t>
      </w:r>
    </w:p>
    <w:p>
      <w:pPr>
        <w:spacing w:after="0" w:line="225" w:lineRule="exact"/>
        <w:rPr>
          <w:rFonts w:ascii="Times New Roman" w:cs="Times New Roman" w:eastAsia="Times New Roman" w:hAnsi="Times New Roman"/>
          <w:sz w:val="18"/>
          <w:szCs w:val="18"/>
          <w:color w:val="auto"/>
        </w:rPr>
      </w:pPr>
    </w:p>
    <w:p>
      <w:pPr>
        <w:ind w:left="920" w:hanging="237"/>
        <w:spacing w:after="0"/>
        <w:tabs>
          <w:tab w:leader="none" w:pos="9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Selling Shareholders may also sell securities under Rule 144 or any other exemption from registration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if available, rather than under this prospectus.</w:t>
      </w:r>
    </w:p>
    <w:p>
      <w:pPr>
        <w:spacing w:after="0" w:line="16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Broker-dealers engaged by the Selling Shareholders may arrange for other brokers-dealers to participate in sales. Broker-dealers may receive commissions or discounts from the Selling Shareholders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spacing w:after="0" w:line="183"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In connection with the sale of the securities or interests therein, the Selling Shareholders may enter into hedging transactions with broker-dealers or other financial institutions, which may in turn engage in short sales of the securities in the course of hedging the positions they assume. The Selling Shareholders may also sell securities short and deliver these securities to close out their short positions, or loan or pledge the securities to broker-dealers that in turn may sell these securities. The Selling Shareholders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18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 Selling Shareholders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2" w:name="page53"/>
    <w:bookmarkEnd w:id="52"/>
    <w:p>
      <w:pPr>
        <w:jc w:val="both"/>
        <w:spacing w:after="0" w:line="282" w:lineRule="auto"/>
        <w:rPr>
          <w:sz w:val="20"/>
          <w:szCs w:val="20"/>
          <w:color w:val="auto"/>
        </w:rPr>
      </w:pPr>
      <w:r>
        <w:rPr>
          <w:rFonts w:ascii="Times New Roman" w:cs="Times New Roman" w:eastAsia="Times New Roman" w:hAnsi="Times New Roman"/>
          <w:sz w:val="18"/>
          <w:szCs w:val="18"/>
          <w:color w:val="auto"/>
        </w:rPr>
        <w:t>has informed the Company that it does not have any written or oral agreement or understanding, directly or indirectly, with any person to distribute the securities.</w:t>
      </w:r>
    </w:p>
    <w:p>
      <w:pPr>
        <w:spacing w:after="0" w:line="162"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The Company is required to pay certain fees and expenses incurred by the Company incident to the registration of the securities. The Company has agreed to indemnify the Selling Shareholders against certain losses, claims, damages and liabilities, including liabilities under the Securities Act.</w:t>
      </w:r>
    </w:p>
    <w:p>
      <w:pPr>
        <w:spacing w:after="0" w:line="162"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We agreed to keep this prospectus effective until the earlier of (i) the date on which the securities may be resold by the Selling Shareholders without registration and without regard to any volume or manner-of-sale limitations by reason of Rule 144, without the requirement for the Company to be in compliance with the current public information under Rule 144 under the Securities Act or any other rule of similar effect or (ii) all of the securities have been sold pursuant to this prospectus or Rule 144 under the Securities Act or any other rule of similar effect.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spacing w:after="0" w:line="189"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Under applicable rules and regulations under the Exchange Act, any person engaged in the distribution of the resale securities may not simultaneously engage in market making activities with respect to the shares of Common Stock for the applicable restricted period, as defined in Regulation M, prior to the commencement of the distribution. In addition, the Selling Shareholders will be subject to applicable provisions of the Exchange Act and the rules and regulations thereunder, including Regulation M, which may limit the timing of purchases and sales of the shares of Common Stock by the Selling Shareholders or any other person. We will make copies of this prospectus available to the Selling Shareholders and have informed them of the need to deliver a copy of this prospectus to each purchaser at or prior to the time of the sale (including by compliance with Rule 172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1010285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Annex B</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SELLING SHAREHOLDERS</w:t>
      </w:r>
    </w:p>
    <w:p>
      <w:pPr>
        <w:spacing w:after="0" w:line="207"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 shares of Common Stock being offered by the selling shareholders are those previously issued to the selling shareholders. For additional information regarding the issuances of those shares of Common Stock, see “Private Placement”. We are registering the shares of Common Stock in order to permit the selling shareholders to offer the shares for resale from time to time. Except for the ownership of the shares of common stock and warrants, the selling shareholders have not had any material relationship with us within the past three years.</w:t>
      </w:r>
    </w:p>
    <w:p>
      <w:pPr>
        <w:spacing w:after="0" w:line="180"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table below lists the selling stockholders and other information regarding the beneficial ownership of the shares of common stock by each of the selling stockholders. The second column lists the number of shares of common stock beneficially owned by each selling stockholder, based on its ownership of the shares of common stock, as of ________, 2025.</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third column lists the shares of Common Stock being offered by this prospectus by the selling shareholders.</w:t>
      </w:r>
    </w:p>
    <w:p>
      <w:pPr>
        <w:spacing w:after="0" w:line="225"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In accordance with the terms of a registration rights agreement with the selling stockholders, this prospectus generally covers the resale of the sum of the number of shares of common stock issued to the selling stockholders in the “Private Placement” described in the Purchase Agreement. The fourth column assumes the sale of all of the shares offered by the selling stockholders pursuant to this prospectus.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 of</w:t>
            </w:r>
          </w:p>
        </w:tc>
        <w:tc>
          <w:tcPr>
            <w:tcW w:w="10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 Number of shares</w:t>
            </w:r>
          </w:p>
        </w:tc>
        <w:tc>
          <w:tcPr>
            <w:tcW w:w="10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 of</w:t>
            </w:r>
          </w:p>
        </w:tc>
      </w:tr>
      <w:tr>
        <w:trPr>
          <w:trHeight w:val="216"/>
        </w:trPr>
        <w:tc>
          <w:tcPr>
            <w:tcW w:w="4160" w:type="dxa"/>
            <w:vAlign w:val="bottom"/>
          </w:tcPr>
          <w:p>
            <w:pPr>
              <w:spacing w:after="0"/>
              <w:rPr>
                <w:sz w:val="18"/>
                <w:szCs w:val="18"/>
                <w:color w:val="auto"/>
              </w:rPr>
            </w:pPr>
          </w:p>
        </w:tc>
        <w:tc>
          <w:tcPr>
            <w:tcW w:w="23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Common Stock Owned Prior</w:t>
            </w:r>
          </w:p>
        </w:tc>
        <w:tc>
          <w:tcPr>
            <w:tcW w:w="10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 Common Stock to be Sold</w:t>
            </w:r>
          </w:p>
        </w:tc>
        <w:tc>
          <w:tcPr>
            <w:tcW w:w="10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Owned After</w:t>
            </w:r>
          </w:p>
        </w:tc>
      </w:tr>
      <w:tr>
        <w:trPr>
          <w:trHeight w:val="245"/>
        </w:trPr>
        <w:tc>
          <w:tcPr>
            <w:tcW w:w="416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b w:val="1"/>
                <w:bCs w:val="1"/>
                <w:color w:val="auto"/>
              </w:rPr>
              <w:t>Name of Selling Shareholder</w:t>
            </w:r>
          </w:p>
        </w:tc>
        <w:tc>
          <w:tcPr>
            <w:tcW w:w="120" w:type="dxa"/>
            <w:vAlign w:val="bottom"/>
          </w:tcPr>
          <w:p>
            <w:pPr>
              <w:spacing w:after="0"/>
              <w:rPr>
                <w:sz w:val="21"/>
                <w:szCs w:val="21"/>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to Offering</w:t>
            </w:r>
          </w:p>
        </w:tc>
        <w:tc>
          <w:tcPr>
            <w:tcW w:w="100" w:type="dxa"/>
            <w:vAlign w:val="bottom"/>
          </w:tcPr>
          <w:p>
            <w:pPr>
              <w:spacing w:after="0"/>
              <w:rPr>
                <w:sz w:val="21"/>
                <w:szCs w:val="21"/>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Pursuant to this Prospectus</w:t>
            </w:r>
          </w:p>
        </w:tc>
        <w:tc>
          <w:tcPr>
            <w:tcW w:w="100" w:type="dxa"/>
            <w:vAlign w:val="bottom"/>
          </w:tcPr>
          <w:p>
            <w:pPr>
              <w:spacing w:after="0"/>
              <w:rPr>
                <w:sz w:val="21"/>
                <w:szCs w:val="21"/>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r>
      <w:tr>
        <w:trPr>
          <w:trHeight w:val="2275"/>
        </w:trPr>
        <w:tc>
          <w:tcPr>
            <w:tcW w:w="4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Annex 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REZOLVE AI PLC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Shareholder Notice and Questionnaire</w:t>
      </w:r>
    </w:p>
    <w:p>
      <w:pPr>
        <w:spacing w:after="0" w:line="22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The undersigned beneficial owner of shares of Common Stock (the “</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of Rezolve AI plc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understands that the Company has filed or intends to file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a registration statement (the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Statement</w:t>
      </w:r>
      <w:r>
        <w:rPr>
          <w:rFonts w:ascii="Times New Roman" w:cs="Times New Roman" w:eastAsia="Times New Roman" w:hAnsi="Times New Roman"/>
          <w:sz w:val="18"/>
          <w:szCs w:val="18"/>
          <w:color w:val="auto"/>
        </w:rPr>
        <w:t>”) for the registration and resale under Rule 415 of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of the Registrable Securities, in accordance with the terms of the Registration Rights Agreement (the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to which this document is annexed. A copy of the Registration Rights Agreement is available from the Company upon request at the address set forth below. All capitalized terms not otherwise defined herein shall have the meanings ascribed thereto in the Registration Rights Agreement.</w:t>
      </w:r>
    </w:p>
    <w:p>
      <w:pPr>
        <w:spacing w:after="0" w:line="187"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Certain legal consequences arise from being named as a selling shareholder in the Registration Statement and the related prospectus. Accordingly, holders and beneficial owners of Registrable Securities are advised to consult their own securities law counsel regarding the consequences of being named or not being named as a selling shareholder in the Registration Statement and the related prospectus.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w:t>
      </w:r>
    </w:p>
    <w:p>
      <w:pPr>
        <w:spacing w:after="0" w:line="229"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The undersigned beneficial owner (the “</w:t>
      </w:r>
      <w:r>
        <w:rPr>
          <w:rFonts w:ascii="Times New Roman" w:cs="Times New Roman" w:eastAsia="Times New Roman" w:hAnsi="Times New Roman"/>
          <w:sz w:val="18"/>
          <w:szCs w:val="18"/>
          <w:u w:val="single" w:color="auto"/>
          <w:color w:val="auto"/>
        </w:rPr>
        <w:t>Selling Shareholder</w:t>
      </w:r>
      <w:r>
        <w:rPr>
          <w:rFonts w:ascii="Times New Roman" w:cs="Times New Roman" w:eastAsia="Times New Roman" w:hAnsi="Times New Roman"/>
          <w:sz w:val="18"/>
          <w:szCs w:val="18"/>
          <w:color w:val="auto"/>
        </w:rPr>
        <w:t>”) of Registrable Securities hereby elects to include the Registrable Securities owned by it in the Registration Statement.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hereby provides the following information to the Company and represents and warrants that such information is accurate: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QUESTIONNAIRE</w:t>
      </w:r>
    </w:p>
    <w:p>
      <w:pPr>
        <w:spacing w:after="0" w:line="225" w:lineRule="exact"/>
        <w:rPr>
          <w:sz w:val="20"/>
          <w:szCs w:val="20"/>
          <w:color w:val="auto"/>
        </w:rPr>
      </w:pPr>
    </w:p>
    <w:p>
      <w:pPr>
        <w:ind w:left="880" w:hanging="872"/>
        <w:spacing w:after="0"/>
        <w:tabs>
          <w:tab w:leader="none" w:pos="88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Name.</w:t>
      </w:r>
    </w:p>
    <w:p>
      <w:pPr>
        <w:spacing w:after="0" w:line="229" w:lineRule="exact"/>
        <w:rPr>
          <w:rFonts w:ascii="Times New Roman" w:cs="Times New Roman" w:eastAsia="Times New Roman" w:hAnsi="Times New Roman"/>
          <w:sz w:val="18"/>
          <w:szCs w:val="18"/>
          <w:b w:val="1"/>
          <w:bCs w:val="1"/>
          <w:color w:val="auto"/>
        </w:rPr>
      </w:pPr>
    </w:p>
    <w:p>
      <w:pPr>
        <w:ind w:left="680" w:hanging="335"/>
        <w:spacing w:after="0"/>
        <w:tabs>
          <w:tab w:leader="none" w:pos="6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Legal Name of Selling Shareholder</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02"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Legal Name of Registered Holder (if not the same as (a) above) through which Registrable Securities are held: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02" w:lineRule="exact"/>
        <w:rPr>
          <w:rFonts w:ascii="Times New Roman" w:cs="Times New Roman" w:eastAsia="Times New Roman" w:hAnsi="Times New Roman"/>
          <w:sz w:val="18"/>
          <w:szCs w:val="18"/>
          <w:color w:val="auto"/>
        </w:rPr>
      </w:pPr>
    </w:p>
    <w:p>
      <w:pPr>
        <w:ind w:left="680" w:hanging="335"/>
        <w:spacing w:after="0" w:line="282" w:lineRule="auto"/>
        <w:tabs>
          <w:tab w:leader="none" w:pos="6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Legal Name of Natural Control Person (which means a natural person who directly or indirectly alone or with others has power to vote or dispose of the securities covered by this Questionnaire):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1550035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-1273810</wp:posOffset>
            </wp:positionV>
            <wp:extent cx="670369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03695"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-442595</wp:posOffset>
            </wp:positionV>
            <wp:extent cx="670369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03695"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525780</wp:posOffset>
            </wp:positionV>
            <wp:extent cx="670369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03695" cy="8890"/>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5" w:name="page56"/>
    <w:bookmarkEnd w:id="55"/>
    <w:p>
      <w:pPr>
        <w:ind w:left="880" w:hanging="872"/>
        <w:spacing w:after="0"/>
        <w:tabs>
          <w:tab w:leader="none" w:pos="88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Address for Notices to Selling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568325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714375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859790</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17145</wp:posOffset>
            </wp:positionV>
            <wp:extent cx="641223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677227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154305</wp:posOffset>
            </wp:positionV>
            <wp:extent cx="606044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6044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880" w:hanging="872"/>
        <w:spacing w:after="0"/>
        <w:tabs>
          <w:tab w:leader="none" w:pos="88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Broker-Dealer Status:</w:t>
      </w:r>
    </w:p>
    <w:p>
      <w:pPr>
        <w:spacing w:after="0" w:line="200" w:lineRule="exact"/>
        <w:rPr>
          <w:rFonts w:ascii="Times New Roman" w:cs="Times New Roman" w:eastAsia="Times New Roman" w:hAnsi="Times New Roman"/>
          <w:sz w:val="18"/>
          <w:szCs w:val="18"/>
          <w:b w:val="1"/>
          <w:bCs w:val="1"/>
          <w:color w:val="auto"/>
        </w:rPr>
      </w:pPr>
    </w:p>
    <w:p>
      <w:pPr>
        <w:spacing w:after="0" w:line="245" w:lineRule="exact"/>
        <w:rPr>
          <w:rFonts w:ascii="Times New Roman" w:cs="Times New Roman" w:eastAsia="Times New Roman" w:hAnsi="Times New Roman"/>
          <w:sz w:val="18"/>
          <w:szCs w:val="18"/>
          <w:b w:val="1"/>
          <w:bCs w:val="1"/>
          <w:color w:val="auto"/>
        </w:rPr>
      </w:pPr>
    </w:p>
    <w:p>
      <w:pPr>
        <w:ind w:left="680" w:hanging="335"/>
        <w:spacing w:after="0"/>
        <w:tabs>
          <w:tab w:leader="none" w:pos="68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you a broker-dealer?</w:t>
      </w:r>
    </w:p>
    <w:p>
      <w:pPr>
        <w:spacing w:after="0" w:line="184" w:lineRule="exact"/>
        <w:rPr>
          <w:sz w:val="20"/>
          <w:szCs w:val="20"/>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  If “yes” to Section 3(a), did you receive your Registrable Securities as compensation for investment banking services to the Company?</w:t>
      </w:r>
    </w:p>
    <w:p>
      <w:pPr>
        <w:spacing w:after="0" w:line="184" w:lineRule="exact"/>
        <w:rPr>
          <w:sz w:val="20"/>
          <w:szCs w:val="20"/>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If “no” to Section 3(b), the Commission’s staff has indicated that you should be identified as an underwriter in the Registration Statement.</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w:t>
      </w:r>
    </w:p>
    <w:p>
      <w:pPr>
        <w:spacing w:after="0" w:line="200" w:lineRule="exact"/>
        <w:rPr>
          <w:sz w:val="20"/>
          <w:szCs w:val="20"/>
          <w:color w:val="auto"/>
        </w:rPr>
      </w:pP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  Are you an affiliate of a broker-dealer?</w:t>
      </w:r>
    </w:p>
    <w:p>
      <w:pPr>
        <w:spacing w:after="0" w:line="400" w:lineRule="exact"/>
        <w:rPr>
          <w:sz w:val="20"/>
          <w:szCs w:val="20"/>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82" w:lineRule="exact"/>
        <w:rPr>
          <w:sz w:val="20"/>
          <w:szCs w:val="20"/>
          <w:color w:val="auto"/>
        </w:rPr>
      </w:pPr>
    </w:p>
    <w:p>
      <w:pPr>
        <w:jc w:val="both"/>
        <w:ind w:left="680" w:hanging="335"/>
        <w:spacing w:after="0" w:line="266" w:lineRule="auto"/>
        <w:tabs>
          <w:tab w:leader="none" w:pos="6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an affiliate of a broker-dealer, do you certify that you purchased the Registrable Securities in the ordinary course of business, and at the time of the purchase of the Registrable Securities to be resold, you had no agreements or understandings, directly or indirectly, with any person to distribute the Registrable Securities?</w:t>
      </w:r>
    </w:p>
    <w:p>
      <w:pPr>
        <w:spacing w:after="0" w:line="351" w:lineRule="exact"/>
        <w:rPr>
          <w:sz w:val="20"/>
          <w:szCs w:val="20"/>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If “no” to Section 3(d), the Commission’s staff has indicated that you should be identified as an underwriter in the Registration Statement.</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w:t>
      </w:r>
    </w:p>
    <w:p>
      <w:pPr>
        <w:spacing w:after="0" w:line="203" w:lineRule="exact"/>
        <w:rPr>
          <w:sz w:val="20"/>
          <w:szCs w:val="20"/>
          <w:color w:val="auto"/>
        </w:rPr>
      </w:pPr>
    </w:p>
    <w:p>
      <w:pPr>
        <w:ind w:left="880" w:hanging="872"/>
        <w:spacing w:after="0"/>
        <w:tabs>
          <w:tab w:leader="none" w:pos="88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Beneficial Ownership of Securities of the Company Owned by the Selling Shareholder.</w:t>
      </w:r>
    </w:p>
    <w:p>
      <w:pPr>
        <w:spacing w:after="0" w:line="227" w:lineRule="exact"/>
        <w:rPr>
          <w:sz w:val="20"/>
          <w:szCs w:val="20"/>
          <w:color w:val="auto"/>
        </w:rPr>
      </w:pPr>
    </w:p>
    <w:p>
      <w:pPr>
        <w:ind w:left="760"/>
        <w:spacing w:after="0" w:line="284" w:lineRule="auto"/>
        <w:rPr>
          <w:sz w:val="20"/>
          <w:szCs w:val="20"/>
          <w:color w:val="auto"/>
        </w:rPr>
      </w:pPr>
      <w:r>
        <w:rPr>
          <w:rFonts w:ascii="Times New Roman" w:cs="Times New Roman" w:eastAsia="Times New Roman" w:hAnsi="Times New Roman"/>
          <w:sz w:val="18"/>
          <w:szCs w:val="18"/>
          <w:i w:val="1"/>
          <w:iCs w:val="1"/>
          <w:color w:val="auto"/>
        </w:rPr>
        <w:t>Except as set forth below in this Item 4, the undersigned is not the beneficial or registered owner of any securities of the Company other than the securities issuable pursuant to the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854710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6" w:name="page57"/>
    <w:bookmarkEnd w:id="56"/>
    <w:p>
      <w:pPr>
        <w:spacing w:after="0" w:line="194" w:lineRule="exact"/>
        <w:rPr>
          <w:sz w:val="20"/>
          <w:szCs w:val="20"/>
          <w:color w:val="auto"/>
        </w:rPr>
      </w:pPr>
    </w:p>
    <w:p>
      <w:pPr>
        <w:ind w:left="680" w:hanging="335"/>
        <w:spacing w:after="0"/>
        <w:tabs>
          <w:tab w:leader="none" w:pos="68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and Amount of other securities beneficially owned by the Selling Shareholder:</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28" w:lineRule="exact"/>
        <w:rPr>
          <w:rFonts w:ascii="Times New Roman" w:cs="Times New Roman" w:eastAsia="Times New Roman" w:hAnsi="Times New Roman"/>
          <w:sz w:val="18"/>
          <w:szCs w:val="18"/>
          <w:color w:val="auto"/>
        </w:rPr>
      </w:pPr>
    </w:p>
    <w:p>
      <w:pPr>
        <w:ind w:left="880" w:hanging="872"/>
        <w:spacing w:after="0"/>
        <w:tabs>
          <w:tab w:leader="none" w:pos="88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Relationships with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-545465</wp:posOffset>
            </wp:positionV>
            <wp:extent cx="670369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03695"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-399415</wp:posOffset>
            </wp:positionV>
            <wp:extent cx="670369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703695" cy="8255"/>
                    </a:xfrm>
                    <a:prstGeom prst="rect">
                      <a:avLst/>
                    </a:prstGeom>
                    <a:noFill/>
                  </pic:spPr>
                </pic:pic>
              </a:graphicData>
            </a:graphic>
          </wp:anchor>
        </w:drawing>
      </w:r>
    </w:p>
    <w:p>
      <w:pPr>
        <w:spacing w:after="0" w:line="207" w:lineRule="exact"/>
        <w:rPr>
          <w:sz w:val="20"/>
          <w:szCs w:val="20"/>
          <w:color w:val="auto"/>
        </w:rPr>
      </w:pPr>
    </w:p>
    <w:p>
      <w:pPr>
        <w:jc w:val="both"/>
        <w:ind w:left="760"/>
        <w:spacing w:after="0" w:line="267" w:lineRule="auto"/>
        <w:rPr>
          <w:sz w:val="20"/>
          <w:szCs w:val="20"/>
          <w:color w:val="auto"/>
        </w:rPr>
      </w:pPr>
      <w:r>
        <w:rPr>
          <w:rFonts w:ascii="Times New Roman" w:cs="Times New Roman" w:eastAsia="Times New Roman" w:hAnsi="Times New Roman"/>
          <w:sz w:val="18"/>
          <w:szCs w:val="18"/>
          <w:i w:val="1"/>
          <w:iCs w:val="1"/>
          <w:color w:val="auto"/>
        </w:rPr>
        <w:t>Except as set forth below, neither the undersigned nor any of its affiliates, officers, directors or principal equity holders (owners of 5% of more of the equity securities of the undersigned) has held any position or office or has had any other material relationship with the Company (or its predecessors or affiliates) during the past three years.</w:t>
      </w:r>
    </w:p>
    <w:p>
      <w:pPr>
        <w:spacing w:after="0" w:line="17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State any exceptions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291465</wp:posOffset>
            </wp:positionV>
            <wp:extent cx="691769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17690" cy="8255"/>
                    </a:xfrm>
                    <a:prstGeom prst="rect">
                      <a:avLst/>
                    </a:prstGeom>
                    <a:noFill/>
                  </pic:spPr>
                </pic:pic>
              </a:graphicData>
            </a:graphic>
          </wp:anchor>
        </w:drawing>
        <w:drawing>
          <wp:anchor simplePos="0" relativeHeight="251657728" behindDoc="1" locked="0" layoutInCell="0" allowOverlap="1">
            <wp:simplePos x="0" y="0"/>
            <wp:positionH relativeFrom="column">
              <wp:posOffset>219075</wp:posOffset>
            </wp:positionH>
            <wp:positionV relativeFrom="paragraph">
              <wp:posOffset>437515</wp:posOffset>
            </wp:positionV>
            <wp:extent cx="691769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undersigned acknowledges that the Securities Act and the rules and regulations promulgated thereunder may require the undersigned to promptly notify the Company of any material inaccuracies or changes in the information provided herein that may occur subsequent to the date hereof as long as the undersigned holds Registrable Securities (as defined in the Registration Rights Agreement). In the absence of any such notification, the Company shall be entitled to continue to rely on the accuracy of the information in this Notice and Questionnaire.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By signing below, the undersigned consents to the disclosure of the information contained herein in its answers to Items 1 through 5 and the inclusion of such information in the Registration Statement and the related prospectus and any amendments or supplements thereto. The undersigned understands that such information will be relied upon by the Company in connection with the preparation or amendment of the Registration Statement and the related prospectus and any amendments or supplements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ind w:firstLine="749"/>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by authority duly given, has caused this Notice and Questionnaire to be executed and delivered either in person or by its duly authorized agent.</w:t>
      </w:r>
    </w:p>
    <w:p>
      <w:pPr>
        <w:spacing w:after="0" w:line="378" w:lineRule="exact"/>
        <w:rPr>
          <w:sz w:val="20"/>
          <w:szCs w:val="20"/>
          <w:color w:val="auto"/>
        </w:rPr>
      </w:pPr>
    </w:p>
    <w:p>
      <w:pPr>
        <w:spacing w:after="0"/>
        <w:tabs>
          <w:tab w:leader="none" w:pos="58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677227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1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17145</wp:posOffset>
            </wp:positionV>
            <wp:extent cx="306006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PLEASE FAX A COPY (OR EMAIL A .PDF COPY) OF THE COMPLETED AND EXECUTED NOTICE AND QUESTIONNAIRE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1172845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1)"/>
      <w:numFmt w:val="lowerLetter"/>
      <w:start w:val="1"/>
    </w:lvl>
  </w:abstractNum>
  <w:abstractNum w:abstractNumId="1">
    <w:nsid w:val="836C40E"/>
    <w:multiLevelType w:val="hybridMultilevel"/>
    <w:lvl w:ilvl="0">
      <w:lvlJc w:val="left"/>
      <w:lvlText w:val="(%1)"/>
      <w:numFmt w:val="lowerLetter"/>
      <w:start w:val="9"/>
    </w:lvl>
  </w:abstractNum>
  <w:abstractNum w:abstractNumId="2">
    <w:nsid w:val="2901D82"/>
    <w:multiLevelType w:val="hybridMultilevel"/>
    <w:lvl w:ilvl="0">
      <w:lvlJc w:val="left"/>
      <w:lvlText w:val="(%1)"/>
      <w:numFmt w:val="lowerRoman"/>
      <w:start w:val="2"/>
    </w:lvl>
  </w:abstractNum>
  <w:abstractNum w:abstractNumId="3">
    <w:nsid w:val="3A95F874"/>
    <w:multiLevelType w:val="hybridMultilevel"/>
    <w:lvl w:ilvl="0">
      <w:lvlJc w:val="left"/>
      <w:lvlText w:val="(%1)"/>
      <w:numFmt w:val="lowerRoman"/>
      <w:start w:val="4"/>
    </w:lvl>
  </w:abstractNum>
  <w:abstractNum w:abstractNumId="4">
    <w:nsid w:val="8138641"/>
    <w:multiLevelType w:val="hybridMultilevel"/>
    <w:lvl w:ilvl="0">
      <w:lvlJc w:val="left"/>
      <w:lvlText w:val="(%1)"/>
      <w:numFmt w:val="lowerRoman"/>
      <w:start w:val="1"/>
    </w:lvl>
  </w:abstractNum>
  <w:abstractNum w:abstractNumId="5">
    <w:nsid w:val="1E7FF521"/>
    <w:multiLevelType w:val="hybridMultilevel"/>
    <w:lvl w:ilvl="0">
      <w:lvlJc w:val="left"/>
      <w:lvlText w:val="(%1)"/>
      <w:numFmt w:val="lowerRoman"/>
      <w:start w:val="1"/>
    </w:lvl>
  </w:abstractNum>
  <w:abstractNum w:abstractNumId="6">
    <w:nsid w:val="7C3DBD3D"/>
    <w:multiLevelType w:val="hybridMultilevel"/>
    <w:lvl w:ilvl="0">
      <w:lvlJc w:val="left"/>
      <w:lvlText w:val="(%1)"/>
      <w:numFmt w:val="lowerRoman"/>
      <w:start w:val="1"/>
    </w:lvl>
  </w:abstractNum>
  <w:abstractNum w:abstractNumId="7">
    <w:nsid w:val="737B8DDC"/>
    <w:multiLevelType w:val="hybridMultilevel"/>
    <w:lvl w:ilvl="0">
      <w:lvlJc w:val="left"/>
      <w:lvlText w:val="(%1)"/>
      <w:numFmt w:val="lowerRoman"/>
      <w:start w:val="6"/>
    </w:lvl>
  </w:abstractNum>
  <w:abstractNum w:abstractNumId="8">
    <w:nsid w:val="6CEAF087"/>
    <w:multiLevelType w:val="hybridMultilevel"/>
    <w:lvl w:ilvl="0">
      <w:lvlJc w:val="left"/>
      <w:lvlText w:val="(%1)"/>
      <w:numFmt w:val="lowerLetter"/>
      <w:start w:val="1"/>
    </w:lvl>
  </w:abstractNum>
  <w:abstractNum w:abstractNumId="9">
    <w:nsid w:val="22221A70"/>
    <w:multiLevelType w:val="hybridMultilevel"/>
    <w:lvl w:ilvl="0">
      <w:lvlJc w:val="left"/>
      <w:lvlText w:val="(%1)"/>
      <w:numFmt w:val="lowerLetter"/>
      <w:start w:val="5"/>
    </w:lvl>
  </w:abstractNum>
  <w:abstractNum w:abstractNumId="10">
    <w:nsid w:val="4516DDE9"/>
    <w:multiLevelType w:val="hybridMultilevel"/>
    <w:lvl w:ilvl="0">
      <w:lvlJc w:val="left"/>
      <w:lvlText w:val="(%1)"/>
      <w:numFmt w:val="lowerLetter"/>
      <w:start w:val="8"/>
    </w:lvl>
  </w:abstractNum>
  <w:abstractNum w:abstractNumId="11">
    <w:nsid w:val="3006C83E"/>
    <w:multiLevelType w:val="hybridMultilevel"/>
    <w:lvl w:ilvl="0">
      <w:lvlJc w:val="left"/>
      <w:lvlText w:val="(%1)"/>
      <w:numFmt w:val="lowerLetter"/>
      <w:start w:val="11"/>
    </w:lvl>
  </w:abstractNum>
  <w:abstractNum w:abstractNumId="12">
    <w:nsid w:val="614FD4A1"/>
    <w:multiLevelType w:val="hybridMultilevel"/>
    <w:lvl w:ilvl="0">
      <w:lvlJc w:val="left"/>
      <w:lvlText w:val="(%1)"/>
      <w:numFmt w:val="lowerLetter"/>
      <w:start w:val="16"/>
    </w:lvl>
  </w:abstractNum>
  <w:abstractNum w:abstractNumId="13">
    <w:nsid w:val="419AC241"/>
    <w:multiLevelType w:val="hybridMultilevel"/>
    <w:lvl w:ilvl="0">
      <w:lvlJc w:val="left"/>
      <w:lvlText w:val="(%1)"/>
      <w:numFmt w:val="lowerLetter"/>
      <w:start w:val="20"/>
    </w:lvl>
  </w:abstractNum>
  <w:abstractNum w:abstractNumId="14">
    <w:nsid w:val="5577F8E1"/>
    <w:multiLevelType w:val="hybridMultilevel"/>
    <w:lvl w:ilvl="0">
      <w:lvlJc w:val="left"/>
      <w:lvlText w:val="(%1)"/>
      <w:numFmt w:val="lowerLetter"/>
      <w:start w:val="27"/>
    </w:lvl>
  </w:abstractNum>
  <w:abstractNum w:abstractNumId="15">
    <w:nsid w:val="440BADFC"/>
    <w:multiLevelType w:val="hybridMultilevel"/>
    <w:lvl w:ilvl="0">
      <w:lvlJc w:val="left"/>
      <w:lvlText w:val="%1"/>
      <w:numFmt w:val="lowerRoman"/>
      <w:start w:val="1"/>
    </w:lvl>
    <w:lvl w:ilvl="1">
      <w:lvlJc w:val="left"/>
      <w:lvlText w:val="(%2)"/>
      <w:numFmt w:val="lowerLetter"/>
      <w:start w:val="34"/>
    </w:lvl>
  </w:abstractNum>
  <w:abstractNum w:abstractNumId="16">
    <w:nsid w:val="5072367"/>
    <w:multiLevelType w:val="hybridMultilevel"/>
    <w:lvl w:ilvl="0">
      <w:lvlJc w:val="left"/>
      <w:lvlText w:val="(%1)"/>
      <w:numFmt w:val="lowerRoman"/>
      <w:start w:val="4"/>
    </w:lvl>
    <w:lvl w:ilvl="1">
      <w:lvlJc w:val="left"/>
      <w:lvlText w:val="(%2)"/>
      <w:numFmt w:val="lowerLetter"/>
      <w:start w:val="36"/>
    </w:lvl>
  </w:abstractNum>
  <w:abstractNum w:abstractNumId="17">
    <w:nsid w:val="3804823E"/>
    <w:multiLevelType w:val="hybridMultilevel"/>
    <w:lvl w:ilvl="0">
      <w:lvlJc w:val="left"/>
      <w:lvlText w:val="(%1)"/>
      <w:numFmt w:val="lowerLetter"/>
      <w:start w:val="39"/>
    </w:lvl>
  </w:abstractNum>
  <w:abstractNum w:abstractNumId="18">
    <w:nsid w:val="77465F01"/>
    <w:multiLevelType w:val="hybridMultilevel"/>
    <w:lvl w:ilvl="0">
      <w:lvlJc w:val="left"/>
      <w:lvlText w:val="%1"/>
      <w:numFmt w:val="lowerLetter"/>
      <w:start w:val="1"/>
    </w:lvl>
    <w:lvl w:ilvl="1">
      <w:lvlJc w:val="left"/>
      <w:lvlText w:val="(%2)"/>
      <w:numFmt w:val="lowerLetter"/>
      <w:start w:val="45"/>
    </w:lvl>
  </w:abstractNum>
  <w:abstractNum w:abstractNumId="19">
    <w:nsid w:val="7724C67E"/>
    <w:multiLevelType w:val="hybridMultilevel"/>
    <w:lvl w:ilvl="0">
      <w:lvlJc w:val="left"/>
      <w:lvlText w:val="(%1)"/>
      <w:numFmt w:val="lowerLetter"/>
      <w:start w:val="9"/>
    </w:lvl>
    <w:lvl w:ilvl="1">
      <w:lvlJc w:val="left"/>
      <w:lvlText w:val="%2"/>
      <w:numFmt w:val="lowerLetter"/>
      <w:start w:val="1"/>
    </w:lvl>
  </w:abstractNum>
  <w:abstractNum w:abstractNumId="20">
    <w:nsid w:val="5C482A97"/>
    <w:multiLevelType w:val="hybridMultilevel"/>
    <w:lvl w:ilvl="0">
      <w:lvlJc w:val="left"/>
      <w:lvlText w:val="(%1)"/>
      <w:numFmt w:val="lowerLetter"/>
      <w:start w:val="1"/>
    </w:lvl>
  </w:abstractNum>
  <w:abstractNum w:abstractNumId="21">
    <w:nsid w:val="2463B9EA"/>
    <w:multiLevelType w:val="hybridMultilevel"/>
    <w:lvl w:ilvl="0">
      <w:lvlJc w:val="left"/>
      <w:lvlText w:val="(%1)"/>
      <w:numFmt w:val="lowerLetter"/>
      <w:start w:val="4"/>
    </w:lvl>
  </w:abstractNum>
  <w:abstractNum w:abstractNumId="22">
    <w:nsid w:val="5E884ADC"/>
    <w:multiLevelType w:val="hybridMultilevel"/>
    <w:lvl w:ilvl="0">
      <w:lvlJc w:val="left"/>
      <w:lvlText w:val="(%1)"/>
      <w:numFmt w:val="lowerLetter"/>
      <w:start w:val="7"/>
    </w:lvl>
  </w:abstractNum>
  <w:abstractNum w:abstractNumId="23">
    <w:nsid w:val="51EAD36B"/>
    <w:multiLevelType w:val="hybridMultilevel"/>
    <w:lvl w:ilvl="0">
      <w:lvlJc w:val="left"/>
      <w:lvlText w:val="(%1)"/>
      <w:numFmt w:val="lowerLetter"/>
      <w:start w:val="1"/>
    </w:lvl>
  </w:abstractNum>
  <w:abstractNum w:abstractNumId="24">
    <w:nsid w:val="2D517796"/>
    <w:multiLevelType w:val="hybridMultilevel"/>
    <w:lvl w:ilvl="0">
      <w:lvlJc w:val="left"/>
      <w:lvlText w:val="(%1)"/>
      <w:numFmt w:val="lowerLetter"/>
      <w:start w:val="3"/>
    </w:lvl>
  </w:abstractNum>
  <w:abstractNum w:abstractNumId="25">
    <w:nsid w:val="580BD78F"/>
    <w:multiLevelType w:val="hybridMultilevel"/>
    <w:lvl w:ilvl="0">
      <w:lvlJc w:val="left"/>
      <w:lvlText w:val="(%1)"/>
      <w:numFmt w:val="lowerLetter"/>
      <w:start w:val="4"/>
    </w:lvl>
  </w:abstractNum>
  <w:abstractNum w:abstractNumId="26">
    <w:nsid w:val="153EA438"/>
    <w:multiLevelType w:val="hybridMultilevel"/>
    <w:lvl w:ilvl="0">
      <w:lvlJc w:val="left"/>
      <w:lvlText w:val="(%1)"/>
      <w:numFmt w:val="lowerLetter"/>
      <w:start w:val="1"/>
    </w:lvl>
  </w:abstractNum>
  <w:abstractNum w:abstractNumId="27">
    <w:nsid w:val="3855585C"/>
    <w:multiLevelType w:val="hybridMultilevel"/>
    <w:lvl w:ilvl="0">
      <w:lvlJc w:val="left"/>
      <w:lvlText w:val="(%1)"/>
      <w:numFmt w:val="lowerRoman"/>
      <w:start w:val="1"/>
    </w:lvl>
  </w:abstractNum>
  <w:abstractNum w:abstractNumId="28">
    <w:nsid w:val="70A64E2A"/>
    <w:multiLevelType w:val="hybridMultilevel"/>
    <w:lvl w:ilvl="0">
      <w:lvlJc w:val="left"/>
      <w:lvlText w:val="(%1)"/>
      <w:numFmt w:val="upperLetter"/>
      <w:start w:val="1"/>
    </w:lvl>
  </w:abstractNum>
  <w:abstractNum w:abstractNumId="29">
    <w:nsid w:val="6A2342EC"/>
    <w:multiLevelType w:val="hybridMultilevel"/>
    <w:lvl w:ilvl="0">
      <w:lvlJc w:val="left"/>
      <w:lvlText w:val="%1."/>
      <w:numFmt w:val="decimal"/>
      <w:start w:val="1"/>
    </w:lvl>
  </w:abstractNum>
  <w:abstractNum w:abstractNumId="30">
    <w:nsid w:val="2A487CB0"/>
    <w:multiLevelType w:val="hybridMultilevel"/>
    <w:lvl w:ilvl="0">
      <w:lvlJc w:val="left"/>
      <w:lvlText w:val="%1."/>
      <w:numFmt w:val="decimal"/>
      <w:start w:val="2"/>
    </w:lvl>
    <w:lvl w:ilvl="1">
      <w:lvlJc w:val="left"/>
      <w:lvlText w:val="(%2)"/>
      <w:numFmt w:val="lowerLetter"/>
      <w:start w:val="1"/>
    </w:lvl>
  </w:abstractNum>
  <w:abstractNum w:abstractNumId="31">
    <w:nsid w:val="1D4ED43B"/>
    <w:multiLevelType w:val="hybridMultilevel"/>
    <w:lvl w:ilvl="0">
      <w:lvlJc w:val="left"/>
      <w:lvlText w:val="(%1)"/>
      <w:numFmt w:val="lowerLetter"/>
      <w:start w:val="2"/>
    </w:lvl>
    <w:lvl w:ilvl="1">
      <w:lvlJc w:val="left"/>
      <w:lvlText w:val="(%2)"/>
      <w:numFmt w:val="lowerRoman"/>
      <w:start w:val="1"/>
    </w:lvl>
  </w:abstractNum>
  <w:abstractNum w:abstractNumId="32">
    <w:nsid w:val="725A06FB"/>
    <w:multiLevelType w:val="hybridMultilevel"/>
    <w:lvl w:ilvl="0">
      <w:lvlJc w:val="left"/>
      <w:lvlText w:val="(%1)"/>
      <w:numFmt w:val="lowerLetter"/>
      <w:start w:val="4"/>
    </w:lvl>
  </w:abstractNum>
  <w:abstractNum w:abstractNumId="33">
    <w:nsid w:val="2CD89A32"/>
    <w:multiLevelType w:val="hybridMultilevel"/>
    <w:lvl w:ilvl="0">
      <w:lvlJc w:val="left"/>
      <w:lvlText w:val="%1."/>
      <w:numFmt w:val="decimal"/>
      <w:start w:val="3"/>
    </w:lvl>
  </w:abstractNum>
  <w:abstractNum w:abstractNumId="34">
    <w:nsid w:val="57E4CCAF"/>
    <w:multiLevelType w:val="hybridMultilevel"/>
    <w:lvl w:ilvl="0">
      <w:lvlJc w:val="left"/>
      <w:lvlText w:val="%1"/>
      <w:numFmt w:val="lowerLetter"/>
      <w:start w:val="1"/>
    </w:lvl>
    <w:lvl w:ilvl="1">
      <w:lvlJc w:val="left"/>
      <w:lvlText w:val="(%2)"/>
      <w:numFmt w:val="lowerLetter"/>
      <w:start w:val="1"/>
    </w:lvl>
  </w:abstractNum>
  <w:abstractNum w:abstractNumId="35">
    <w:nsid w:val="7A6D8D3C"/>
    <w:multiLevelType w:val="hybridMultilevel"/>
    <w:lvl w:ilvl="0">
      <w:lvlJc w:val="left"/>
      <w:lvlText w:val="(%1)"/>
      <w:numFmt w:val="lowerLetter"/>
      <w:start w:val="35"/>
    </w:lvl>
    <w:lvl w:ilvl="1">
      <w:lvlJc w:val="left"/>
      <w:lvlText w:val="%2"/>
      <w:numFmt w:val="lowerLetter"/>
      <w:start w:val="1"/>
    </w:lvl>
  </w:abstractNum>
  <w:abstractNum w:abstractNumId="36">
    <w:nsid w:val="4B588F54"/>
    <w:multiLevelType w:val="hybridMultilevel"/>
    <w:lvl w:ilvl="0">
      <w:lvlJc w:val="left"/>
      <w:lvlText w:val="%1"/>
      <w:numFmt w:val="lowerRoman"/>
      <w:start w:val="1"/>
    </w:lvl>
    <w:lvl w:ilvl="1">
      <w:lvlJc w:val="left"/>
      <w:lvlText w:val="(%2)"/>
      <w:numFmt w:val="lowerLetter"/>
      <w:start w:val="2"/>
    </w:lvl>
  </w:abstractNum>
  <w:abstractNum w:abstractNumId="37">
    <w:nsid w:val="542289EC"/>
    <w:multiLevelType w:val="hybridMultilevel"/>
    <w:lvl w:ilvl="0">
      <w:lvlJc w:val="left"/>
      <w:lvlText w:val="(%1)"/>
      <w:numFmt w:val="lowerRoman"/>
      <w:start w:val="4"/>
    </w:lvl>
    <w:lvl w:ilvl="1">
      <w:lvlJc w:val="left"/>
      <w:lvlText w:val="%2"/>
      <w:numFmt w:val="lowerLetter"/>
      <w:start w:val="1"/>
    </w:lvl>
  </w:abstractNum>
  <w:abstractNum w:abstractNumId="38">
    <w:nsid w:val="6DE91B18"/>
    <w:multiLevelType w:val="hybridMultilevel"/>
    <w:lvl w:ilvl="0">
      <w:lvlJc w:val="left"/>
      <w:lvlText w:val="(%1)"/>
      <w:numFmt w:val="lowerLetter"/>
      <w:start w:val="5"/>
    </w:lvl>
  </w:abstractNum>
  <w:abstractNum w:abstractNumId="39">
    <w:nsid w:val="38437FDB"/>
    <w:multiLevelType w:val="hybridMultilevel"/>
    <w:lvl w:ilvl="0">
      <w:lvlJc w:val="left"/>
      <w:lvlText w:val="%1"/>
      <w:numFmt w:val="decimal"/>
      <w:start w:val="1"/>
    </w:lvl>
    <w:lvl w:ilvl="1">
      <w:lvlJc w:val="left"/>
      <w:lvlText w:val="(%2)"/>
      <w:numFmt w:val="lowerLetter"/>
      <w:start w:val="12"/>
    </w:lvl>
  </w:abstractNum>
  <w:abstractNum w:abstractNumId="40">
    <w:nsid w:val="7644A45C"/>
    <w:multiLevelType w:val="hybridMultilevel"/>
    <w:lvl w:ilvl="0">
      <w:lvlJc w:val="left"/>
      <w:lvlText w:val="%1."/>
      <w:numFmt w:val="decimal"/>
      <w:start w:val="4"/>
    </w:lvl>
    <w:lvl w:ilvl="1">
      <w:lvlJc w:val="left"/>
      <w:lvlText w:val="%2"/>
      <w:numFmt w:val="lowerLetter"/>
      <w:start w:val="1"/>
    </w:lvl>
  </w:abstractNum>
  <w:abstractNum w:abstractNumId="41">
    <w:nsid w:val="32FFF902"/>
    <w:multiLevelType w:val="hybridMultilevel"/>
    <w:lvl w:ilvl="0">
      <w:lvlJc w:val="left"/>
      <w:lvlText w:val="(%1)"/>
      <w:numFmt w:val="lowerLetter"/>
      <w:start w:val="1"/>
    </w:lvl>
  </w:abstractNum>
  <w:abstractNum w:abstractNumId="42">
    <w:nsid w:val="684A481A"/>
    <w:multiLevelType w:val="hybridMultilevel"/>
    <w:lvl w:ilvl="0">
      <w:lvlJc w:val="left"/>
      <w:lvlText w:val="(%1)"/>
      <w:numFmt w:val="lowerLetter"/>
      <w:start w:val="3"/>
    </w:lvl>
  </w:abstractNum>
  <w:abstractNum w:abstractNumId="43">
    <w:nsid w:val="579478FE"/>
    <w:multiLevelType w:val="hybridMultilevel"/>
    <w:lvl w:ilvl="0">
      <w:lvlJc w:val="left"/>
      <w:lvlText w:val="(%1)"/>
      <w:numFmt w:val="lowerLetter"/>
      <w:start w:val="4"/>
    </w:lvl>
  </w:abstractNum>
  <w:abstractNum w:abstractNumId="44">
    <w:nsid w:val="749ABB43"/>
    <w:multiLevelType w:val="hybridMultilevel"/>
    <w:lvl w:ilvl="0">
      <w:lvlJc w:val="left"/>
      <w:lvlText w:val="%1."/>
      <w:numFmt w:val="decimal"/>
      <w:start w:val="6"/>
    </w:lvl>
    <w:lvl w:ilvl="1">
      <w:lvlJc w:val="left"/>
      <w:lvlText w:val="(%2)"/>
      <w:numFmt w:val="lowerLetter"/>
      <w:start w:val="1"/>
    </w:lvl>
  </w:abstractNum>
  <w:abstractNum w:abstractNumId="45">
    <w:nsid w:val="3DC240FB"/>
    <w:multiLevelType w:val="hybridMultilevel"/>
    <w:lvl w:ilvl="0">
      <w:lvlJc w:val="left"/>
      <w:lvlText w:val="(%1)"/>
      <w:numFmt w:val="lowerLetter"/>
      <w:start w:val="6"/>
    </w:lvl>
  </w:abstractNum>
  <w:abstractNum w:abstractNumId="46">
    <w:nsid w:val="1BA026FA"/>
    <w:multiLevelType w:val="hybridMultilevel"/>
    <w:lvl w:ilvl="0">
      <w:lvlJc w:val="left"/>
      <w:lvlText w:val="(%1)"/>
      <w:numFmt w:val="lowerLetter"/>
      <w:start w:val="13"/>
    </w:lvl>
  </w:abstractNum>
  <w:abstractNum w:abstractNumId="47">
    <w:nsid w:val="79A1DEAA"/>
    <w:multiLevelType w:val="hybridMultilevel"/>
    <w:lvl w:ilvl="0">
      <w:lvlJc w:val="left"/>
      <w:lvlText w:val="●"/>
      <w:numFmt w:val="bullet"/>
      <w:start w:val="1"/>
    </w:lvl>
  </w:abstractNum>
  <w:abstractNum w:abstractNumId="48">
    <w:nsid w:val="75C6C33A"/>
    <w:multiLevelType w:val="hybridMultilevel"/>
    <w:lvl w:ilvl="0">
      <w:lvlJc w:val="left"/>
      <w:lvlText w:val="%1."/>
      <w:numFmt w:val="decimal"/>
      <w:start w:val="1"/>
    </w:lvl>
    <w:lvl w:ilvl="1">
      <w:lvlJc w:val="left"/>
      <w:lvlText w:val="(%2)"/>
      <w:numFmt w:val="lowerLetter"/>
      <w:start w:val="1"/>
    </w:lvl>
  </w:abstractNum>
  <w:abstractNum w:abstractNumId="49">
    <w:nsid w:val="12E685FB"/>
    <w:multiLevelType w:val="hybridMultilevel"/>
    <w:lvl w:ilvl="0">
      <w:lvlJc w:val="left"/>
      <w:lvlText w:val="%1."/>
      <w:numFmt w:val="decimal"/>
      <w:start w:val="2"/>
    </w:lvl>
  </w:abstractNum>
  <w:abstractNum w:abstractNumId="50">
    <w:nsid w:val="70C6A529"/>
    <w:multiLevelType w:val="hybridMultilevel"/>
    <w:lvl w:ilvl="0">
      <w:lvlJc w:val="left"/>
      <w:lvlText w:val="%1."/>
      <w:numFmt w:val="decimal"/>
      <w:start w:val="3"/>
    </w:lvl>
    <w:lvl w:ilvl="1">
      <w:lvlJc w:val="left"/>
      <w:lvlText w:val="(%2)"/>
      <w:numFmt w:val="lowerLetter"/>
      <w:start w:val="1"/>
    </w:lvl>
  </w:abstractNum>
  <w:abstractNum w:abstractNumId="51">
    <w:nsid w:val="520EEDD1"/>
    <w:multiLevelType w:val="hybridMultilevel"/>
    <w:lvl w:ilvl="0">
      <w:lvlJc w:val="left"/>
      <w:lvlText w:val="(%1)"/>
      <w:numFmt w:val="lowerLetter"/>
      <w:start w:val="4"/>
    </w:lvl>
  </w:abstractNum>
  <w:abstractNum w:abstractNumId="52">
    <w:nsid w:val="374A3FE6"/>
    <w:multiLevelType w:val="hybridMultilevel"/>
    <w:lvl w:ilvl="0">
      <w:lvlJc w:val="left"/>
      <w:lvlText w:val="%1."/>
      <w:numFmt w:val="decimal"/>
      <w:start w:val="4"/>
    </w:lvl>
  </w:abstractNum>
  <w:abstractNum w:abstractNumId="53">
    <w:nsid w:val="4F4EF005"/>
    <w:multiLevelType w:val="hybridMultilevel"/>
    <w:lvl w:ilvl="0">
      <w:lvlJc w:val="left"/>
      <w:lvlText w:val="%1"/>
      <w:numFmt w:val="decimal"/>
      <w:start w:val="1"/>
    </w:lvl>
    <w:lvl w:ilvl="1">
      <w:lvlJc w:val="left"/>
      <w:lvlText w:val="(%2)"/>
      <w:numFmt w:val="lowerLetter"/>
      <w:start w:val="1"/>
    </w:lvl>
  </w:abstractNum>
  <w:abstractNum w:abstractNumId="54">
    <w:nsid w:val="23F9C13C"/>
    <w:multiLevelType w:val="hybridMultilevel"/>
    <w:lvl w:ilvl="0">
      <w:lvlJc w:val="left"/>
      <w:lvlText w:val="%1."/>
      <w:numFmt w:val="decimal"/>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2025-09-26T15:47:37Z</dcterms:created>
  <dcterms:modified xsi:type="dcterms:W3CDTF">2025-09-26T15:47:37Z</dcterms:modified>
</cp:coreProperties>
</file>